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5828" w14:textId="77777777" w:rsidR="005104B8" w:rsidRDefault="00CF6050" w:rsidP="00DE38E6">
      <w:pPr>
        <w:autoSpaceDE w:val="0"/>
        <w:autoSpaceDN w:val="0"/>
        <w:adjustRightInd w:val="0"/>
        <w:ind w:right="1042"/>
        <w:jc w:val="both"/>
        <w:rPr>
          <w:rFonts w:ascii="Times New Roman" w:hAnsi="Times New Roman"/>
          <w:b/>
          <w:bCs/>
          <w:sz w:val="20"/>
          <w:szCs w:val="20"/>
          <w:lang w:val="en-US"/>
        </w:rPr>
      </w:pPr>
      <w:r>
        <w:rPr>
          <w:rFonts w:ascii="Times New Roman" w:hAnsi="Times New Roman"/>
          <w:b/>
          <w:bCs/>
          <w:sz w:val="20"/>
          <w:szCs w:val="20"/>
          <w:lang w:val="en-US"/>
        </w:rPr>
        <w:t>R</w:t>
      </w:r>
      <w:r w:rsidR="00CB1A49" w:rsidRPr="00B50234">
        <w:rPr>
          <w:rFonts w:ascii="Times New Roman" w:hAnsi="Times New Roman"/>
          <w:b/>
          <w:bCs/>
          <w:sz w:val="20"/>
          <w:szCs w:val="20"/>
          <w:lang w:val="en-US"/>
        </w:rPr>
        <w:t xml:space="preserve">EFERENCE TABLE </w:t>
      </w:r>
      <w:r w:rsidR="009535BC">
        <w:rPr>
          <w:rFonts w:ascii="Times New Roman" w:hAnsi="Times New Roman"/>
          <w:b/>
          <w:bCs/>
          <w:sz w:val="20"/>
          <w:szCs w:val="20"/>
          <w:lang w:val="en-US"/>
        </w:rPr>
        <w:t>FOR PROPERTY COMPANIES</w:t>
      </w:r>
    </w:p>
    <w:p w14:paraId="5EEDDDA2" w14:textId="77777777" w:rsidR="00DE38E6" w:rsidRDefault="00C963F1"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9535BC">
        <w:rPr>
          <w:rFonts w:ascii="Times New Roman" w:hAnsi="Times New Roman"/>
          <w:b/>
          <w:color w:val="000000"/>
          <w:sz w:val="20"/>
          <w:szCs w:val="20"/>
          <w:lang w:val="en-US" w:eastAsia="nl-NL"/>
        </w:rPr>
        <w:t>, paragraphs 128-130</w:t>
      </w:r>
      <w:r w:rsidR="005104B8">
        <w:rPr>
          <w:rFonts w:ascii="Times New Roman" w:hAnsi="Times New Roman"/>
          <w:b/>
          <w:color w:val="000000"/>
          <w:sz w:val="20"/>
          <w:szCs w:val="20"/>
          <w:lang w:val="en-US" w:eastAsia="nl-NL"/>
        </w:rPr>
        <w:t>.</w:t>
      </w:r>
    </w:p>
    <w:p w14:paraId="665C674A" w14:textId="77777777" w:rsidR="00F609DB" w:rsidRPr="00B50234" w:rsidRDefault="00F609DB" w:rsidP="00DE38E6">
      <w:pPr>
        <w:autoSpaceDE w:val="0"/>
        <w:autoSpaceDN w:val="0"/>
        <w:adjustRightInd w:val="0"/>
        <w:ind w:right="1042"/>
        <w:jc w:val="both"/>
        <w:rPr>
          <w:rFonts w:ascii="Times New Roman" w:hAnsi="Times New Roman"/>
          <w:b/>
          <w:color w:val="000000"/>
          <w:sz w:val="20"/>
          <w:szCs w:val="20"/>
          <w:lang w:val="en-US" w:eastAsia="nl-NL"/>
        </w:rPr>
      </w:pPr>
    </w:p>
    <w:p w14:paraId="01F3811D" w14:textId="77777777" w:rsidR="00F609DB" w:rsidRDefault="00F609DB" w:rsidP="00F609DB">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 </w:t>
      </w:r>
    </w:p>
    <w:p w14:paraId="75ACF958" w14:textId="77777777" w:rsidR="00F609DB" w:rsidRDefault="00F609DB" w:rsidP="00F609DB">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1559"/>
        <w:gridCol w:w="1576"/>
      </w:tblGrid>
      <w:tr w:rsidR="009856F7" w14:paraId="3C82C508"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07E68D93"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14:paraId="32D1FA79" w14:textId="77777777" w:rsidR="009856F7" w:rsidRDefault="009856F7" w:rsidP="00A9128F">
            <w:pPr>
              <w:autoSpaceDE w:val="0"/>
              <w:autoSpaceDN w:val="0"/>
              <w:adjustRightInd w:val="0"/>
              <w:rPr>
                <w:rFonts w:ascii="Times New Roman" w:hAnsi="Times New Roman"/>
                <w:b/>
                <w:bCs/>
                <w:sz w:val="20"/>
                <w:szCs w:val="20"/>
                <w:lang w:val="en-US"/>
              </w:rPr>
            </w:pPr>
          </w:p>
        </w:tc>
      </w:tr>
      <w:tr w:rsidR="009856F7" w:rsidRPr="00C87B0F" w14:paraId="62C5F8DC"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7FCD8BE9"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14:paraId="0B7D58D7" w14:textId="77777777" w:rsidR="009856F7" w:rsidRDefault="009856F7" w:rsidP="00A9128F">
            <w:pPr>
              <w:autoSpaceDE w:val="0"/>
              <w:autoSpaceDN w:val="0"/>
              <w:adjustRightInd w:val="0"/>
              <w:rPr>
                <w:rFonts w:ascii="Times New Roman" w:hAnsi="Times New Roman"/>
                <w:b/>
                <w:bCs/>
                <w:sz w:val="20"/>
                <w:szCs w:val="20"/>
                <w:lang w:val="en-US"/>
              </w:rPr>
            </w:pPr>
          </w:p>
        </w:tc>
      </w:tr>
      <w:tr w:rsidR="009856F7" w14:paraId="77694B5F"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5FE8F812"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14:paraId="0781B6D0" w14:textId="77777777" w:rsidR="009856F7" w:rsidRDefault="009856F7"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164F0F19"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14:paraId="7202FB22" w14:textId="77777777" w:rsidR="009856F7" w:rsidRDefault="009856F7" w:rsidP="00A9128F">
            <w:pPr>
              <w:autoSpaceDE w:val="0"/>
              <w:autoSpaceDN w:val="0"/>
              <w:adjustRightInd w:val="0"/>
              <w:rPr>
                <w:rFonts w:ascii="Times New Roman" w:hAnsi="Times New Roman"/>
                <w:b/>
                <w:bCs/>
                <w:sz w:val="20"/>
                <w:szCs w:val="20"/>
                <w:lang w:val="en-US"/>
              </w:rPr>
            </w:pPr>
          </w:p>
        </w:tc>
      </w:tr>
      <w:tr w:rsidR="009856F7" w:rsidRPr="00230DC1" w14:paraId="11F03F5F"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1D7D7DD1"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14:paraId="7250699A" w14:textId="77777777" w:rsidR="009856F7" w:rsidRDefault="009856F7" w:rsidP="00A9128F">
            <w:pPr>
              <w:autoSpaceDE w:val="0"/>
              <w:autoSpaceDN w:val="0"/>
              <w:adjustRightInd w:val="0"/>
              <w:rPr>
                <w:rFonts w:ascii="Times New Roman" w:hAnsi="Times New Roman"/>
                <w:b/>
                <w:bCs/>
                <w:sz w:val="20"/>
                <w:szCs w:val="20"/>
                <w:lang w:val="en-US"/>
              </w:rPr>
            </w:pPr>
          </w:p>
        </w:tc>
      </w:tr>
      <w:tr w:rsidR="009856F7" w:rsidRPr="00C87B0F" w14:paraId="2D20DDF4"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48BBCDE4" w14:textId="77777777"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14:paraId="67D68E60" w14:textId="77777777" w:rsidR="009856F7" w:rsidRDefault="009856F7" w:rsidP="00A9128F">
            <w:pPr>
              <w:autoSpaceDE w:val="0"/>
              <w:autoSpaceDN w:val="0"/>
              <w:adjustRightInd w:val="0"/>
              <w:rPr>
                <w:rFonts w:ascii="Times New Roman" w:hAnsi="Times New Roman"/>
                <w:b/>
                <w:bCs/>
                <w:sz w:val="20"/>
                <w:szCs w:val="20"/>
                <w:lang w:val="en-US"/>
              </w:rPr>
            </w:pPr>
          </w:p>
        </w:tc>
      </w:tr>
    </w:tbl>
    <w:p w14:paraId="60EFB4C0" w14:textId="77777777" w:rsidR="009856F7" w:rsidRDefault="009856F7" w:rsidP="00F609DB">
      <w:pPr>
        <w:autoSpaceDE w:val="0"/>
        <w:autoSpaceDN w:val="0"/>
        <w:adjustRightInd w:val="0"/>
        <w:rPr>
          <w:rFonts w:ascii="Times New Roman" w:hAnsi="Times New Roman"/>
          <w:sz w:val="20"/>
          <w:szCs w:val="20"/>
          <w:lang w:val="en-US"/>
        </w:rPr>
      </w:pPr>
    </w:p>
    <w:p w14:paraId="66F62528" w14:textId="77777777"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377"/>
        <w:gridCol w:w="1983"/>
        <w:gridCol w:w="21"/>
      </w:tblGrid>
      <w:tr w:rsidR="00D02527" w:rsidRPr="00C87B0F" w14:paraId="2A77E349" w14:textId="77777777" w:rsidTr="00D02527">
        <w:trPr>
          <w:gridAfter w:val="1"/>
          <w:wAfter w:w="21" w:type="dxa"/>
          <w:tblHeader/>
        </w:trPr>
        <w:tc>
          <w:tcPr>
            <w:tcW w:w="1242" w:type="dxa"/>
            <w:shd w:val="clear" w:color="A6A6A6" w:themeColor="background1" w:themeShade="A6" w:fill="BFBFBF" w:themeFill="background1" w:themeFillShade="BF"/>
          </w:tcPr>
          <w:p w14:paraId="0BFC4F98" w14:textId="77777777" w:rsidR="00D02527" w:rsidRPr="00DB7E96" w:rsidRDefault="00D02527"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14:paraId="69862873" w14:textId="77777777" w:rsidR="00D02527" w:rsidRPr="00DB7E96" w:rsidRDefault="00D0252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14:paraId="5ACAA063" w14:textId="77777777" w:rsidR="00D02527" w:rsidRPr="00DB7E96" w:rsidRDefault="00D02527"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CB1A49" w:rsidRPr="00666EEA" w14:paraId="6CDB93D0" w14:textId="77777777" w:rsidTr="00D02527">
        <w:tc>
          <w:tcPr>
            <w:tcW w:w="1242" w:type="dxa"/>
            <w:shd w:val="clear" w:color="auto" w:fill="F2F2F2"/>
          </w:tcPr>
          <w:p w14:paraId="545741E2" w14:textId="77777777" w:rsidR="00CB1A49" w:rsidRPr="00666EEA" w:rsidRDefault="00CB1A49">
            <w:pPr>
              <w:rPr>
                <w:rFonts w:ascii="Times New Roman" w:hAnsi="Times New Roman"/>
                <w:b/>
                <w:sz w:val="20"/>
                <w:szCs w:val="20"/>
              </w:rPr>
            </w:pPr>
            <w:r w:rsidRPr="00666EEA">
              <w:rPr>
                <w:rFonts w:ascii="Times New Roman" w:hAnsi="Times New Roman"/>
                <w:b/>
                <w:sz w:val="20"/>
                <w:szCs w:val="20"/>
              </w:rPr>
              <w:t>1a</w:t>
            </w:r>
          </w:p>
        </w:tc>
        <w:tc>
          <w:tcPr>
            <w:tcW w:w="6377" w:type="dxa"/>
            <w:shd w:val="clear" w:color="auto" w:fill="F2F2F2"/>
          </w:tcPr>
          <w:p w14:paraId="32875731" w14:textId="77777777" w:rsidR="00CB1A49" w:rsidRPr="00666EEA" w:rsidRDefault="00666EEA">
            <w:pPr>
              <w:autoSpaceDE w:val="0"/>
              <w:autoSpaceDN w:val="0"/>
              <w:adjustRightInd w:val="0"/>
              <w:rPr>
                <w:rFonts w:ascii="Times New Roman" w:hAnsi="Times New Roman"/>
                <w:b/>
                <w:sz w:val="20"/>
                <w:szCs w:val="20"/>
                <w:lang w:val="en-US"/>
              </w:rPr>
            </w:pPr>
            <w:bookmarkStart w:id="0" w:name="Property_companies"/>
            <w:r w:rsidRPr="00666EEA">
              <w:rPr>
                <w:rFonts w:ascii="Times New Roman" w:hAnsi="Times New Roman"/>
                <w:b/>
                <w:sz w:val="20"/>
                <w:szCs w:val="20"/>
                <w:lang w:val="en-US" w:eastAsia="nl-NL"/>
              </w:rPr>
              <w:t>PROPERTY COMPANIES</w:t>
            </w:r>
            <w:bookmarkEnd w:id="0"/>
          </w:p>
        </w:tc>
        <w:tc>
          <w:tcPr>
            <w:tcW w:w="2004" w:type="dxa"/>
            <w:gridSpan w:val="2"/>
            <w:shd w:val="clear" w:color="auto" w:fill="F2F2F2"/>
          </w:tcPr>
          <w:p w14:paraId="0D28AF59" w14:textId="77777777" w:rsidR="00CB1A49" w:rsidRPr="00666EEA" w:rsidRDefault="00CB1A49" w:rsidP="00DC30F9">
            <w:pPr>
              <w:jc w:val="center"/>
              <w:rPr>
                <w:rFonts w:ascii="Times New Roman" w:hAnsi="Times New Roman"/>
                <w:b/>
                <w:sz w:val="20"/>
                <w:szCs w:val="20"/>
                <w:lang w:val="en-US"/>
              </w:rPr>
            </w:pPr>
          </w:p>
        </w:tc>
      </w:tr>
      <w:tr w:rsidR="00CB1A49" w:rsidRPr="00666EEA" w14:paraId="03C3048A" w14:textId="77777777" w:rsidTr="00D02527">
        <w:tc>
          <w:tcPr>
            <w:tcW w:w="1242" w:type="dxa"/>
          </w:tcPr>
          <w:p w14:paraId="3EC29264" w14:textId="77777777" w:rsidR="00CB1A49" w:rsidRPr="00666EEA" w:rsidRDefault="00666EEA">
            <w:pPr>
              <w:rPr>
                <w:rFonts w:ascii="Times New Roman" w:hAnsi="Times New Roman"/>
                <w:sz w:val="20"/>
                <w:szCs w:val="20"/>
              </w:rPr>
            </w:pPr>
            <w:r>
              <w:rPr>
                <w:rFonts w:ascii="Times New Roman" w:hAnsi="Times New Roman"/>
                <w:sz w:val="20"/>
                <w:szCs w:val="20"/>
              </w:rPr>
              <w:t>§128</w:t>
            </w:r>
          </w:p>
        </w:tc>
        <w:tc>
          <w:tcPr>
            <w:tcW w:w="6377" w:type="dxa"/>
          </w:tcPr>
          <w:p w14:paraId="4976DBAC" w14:textId="77777777" w:rsidR="00CB1A49" w:rsidRPr="00666EEA" w:rsidRDefault="00666EEA" w:rsidP="003A4F1D">
            <w:pPr>
              <w:autoSpaceDE w:val="0"/>
              <w:autoSpaceDN w:val="0"/>
              <w:adjustRightInd w:val="0"/>
              <w:jc w:val="both"/>
              <w:rPr>
                <w:rFonts w:ascii="Times New Roman" w:hAnsi="Times New Roman"/>
                <w:sz w:val="20"/>
                <w:szCs w:val="20"/>
                <w:lang w:val="en-US"/>
              </w:rPr>
            </w:pPr>
            <w:r w:rsidRPr="00666EEA">
              <w:rPr>
                <w:rFonts w:ascii="Times New Roman" w:hAnsi="Times New Roman"/>
                <w:sz w:val="20"/>
                <w:szCs w:val="20"/>
                <w:lang w:val="en-US" w:eastAsia="nl-NL"/>
              </w:rPr>
              <w:t xml:space="preserve">Considering the specific features of property companies and Article 23 of the Regulation, CESR proposes that property companies, when preparing a prospectus for a public offer or </w:t>
            </w:r>
            <w:r w:rsidRPr="00E35D79">
              <w:rPr>
                <w:rFonts w:ascii="Times New Roman" w:hAnsi="Times New Roman"/>
                <w:sz w:val="20"/>
                <w:szCs w:val="20"/>
                <w:lang w:val="en-US" w:eastAsia="nl-NL"/>
              </w:rPr>
              <w:t xml:space="preserve">admission to trading of shares, debt securities with a denomination of less than EUR </w:t>
            </w:r>
            <w:r w:rsidR="003A4F1D" w:rsidRPr="00E35D79">
              <w:rPr>
                <w:rFonts w:ascii="Times New Roman" w:hAnsi="Times New Roman"/>
                <w:sz w:val="20"/>
                <w:szCs w:val="20"/>
                <w:lang w:val="en-US" w:eastAsia="nl-NL"/>
              </w:rPr>
              <w:t>10</w:t>
            </w:r>
            <w:r w:rsidRPr="00E35D79">
              <w:rPr>
                <w:rFonts w:ascii="Times New Roman" w:hAnsi="Times New Roman"/>
                <w:sz w:val="20"/>
                <w:szCs w:val="20"/>
                <w:lang w:val="en-US" w:eastAsia="nl-NL"/>
              </w:rPr>
              <w:t>0</w:t>
            </w:r>
            <w:r w:rsidR="003A4F1D" w:rsidRPr="00E35D79">
              <w:rPr>
                <w:rFonts w:ascii="Times New Roman" w:hAnsi="Times New Roman"/>
                <w:sz w:val="20"/>
                <w:szCs w:val="20"/>
                <w:lang w:val="en-US" w:eastAsia="nl-NL"/>
              </w:rPr>
              <w:t xml:space="preserve"> </w:t>
            </w:r>
            <w:r w:rsidRPr="00E35D79">
              <w:rPr>
                <w:rFonts w:ascii="Times New Roman" w:hAnsi="Times New Roman"/>
                <w:sz w:val="20"/>
                <w:szCs w:val="20"/>
                <w:lang w:val="en-US" w:eastAsia="nl-NL"/>
              </w:rPr>
              <w:t>000 secured by the properties (including convertible debt securities) and depository receipts issued over shares with a denomination of</w:t>
            </w:r>
            <w:r w:rsidR="003A4F1D" w:rsidRPr="00E35D79">
              <w:rPr>
                <w:rFonts w:ascii="Times New Roman" w:hAnsi="Times New Roman"/>
                <w:sz w:val="20"/>
                <w:szCs w:val="20"/>
                <w:lang w:val="en-US" w:eastAsia="nl-NL"/>
              </w:rPr>
              <w:t xml:space="preserve"> less than EUR 10</w:t>
            </w:r>
            <w:r w:rsidRPr="00E35D79">
              <w:rPr>
                <w:rFonts w:ascii="Times New Roman" w:hAnsi="Times New Roman"/>
                <w:sz w:val="20"/>
                <w:szCs w:val="20"/>
                <w:lang w:val="en-US" w:eastAsia="nl-NL"/>
              </w:rPr>
              <w:t>0</w:t>
            </w:r>
            <w:r w:rsidR="003A4F1D" w:rsidRPr="00E35D79">
              <w:rPr>
                <w:rFonts w:ascii="Times New Roman" w:hAnsi="Times New Roman"/>
                <w:sz w:val="20"/>
                <w:szCs w:val="20"/>
                <w:lang w:val="en-US" w:eastAsia="nl-NL"/>
              </w:rPr>
              <w:t xml:space="preserve"> </w:t>
            </w:r>
            <w:r w:rsidRPr="00E35D79">
              <w:rPr>
                <w:rFonts w:ascii="Times New Roman" w:hAnsi="Times New Roman"/>
                <w:sz w:val="20"/>
                <w:szCs w:val="20"/>
                <w:lang w:val="en-US" w:eastAsia="nl-NL"/>
              </w:rPr>
              <w:t>000, include a valuation report. Only a condensed report needs to</w:t>
            </w:r>
            <w:r w:rsidRPr="00666EEA">
              <w:rPr>
                <w:rFonts w:ascii="Times New Roman" w:hAnsi="Times New Roman"/>
                <w:sz w:val="20"/>
                <w:szCs w:val="20"/>
                <w:lang w:val="en-US" w:eastAsia="nl-NL"/>
              </w:rPr>
              <w:t xml:space="preserve"> be included in the prospectus.</w:t>
            </w:r>
          </w:p>
        </w:tc>
        <w:tc>
          <w:tcPr>
            <w:tcW w:w="2004" w:type="dxa"/>
            <w:gridSpan w:val="2"/>
          </w:tcPr>
          <w:p w14:paraId="6FD62B0D" w14:textId="77777777" w:rsidR="005104B8" w:rsidRDefault="005104B8" w:rsidP="005104B8">
            <w:pPr>
              <w:rPr>
                <w:rFonts w:ascii="Times New Roman" w:hAnsi="Times New Roman"/>
                <w:color w:val="A6A6A6"/>
                <w:sz w:val="20"/>
                <w:szCs w:val="20"/>
                <w:lang w:val="en-US"/>
              </w:rPr>
            </w:pPr>
          </w:p>
          <w:p w14:paraId="063E7C33" w14:textId="77777777" w:rsidR="005104B8" w:rsidRPr="00E80253" w:rsidRDefault="005104B8" w:rsidP="005104B8">
            <w:pPr>
              <w:rPr>
                <w:rFonts w:ascii="Times New Roman" w:hAnsi="Times New Roman"/>
                <w:color w:val="A6A6A6"/>
                <w:sz w:val="20"/>
                <w:szCs w:val="20"/>
                <w:lang w:val="en-US"/>
              </w:rPr>
            </w:pP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262F685A" w14:textId="77777777" w:rsidR="00CB1A49" w:rsidRPr="00666EEA" w:rsidRDefault="00CB1A49">
            <w:pPr>
              <w:rPr>
                <w:rFonts w:ascii="Times New Roman" w:hAnsi="Times New Roman"/>
                <w:sz w:val="20"/>
                <w:szCs w:val="20"/>
                <w:lang w:val="en-US"/>
              </w:rPr>
            </w:pPr>
          </w:p>
        </w:tc>
      </w:tr>
      <w:tr w:rsidR="00666EEA" w:rsidRPr="00C87B0F" w14:paraId="77522610" w14:textId="77777777" w:rsidTr="00D02527">
        <w:tc>
          <w:tcPr>
            <w:tcW w:w="1242" w:type="dxa"/>
          </w:tcPr>
          <w:p w14:paraId="6B91CC51" w14:textId="77777777" w:rsidR="00666EEA" w:rsidRPr="00666EEA" w:rsidRDefault="009856F7" w:rsidP="00666EEA">
            <w:pPr>
              <w:jc w:val="center"/>
              <w:rPr>
                <w:rFonts w:ascii="Times New Roman" w:hAnsi="Times New Roman"/>
                <w:sz w:val="14"/>
                <w:szCs w:val="14"/>
                <w:lang w:val="en-US"/>
              </w:rPr>
            </w:pPr>
            <w:r>
              <w:rPr>
                <w:rFonts w:asciiTheme="minorHAnsi" w:hAnsiTheme="minorHAnsi"/>
                <w:b/>
                <w:bCs/>
                <w:sz w:val="14"/>
                <w:szCs w:val="14"/>
                <w:lang w:val="en-US"/>
              </w:rPr>
              <w:t>Please leave blank for AFM Reply</w:t>
            </w:r>
          </w:p>
        </w:tc>
        <w:tc>
          <w:tcPr>
            <w:tcW w:w="8381" w:type="dxa"/>
            <w:gridSpan w:val="3"/>
          </w:tcPr>
          <w:p w14:paraId="53582361" w14:textId="77777777" w:rsidR="00666EEA" w:rsidRPr="00666EEA" w:rsidRDefault="00666EEA">
            <w:pPr>
              <w:rPr>
                <w:rFonts w:ascii="Times New Roman" w:hAnsi="Times New Roman"/>
                <w:sz w:val="20"/>
                <w:szCs w:val="20"/>
                <w:lang w:val="en-US"/>
              </w:rPr>
            </w:pPr>
          </w:p>
        </w:tc>
      </w:tr>
      <w:tr w:rsidR="00666EEA" w:rsidRPr="00C87B0F" w14:paraId="09E83F34" w14:textId="77777777" w:rsidTr="00D02527">
        <w:tc>
          <w:tcPr>
            <w:tcW w:w="1242" w:type="dxa"/>
          </w:tcPr>
          <w:p w14:paraId="258B2E3F" w14:textId="77777777" w:rsidR="00666EEA" w:rsidRDefault="00666EEA" w:rsidP="00666EEA">
            <w:pPr>
              <w:rPr>
                <w:rFonts w:ascii="Times New Roman" w:hAnsi="Times New Roman"/>
                <w:sz w:val="20"/>
                <w:szCs w:val="20"/>
              </w:rPr>
            </w:pPr>
            <w:r>
              <w:rPr>
                <w:rFonts w:ascii="Times New Roman" w:hAnsi="Times New Roman"/>
                <w:sz w:val="20"/>
                <w:szCs w:val="20"/>
              </w:rPr>
              <w:t>§129</w:t>
            </w:r>
          </w:p>
          <w:p w14:paraId="6779F93B" w14:textId="77777777" w:rsidR="00E80253" w:rsidRDefault="00E80253" w:rsidP="00666EEA">
            <w:pPr>
              <w:rPr>
                <w:rFonts w:ascii="Times New Roman" w:hAnsi="Times New Roman"/>
                <w:sz w:val="20"/>
                <w:szCs w:val="20"/>
              </w:rPr>
            </w:pPr>
          </w:p>
          <w:p w14:paraId="4D5B3E2D" w14:textId="77777777" w:rsidR="00E80253" w:rsidRDefault="00E80253" w:rsidP="00666EEA">
            <w:pPr>
              <w:rPr>
                <w:rFonts w:ascii="Times New Roman" w:hAnsi="Times New Roman"/>
                <w:sz w:val="20"/>
                <w:szCs w:val="20"/>
              </w:rPr>
            </w:pPr>
          </w:p>
          <w:p w14:paraId="406D13D9" w14:textId="77777777" w:rsidR="00E80253" w:rsidRDefault="00E80253" w:rsidP="00666EEA">
            <w:pPr>
              <w:rPr>
                <w:rFonts w:ascii="Times New Roman" w:hAnsi="Times New Roman"/>
                <w:sz w:val="20"/>
                <w:szCs w:val="20"/>
              </w:rPr>
            </w:pPr>
          </w:p>
          <w:p w14:paraId="339F3AF5" w14:textId="77777777" w:rsidR="00E80253" w:rsidRDefault="00E80253" w:rsidP="00666EEA">
            <w:pPr>
              <w:rPr>
                <w:rFonts w:ascii="Times New Roman" w:hAnsi="Times New Roman"/>
                <w:sz w:val="20"/>
                <w:szCs w:val="20"/>
              </w:rPr>
            </w:pPr>
          </w:p>
          <w:p w14:paraId="7EA59BA5" w14:textId="77777777" w:rsidR="00E80253" w:rsidRDefault="00E80253" w:rsidP="00666EEA">
            <w:pPr>
              <w:rPr>
                <w:rFonts w:ascii="Times New Roman" w:hAnsi="Times New Roman"/>
                <w:sz w:val="20"/>
                <w:szCs w:val="20"/>
              </w:rPr>
            </w:pPr>
          </w:p>
          <w:p w14:paraId="3251168F" w14:textId="77777777" w:rsidR="00E80253" w:rsidRDefault="00E80253" w:rsidP="00666EEA">
            <w:pPr>
              <w:rPr>
                <w:rFonts w:ascii="Times New Roman" w:hAnsi="Times New Roman"/>
                <w:sz w:val="20"/>
                <w:szCs w:val="20"/>
              </w:rPr>
            </w:pPr>
            <w:r>
              <w:rPr>
                <w:rFonts w:ascii="Times New Roman" w:hAnsi="Times New Roman"/>
                <w:sz w:val="20"/>
                <w:szCs w:val="20"/>
              </w:rPr>
              <w:t>§130</w:t>
            </w:r>
          </w:p>
          <w:p w14:paraId="6BDB2B1D" w14:textId="77777777" w:rsidR="00E80253" w:rsidRDefault="00E80253" w:rsidP="00666EEA">
            <w:pPr>
              <w:rPr>
                <w:rFonts w:ascii="Times New Roman" w:hAnsi="Times New Roman"/>
                <w:sz w:val="20"/>
                <w:szCs w:val="20"/>
              </w:rPr>
            </w:pPr>
          </w:p>
          <w:p w14:paraId="5211D618" w14:textId="77777777" w:rsidR="00E80253" w:rsidRDefault="00E80253" w:rsidP="00666EEA">
            <w:pPr>
              <w:rPr>
                <w:rFonts w:ascii="Times New Roman" w:hAnsi="Times New Roman"/>
                <w:sz w:val="20"/>
                <w:szCs w:val="20"/>
              </w:rPr>
            </w:pPr>
          </w:p>
          <w:p w14:paraId="114F398D" w14:textId="77777777" w:rsidR="00E80253" w:rsidRPr="00666EEA" w:rsidRDefault="00E80253" w:rsidP="00666EEA">
            <w:pPr>
              <w:rPr>
                <w:rFonts w:ascii="Times New Roman" w:hAnsi="Times New Roman"/>
                <w:sz w:val="20"/>
                <w:szCs w:val="20"/>
              </w:rPr>
            </w:pPr>
          </w:p>
        </w:tc>
        <w:tc>
          <w:tcPr>
            <w:tcW w:w="6377" w:type="dxa"/>
          </w:tcPr>
          <w:p w14:paraId="275FA01B" w14:textId="77777777" w:rsidR="00E80253" w:rsidRDefault="00666EEA"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Property companies are those issuers whose principal activity is holding of properties, both directly and indirectly and development of properties for letting and retention as an investment, the purchase or development of properties for retention as investment. </w:t>
            </w:r>
            <w:proofErr w:type="gramStart"/>
            <w:r w:rsidRPr="00666EEA">
              <w:rPr>
                <w:rFonts w:ascii="Times New Roman" w:hAnsi="Times New Roman"/>
                <w:sz w:val="20"/>
                <w:szCs w:val="20"/>
                <w:lang w:val="en-US" w:eastAsia="nl-NL"/>
              </w:rPr>
              <w:t>For the purpose of</w:t>
            </w:r>
            <w:proofErr w:type="gramEnd"/>
            <w:r w:rsidRPr="00666EEA">
              <w:rPr>
                <w:rFonts w:ascii="Times New Roman" w:hAnsi="Times New Roman"/>
                <w:sz w:val="20"/>
                <w:szCs w:val="20"/>
                <w:lang w:val="en-US" w:eastAsia="nl-NL"/>
              </w:rPr>
              <w:t xml:space="preserve"> this definition, property means freehold, heritable or leasehold property or any equivalent.</w:t>
            </w:r>
          </w:p>
          <w:p w14:paraId="1A8DE309" w14:textId="77777777" w:rsidR="00E80253" w:rsidRDefault="00E80253" w:rsidP="00E80253">
            <w:pPr>
              <w:autoSpaceDE w:val="0"/>
              <w:autoSpaceDN w:val="0"/>
              <w:adjustRightInd w:val="0"/>
              <w:jc w:val="both"/>
              <w:rPr>
                <w:rFonts w:ascii="Times New Roman" w:hAnsi="Times New Roman"/>
                <w:sz w:val="20"/>
                <w:szCs w:val="20"/>
                <w:lang w:val="en-US" w:eastAsia="nl-NL"/>
              </w:rPr>
            </w:pPr>
          </w:p>
          <w:p w14:paraId="504B7EB9"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 This valuation report must:</w:t>
            </w:r>
          </w:p>
          <w:p w14:paraId="7B4970B8"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p>
          <w:p w14:paraId="4B764A2A"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w:t>
            </w:r>
            <w:proofErr w:type="spellStart"/>
            <w:r w:rsidRPr="00666EEA">
              <w:rPr>
                <w:rFonts w:ascii="Times New Roman" w:hAnsi="Times New Roman"/>
                <w:sz w:val="20"/>
                <w:szCs w:val="20"/>
                <w:lang w:val="en-US" w:eastAsia="nl-NL"/>
              </w:rPr>
              <w:t>i</w:t>
            </w:r>
            <w:proofErr w:type="spellEnd"/>
            <w:r w:rsidRPr="00666EEA">
              <w:rPr>
                <w:rFonts w:ascii="Times New Roman" w:hAnsi="Times New Roman"/>
                <w:sz w:val="20"/>
                <w:szCs w:val="20"/>
                <w:lang w:val="en-US" w:eastAsia="nl-NL"/>
              </w:rPr>
              <w:t xml:space="preserve">) be prepared by an independent </w:t>
            </w:r>
            <w:proofErr w:type="gramStart"/>
            <w:r w:rsidRPr="00666EEA">
              <w:rPr>
                <w:rFonts w:ascii="Times New Roman" w:hAnsi="Times New Roman"/>
                <w:sz w:val="20"/>
                <w:szCs w:val="20"/>
                <w:lang w:val="en-US" w:eastAsia="nl-NL"/>
              </w:rPr>
              <w:t>expert;</w:t>
            </w:r>
            <w:proofErr w:type="gramEnd"/>
          </w:p>
          <w:p w14:paraId="140808E6" w14:textId="77777777" w:rsidR="00E80253" w:rsidRDefault="00E80253" w:rsidP="00E80253">
            <w:pPr>
              <w:autoSpaceDE w:val="0"/>
              <w:autoSpaceDN w:val="0"/>
              <w:adjustRightInd w:val="0"/>
              <w:jc w:val="both"/>
              <w:rPr>
                <w:rFonts w:ascii="Times New Roman" w:hAnsi="Times New Roman"/>
                <w:sz w:val="20"/>
                <w:szCs w:val="20"/>
                <w:lang w:val="en-US" w:eastAsia="nl-NL"/>
              </w:rPr>
            </w:pPr>
          </w:p>
          <w:p w14:paraId="134A18A7"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(ii) give the date or dates of inspection of the </w:t>
            </w:r>
            <w:proofErr w:type="gramStart"/>
            <w:r w:rsidRPr="00666EEA">
              <w:rPr>
                <w:rFonts w:ascii="Times New Roman" w:hAnsi="Times New Roman"/>
                <w:sz w:val="20"/>
                <w:szCs w:val="20"/>
                <w:lang w:val="en-US" w:eastAsia="nl-NL"/>
              </w:rPr>
              <w:t>property;</w:t>
            </w:r>
            <w:proofErr w:type="gramEnd"/>
          </w:p>
          <w:p w14:paraId="1CA081E2" w14:textId="77777777" w:rsidR="00E80253" w:rsidRDefault="00E80253" w:rsidP="00E80253">
            <w:pPr>
              <w:autoSpaceDE w:val="0"/>
              <w:autoSpaceDN w:val="0"/>
              <w:adjustRightInd w:val="0"/>
              <w:jc w:val="both"/>
              <w:rPr>
                <w:rFonts w:ascii="Times New Roman" w:hAnsi="Times New Roman"/>
                <w:sz w:val="20"/>
                <w:szCs w:val="20"/>
                <w:lang w:val="en-US" w:eastAsia="nl-NL"/>
              </w:rPr>
            </w:pPr>
          </w:p>
          <w:p w14:paraId="54A36BF4"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(iii) provide all the relevant details in respect of material properties</w:t>
            </w:r>
            <w:r>
              <w:rPr>
                <w:rFonts w:ascii="Times New Roman" w:hAnsi="Times New Roman"/>
                <w:sz w:val="20"/>
                <w:szCs w:val="20"/>
                <w:lang w:val="en-US" w:eastAsia="nl-NL"/>
              </w:rPr>
              <w:t xml:space="preserve"> </w:t>
            </w:r>
            <w:r w:rsidRPr="00666EEA">
              <w:rPr>
                <w:rFonts w:ascii="Times New Roman" w:hAnsi="Times New Roman"/>
                <w:sz w:val="20"/>
                <w:szCs w:val="20"/>
                <w:lang w:val="en-US" w:eastAsia="nl-NL"/>
              </w:rPr>
              <w:t xml:space="preserve">necessary for the purposes of the </w:t>
            </w:r>
            <w:proofErr w:type="gramStart"/>
            <w:r w:rsidRPr="00666EEA">
              <w:rPr>
                <w:rFonts w:ascii="Times New Roman" w:hAnsi="Times New Roman"/>
                <w:sz w:val="20"/>
                <w:szCs w:val="20"/>
                <w:lang w:val="en-US" w:eastAsia="nl-NL"/>
              </w:rPr>
              <w:t>valuation;</w:t>
            </w:r>
            <w:proofErr w:type="gramEnd"/>
          </w:p>
          <w:p w14:paraId="1C7159F7" w14:textId="77777777" w:rsidR="00E80253" w:rsidRDefault="00E80253" w:rsidP="00E80253">
            <w:pPr>
              <w:autoSpaceDE w:val="0"/>
              <w:autoSpaceDN w:val="0"/>
              <w:adjustRightInd w:val="0"/>
              <w:jc w:val="both"/>
              <w:rPr>
                <w:rFonts w:ascii="Times New Roman" w:hAnsi="Times New Roman"/>
                <w:sz w:val="20"/>
                <w:szCs w:val="20"/>
                <w:lang w:val="en-US" w:eastAsia="nl-NL"/>
              </w:rPr>
            </w:pPr>
          </w:p>
          <w:p w14:paraId="439528E7"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(iv) be dated and state the effective date of valuation for each property, which must not be more than 1 year prior to the date of publication of the prospectus provided that the issuer affirms in the prospectus that no material changes have occurred since the date of </w:t>
            </w:r>
            <w:proofErr w:type="gramStart"/>
            <w:r w:rsidRPr="00666EEA">
              <w:rPr>
                <w:rFonts w:ascii="Times New Roman" w:hAnsi="Times New Roman"/>
                <w:sz w:val="20"/>
                <w:szCs w:val="20"/>
                <w:lang w:val="en-US" w:eastAsia="nl-NL"/>
              </w:rPr>
              <w:t>valuation;</w:t>
            </w:r>
            <w:proofErr w:type="gramEnd"/>
          </w:p>
          <w:p w14:paraId="4C4F0D65" w14:textId="77777777" w:rsidR="00E80253" w:rsidRDefault="00E80253" w:rsidP="00E80253">
            <w:pPr>
              <w:autoSpaceDE w:val="0"/>
              <w:autoSpaceDN w:val="0"/>
              <w:adjustRightInd w:val="0"/>
              <w:jc w:val="both"/>
              <w:rPr>
                <w:rFonts w:ascii="Times New Roman" w:hAnsi="Times New Roman"/>
                <w:sz w:val="20"/>
                <w:szCs w:val="20"/>
                <w:lang w:val="en-US" w:eastAsia="nl-NL"/>
              </w:rPr>
            </w:pPr>
          </w:p>
          <w:p w14:paraId="0FC1AF9D" w14:textId="77777777"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(v) include a summary showing separately the number of freehold and leasehold properties together with the aggregate of their valuations (negative values must be shown separately and not aggregated with the other </w:t>
            </w:r>
            <w:r w:rsidRPr="00666EEA">
              <w:rPr>
                <w:rFonts w:ascii="Times New Roman" w:hAnsi="Times New Roman"/>
                <w:sz w:val="20"/>
                <w:szCs w:val="20"/>
                <w:lang w:val="en-US" w:eastAsia="nl-NL"/>
              </w:rPr>
              <w:lastRenderedPageBreak/>
              <w:t>valuations; separate totals should be given for properties valued on different bases</w:t>
            </w:r>
            <w:proofErr w:type="gramStart"/>
            <w:r w:rsidRPr="00666EEA">
              <w:rPr>
                <w:rFonts w:ascii="Times New Roman" w:hAnsi="Times New Roman"/>
                <w:sz w:val="20"/>
                <w:szCs w:val="20"/>
                <w:lang w:val="en-US" w:eastAsia="nl-NL"/>
              </w:rPr>
              <w:t>);</w:t>
            </w:r>
            <w:proofErr w:type="gramEnd"/>
          </w:p>
          <w:p w14:paraId="147ADE4C" w14:textId="77777777" w:rsidR="00666EEA" w:rsidRPr="00666EEA" w:rsidRDefault="00E80253" w:rsidP="00E80253">
            <w:pPr>
              <w:autoSpaceDE w:val="0"/>
              <w:autoSpaceDN w:val="0"/>
              <w:adjustRightInd w:val="0"/>
              <w:jc w:val="both"/>
              <w:rPr>
                <w:rFonts w:ascii="Times New Roman" w:hAnsi="Times New Roman"/>
                <w:sz w:val="20"/>
                <w:szCs w:val="20"/>
                <w:lang w:val="en-US"/>
              </w:rPr>
            </w:pPr>
            <w:r w:rsidRPr="00666EEA">
              <w:rPr>
                <w:rFonts w:ascii="Times New Roman" w:hAnsi="Times New Roman"/>
                <w:sz w:val="20"/>
                <w:szCs w:val="20"/>
                <w:lang w:val="en-US" w:eastAsia="nl-NL"/>
              </w:rPr>
              <w:t>(vi) include an explanation of the differences of the valuation figure and the equivalent figure included in the issuer's latest published individual annual accounts or consolidated accounts, if applicable.</w:t>
            </w:r>
          </w:p>
        </w:tc>
        <w:tc>
          <w:tcPr>
            <w:tcW w:w="2004" w:type="dxa"/>
            <w:gridSpan w:val="2"/>
          </w:tcPr>
          <w:p w14:paraId="48AECF4B" w14:textId="77777777" w:rsidR="00666EEA" w:rsidRDefault="00666EEA">
            <w:pPr>
              <w:rPr>
                <w:rFonts w:ascii="Times New Roman" w:hAnsi="Times New Roman"/>
                <w:sz w:val="20"/>
                <w:szCs w:val="20"/>
                <w:lang w:val="en-US"/>
              </w:rPr>
            </w:pPr>
          </w:p>
          <w:p w14:paraId="7553473C" w14:textId="77777777" w:rsidR="00E80253" w:rsidRDefault="00E80253">
            <w:pPr>
              <w:rPr>
                <w:rFonts w:ascii="Times New Roman" w:hAnsi="Times New Roman"/>
                <w:sz w:val="20"/>
                <w:szCs w:val="20"/>
                <w:lang w:val="en-US"/>
              </w:rPr>
            </w:pPr>
          </w:p>
          <w:p w14:paraId="16E0C495" w14:textId="77777777" w:rsidR="00E80253" w:rsidRDefault="00E80253">
            <w:pPr>
              <w:rPr>
                <w:rFonts w:ascii="Times New Roman" w:hAnsi="Times New Roman"/>
                <w:sz w:val="20"/>
                <w:szCs w:val="20"/>
                <w:lang w:val="en-US"/>
              </w:rPr>
            </w:pPr>
          </w:p>
          <w:p w14:paraId="47E23E4D" w14:textId="77777777" w:rsidR="00E80253" w:rsidRDefault="00E80253">
            <w:pPr>
              <w:rPr>
                <w:rFonts w:ascii="Times New Roman" w:hAnsi="Times New Roman"/>
                <w:sz w:val="20"/>
                <w:szCs w:val="20"/>
                <w:lang w:val="en-US"/>
              </w:rPr>
            </w:pPr>
          </w:p>
          <w:p w14:paraId="4D7CF653" w14:textId="77777777" w:rsidR="00E80253" w:rsidRDefault="00E80253">
            <w:pPr>
              <w:rPr>
                <w:rFonts w:ascii="Times New Roman" w:hAnsi="Times New Roman"/>
                <w:sz w:val="20"/>
                <w:szCs w:val="20"/>
                <w:lang w:val="en-US"/>
              </w:rPr>
            </w:pPr>
          </w:p>
          <w:p w14:paraId="4E02ACA3" w14:textId="77777777" w:rsidR="00E80253" w:rsidRDefault="00E80253">
            <w:pPr>
              <w:rPr>
                <w:rFonts w:ascii="Times New Roman" w:hAnsi="Times New Roman"/>
                <w:sz w:val="20"/>
                <w:szCs w:val="20"/>
                <w:lang w:val="en-US"/>
              </w:rPr>
            </w:pPr>
          </w:p>
          <w:p w14:paraId="57A5C4ED" w14:textId="77777777" w:rsidR="00E80253" w:rsidRDefault="00E80253">
            <w:pPr>
              <w:rPr>
                <w:rFonts w:ascii="Times New Roman" w:hAnsi="Times New Roman"/>
                <w:sz w:val="20"/>
                <w:szCs w:val="20"/>
                <w:lang w:val="en-US"/>
              </w:rPr>
            </w:pPr>
          </w:p>
          <w:p w14:paraId="0D809E87" w14:textId="77777777" w:rsidR="00E80253" w:rsidRDefault="00E80253">
            <w:pPr>
              <w:rPr>
                <w:rFonts w:ascii="Times New Roman" w:hAnsi="Times New Roman"/>
                <w:sz w:val="20"/>
                <w:szCs w:val="20"/>
                <w:lang w:val="en-US"/>
              </w:rPr>
            </w:pPr>
          </w:p>
          <w:p w14:paraId="1A4E6023" w14:textId="77777777" w:rsidR="00E80253" w:rsidRPr="00E80253" w:rsidRDefault="00E80253">
            <w:pPr>
              <w:rPr>
                <w:rFonts w:ascii="Times New Roman" w:hAnsi="Times New Roman"/>
                <w:color w:val="A6A6A6"/>
                <w:sz w:val="20"/>
                <w:szCs w:val="20"/>
                <w:lang w:val="en-US"/>
              </w:rPr>
            </w:pPr>
            <w:r>
              <w:rPr>
                <w:rFonts w:ascii="Times New Roman" w:hAnsi="Times New Roman"/>
                <w:i/>
                <w:color w:val="A6A6A6"/>
                <w:sz w:val="20"/>
                <w:szCs w:val="20"/>
                <w:lang w:val="en-US"/>
              </w:rPr>
              <w:t>(</w:t>
            </w:r>
            <w:proofErr w:type="spellStart"/>
            <w:r>
              <w:rPr>
                <w:rFonts w:ascii="Times New Roman" w:hAnsi="Times New Roman"/>
                <w:i/>
                <w:color w:val="A6A6A6"/>
                <w:sz w:val="20"/>
                <w:szCs w:val="20"/>
                <w:lang w:val="en-US"/>
              </w:rPr>
              <w:t>i</w:t>
            </w:r>
            <w:proofErr w:type="spellEnd"/>
            <w:r>
              <w:rPr>
                <w:rFonts w:ascii="Times New Roman" w:hAnsi="Times New Roman"/>
                <w:i/>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4BCACFF1" w14:textId="77777777" w:rsidR="00E80253" w:rsidRDefault="00E80253">
            <w:pPr>
              <w:rPr>
                <w:rFonts w:ascii="Times New Roman" w:hAnsi="Times New Roman"/>
                <w:sz w:val="20"/>
                <w:szCs w:val="20"/>
                <w:lang w:val="en-US"/>
              </w:rPr>
            </w:pPr>
          </w:p>
          <w:p w14:paraId="3E98375A" w14:textId="77777777"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(ii)</w:t>
            </w:r>
            <w:r w:rsidRPr="00E80253">
              <w:rPr>
                <w:rFonts w:ascii="Times New Roman" w:hAnsi="Times New Roman"/>
                <w:color w:val="A6A6A6"/>
                <w:sz w:val="20"/>
                <w:szCs w:val="20"/>
                <w:lang w:val="en-US"/>
              </w:rPr>
              <w:t>──────────</w:t>
            </w:r>
          </w:p>
          <w:p w14:paraId="709059A0" w14:textId="77777777" w:rsidR="00E80253" w:rsidRDefault="00E80253">
            <w:pPr>
              <w:rPr>
                <w:rFonts w:ascii="Times New Roman" w:hAnsi="Times New Roman"/>
                <w:sz w:val="20"/>
                <w:szCs w:val="20"/>
                <w:lang w:val="en-US"/>
              </w:rPr>
            </w:pPr>
          </w:p>
          <w:p w14:paraId="6CCB3879" w14:textId="77777777"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(iii)</w:t>
            </w:r>
            <w:r w:rsidRPr="00E80253">
              <w:rPr>
                <w:rFonts w:ascii="Times New Roman" w:hAnsi="Times New Roman"/>
                <w:color w:val="A6A6A6"/>
                <w:sz w:val="20"/>
                <w:szCs w:val="20"/>
                <w:lang w:val="en-US"/>
              </w:rPr>
              <w:t>──────────</w:t>
            </w:r>
          </w:p>
          <w:p w14:paraId="4B4262C8" w14:textId="77777777" w:rsidR="00E80253" w:rsidRDefault="00E80253">
            <w:pPr>
              <w:rPr>
                <w:rFonts w:ascii="Times New Roman" w:hAnsi="Times New Roman"/>
                <w:sz w:val="20"/>
                <w:szCs w:val="20"/>
                <w:lang w:val="en-US"/>
              </w:rPr>
            </w:pPr>
          </w:p>
          <w:p w14:paraId="4CD470FE" w14:textId="77777777" w:rsidR="00E80253" w:rsidRDefault="00E80253">
            <w:pPr>
              <w:rPr>
                <w:rFonts w:ascii="Times New Roman" w:hAnsi="Times New Roman"/>
                <w:sz w:val="20"/>
                <w:szCs w:val="20"/>
                <w:lang w:val="en-US"/>
              </w:rPr>
            </w:pPr>
          </w:p>
          <w:p w14:paraId="0CFF8E0D" w14:textId="77777777"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(iv)</w:t>
            </w:r>
            <w:r w:rsidRPr="00E80253">
              <w:rPr>
                <w:rFonts w:ascii="Times New Roman" w:hAnsi="Times New Roman"/>
                <w:color w:val="A6A6A6"/>
                <w:sz w:val="20"/>
                <w:szCs w:val="20"/>
                <w:lang w:val="en-US"/>
              </w:rPr>
              <w:t>──────────</w:t>
            </w:r>
          </w:p>
          <w:p w14:paraId="42F95107" w14:textId="77777777" w:rsidR="00E80253" w:rsidRDefault="00E80253">
            <w:pPr>
              <w:rPr>
                <w:rFonts w:ascii="Times New Roman" w:hAnsi="Times New Roman"/>
                <w:sz w:val="20"/>
                <w:szCs w:val="20"/>
                <w:lang w:val="en-US"/>
              </w:rPr>
            </w:pPr>
          </w:p>
          <w:p w14:paraId="71A65E3E" w14:textId="77777777" w:rsidR="00E80253" w:rsidRDefault="00E80253">
            <w:pPr>
              <w:rPr>
                <w:rFonts w:ascii="Times New Roman" w:hAnsi="Times New Roman"/>
                <w:sz w:val="20"/>
                <w:szCs w:val="20"/>
                <w:lang w:val="en-US"/>
              </w:rPr>
            </w:pPr>
          </w:p>
          <w:p w14:paraId="167A7586" w14:textId="77777777" w:rsidR="00E80253" w:rsidRDefault="00E80253">
            <w:pPr>
              <w:rPr>
                <w:rFonts w:ascii="Times New Roman" w:hAnsi="Times New Roman"/>
                <w:sz w:val="20"/>
                <w:szCs w:val="20"/>
                <w:lang w:val="en-US"/>
              </w:rPr>
            </w:pPr>
          </w:p>
          <w:p w14:paraId="72FB590A" w14:textId="77777777" w:rsidR="00E80253" w:rsidRDefault="00E80253">
            <w:pPr>
              <w:rPr>
                <w:rFonts w:ascii="Times New Roman" w:hAnsi="Times New Roman"/>
                <w:sz w:val="20"/>
                <w:szCs w:val="20"/>
                <w:lang w:val="en-US"/>
              </w:rPr>
            </w:pPr>
          </w:p>
          <w:p w14:paraId="2F93B9CA" w14:textId="77777777"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(v)</w:t>
            </w:r>
            <w:r w:rsidRPr="00E80253">
              <w:rPr>
                <w:rFonts w:ascii="Times New Roman" w:hAnsi="Times New Roman"/>
                <w:color w:val="A6A6A6"/>
                <w:sz w:val="20"/>
                <w:szCs w:val="20"/>
                <w:lang w:val="en-US"/>
              </w:rPr>
              <w:t>──────────</w:t>
            </w:r>
          </w:p>
          <w:p w14:paraId="514B3640" w14:textId="77777777" w:rsidR="00E80253" w:rsidRDefault="00E80253">
            <w:pPr>
              <w:rPr>
                <w:rFonts w:ascii="Times New Roman" w:hAnsi="Times New Roman"/>
                <w:sz w:val="20"/>
                <w:szCs w:val="20"/>
                <w:lang w:val="en-US"/>
              </w:rPr>
            </w:pPr>
          </w:p>
          <w:p w14:paraId="4D6D141C" w14:textId="77777777" w:rsidR="00E80253" w:rsidRDefault="00E80253">
            <w:pPr>
              <w:rPr>
                <w:rFonts w:ascii="Times New Roman" w:hAnsi="Times New Roman"/>
                <w:sz w:val="20"/>
                <w:szCs w:val="20"/>
                <w:lang w:val="en-US"/>
              </w:rPr>
            </w:pPr>
          </w:p>
          <w:p w14:paraId="6CA94E5C" w14:textId="77777777" w:rsidR="00E80253" w:rsidRDefault="00E80253">
            <w:pPr>
              <w:rPr>
                <w:rFonts w:ascii="Times New Roman" w:hAnsi="Times New Roman"/>
                <w:sz w:val="20"/>
                <w:szCs w:val="20"/>
                <w:lang w:val="en-US"/>
              </w:rPr>
            </w:pPr>
          </w:p>
          <w:p w14:paraId="3630179C" w14:textId="77777777"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(vi)</w:t>
            </w:r>
            <w:r w:rsidRPr="00E80253">
              <w:rPr>
                <w:rFonts w:ascii="Times New Roman" w:hAnsi="Times New Roman"/>
                <w:color w:val="A6A6A6"/>
                <w:sz w:val="20"/>
                <w:szCs w:val="20"/>
                <w:lang w:val="en-US"/>
              </w:rPr>
              <w:t>──────────</w:t>
            </w:r>
          </w:p>
          <w:p w14:paraId="6E067CA2" w14:textId="77777777" w:rsidR="00E80253" w:rsidRPr="00666EEA" w:rsidRDefault="00E80253">
            <w:pPr>
              <w:rPr>
                <w:rFonts w:ascii="Times New Roman" w:hAnsi="Times New Roman"/>
                <w:sz w:val="20"/>
                <w:szCs w:val="20"/>
                <w:lang w:val="en-US"/>
              </w:rPr>
            </w:pPr>
          </w:p>
        </w:tc>
      </w:tr>
      <w:tr w:rsidR="00E80253" w:rsidRPr="00C87B0F" w14:paraId="17B198ED" w14:textId="77777777" w:rsidTr="00D02527">
        <w:tc>
          <w:tcPr>
            <w:tcW w:w="1242" w:type="dxa"/>
            <w:tcBorders>
              <w:bottom w:val="single" w:sz="4" w:space="0" w:color="auto"/>
            </w:tcBorders>
          </w:tcPr>
          <w:p w14:paraId="2DCD542E" w14:textId="77777777" w:rsidR="00E80253" w:rsidRPr="00E80253" w:rsidRDefault="009856F7" w:rsidP="009856F7">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tcBorders>
              <w:bottom w:val="single" w:sz="4" w:space="0" w:color="auto"/>
            </w:tcBorders>
          </w:tcPr>
          <w:p w14:paraId="39233B95" w14:textId="77777777" w:rsidR="00E80253" w:rsidRPr="00666EEA" w:rsidRDefault="00E80253">
            <w:pPr>
              <w:rPr>
                <w:rFonts w:ascii="Times New Roman" w:hAnsi="Times New Roman"/>
                <w:sz w:val="20"/>
                <w:szCs w:val="20"/>
                <w:lang w:val="en-US"/>
              </w:rPr>
            </w:pPr>
          </w:p>
        </w:tc>
      </w:tr>
    </w:tbl>
    <w:p w14:paraId="13446EC1" w14:textId="77777777" w:rsidR="0007518C" w:rsidRDefault="0007518C">
      <w:pPr>
        <w:rPr>
          <w:rFonts w:ascii="Times New Roman" w:hAnsi="Times New Roman"/>
          <w:sz w:val="20"/>
          <w:szCs w:val="20"/>
          <w:lang w:val="en-US"/>
        </w:rPr>
      </w:pPr>
    </w:p>
    <w:p w14:paraId="43598D7F" w14:textId="77777777" w:rsidR="009F0466" w:rsidRDefault="009F0466">
      <w:pPr>
        <w:rPr>
          <w:rFonts w:ascii="Times New Roman" w:hAnsi="Times New Roman"/>
          <w:sz w:val="20"/>
          <w:szCs w:val="20"/>
          <w:lang w:val="en-US"/>
        </w:rPr>
      </w:pPr>
    </w:p>
    <w:p w14:paraId="5D96217E" w14:textId="77777777" w:rsidR="009F0466" w:rsidRDefault="009F0466">
      <w:pPr>
        <w:rPr>
          <w:rFonts w:ascii="Times New Roman" w:hAnsi="Times New Roman"/>
          <w:sz w:val="20"/>
          <w:szCs w:val="20"/>
          <w:lang w:val="en-US"/>
        </w:rPr>
      </w:pPr>
    </w:p>
    <w:sectPr w:rsidR="009F0466" w:rsidSect="00C87B0F">
      <w:footerReference w:type="even" r:id="rId8"/>
      <w:footerReference w:type="default" r:id="rId9"/>
      <w:headerReference w:type="first" r:id="rId10"/>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B1A2" w14:textId="77777777" w:rsidR="00F5181E" w:rsidRDefault="00F5181E" w:rsidP="00CB1A49">
      <w:r>
        <w:separator/>
      </w:r>
    </w:p>
  </w:endnote>
  <w:endnote w:type="continuationSeparator" w:id="0">
    <w:p w14:paraId="079CFE6D" w14:textId="77777777" w:rsidR="00F5181E" w:rsidRDefault="00F5181E" w:rsidP="00C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0921" w14:textId="77777777" w:rsidR="00DC30F9" w:rsidRDefault="006A4D79">
    <w:pPr>
      <w:pStyle w:val="Voettekst"/>
      <w:framePr w:wrap="around" w:vAnchor="text" w:hAnchor="margin" w:xAlign="right" w:y="1"/>
      <w:rPr>
        <w:rStyle w:val="Paginanummer"/>
      </w:rPr>
    </w:pPr>
    <w:r>
      <w:rPr>
        <w:rStyle w:val="Paginanummer"/>
      </w:rPr>
      <w:fldChar w:fldCharType="begin"/>
    </w:r>
    <w:r w:rsidR="00DC30F9">
      <w:rPr>
        <w:rStyle w:val="Paginanummer"/>
      </w:rPr>
      <w:instrText xml:space="preserve">PAGE  </w:instrText>
    </w:r>
    <w:r>
      <w:rPr>
        <w:rStyle w:val="Paginanummer"/>
      </w:rPr>
      <w:fldChar w:fldCharType="end"/>
    </w:r>
  </w:p>
  <w:p w14:paraId="4415E778" w14:textId="77777777" w:rsidR="00DC30F9" w:rsidRDefault="00DC30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974"/>
      <w:docPartObj>
        <w:docPartGallery w:val="Page Numbers (Bottom of Page)"/>
        <w:docPartUnique/>
      </w:docPartObj>
    </w:sdtPr>
    <w:sdtEndPr/>
    <w:sdtContent>
      <w:sdt>
        <w:sdtPr>
          <w:id w:val="565050523"/>
          <w:docPartObj>
            <w:docPartGallery w:val="Page Numbers (Top of Page)"/>
            <w:docPartUnique/>
          </w:docPartObj>
        </w:sdtPr>
        <w:sdtEndPr/>
        <w:sdtContent>
          <w:p w14:paraId="7FEBF3AD" w14:textId="77777777" w:rsidR="00EC535D" w:rsidRPr="00EC535D" w:rsidRDefault="00EC535D" w:rsidP="00EC535D">
            <w:pPr>
              <w:pStyle w:val="Voettekst"/>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Pr="00AD64E9">
              <w:rPr>
                <w:rFonts w:ascii="Tahoma" w:hAnsi="Tahoma" w:cs="Tahoma"/>
                <w:sz w:val="15"/>
                <w:szCs w:val="15"/>
                <w:lang w:val="en-US"/>
              </w:rPr>
              <w:t>V.</w:t>
            </w:r>
            <w:r>
              <w:rPr>
                <w:rFonts w:ascii="Tahoma" w:hAnsi="Tahoma" w:cs="Tahoma"/>
                <w:sz w:val="15"/>
                <w:szCs w:val="15"/>
                <w:lang w:val="en-US"/>
              </w:rPr>
              <w:t>1</w:t>
            </w:r>
            <w:r w:rsidRPr="00AD64E9">
              <w:rPr>
                <w:rFonts w:ascii="Tahoma" w:hAnsi="Tahoma" w:cs="Tahoma"/>
                <w:sz w:val="15"/>
                <w:szCs w:val="15"/>
                <w:lang w:val="en-US"/>
              </w:rPr>
              <w:t xml:space="preserve"> August 2010</w:t>
            </w:r>
            <w:r>
              <w:rPr>
                <w:rFonts w:ascii="Tahoma" w:hAnsi="Tahoma" w:cs="Tahoma"/>
                <w:sz w:val="15"/>
                <w:szCs w:val="15"/>
                <w:lang w:val="en-US"/>
              </w:rPr>
              <w:t xml:space="preserve"> </w:t>
            </w:r>
            <w:r>
              <w:rPr>
                <w:rFonts w:ascii="Tahoma" w:hAnsi="Tahoma" w:cs="Tahoma"/>
                <w:sz w:val="15"/>
                <w:szCs w:val="15"/>
                <w:lang w:val="en-US"/>
              </w:rPr>
              <w:tab/>
            </w:r>
            <w:r w:rsidRPr="00EC535D">
              <w:rPr>
                <w:lang w:val="en-US"/>
              </w:rPr>
              <w:t xml:space="preserve">Page </w:t>
            </w:r>
            <w:r w:rsidR="006A4D79">
              <w:rPr>
                <w:b/>
                <w:sz w:val="24"/>
              </w:rPr>
              <w:fldChar w:fldCharType="begin"/>
            </w:r>
            <w:r w:rsidRPr="00EC535D">
              <w:rPr>
                <w:b/>
                <w:lang w:val="en-US"/>
              </w:rPr>
              <w:instrText xml:space="preserve"> PAGE </w:instrText>
            </w:r>
            <w:r w:rsidR="006A4D79">
              <w:rPr>
                <w:b/>
                <w:sz w:val="24"/>
              </w:rPr>
              <w:fldChar w:fldCharType="separate"/>
            </w:r>
            <w:r w:rsidR="00E35D79">
              <w:rPr>
                <w:b/>
                <w:noProof/>
                <w:lang w:val="en-US"/>
              </w:rPr>
              <w:t>1</w:t>
            </w:r>
            <w:r w:rsidR="006A4D79">
              <w:rPr>
                <w:b/>
                <w:sz w:val="24"/>
              </w:rPr>
              <w:fldChar w:fldCharType="end"/>
            </w:r>
            <w:r w:rsidRPr="00EC535D">
              <w:rPr>
                <w:lang w:val="en-US"/>
              </w:rPr>
              <w:t xml:space="preserve"> of </w:t>
            </w:r>
            <w:r w:rsidR="006A4D79">
              <w:rPr>
                <w:b/>
                <w:sz w:val="24"/>
              </w:rPr>
              <w:fldChar w:fldCharType="begin"/>
            </w:r>
            <w:r w:rsidRPr="00EC535D">
              <w:rPr>
                <w:b/>
                <w:lang w:val="en-US"/>
              </w:rPr>
              <w:instrText xml:space="preserve"> NUMPAGES  </w:instrText>
            </w:r>
            <w:r w:rsidR="006A4D79">
              <w:rPr>
                <w:b/>
                <w:sz w:val="24"/>
              </w:rPr>
              <w:fldChar w:fldCharType="separate"/>
            </w:r>
            <w:r w:rsidR="00E35D79">
              <w:rPr>
                <w:b/>
                <w:noProof/>
                <w:lang w:val="en-US"/>
              </w:rPr>
              <w:t>2</w:t>
            </w:r>
            <w:r w:rsidR="006A4D79">
              <w:rPr>
                <w:b/>
                <w:sz w:val="24"/>
              </w:rPr>
              <w:fldChar w:fldCharType="end"/>
            </w:r>
          </w:p>
        </w:sdtContent>
      </w:sdt>
    </w:sdtContent>
  </w:sdt>
  <w:p w14:paraId="19F03FD1" w14:textId="77777777" w:rsidR="00DC30F9" w:rsidRPr="00EC535D" w:rsidRDefault="00DC30F9">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16B1" w14:textId="77777777" w:rsidR="00F5181E" w:rsidRDefault="00F5181E" w:rsidP="00CB1A49">
      <w:r>
        <w:separator/>
      </w:r>
    </w:p>
  </w:footnote>
  <w:footnote w:type="continuationSeparator" w:id="0">
    <w:p w14:paraId="36B56640" w14:textId="77777777" w:rsidR="00F5181E" w:rsidRDefault="00F5181E" w:rsidP="00CB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2CBC" w14:textId="77777777" w:rsidR="00C87B0F" w:rsidRDefault="00C87B0F" w:rsidP="00C87B0F">
    <w:pPr>
      <w:pStyle w:val="Koptekst"/>
      <w:jc w:val="right"/>
    </w:pPr>
  </w:p>
  <w:p w14:paraId="7FE4E390" w14:textId="77777777" w:rsidR="00C87B0F" w:rsidRDefault="00C87B0F" w:rsidP="00C87B0F">
    <w:pPr>
      <w:pStyle w:val="Koptekst"/>
      <w:jc w:val="right"/>
    </w:pPr>
  </w:p>
  <w:p w14:paraId="0AFAFF28" w14:textId="77777777" w:rsidR="00C87B0F" w:rsidRDefault="00C87B0F" w:rsidP="00C87B0F">
    <w:pPr>
      <w:pStyle w:val="Koptekst"/>
      <w:jc w:val="right"/>
    </w:pPr>
  </w:p>
  <w:p w14:paraId="5A1B4E1D" w14:textId="77777777" w:rsidR="00C87B0F" w:rsidRDefault="00C87B0F" w:rsidP="00C87B0F">
    <w:pPr>
      <w:pStyle w:val="Koptekst"/>
      <w:jc w:val="right"/>
    </w:pPr>
  </w:p>
  <w:p w14:paraId="64908B4B" w14:textId="77777777" w:rsidR="00C87B0F" w:rsidRDefault="00C87B0F" w:rsidP="00C87B0F">
    <w:pPr>
      <w:pStyle w:val="Koptekst"/>
      <w:jc w:val="right"/>
    </w:pPr>
  </w:p>
  <w:p w14:paraId="183CB782" w14:textId="77777777" w:rsidR="00C87B0F" w:rsidRDefault="00C87B0F" w:rsidP="00C87B0F">
    <w:pPr>
      <w:pStyle w:val="Koptekst"/>
      <w:jc w:val="right"/>
    </w:pPr>
    <w:r>
      <w:rPr>
        <w:noProof/>
      </w:rPr>
      <w:drawing>
        <wp:anchor distT="0" distB="0" distL="114300" distR="114300" simplePos="0" relativeHeight="251659264" behindDoc="0" locked="0" layoutInCell="1" allowOverlap="1" wp14:anchorId="6C58A1FB" wp14:editId="1F4B1D63">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41BCF4EA" w14:textId="77777777" w:rsidR="00C87B0F" w:rsidRDefault="00C87B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F18"/>
    <w:rsid w:val="00037A36"/>
    <w:rsid w:val="0007518C"/>
    <w:rsid w:val="0014361F"/>
    <w:rsid w:val="00231A68"/>
    <w:rsid w:val="003278BC"/>
    <w:rsid w:val="003A4F1D"/>
    <w:rsid w:val="00490691"/>
    <w:rsid w:val="004A36DB"/>
    <w:rsid w:val="00502385"/>
    <w:rsid w:val="005104B8"/>
    <w:rsid w:val="005B1CC5"/>
    <w:rsid w:val="005B57A2"/>
    <w:rsid w:val="005F4EF3"/>
    <w:rsid w:val="00637E22"/>
    <w:rsid w:val="00666EEA"/>
    <w:rsid w:val="006A4D79"/>
    <w:rsid w:val="007D4047"/>
    <w:rsid w:val="007D7087"/>
    <w:rsid w:val="00811690"/>
    <w:rsid w:val="008E2E5D"/>
    <w:rsid w:val="009535BC"/>
    <w:rsid w:val="009856F7"/>
    <w:rsid w:val="009C3E7D"/>
    <w:rsid w:val="009F0466"/>
    <w:rsid w:val="00A70DF9"/>
    <w:rsid w:val="00A8536C"/>
    <w:rsid w:val="00A8730C"/>
    <w:rsid w:val="00B07F18"/>
    <w:rsid w:val="00B50234"/>
    <w:rsid w:val="00B95DC9"/>
    <w:rsid w:val="00BC11FA"/>
    <w:rsid w:val="00C243D7"/>
    <w:rsid w:val="00C87B0F"/>
    <w:rsid w:val="00C963F1"/>
    <w:rsid w:val="00CB1A49"/>
    <w:rsid w:val="00CD247D"/>
    <w:rsid w:val="00CF6050"/>
    <w:rsid w:val="00D02527"/>
    <w:rsid w:val="00D15C3C"/>
    <w:rsid w:val="00DC30F9"/>
    <w:rsid w:val="00DE38E6"/>
    <w:rsid w:val="00E35D79"/>
    <w:rsid w:val="00E80253"/>
    <w:rsid w:val="00EC535D"/>
    <w:rsid w:val="00F00C23"/>
    <w:rsid w:val="00F5181E"/>
    <w:rsid w:val="00F609DB"/>
    <w:rsid w:val="00FA3555"/>
    <w:rsid w:val="00FB5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3E7D"/>
    <w:rPr>
      <w:rFonts w:ascii="Minion" w:hAnsi="Minio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C3E7D"/>
    <w:pPr>
      <w:tabs>
        <w:tab w:val="center" w:pos="4536"/>
        <w:tab w:val="right" w:pos="9072"/>
      </w:tabs>
    </w:pPr>
  </w:style>
  <w:style w:type="character" w:styleId="Paginanummer">
    <w:name w:val="page number"/>
    <w:basedOn w:val="Standaardalinea-lettertype"/>
    <w:semiHidden/>
    <w:rsid w:val="009C3E7D"/>
  </w:style>
  <w:style w:type="character" w:styleId="Hyperlink">
    <w:name w:val="Hyperlink"/>
    <w:basedOn w:val="Standaardalinea-lettertype"/>
    <w:uiPriority w:val="99"/>
    <w:unhideWhenUsed/>
    <w:rsid w:val="00637E22"/>
    <w:rPr>
      <w:color w:val="0000FF"/>
      <w:u w:val="single"/>
    </w:rPr>
  </w:style>
  <w:style w:type="character" w:styleId="GevolgdeHyperlink">
    <w:name w:val="FollowedHyperlink"/>
    <w:basedOn w:val="Standaardalinea-lettertype"/>
    <w:uiPriority w:val="99"/>
    <w:semiHidden/>
    <w:unhideWhenUsed/>
    <w:rsid w:val="00DC30F9"/>
    <w:rPr>
      <w:color w:val="800080"/>
      <w:u w:val="single"/>
    </w:rPr>
  </w:style>
  <w:style w:type="paragraph" w:styleId="Lijstalinea">
    <w:name w:val="List Paragraph"/>
    <w:basedOn w:val="Standaard"/>
    <w:uiPriority w:val="34"/>
    <w:qFormat/>
    <w:rsid w:val="00CD247D"/>
    <w:pPr>
      <w:ind w:left="708"/>
    </w:pPr>
  </w:style>
  <w:style w:type="paragraph" w:styleId="Koptekst">
    <w:name w:val="header"/>
    <w:basedOn w:val="Standaard"/>
    <w:link w:val="KoptekstChar"/>
    <w:uiPriority w:val="99"/>
    <w:unhideWhenUsed/>
    <w:rsid w:val="00EC535D"/>
    <w:pPr>
      <w:tabs>
        <w:tab w:val="center" w:pos="4536"/>
        <w:tab w:val="right" w:pos="9072"/>
      </w:tabs>
    </w:pPr>
  </w:style>
  <w:style w:type="character" w:customStyle="1" w:styleId="KoptekstChar">
    <w:name w:val="Koptekst Char"/>
    <w:basedOn w:val="Standaardalinea-lettertype"/>
    <w:link w:val="Koptekst"/>
    <w:uiPriority w:val="99"/>
    <w:rsid w:val="00EC535D"/>
    <w:rPr>
      <w:rFonts w:ascii="Minion" w:hAnsi="Minion"/>
      <w:sz w:val="21"/>
      <w:szCs w:val="24"/>
      <w:lang w:eastAsia="en-US"/>
    </w:rPr>
  </w:style>
  <w:style w:type="character" w:customStyle="1" w:styleId="VoettekstChar">
    <w:name w:val="Voettekst Char"/>
    <w:basedOn w:val="Standaardalinea-lettertype"/>
    <w:link w:val="Voettekst"/>
    <w:uiPriority w:val="99"/>
    <w:rsid w:val="00EC535D"/>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8025-0E4C-4264-9ED0-C79A9D5B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2021-07-04T18:02:00Z</dcterms:created>
  <dcterms:modified xsi:type="dcterms:W3CDTF">2021-07-04T18:02:00Z</dcterms:modified>
</cp:coreProperties>
</file>