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3B14" w14:textId="77777777" w:rsidR="0013359D" w:rsidRDefault="00E209AA" w:rsidP="0013359D">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AC67D8">
        <w:rPr>
          <w:rFonts w:asciiTheme="minorHAnsi" w:hAnsiTheme="minorHAnsi"/>
          <w:bCs/>
          <w:color w:val="361F63"/>
          <w:sz w:val="32"/>
          <w:szCs w:val="32"/>
          <w:lang w:val="en-GB"/>
        </w:rPr>
        <w:t>23</w:t>
      </w:r>
    </w:p>
    <w:p w14:paraId="3B4E6A22" w14:textId="2776B8E7" w:rsidR="005E3B2C" w:rsidRDefault="00D86C9D" w:rsidP="0013359D">
      <w:pPr>
        <w:autoSpaceDE w:val="0"/>
        <w:autoSpaceDN w:val="0"/>
        <w:adjustRightInd w:val="0"/>
        <w:spacing w:line="276" w:lineRule="auto"/>
        <w:ind w:left="-567" w:right="-517"/>
        <w:outlineLvl w:val="0"/>
        <w:rPr>
          <w:rFonts w:asciiTheme="minorHAnsi" w:hAnsiTheme="minorHAnsi"/>
          <w:color w:val="361F63"/>
          <w:sz w:val="24"/>
          <w:lang w:val="en-US"/>
        </w:rPr>
      </w:pPr>
      <w:r w:rsidRPr="001C7D9E">
        <w:rPr>
          <w:rFonts w:asciiTheme="minorHAnsi" w:hAnsiTheme="minorHAnsi"/>
          <w:color w:val="361F63"/>
          <w:sz w:val="24"/>
          <w:lang w:val="en-US"/>
        </w:rPr>
        <w:t>NON-EQUITY SECURITIES ADVERTISED AS TAKING INTO ACCOUNT ESG FACTORS OR PURSUING ESG OBJECTIVES</w:t>
      </w:r>
    </w:p>
    <w:p w14:paraId="6B15E9C5" w14:textId="77777777" w:rsidR="00214F0F" w:rsidRPr="001C7D9E" w:rsidRDefault="00214F0F" w:rsidP="0013359D">
      <w:pPr>
        <w:autoSpaceDE w:val="0"/>
        <w:autoSpaceDN w:val="0"/>
        <w:adjustRightInd w:val="0"/>
        <w:spacing w:line="276" w:lineRule="auto"/>
        <w:ind w:left="-567" w:right="-517"/>
        <w:outlineLvl w:val="0"/>
        <w:rPr>
          <w:rFonts w:asciiTheme="minorHAnsi" w:hAnsiTheme="minorHAnsi"/>
          <w:color w:val="361F63"/>
          <w:sz w:val="32"/>
          <w:szCs w:val="32"/>
          <w:lang w:val="en-GB"/>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E73EED"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E73EED"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p w14:paraId="511EC0E3" w14:textId="77777777" w:rsidR="00684E41" w:rsidRDefault="00684E41">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E73EED" w14:paraId="579B3B52" w14:textId="77777777" w:rsidTr="081E9C0F">
        <w:trPr>
          <w:jc w:val="center"/>
        </w:trPr>
        <w:tc>
          <w:tcPr>
            <w:tcW w:w="10485" w:type="dxa"/>
            <w:gridSpan w:val="3"/>
            <w:shd w:val="clear" w:color="auto" w:fill="3E1B68"/>
          </w:tcPr>
          <w:p w14:paraId="3FE8DF01" w14:textId="29468EA1"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FB27A7">
              <w:rPr>
                <w:rFonts w:ascii="Aptos" w:hAnsi="Aptos"/>
                <w:b/>
                <w:bCs/>
                <w:sz w:val="24"/>
                <w:lang w:val="en-US"/>
              </w:rPr>
              <w:t>23</w:t>
            </w:r>
          </w:p>
          <w:p w14:paraId="63BFFEB4" w14:textId="38AC8477" w:rsidR="00151469" w:rsidRPr="008D7831" w:rsidRDefault="008D7831">
            <w:pPr>
              <w:autoSpaceDE w:val="0"/>
              <w:autoSpaceDN w:val="0"/>
              <w:adjustRightInd w:val="0"/>
              <w:outlineLvl w:val="0"/>
              <w:rPr>
                <w:rFonts w:ascii="Aptos" w:hAnsi="Aptos"/>
                <w:sz w:val="22"/>
                <w:lang w:val="en-US"/>
              </w:rPr>
            </w:pPr>
            <w:r w:rsidRPr="008D7831">
              <w:rPr>
                <w:rFonts w:asciiTheme="minorHAnsi" w:hAnsiTheme="minorHAnsi"/>
                <w:color w:val="FFFFFF" w:themeColor="background1"/>
                <w:sz w:val="20"/>
                <w:szCs w:val="20"/>
                <w:lang w:val="en-US"/>
              </w:rPr>
              <w:t>NON-EQUITY SECURITIES ADVERTISED AS TAKING INTO ACCOUNT ESG FACTORS OR PURSUING ESG OBJECTIVES</w:t>
            </w:r>
          </w:p>
        </w:tc>
      </w:tr>
      <w:tr w:rsidR="00151469" w:rsidRPr="00E73EED" w14:paraId="21D96DC3" w14:textId="77777777" w:rsidTr="081E9C0F">
        <w:trPr>
          <w:trHeight w:val="220"/>
          <w:jc w:val="center"/>
        </w:trPr>
        <w:tc>
          <w:tcPr>
            <w:tcW w:w="1619" w:type="dxa"/>
            <w:shd w:val="clear" w:color="auto" w:fill="7261A2"/>
          </w:tcPr>
          <w:p w14:paraId="06F15707" w14:textId="10183CC7" w:rsidR="00151469"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8D7831">
              <w:rPr>
                <w:rFonts w:ascii="Aptos" w:hAnsi="Aptos"/>
                <w:b/>
                <w:bCs/>
                <w:color w:val="FFFFFF" w:themeColor="background1"/>
                <w:sz w:val="24"/>
                <w:lang w:val="en-US"/>
              </w:rPr>
              <w:t>1</w:t>
            </w:r>
          </w:p>
          <w:p w14:paraId="793FA342" w14:textId="7AA7F119" w:rsidR="00151469" w:rsidRPr="0049195F" w:rsidRDefault="0015146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242E5E03" w14:textId="06CECEA8" w:rsidR="00151469" w:rsidRPr="00B418C4" w:rsidRDefault="00844AD3" w:rsidP="00387B1D">
            <w:pPr>
              <w:autoSpaceDE w:val="0"/>
              <w:autoSpaceDN w:val="0"/>
              <w:adjustRightInd w:val="0"/>
              <w:outlineLvl w:val="0"/>
              <w:rPr>
                <w:rFonts w:ascii="Aptos" w:hAnsi="Aptos"/>
                <w:b/>
                <w:bCs/>
                <w:sz w:val="24"/>
                <w:lang w:val="en-US"/>
              </w:rPr>
            </w:pPr>
            <w:r w:rsidRPr="00844AD3">
              <w:rPr>
                <w:rFonts w:ascii="Aptos" w:hAnsi="Aptos"/>
                <w:b/>
                <w:bCs/>
                <w:color w:val="FFFFFF" w:themeColor="background1"/>
                <w:sz w:val="24"/>
                <w:lang w:val="en-US"/>
              </w:rPr>
              <w:t xml:space="preserve">GENERAL INFORMATION CONCERNING THE NON-EQUITY SECURITIES TO BE OFFERED/ADMITTED TO TRADING </w:t>
            </w:r>
          </w:p>
        </w:tc>
      </w:tr>
      <w:tr w:rsidR="00463262" w:rsidRPr="00E73EED" w14:paraId="4F5CBEAC" w14:textId="77777777" w:rsidTr="00354071">
        <w:trPr>
          <w:trHeight w:val="220"/>
          <w:jc w:val="center"/>
        </w:trPr>
        <w:tc>
          <w:tcPr>
            <w:tcW w:w="1619" w:type="dxa"/>
            <w:shd w:val="clear" w:color="auto" w:fill="E9E5FF"/>
          </w:tcPr>
          <w:p w14:paraId="06BE2979" w14:textId="4E821CD9" w:rsidR="00463262" w:rsidRPr="00E93BF8" w:rsidRDefault="00463262" w:rsidP="0035407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D15B3B">
              <w:rPr>
                <w:rFonts w:ascii="Aptos" w:hAnsi="Aptos"/>
                <w:b/>
                <w:bCs/>
                <w:sz w:val="20"/>
                <w:szCs w:val="20"/>
              </w:rPr>
              <w:t>1</w:t>
            </w:r>
          </w:p>
        </w:tc>
        <w:tc>
          <w:tcPr>
            <w:tcW w:w="8866" w:type="dxa"/>
            <w:gridSpan w:val="2"/>
            <w:shd w:val="clear" w:color="auto" w:fill="E9E5FF"/>
          </w:tcPr>
          <w:p w14:paraId="4849B976" w14:textId="04AF80E4" w:rsidR="00463262" w:rsidRPr="00863D13" w:rsidRDefault="00863D13" w:rsidP="00863D13">
            <w:pPr>
              <w:autoSpaceDE w:val="0"/>
              <w:autoSpaceDN w:val="0"/>
              <w:adjustRightInd w:val="0"/>
              <w:outlineLvl w:val="0"/>
              <w:rPr>
                <w:rFonts w:ascii="Times New Roman" w:hAnsi="Times New Roman"/>
                <w:color w:val="000000"/>
                <w:sz w:val="23"/>
                <w:szCs w:val="23"/>
                <w:lang w:val="en-US"/>
              </w:rPr>
            </w:pPr>
            <w:r w:rsidRPr="00863D13">
              <w:rPr>
                <w:rFonts w:ascii="Aptos" w:hAnsi="Aptos"/>
                <w:b/>
                <w:bCs/>
                <w:sz w:val="24"/>
                <w:lang w:val="en-US"/>
              </w:rPr>
              <w:t>Information concerning the non-equity securities.</w:t>
            </w:r>
            <w:r w:rsidRPr="00713652">
              <w:rPr>
                <w:sz w:val="23"/>
                <w:szCs w:val="23"/>
                <w:lang w:val="en-US"/>
              </w:rPr>
              <w:t xml:space="preserve"> </w:t>
            </w:r>
          </w:p>
        </w:tc>
      </w:tr>
      <w:tr w:rsidR="00463262" w:rsidRPr="00E73EED" w14:paraId="48993944" w14:textId="77777777" w:rsidTr="00354071">
        <w:trPr>
          <w:trHeight w:val="218"/>
          <w:jc w:val="center"/>
        </w:trPr>
        <w:tc>
          <w:tcPr>
            <w:tcW w:w="1619" w:type="dxa"/>
            <w:shd w:val="clear" w:color="auto" w:fill="E9E5FF"/>
          </w:tcPr>
          <w:p w14:paraId="57CA7F31" w14:textId="53C3E7B5" w:rsidR="00386534" w:rsidRPr="00E93BF8" w:rsidRDefault="00386534" w:rsidP="00386534">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713652">
              <w:rPr>
                <w:rFonts w:ascii="Aptos" w:hAnsi="Aptos"/>
                <w:b/>
                <w:bCs/>
                <w:sz w:val="20"/>
                <w:szCs w:val="20"/>
                <w:lang w:val="en-US"/>
              </w:rPr>
              <w:t>1</w:t>
            </w:r>
            <w:r w:rsidRPr="00E93BF8">
              <w:rPr>
                <w:rFonts w:ascii="Aptos" w:hAnsi="Aptos"/>
                <w:b/>
                <w:bCs/>
                <w:sz w:val="20"/>
                <w:szCs w:val="20"/>
                <w:lang w:val="en-US"/>
              </w:rPr>
              <w:t>.1</w:t>
            </w:r>
          </w:p>
          <w:p w14:paraId="340B9CBC" w14:textId="0E7E64C1" w:rsidR="00463262" w:rsidRDefault="00754700" w:rsidP="00386534">
            <w:pPr>
              <w:autoSpaceDE w:val="0"/>
              <w:autoSpaceDN w:val="0"/>
              <w:adjustRightInd w:val="0"/>
              <w:outlineLvl w:val="0"/>
              <w:rPr>
                <w:rFonts w:ascii="Aptos" w:hAnsi="Aptos"/>
                <w:sz w:val="20"/>
                <w:szCs w:val="20"/>
                <w:lang w:val="en-US"/>
              </w:rPr>
            </w:pPr>
            <w:sdt>
              <w:sdtPr>
                <w:rPr>
                  <w:rFonts w:ascii="Aptos" w:hAnsi="Aptos"/>
                  <w:sz w:val="16"/>
                  <w:szCs w:val="16"/>
                  <w:lang w:val="en-US"/>
                </w:rPr>
                <w:id w:val="560828993"/>
                <w14:checkbox>
                  <w14:checked w14:val="0"/>
                  <w14:checkedState w14:val="2612" w14:font="MS Gothic"/>
                  <w14:uncheckedState w14:val="2610" w14:font="MS Gothic"/>
                </w14:checkbox>
              </w:sdtPr>
              <w:sdtEndPr/>
              <w:sdtContent>
                <w:r w:rsidR="00386534">
                  <w:rPr>
                    <w:rFonts w:ascii="MS Gothic" w:eastAsia="MS Gothic" w:hAnsi="MS Gothic" w:hint="eastAsia"/>
                    <w:sz w:val="16"/>
                    <w:szCs w:val="16"/>
                    <w:lang w:val="en-US"/>
                  </w:rPr>
                  <w:t>☐</w:t>
                </w:r>
              </w:sdtContent>
            </w:sdt>
            <w:r w:rsidR="00386534">
              <w:rPr>
                <w:rFonts w:ascii="Aptos" w:hAnsi="Aptos"/>
                <w:sz w:val="20"/>
                <w:szCs w:val="20"/>
                <w:lang w:val="en-US"/>
              </w:rPr>
              <w:t xml:space="preserve"> </w:t>
            </w:r>
            <w:r w:rsidR="00386534" w:rsidRPr="00B95AEB">
              <w:rPr>
                <w:rFonts w:ascii="Aptos" w:hAnsi="Aptos"/>
                <w:sz w:val="16"/>
                <w:szCs w:val="16"/>
                <w:lang w:val="en-US"/>
              </w:rPr>
              <w:t xml:space="preserve">Check if </w:t>
            </w:r>
            <w:r w:rsidR="00386534">
              <w:rPr>
                <w:rFonts w:ascii="Aptos" w:hAnsi="Aptos"/>
                <w:sz w:val="16"/>
                <w:szCs w:val="16"/>
                <w:lang w:val="en-US"/>
              </w:rPr>
              <w:t>n/a</w:t>
            </w:r>
          </w:p>
        </w:tc>
        <w:tc>
          <w:tcPr>
            <w:tcW w:w="2345" w:type="dxa"/>
          </w:tcPr>
          <w:p w14:paraId="3C88A061" w14:textId="77777777" w:rsidR="00463262" w:rsidRPr="00642232" w:rsidRDefault="00463262"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7519E8C" w14:textId="77777777" w:rsidR="00463262" w:rsidRDefault="00A25243" w:rsidP="00A25243">
            <w:pPr>
              <w:pStyle w:val="Default"/>
              <w:rPr>
                <w:rFonts w:ascii="Aptos" w:hAnsi="Aptos"/>
                <w:sz w:val="20"/>
                <w:szCs w:val="20"/>
              </w:rPr>
            </w:pPr>
            <w:r w:rsidRPr="003A2FC2">
              <w:rPr>
                <w:rFonts w:ascii="Aptos" w:hAnsi="Aptos"/>
                <w:sz w:val="20"/>
                <w:szCs w:val="20"/>
              </w:rPr>
              <w:t xml:space="preserve">A clear explanation to help investors understand the ESG factors taken into account by the non-equity securities or ESG objectives pursued by the non-equity securities. That explanation shall be unambiguous, fact-based and include: </w:t>
            </w:r>
          </w:p>
          <w:p w14:paraId="4AC13A54" w14:textId="77777777" w:rsidR="00F01495" w:rsidRDefault="00F01495" w:rsidP="00F01495">
            <w:pPr>
              <w:pStyle w:val="paragraph"/>
              <w:spacing w:before="0" w:beforeAutospacing="0" w:after="0" w:afterAutospacing="0"/>
              <w:textAlignment w:val="baseline"/>
              <w:rPr>
                <w:rStyle w:val="eop"/>
                <w:rFonts w:ascii="Aptos" w:hAnsi="Aptos" w:cs="Segoe UI"/>
                <w:sz w:val="20"/>
                <w:szCs w:val="20"/>
                <w:bdr w:val="none" w:sz="0" w:space="0" w:color="auto" w:frame="1"/>
                <w:shd w:val="clear" w:color="auto" w:fill="C6C6C6"/>
              </w:rPr>
            </w:pPr>
          </w:p>
          <w:p w14:paraId="607D7909" w14:textId="03B17AD0" w:rsidR="00E73EED" w:rsidRPr="00E73EED" w:rsidRDefault="00E73EED" w:rsidP="00F01495">
            <w:pPr>
              <w:pStyle w:val="paragraph"/>
              <w:spacing w:before="0" w:beforeAutospacing="0" w:after="0" w:afterAutospacing="0"/>
              <w:textAlignment w:val="baseline"/>
              <w:rPr>
                <w:rFonts w:ascii="Segoe UI" w:hAnsi="Segoe UI" w:cs="Segoe UI"/>
                <w:sz w:val="18"/>
                <w:szCs w:val="18"/>
              </w:rPr>
            </w:pPr>
            <w:r w:rsidRPr="00F01495">
              <w:rPr>
                <w:rStyle w:val="normaltextrun"/>
                <w:rFonts w:ascii="Aptos" w:hAnsi="Aptos" w:cs="Segoe UI"/>
                <w:color w:val="FF0000"/>
                <w:sz w:val="16"/>
                <w:szCs w:val="16"/>
                <w:shd w:val="clear" w:color="auto" w:fill="FFFFFF"/>
                <w:lang w:val="en-US"/>
              </w:rPr>
              <w:t xml:space="preserve">Cat. </w:t>
            </w:r>
            <w:r w:rsidR="00F01495" w:rsidRPr="00F01495">
              <w:rPr>
                <w:rStyle w:val="normaltextrun"/>
                <w:rFonts w:ascii="Aptos" w:hAnsi="Aptos" w:cs="Segoe UI"/>
                <w:color w:val="FF0000"/>
                <w:sz w:val="16"/>
                <w:szCs w:val="16"/>
                <w:shd w:val="clear" w:color="auto" w:fill="FFFFFF"/>
                <w:lang w:val="en-US"/>
              </w:rPr>
              <w:t>B</w:t>
            </w:r>
          </w:p>
        </w:tc>
      </w:tr>
      <w:tr w:rsidR="00463262" w:rsidRPr="00E73EED" w14:paraId="23E1F90F" w14:textId="77777777" w:rsidTr="00354071">
        <w:trPr>
          <w:trHeight w:val="218"/>
          <w:jc w:val="center"/>
        </w:trPr>
        <w:tc>
          <w:tcPr>
            <w:tcW w:w="1619" w:type="dxa"/>
            <w:shd w:val="clear" w:color="auto" w:fill="E9E5FF"/>
          </w:tcPr>
          <w:p w14:paraId="752E098E" w14:textId="3FAB4640" w:rsidR="00A25243" w:rsidRPr="00E93BF8" w:rsidRDefault="00A25243" w:rsidP="00A25243">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1</w:t>
            </w:r>
            <w:r w:rsidRPr="00E93BF8">
              <w:rPr>
                <w:rFonts w:ascii="Aptos" w:hAnsi="Aptos"/>
                <w:b/>
                <w:bCs/>
                <w:sz w:val="20"/>
                <w:szCs w:val="20"/>
                <w:lang w:val="en-US"/>
              </w:rPr>
              <w:t>.1</w:t>
            </w:r>
            <w:r>
              <w:rPr>
                <w:rFonts w:ascii="Aptos" w:hAnsi="Aptos"/>
                <w:b/>
                <w:bCs/>
                <w:sz w:val="20"/>
                <w:szCs w:val="20"/>
                <w:lang w:val="en-US"/>
              </w:rPr>
              <w:t>.1</w:t>
            </w:r>
          </w:p>
          <w:p w14:paraId="3936CE3B" w14:textId="023195DC" w:rsidR="00463262" w:rsidRPr="00642232" w:rsidRDefault="00754700" w:rsidP="00A25243">
            <w:pPr>
              <w:autoSpaceDE w:val="0"/>
              <w:autoSpaceDN w:val="0"/>
              <w:adjustRightInd w:val="0"/>
              <w:outlineLvl w:val="0"/>
              <w:rPr>
                <w:rFonts w:ascii="Aptos" w:hAnsi="Aptos"/>
                <w:sz w:val="20"/>
                <w:szCs w:val="20"/>
                <w:lang w:val="en-GB"/>
              </w:rPr>
            </w:pPr>
            <w:sdt>
              <w:sdtPr>
                <w:rPr>
                  <w:rFonts w:ascii="Aptos" w:hAnsi="Aptos"/>
                  <w:sz w:val="16"/>
                  <w:szCs w:val="16"/>
                  <w:lang w:val="en-US"/>
                </w:rPr>
                <w:id w:val="-1666305867"/>
                <w14:checkbox>
                  <w14:checked w14:val="0"/>
                  <w14:checkedState w14:val="2612" w14:font="MS Gothic"/>
                  <w14:uncheckedState w14:val="2610" w14:font="MS Gothic"/>
                </w14:checkbox>
              </w:sdtPr>
              <w:sdtEndPr/>
              <w:sdtContent>
                <w:r w:rsidR="00A25243">
                  <w:rPr>
                    <w:rFonts w:ascii="MS Gothic" w:eastAsia="MS Gothic" w:hAnsi="MS Gothic" w:hint="eastAsia"/>
                    <w:sz w:val="16"/>
                    <w:szCs w:val="16"/>
                    <w:lang w:val="en-US"/>
                  </w:rPr>
                  <w:t>☐</w:t>
                </w:r>
              </w:sdtContent>
            </w:sdt>
            <w:r w:rsidR="00A25243">
              <w:rPr>
                <w:rFonts w:ascii="Aptos" w:hAnsi="Aptos"/>
                <w:sz w:val="20"/>
                <w:szCs w:val="20"/>
                <w:lang w:val="en-US"/>
              </w:rPr>
              <w:t xml:space="preserve"> </w:t>
            </w:r>
            <w:r w:rsidR="00A25243" w:rsidRPr="00B95AEB">
              <w:rPr>
                <w:rFonts w:ascii="Aptos" w:hAnsi="Aptos"/>
                <w:sz w:val="16"/>
                <w:szCs w:val="16"/>
                <w:lang w:val="en-US"/>
              </w:rPr>
              <w:t xml:space="preserve">Check if </w:t>
            </w:r>
            <w:r w:rsidR="00A25243">
              <w:rPr>
                <w:rFonts w:ascii="Aptos" w:hAnsi="Aptos"/>
                <w:sz w:val="16"/>
                <w:szCs w:val="16"/>
                <w:lang w:val="en-US"/>
              </w:rPr>
              <w:t>n/a</w:t>
            </w:r>
          </w:p>
        </w:tc>
        <w:tc>
          <w:tcPr>
            <w:tcW w:w="2345" w:type="dxa"/>
          </w:tcPr>
          <w:p w14:paraId="06926FD3" w14:textId="77777777" w:rsidR="00463262" w:rsidRPr="00642232" w:rsidRDefault="00463262"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850A964" w14:textId="77777777" w:rsidR="00463262" w:rsidRDefault="003718AE" w:rsidP="003718AE">
            <w:pPr>
              <w:pStyle w:val="Default"/>
              <w:rPr>
                <w:rFonts w:ascii="Aptos" w:hAnsi="Aptos"/>
                <w:sz w:val="20"/>
                <w:szCs w:val="20"/>
              </w:rPr>
            </w:pPr>
            <w:r w:rsidRPr="003A2FC2">
              <w:rPr>
                <w:rFonts w:ascii="Aptos" w:hAnsi="Aptos"/>
                <w:sz w:val="20"/>
                <w:szCs w:val="20"/>
              </w:rPr>
              <w:t xml:space="preserve">Where the non-equity securities offered to the public or admitted to trading on a regulated market are advertised as aligned with, eligible under or otherwise adhering to the EU taxonomy, in accordance with Regulation (EU) 2020/852 of the European Parliament and of the Council*8, clearly state which minimum percentage of the proceeds will be allocated to activities aligned with the EU taxonomy. </w:t>
            </w:r>
          </w:p>
          <w:p w14:paraId="7E27B232" w14:textId="77777777" w:rsidR="00F01495" w:rsidRDefault="00F01495" w:rsidP="00F01495">
            <w:pPr>
              <w:pStyle w:val="paragraph"/>
              <w:spacing w:before="0" w:beforeAutospacing="0" w:after="0" w:afterAutospacing="0"/>
              <w:textAlignment w:val="baseline"/>
              <w:rPr>
                <w:rStyle w:val="eop"/>
                <w:rFonts w:ascii="Aptos" w:hAnsi="Aptos" w:cs="Segoe UI"/>
                <w:sz w:val="20"/>
                <w:szCs w:val="20"/>
                <w:bdr w:val="none" w:sz="0" w:space="0" w:color="auto" w:frame="1"/>
                <w:shd w:val="clear" w:color="auto" w:fill="C6C6C6"/>
              </w:rPr>
            </w:pPr>
          </w:p>
          <w:p w14:paraId="3AD8A295" w14:textId="4544C69E" w:rsidR="00F01495" w:rsidRPr="003A2FC2" w:rsidRDefault="00F01495" w:rsidP="00F01495">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C</w:t>
            </w:r>
          </w:p>
        </w:tc>
      </w:tr>
      <w:tr w:rsidR="00463262" w:rsidRPr="00E73EED" w14:paraId="710A2DCF" w14:textId="77777777" w:rsidTr="00354071">
        <w:trPr>
          <w:trHeight w:val="218"/>
          <w:jc w:val="center"/>
        </w:trPr>
        <w:tc>
          <w:tcPr>
            <w:tcW w:w="1619" w:type="dxa"/>
            <w:shd w:val="clear" w:color="auto" w:fill="E9E5FF"/>
          </w:tcPr>
          <w:p w14:paraId="5D74B8BB" w14:textId="5B5F787B" w:rsidR="00A25243" w:rsidRPr="00E93BF8" w:rsidRDefault="00A25243" w:rsidP="00A25243">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1</w:t>
            </w:r>
            <w:r w:rsidRPr="00E93BF8">
              <w:rPr>
                <w:rFonts w:ascii="Aptos" w:hAnsi="Aptos"/>
                <w:b/>
                <w:bCs/>
                <w:sz w:val="20"/>
                <w:szCs w:val="20"/>
                <w:lang w:val="en-US"/>
              </w:rPr>
              <w:t>.1</w:t>
            </w:r>
            <w:r>
              <w:rPr>
                <w:rFonts w:ascii="Aptos" w:hAnsi="Aptos"/>
                <w:b/>
                <w:bCs/>
                <w:sz w:val="20"/>
                <w:szCs w:val="20"/>
                <w:lang w:val="en-US"/>
              </w:rPr>
              <w:t>.2</w:t>
            </w:r>
          </w:p>
          <w:p w14:paraId="2F1C8081" w14:textId="61DFC76E" w:rsidR="00463262" w:rsidRDefault="00754700" w:rsidP="00A25243">
            <w:pPr>
              <w:autoSpaceDE w:val="0"/>
              <w:autoSpaceDN w:val="0"/>
              <w:adjustRightInd w:val="0"/>
              <w:outlineLvl w:val="0"/>
              <w:rPr>
                <w:rFonts w:ascii="Aptos" w:hAnsi="Aptos"/>
                <w:sz w:val="20"/>
                <w:szCs w:val="20"/>
                <w:lang w:val="en-US"/>
              </w:rPr>
            </w:pPr>
            <w:sdt>
              <w:sdtPr>
                <w:rPr>
                  <w:rFonts w:ascii="Aptos" w:hAnsi="Aptos"/>
                  <w:sz w:val="16"/>
                  <w:szCs w:val="16"/>
                  <w:lang w:val="en-US"/>
                </w:rPr>
                <w:id w:val="-41520480"/>
                <w14:checkbox>
                  <w14:checked w14:val="0"/>
                  <w14:checkedState w14:val="2612" w14:font="MS Gothic"/>
                  <w14:uncheckedState w14:val="2610" w14:font="MS Gothic"/>
                </w14:checkbox>
              </w:sdtPr>
              <w:sdtEndPr/>
              <w:sdtContent>
                <w:r w:rsidR="00A25243">
                  <w:rPr>
                    <w:rFonts w:ascii="MS Gothic" w:eastAsia="MS Gothic" w:hAnsi="MS Gothic" w:hint="eastAsia"/>
                    <w:sz w:val="16"/>
                    <w:szCs w:val="16"/>
                    <w:lang w:val="en-US"/>
                  </w:rPr>
                  <w:t>☐</w:t>
                </w:r>
              </w:sdtContent>
            </w:sdt>
            <w:r w:rsidR="00A25243">
              <w:rPr>
                <w:rFonts w:ascii="Aptos" w:hAnsi="Aptos"/>
                <w:sz w:val="20"/>
                <w:szCs w:val="20"/>
                <w:lang w:val="en-US"/>
              </w:rPr>
              <w:t xml:space="preserve"> </w:t>
            </w:r>
            <w:r w:rsidR="00A25243" w:rsidRPr="00B95AEB">
              <w:rPr>
                <w:rFonts w:ascii="Aptos" w:hAnsi="Aptos"/>
                <w:sz w:val="16"/>
                <w:szCs w:val="16"/>
                <w:lang w:val="en-US"/>
              </w:rPr>
              <w:t xml:space="preserve">Check if </w:t>
            </w:r>
            <w:r w:rsidR="00A25243">
              <w:rPr>
                <w:rFonts w:ascii="Aptos" w:hAnsi="Aptos"/>
                <w:sz w:val="16"/>
                <w:szCs w:val="16"/>
                <w:lang w:val="en-US"/>
              </w:rPr>
              <w:t>n/a</w:t>
            </w:r>
          </w:p>
        </w:tc>
        <w:tc>
          <w:tcPr>
            <w:tcW w:w="2345" w:type="dxa"/>
          </w:tcPr>
          <w:p w14:paraId="737A9659" w14:textId="77777777" w:rsidR="00463262" w:rsidRPr="00642232" w:rsidRDefault="00463262"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46D6F89" w14:textId="77777777" w:rsidR="00463262" w:rsidRDefault="003718AE" w:rsidP="003718AE">
            <w:pPr>
              <w:pStyle w:val="Default"/>
              <w:rPr>
                <w:rFonts w:ascii="Aptos" w:hAnsi="Aptos"/>
                <w:sz w:val="20"/>
                <w:szCs w:val="20"/>
              </w:rPr>
            </w:pPr>
            <w:r w:rsidRPr="003A2FC2">
              <w:rPr>
                <w:rFonts w:ascii="Aptos" w:hAnsi="Aptos"/>
                <w:sz w:val="20"/>
                <w:szCs w:val="20"/>
              </w:rPr>
              <w:t xml:space="preserve">Where the non-equity securities offered to the public or admitted to trading on a regulated market are advertised as aligned with, eligible under or otherwise adhering to a classification system other than the EU taxonomy laying down criteria determining whether an economic activity qualifies as environmentally sustainable (‘third-party classification system’): </w:t>
            </w:r>
          </w:p>
          <w:p w14:paraId="355CA1BA" w14:textId="77777777" w:rsidR="00F01495" w:rsidRDefault="00F01495" w:rsidP="00F01495">
            <w:pPr>
              <w:pStyle w:val="paragraph"/>
              <w:spacing w:before="0" w:beforeAutospacing="0" w:after="0" w:afterAutospacing="0"/>
              <w:textAlignment w:val="baseline"/>
              <w:rPr>
                <w:rStyle w:val="eop"/>
                <w:rFonts w:ascii="Aptos" w:hAnsi="Aptos" w:cs="Segoe UI"/>
                <w:sz w:val="20"/>
                <w:szCs w:val="20"/>
                <w:bdr w:val="none" w:sz="0" w:space="0" w:color="auto" w:frame="1"/>
                <w:shd w:val="clear" w:color="auto" w:fill="C6C6C6"/>
              </w:rPr>
            </w:pPr>
          </w:p>
          <w:p w14:paraId="40E6CB18" w14:textId="668DA7A5" w:rsidR="00F01495" w:rsidRPr="003A2FC2" w:rsidRDefault="00F01495" w:rsidP="00F01495">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2E5B12" w:rsidRPr="00E73EED" w14:paraId="79EFE725" w14:textId="77777777" w:rsidTr="00354071">
        <w:trPr>
          <w:trHeight w:val="218"/>
          <w:jc w:val="center"/>
        </w:trPr>
        <w:tc>
          <w:tcPr>
            <w:tcW w:w="1619" w:type="dxa"/>
            <w:shd w:val="clear" w:color="auto" w:fill="E9E5FF"/>
          </w:tcPr>
          <w:p w14:paraId="7A936856" w14:textId="715AC77E" w:rsidR="002E5B12" w:rsidRPr="00E93BF8" w:rsidRDefault="00754700" w:rsidP="002E5B12">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41905497"/>
                <w14:checkbox>
                  <w14:checked w14:val="0"/>
                  <w14:checkedState w14:val="2612" w14:font="MS Gothic"/>
                  <w14:uncheckedState w14:val="2610" w14:font="MS Gothic"/>
                </w14:checkbox>
              </w:sdtPr>
              <w:sdtEndPr/>
              <w:sdtContent>
                <w:r w:rsidR="002E5B12">
                  <w:rPr>
                    <w:rFonts w:ascii="MS Gothic" w:eastAsia="MS Gothic" w:hAnsi="MS Gothic" w:hint="eastAsia"/>
                    <w:sz w:val="16"/>
                    <w:szCs w:val="16"/>
                    <w:lang w:val="en-US"/>
                  </w:rPr>
                  <w:t>☐</w:t>
                </w:r>
              </w:sdtContent>
            </w:sdt>
            <w:r w:rsidR="002E5B12">
              <w:rPr>
                <w:rFonts w:ascii="Aptos" w:hAnsi="Aptos"/>
                <w:sz w:val="20"/>
                <w:szCs w:val="20"/>
                <w:lang w:val="en-US"/>
              </w:rPr>
              <w:t xml:space="preserve"> </w:t>
            </w:r>
            <w:r w:rsidR="002E5B12" w:rsidRPr="00B95AEB">
              <w:rPr>
                <w:rFonts w:ascii="Aptos" w:hAnsi="Aptos"/>
                <w:sz w:val="16"/>
                <w:szCs w:val="16"/>
                <w:lang w:val="en-US"/>
              </w:rPr>
              <w:t xml:space="preserve">Check if </w:t>
            </w:r>
            <w:r w:rsidR="002E5B12">
              <w:rPr>
                <w:rFonts w:ascii="Aptos" w:hAnsi="Aptos"/>
                <w:sz w:val="16"/>
                <w:szCs w:val="16"/>
                <w:lang w:val="en-US"/>
              </w:rPr>
              <w:t>n/a</w:t>
            </w:r>
          </w:p>
        </w:tc>
        <w:tc>
          <w:tcPr>
            <w:tcW w:w="2345" w:type="dxa"/>
          </w:tcPr>
          <w:p w14:paraId="0416AFB8" w14:textId="2C562A31" w:rsidR="002E5B12" w:rsidRPr="00716E8C" w:rsidRDefault="002E5B12" w:rsidP="002E5B1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89C2E40" w14:textId="77777777" w:rsidR="002E5B12" w:rsidRDefault="00611DB5" w:rsidP="00F01495">
            <w:pPr>
              <w:pStyle w:val="Default"/>
              <w:numPr>
                <w:ilvl w:val="0"/>
                <w:numId w:val="2"/>
              </w:numPr>
              <w:rPr>
                <w:rFonts w:ascii="Aptos" w:hAnsi="Aptos"/>
                <w:sz w:val="20"/>
                <w:szCs w:val="20"/>
              </w:rPr>
            </w:pPr>
            <w:r w:rsidRPr="003A2FC2">
              <w:rPr>
                <w:rFonts w:ascii="Aptos" w:hAnsi="Aptos"/>
                <w:sz w:val="20"/>
                <w:szCs w:val="20"/>
              </w:rPr>
              <w:t xml:space="preserve">clearly identify the third-party classification system and clearly state that it is not the EU taxonomy; </w:t>
            </w:r>
          </w:p>
          <w:p w14:paraId="6AA6F064" w14:textId="77777777" w:rsidR="00F01495" w:rsidRDefault="00F01495" w:rsidP="00F01495">
            <w:pPr>
              <w:pStyle w:val="paragraph"/>
              <w:spacing w:before="0" w:beforeAutospacing="0" w:after="0" w:afterAutospacing="0"/>
              <w:textAlignment w:val="baseline"/>
              <w:rPr>
                <w:rStyle w:val="eop"/>
                <w:rFonts w:ascii="Aptos" w:hAnsi="Aptos" w:cs="Segoe UI"/>
                <w:sz w:val="20"/>
                <w:szCs w:val="20"/>
                <w:bdr w:val="none" w:sz="0" w:space="0" w:color="auto" w:frame="1"/>
                <w:shd w:val="clear" w:color="auto" w:fill="C6C6C6"/>
              </w:rPr>
            </w:pPr>
          </w:p>
          <w:p w14:paraId="755FDEB6" w14:textId="2F5A2B00" w:rsidR="00F01495" w:rsidRPr="003A2FC2" w:rsidRDefault="00F01495" w:rsidP="00F01495">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2E5B12" w:rsidRPr="00E73EED" w14:paraId="79437BE5" w14:textId="77777777" w:rsidTr="00354071">
        <w:trPr>
          <w:trHeight w:val="218"/>
          <w:jc w:val="center"/>
        </w:trPr>
        <w:tc>
          <w:tcPr>
            <w:tcW w:w="1619" w:type="dxa"/>
            <w:shd w:val="clear" w:color="auto" w:fill="E9E5FF"/>
          </w:tcPr>
          <w:p w14:paraId="19CA13C7" w14:textId="3D5B4A76" w:rsidR="002E5B12" w:rsidRPr="00E93BF8" w:rsidRDefault="00754700" w:rsidP="002E5B12">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58922123"/>
                <w14:checkbox>
                  <w14:checked w14:val="0"/>
                  <w14:checkedState w14:val="2612" w14:font="MS Gothic"/>
                  <w14:uncheckedState w14:val="2610" w14:font="MS Gothic"/>
                </w14:checkbox>
              </w:sdtPr>
              <w:sdtEndPr/>
              <w:sdtContent>
                <w:r w:rsidR="002E5B12">
                  <w:rPr>
                    <w:rFonts w:ascii="MS Gothic" w:eastAsia="MS Gothic" w:hAnsi="MS Gothic" w:hint="eastAsia"/>
                    <w:sz w:val="16"/>
                    <w:szCs w:val="16"/>
                    <w:lang w:val="en-US"/>
                  </w:rPr>
                  <w:t>☐</w:t>
                </w:r>
              </w:sdtContent>
            </w:sdt>
            <w:r w:rsidR="002E5B12">
              <w:rPr>
                <w:rFonts w:ascii="Aptos" w:hAnsi="Aptos"/>
                <w:sz w:val="20"/>
                <w:szCs w:val="20"/>
                <w:lang w:val="en-US"/>
              </w:rPr>
              <w:t xml:space="preserve"> </w:t>
            </w:r>
            <w:r w:rsidR="002E5B12" w:rsidRPr="00B95AEB">
              <w:rPr>
                <w:rFonts w:ascii="Aptos" w:hAnsi="Aptos"/>
                <w:sz w:val="16"/>
                <w:szCs w:val="16"/>
                <w:lang w:val="en-US"/>
              </w:rPr>
              <w:t xml:space="preserve">Check if </w:t>
            </w:r>
            <w:r w:rsidR="002E5B12">
              <w:rPr>
                <w:rFonts w:ascii="Aptos" w:hAnsi="Aptos"/>
                <w:sz w:val="16"/>
                <w:szCs w:val="16"/>
                <w:lang w:val="en-US"/>
              </w:rPr>
              <w:t>n/a</w:t>
            </w:r>
          </w:p>
        </w:tc>
        <w:tc>
          <w:tcPr>
            <w:tcW w:w="2345" w:type="dxa"/>
          </w:tcPr>
          <w:p w14:paraId="7865833E" w14:textId="7E5ED7DA" w:rsidR="002E5B12" w:rsidRPr="00716E8C" w:rsidRDefault="002E5B12" w:rsidP="002E5B1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80F3605" w14:textId="77777777" w:rsidR="002E5B12" w:rsidRDefault="00611DB5" w:rsidP="00F01495">
            <w:pPr>
              <w:pStyle w:val="Default"/>
              <w:numPr>
                <w:ilvl w:val="0"/>
                <w:numId w:val="2"/>
              </w:numPr>
              <w:rPr>
                <w:rFonts w:ascii="Aptos" w:hAnsi="Aptos"/>
                <w:sz w:val="20"/>
                <w:szCs w:val="20"/>
              </w:rPr>
            </w:pPr>
            <w:r w:rsidRPr="003A2FC2">
              <w:rPr>
                <w:rFonts w:ascii="Aptos" w:hAnsi="Aptos"/>
                <w:sz w:val="20"/>
                <w:szCs w:val="20"/>
              </w:rPr>
              <w:t xml:space="preserve">clearly describe how the third-party classification system ensures the economic activities substantially contribute to certain environmental objectives; </w:t>
            </w:r>
          </w:p>
          <w:p w14:paraId="6A981945" w14:textId="77777777" w:rsidR="00F01495" w:rsidRDefault="00F01495" w:rsidP="00F01495">
            <w:pPr>
              <w:pStyle w:val="paragraph"/>
              <w:spacing w:before="0" w:beforeAutospacing="0" w:after="0" w:afterAutospacing="0"/>
              <w:textAlignment w:val="baseline"/>
              <w:rPr>
                <w:rStyle w:val="eop"/>
                <w:rFonts w:ascii="Aptos" w:hAnsi="Aptos" w:cs="Segoe UI"/>
                <w:sz w:val="20"/>
                <w:szCs w:val="20"/>
                <w:bdr w:val="none" w:sz="0" w:space="0" w:color="auto" w:frame="1"/>
                <w:shd w:val="clear" w:color="auto" w:fill="C6C6C6"/>
              </w:rPr>
            </w:pPr>
          </w:p>
          <w:p w14:paraId="6968EC70" w14:textId="5257F3FA" w:rsidR="00F01495" w:rsidRPr="003A2FC2" w:rsidRDefault="00F01495" w:rsidP="00F01495">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2E5B12" w:rsidRPr="00E73EED" w14:paraId="1B935CBB" w14:textId="77777777" w:rsidTr="00354071">
        <w:trPr>
          <w:trHeight w:val="218"/>
          <w:jc w:val="center"/>
        </w:trPr>
        <w:tc>
          <w:tcPr>
            <w:tcW w:w="1619" w:type="dxa"/>
            <w:shd w:val="clear" w:color="auto" w:fill="E9E5FF"/>
          </w:tcPr>
          <w:p w14:paraId="09DAD499" w14:textId="11815A23" w:rsidR="002E5B12" w:rsidRPr="00E93BF8" w:rsidRDefault="00754700" w:rsidP="002E5B12">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60880670"/>
                <w14:checkbox>
                  <w14:checked w14:val="0"/>
                  <w14:checkedState w14:val="2612" w14:font="MS Gothic"/>
                  <w14:uncheckedState w14:val="2610" w14:font="MS Gothic"/>
                </w14:checkbox>
              </w:sdtPr>
              <w:sdtEndPr/>
              <w:sdtContent>
                <w:r w:rsidR="002E5B12">
                  <w:rPr>
                    <w:rFonts w:ascii="MS Gothic" w:eastAsia="MS Gothic" w:hAnsi="MS Gothic" w:hint="eastAsia"/>
                    <w:sz w:val="16"/>
                    <w:szCs w:val="16"/>
                    <w:lang w:val="en-US"/>
                  </w:rPr>
                  <w:t>☐</w:t>
                </w:r>
              </w:sdtContent>
            </w:sdt>
            <w:r w:rsidR="002E5B12">
              <w:rPr>
                <w:rFonts w:ascii="Aptos" w:hAnsi="Aptos"/>
                <w:sz w:val="20"/>
                <w:szCs w:val="20"/>
                <w:lang w:val="en-US"/>
              </w:rPr>
              <w:t xml:space="preserve"> </w:t>
            </w:r>
            <w:r w:rsidR="002E5B12" w:rsidRPr="00B95AEB">
              <w:rPr>
                <w:rFonts w:ascii="Aptos" w:hAnsi="Aptos"/>
                <w:sz w:val="16"/>
                <w:szCs w:val="16"/>
                <w:lang w:val="en-US"/>
              </w:rPr>
              <w:t xml:space="preserve">Check if </w:t>
            </w:r>
            <w:r w:rsidR="002E5B12">
              <w:rPr>
                <w:rFonts w:ascii="Aptos" w:hAnsi="Aptos"/>
                <w:sz w:val="16"/>
                <w:szCs w:val="16"/>
                <w:lang w:val="en-US"/>
              </w:rPr>
              <w:t>n/a</w:t>
            </w:r>
          </w:p>
        </w:tc>
        <w:tc>
          <w:tcPr>
            <w:tcW w:w="2345" w:type="dxa"/>
          </w:tcPr>
          <w:p w14:paraId="2B1AA3A3" w14:textId="7D5CDA65" w:rsidR="002E5B12" w:rsidRPr="00716E8C" w:rsidRDefault="002E5B12" w:rsidP="002E5B1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DF5C451" w14:textId="77777777" w:rsidR="002E5B12" w:rsidRDefault="00F01495" w:rsidP="0051128F">
            <w:pPr>
              <w:pStyle w:val="Default"/>
              <w:numPr>
                <w:ilvl w:val="0"/>
                <w:numId w:val="2"/>
              </w:numPr>
              <w:rPr>
                <w:rFonts w:ascii="Aptos" w:hAnsi="Aptos"/>
                <w:sz w:val="20"/>
                <w:szCs w:val="20"/>
              </w:rPr>
            </w:pPr>
            <w:r>
              <w:rPr>
                <w:rFonts w:ascii="Aptos" w:hAnsi="Aptos"/>
                <w:sz w:val="20"/>
                <w:szCs w:val="20"/>
              </w:rPr>
              <w:t>i</w:t>
            </w:r>
            <w:r w:rsidR="00611DB5" w:rsidRPr="003A2FC2">
              <w:rPr>
                <w:rFonts w:ascii="Aptos" w:hAnsi="Aptos"/>
                <w:sz w:val="20"/>
                <w:szCs w:val="20"/>
              </w:rPr>
              <w:t xml:space="preserve">nclude an electronic a link, with a disclaimer that the information on the website does not form part of the prospectus unless it is incorporated by reference into the prospectus in accordance with Article 19 of Regulation (EU) 2017/1129, to the following, where applicable: </w:t>
            </w:r>
          </w:p>
          <w:p w14:paraId="65857FEF" w14:textId="77777777" w:rsidR="00164743" w:rsidRDefault="00164743" w:rsidP="00164743">
            <w:pPr>
              <w:pStyle w:val="Default"/>
              <w:rPr>
                <w:rFonts w:ascii="Aptos" w:hAnsi="Aptos"/>
                <w:sz w:val="20"/>
                <w:szCs w:val="20"/>
              </w:rPr>
            </w:pPr>
          </w:p>
          <w:p w14:paraId="38046494" w14:textId="08795708" w:rsidR="00164743" w:rsidRPr="0051128F" w:rsidRDefault="00164743" w:rsidP="00164743">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51128F" w:rsidRPr="004800E4" w14:paraId="2702DD17" w14:textId="77777777" w:rsidTr="00C93E75">
        <w:trPr>
          <w:trHeight w:val="218"/>
          <w:jc w:val="center"/>
        </w:trPr>
        <w:tc>
          <w:tcPr>
            <w:tcW w:w="1619" w:type="dxa"/>
            <w:shd w:val="clear" w:color="auto" w:fill="E9E5FF"/>
          </w:tcPr>
          <w:p w14:paraId="775DFB3B" w14:textId="77777777" w:rsidR="0051128F" w:rsidRPr="00F57B06" w:rsidRDefault="0051128F"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6B7BFFA1" w14:textId="77777777" w:rsidR="0051128F" w:rsidRPr="00716E8C" w:rsidRDefault="0051128F"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91B1D36" w14:textId="5D65F2F0" w:rsidR="00486CF9" w:rsidRPr="00E7344F" w:rsidRDefault="0051128F" w:rsidP="00E7344F">
            <w:pPr>
              <w:pStyle w:val="ListParagraph"/>
              <w:numPr>
                <w:ilvl w:val="0"/>
                <w:numId w:val="5"/>
              </w:numPr>
              <w:autoSpaceDE w:val="0"/>
              <w:autoSpaceDN w:val="0"/>
              <w:adjustRightInd w:val="0"/>
              <w:outlineLvl w:val="0"/>
              <w:rPr>
                <w:rFonts w:ascii="Aptos" w:hAnsi="Aptos"/>
                <w:sz w:val="20"/>
                <w:szCs w:val="20"/>
              </w:rPr>
            </w:pPr>
            <w:r w:rsidRPr="00164743">
              <w:rPr>
                <w:rFonts w:ascii="Aptos" w:hAnsi="Aptos"/>
                <w:sz w:val="20"/>
                <w:szCs w:val="20"/>
              </w:rPr>
              <w:t>technical screening criteria;</w:t>
            </w:r>
          </w:p>
          <w:p w14:paraId="0F0AA905" w14:textId="335D8B8D" w:rsidR="00164743" w:rsidRPr="00164743" w:rsidRDefault="00164743" w:rsidP="00164743">
            <w:pPr>
              <w:autoSpaceDE w:val="0"/>
              <w:autoSpaceDN w:val="0"/>
              <w:adjustRightInd w:val="0"/>
              <w:outlineLvl w:val="0"/>
              <w:rPr>
                <w:bCs/>
                <w:sz w:val="20"/>
                <w:szCs w:val="20"/>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A</w:t>
            </w:r>
          </w:p>
        </w:tc>
      </w:tr>
      <w:tr w:rsidR="0051128F" w:rsidRPr="004800E4" w14:paraId="7DC2E88A" w14:textId="77777777" w:rsidTr="00C93E75">
        <w:trPr>
          <w:trHeight w:val="218"/>
          <w:jc w:val="center"/>
        </w:trPr>
        <w:tc>
          <w:tcPr>
            <w:tcW w:w="1619" w:type="dxa"/>
            <w:shd w:val="clear" w:color="auto" w:fill="E9E5FF"/>
          </w:tcPr>
          <w:p w14:paraId="33E87EA4" w14:textId="77777777" w:rsidR="0051128F" w:rsidRPr="004800E4" w:rsidRDefault="0051128F"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94F37C3" w14:textId="77777777" w:rsidR="0051128F" w:rsidRPr="00716E8C" w:rsidRDefault="0051128F"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63B0D2C" w14:textId="52754D37" w:rsidR="0051128F" w:rsidRPr="00164743" w:rsidRDefault="0051128F" w:rsidP="00164743">
            <w:pPr>
              <w:pStyle w:val="ListParagraph"/>
              <w:numPr>
                <w:ilvl w:val="0"/>
                <w:numId w:val="5"/>
              </w:numPr>
              <w:autoSpaceDE w:val="0"/>
              <w:autoSpaceDN w:val="0"/>
              <w:adjustRightInd w:val="0"/>
              <w:outlineLvl w:val="0"/>
              <w:rPr>
                <w:bCs/>
                <w:sz w:val="20"/>
                <w:szCs w:val="20"/>
                <w:lang w:val="en-US"/>
              </w:rPr>
            </w:pPr>
            <w:r w:rsidRPr="00164743">
              <w:rPr>
                <w:rFonts w:ascii="Aptos" w:hAnsi="Aptos"/>
                <w:sz w:val="20"/>
                <w:szCs w:val="20"/>
              </w:rPr>
              <w:t>do no significant harm principles</w:t>
            </w:r>
            <w:r w:rsidRPr="00164743">
              <w:rPr>
                <w:bCs/>
                <w:sz w:val="20"/>
                <w:szCs w:val="20"/>
                <w:lang w:val="en-US"/>
              </w:rPr>
              <w:t>;</w:t>
            </w:r>
          </w:p>
          <w:p w14:paraId="6F1B1A0A" w14:textId="3154AEC4" w:rsidR="00164743" w:rsidRPr="00164743" w:rsidRDefault="00164743" w:rsidP="00164743">
            <w:pPr>
              <w:autoSpaceDE w:val="0"/>
              <w:autoSpaceDN w:val="0"/>
              <w:adjustRightInd w:val="0"/>
              <w:outlineLvl w:val="0"/>
              <w:rPr>
                <w:bCs/>
                <w:sz w:val="20"/>
                <w:szCs w:val="20"/>
                <w:lang w:val="en-US"/>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A</w:t>
            </w:r>
          </w:p>
        </w:tc>
      </w:tr>
      <w:tr w:rsidR="0051128F" w:rsidRPr="004800E4" w14:paraId="2D3340C0" w14:textId="77777777" w:rsidTr="00C93E75">
        <w:trPr>
          <w:trHeight w:val="218"/>
          <w:jc w:val="center"/>
        </w:trPr>
        <w:tc>
          <w:tcPr>
            <w:tcW w:w="1619" w:type="dxa"/>
            <w:shd w:val="clear" w:color="auto" w:fill="E9E5FF"/>
          </w:tcPr>
          <w:p w14:paraId="39600087" w14:textId="77777777" w:rsidR="0051128F" w:rsidRPr="00F57B06" w:rsidRDefault="0051128F"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3010167" w14:textId="77777777" w:rsidR="0051128F" w:rsidRPr="00716E8C" w:rsidRDefault="0051128F"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2610C595" w14:textId="6C789F45" w:rsidR="0051128F" w:rsidRPr="00164743" w:rsidRDefault="0051128F" w:rsidP="00164743">
            <w:pPr>
              <w:pStyle w:val="ListParagraph"/>
              <w:numPr>
                <w:ilvl w:val="0"/>
                <w:numId w:val="5"/>
              </w:numPr>
              <w:autoSpaceDE w:val="0"/>
              <w:autoSpaceDN w:val="0"/>
              <w:adjustRightInd w:val="0"/>
              <w:outlineLvl w:val="0"/>
              <w:rPr>
                <w:rFonts w:ascii="Aptos" w:hAnsi="Aptos"/>
                <w:sz w:val="20"/>
                <w:szCs w:val="20"/>
              </w:rPr>
            </w:pPr>
            <w:r w:rsidRPr="00164743">
              <w:rPr>
                <w:rFonts w:ascii="Aptos" w:hAnsi="Aptos"/>
                <w:sz w:val="20"/>
                <w:szCs w:val="20"/>
              </w:rPr>
              <w:t>minimum social safeguards of the third-party classification system</w:t>
            </w:r>
            <w:r w:rsidRPr="00164743">
              <w:rPr>
                <w:rFonts w:ascii="Aptos" w:hAnsi="Aptos"/>
                <w:sz w:val="20"/>
                <w:szCs w:val="20"/>
              </w:rPr>
              <w:t>.</w:t>
            </w:r>
          </w:p>
          <w:p w14:paraId="489F9566" w14:textId="241DEC23" w:rsidR="00164743" w:rsidRPr="00164743" w:rsidRDefault="00164743" w:rsidP="00164743">
            <w:pPr>
              <w:autoSpaceDE w:val="0"/>
              <w:autoSpaceDN w:val="0"/>
              <w:adjustRightInd w:val="0"/>
              <w:outlineLvl w:val="0"/>
              <w:rPr>
                <w:bCs/>
                <w:sz w:val="20"/>
                <w:szCs w:val="20"/>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A</w:t>
            </w:r>
          </w:p>
        </w:tc>
      </w:tr>
      <w:tr w:rsidR="0051128F" w:rsidRPr="004800E4" w14:paraId="20AD37AF" w14:textId="77777777" w:rsidTr="00C93E75">
        <w:trPr>
          <w:trHeight w:val="218"/>
          <w:jc w:val="center"/>
        </w:trPr>
        <w:tc>
          <w:tcPr>
            <w:tcW w:w="1619" w:type="dxa"/>
            <w:shd w:val="clear" w:color="auto" w:fill="E9E5FF"/>
          </w:tcPr>
          <w:p w14:paraId="3ECF7A3D" w14:textId="594561A8" w:rsidR="0051128F" w:rsidRDefault="0051128F" w:rsidP="0051128F">
            <w:pPr>
              <w:autoSpaceDE w:val="0"/>
              <w:autoSpaceDN w:val="0"/>
              <w:adjustRightInd w:val="0"/>
              <w:outlineLvl w:val="0"/>
              <w:rPr>
                <w:rFonts w:ascii="Aptos" w:hAnsi="Aptos"/>
                <w:sz w:val="16"/>
                <w:szCs w:val="16"/>
                <w:lang w:val="en-US"/>
              </w:rPr>
            </w:pPr>
            <w:sdt>
              <w:sdtPr>
                <w:rPr>
                  <w:rFonts w:ascii="Aptos" w:hAnsi="Aptos"/>
                  <w:sz w:val="16"/>
                  <w:szCs w:val="16"/>
                  <w:lang w:val="en-US"/>
                </w:rPr>
                <w:id w:val="7208536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891431D" w14:textId="54CA9129" w:rsidR="0051128F" w:rsidRPr="00457261" w:rsidRDefault="0051128F" w:rsidP="0051128F">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1692D5C" w14:textId="77777777" w:rsidR="0051128F" w:rsidRDefault="0051128F" w:rsidP="0051128F">
            <w:pPr>
              <w:autoSpaceDE w:val="0"/>
              <w:autoSpaceDN w:val="0"/>
              <w:adjustRightInd w:val="0"/>
              <w:outlineLvl w:val="0"/>
              <w:rPr>
                <w:rFonts w:ascii="Aptos" w:hAnsi="Aptos"/>
                <w:sz w:val="20"/>
                <w:szCs w:val="20"/>
                <w:lang w:val="en-US"/>
              </w:rPr>
            </w:pPr>
            <w:r w:rsidRPr="003A2FC2">
              <w:rPr>
                <w:rFonts w:ascii="Aptos" w:hAnsi="Aptos"/>
                <w:sz w:val="20"/>
                <w:szCs w:val="20"/>
                <w:lang w:val="en-US"/>
              </w:rPr>
              <w:t>Where the third-party classification system does not include any of the items (i) to (iii), clearly state that fact;</w:t>
            </w:r>
          </w:p>
          <w:p w14:paraId="34D60351" w14:textId="77777777" w:rsidR="00164743" w:rsidRDefault="00164743" w:rsidP="0051128F">
            <w:pPr>
              <w:autoSpaceDE w:val="0"/>
              <w:autoSpaceDN w:val="0"/>
              <w:adjustRightInd w:val="0"/>
              <w:outlineLvl w:val="0"/>
              <w:rPr>
                <w:rFonts w:ascii="Aptos" w:hAnsi="Aptos"/>
                <w:sz w:val="20"/>
                <w:szCs w:val="20"/>
                <w:lang w:val="en-US"/>
              </w:rPr>
            </w:pPr>
          </w:p>
          <w:p w14:paraId="37C877EB" w14:textId="114A1923" w:rsidR="00164743" w:rsidRDefault="00164743" w:rsidP="0051128F">
            <w:pPr>
              <w:autoSpaceDE w:val="0"/>
              <w:autoSpaceDN w:val="0"/>
              <w:adjustRightInd w:val="0"/>
              <w:outlineLvl w:val="0"/>
              <w:rPr>
                <w:rFonts w:asciiTheme="minorHAnsi" w:hAnsiTheme="minorHAnsi"/>
                <w:bCs/>
                <w:sz w:val="20"/>
                <w:szCs w:val="20"/>
                <w:lang w:val="en-GB"/>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A</w:t>
            </w:r>
          </w:p>
        </w:tc>
      </w:tr>
      <w:tr w:rsidR="002E5B12" w:rsidRPr="00E73EED" w14:paraId="54FC135C" w14:textId="77777777" w:rsidTr="00354071">
        <w:trPr>
          <w:trHeight w:val="218"/>
          <w:jc w:val="center"/>
        </w:trPr>
        <w:tc>
          <w:tcPr>
            <w:tcW w:w="1619" w:type="dxa"/>
            <w:shd w:val="clear" w:color="auto" w:fill="E9E5FF"/>
          </w:tcPr>
          <w:p w14:paraId="3D68D683" w14:textId="1366DF2E" w:rsidR="002E5B12" w:rsidRDefault="00754700" w:rsidP="002E5B12">
            <w:pPr>
              <w:autoSpaceDE w:val="0"/>
              <w:autoSpaceDN w:val="0"/>
              <w:adjustRightInd w:val="0"/>
              <w:outlineLvl w:val="0"/>
              <w:rPr>
                <w:rFonts w:ascii="Aptos" w:hAnsi="Aptos"/>
                <w:sz w:val="16"/>
                <w:szCs w:val="16"/>
                <w:lang w:val="en-US"/>
              </w:rPr>
            </w:pPr>
            <w:sdt>
              <w:sdtPr>
                <w:rPr>
                  <w:rFonts w:ascii="Aptos" w:hAnsi="Aptos"/>
                  <w:sz w:val="16"/>
                  <w:szCs w:val="16"/>
                  <w:lang w:val="en-US"/>
                </w:rPr>
                <w:id w:val="-338775291"/>
                <w14:checkbox>
                  <w14:checked w14:val="0"/>
                  <w14:checkedState w14:val="2612" w14:font="MS Gothic"/>
                  <w14:uncheckedState w14:val="2610" w14:font="MS Gothic"/>
                </w14:checkbox>
              </w:sdtPr>
              <w:sdtEndPr/>
              <w:sdtContent>
                <w:r w:rsidR="002E5B12">
                  <w:rPr>
                    <w:rFonts w:ascii="MS Gothic" w:eastAsia="MS Gothic" w:hAnsi="MS Gothic" w:hint="eastAsia"/>
                    <w:sz w:val="16"/>
                    <w:szCs w:val="16"/>
                    <w:lang w:val="en-US"/>
                  </w:rPr>
                  <w:t>☐</w:t>
                </w:r>
              </w:sdtContent>
            </w:sdt>
            <w:r w:rsidR="002E5B12">
              <w:rPr>
                <w:rFonts w:ascii="Aptos" w:hAnsi="Aptos"/>
                <w:sz w:val="20"/>
                <w:szCs w:val="20"/>
                <w:lang w:val="en-US"/>
              </w:rPr>
              <w:t xml:space="preserve"> </w:t>
            </w:r>
            <w:r w:rsidR="002E5B12" w:rsidRPr="00B95AEB">
              <w:rPr>
                <w:rFonts w:ascii="Aptos" w:hAnsi="Aptos"/>
                <w:sz w:val="16"/>
                <w:szCs w:val="16"/>
                <w:lang w:val="en-US"/>
              </w:rPr>
              <w:t xml:space="preserve">Check if </w:t>
            </w:r>
            <w:r w:rsidR="002E5B12">
              <w:rPr>
                <w:rFonts w:ascii="Aptos" w:hAnsi="Aptos"/>
                <w:sz w:val="16"/>
                <w:szCs w:val="16"/>
                <w:lang w:val="en-US"/>
              </w:rPr>
              <w:t>n/a</w:t>
            </w:r>
          </w:p>
        </w:tc>
        <w:tc>
          <w:tcPr>
            <w:tcW w:w="2345" w:type="dxa"/>
          </w:tcPr>
          <w:p w14:paraId="79FA31DC" w14:textId="4EE1BA03" w:rsidR="002E5B12" w:rsidRPr="00716E8C" w:rsidRDefault="002E5B12" w:rsidP="002E5B1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0B2C554" w14:textId="77777777" w:rsidR="002E5B12" w:rsidRDefault="00611DB5" w:rsidP="0051128F">
            <w:pPr>
              <w:pStyle w:val="Default"/>
              <w:numPr>
                <w:ilvl w:val="0"/>
                <w:numId w:val="2"/>
              </w:numPr>
              <w:rPr>
                <w:rFonts w:ascii="Aptos" w:hAnsi="Aptos"/>
                <w:sz w:val="20"/>
                <w:szCs w:val="20"/>
              </w:rPr>
            </w:pPr>
            <w:r w:rsidRPr="003A2FC2">
              <w:rPr>
                <w:rFonts w:ascii="Aptos" w:hAnsi="Aptos"/>
                <w:sz w:val="20"/>
                <w:szCs w:val="20"/>
              </w:rPr>
              <w:t xml:space="preserve">clearly state which minimum percentage of the proceeds will be allocated to economic activities aligned with the third-party classification system. </w:t>
            </w:r>
          </w:p>
          <w:p w14:paraId="5E655167" w14:textId="77777777" w:rsidR="00164743" w:rsidRDefault="00164743" w:rsidP="00164743">
            <w:pPr>
              <w:pStyle w:val="Default"/>
              <w:rPr>
                <w:rFonts w:ascii="Aptos" w:hAnsi="Aptos"/>
                <w:sz w:val="20"/>
                <w:szCs w:val="20"/>
              </w:rPr>
            </w:pPr>
          </w:p>
          <w:p w14:paraId="0E57AFB3" w14:textId="477DBECC" w:rsidR="00164743" w:rsidRPr="003A2FC2" w:rsidRDefault="00164743" w:rsidP="00164743">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sidR="006B3EC8">
              <w:rPr>
                <w:rStyle w:val="normaltextrun"/>
                <w:rFonts w:ascii="Aptos" w:hAnsi="Aptos" w:cs="Segoe UI"/>
                <w:color w:val="FF0000"/>
                <w:sz w:val="16"/>
                <w:szCs w:val="16"/>
                <w:shd w:val="clear" w:color="auto" w:fill="FFFFFF"/>
              </w:rPr>
              <w:t>C</w:t>
            </w:r>
          </w:p>
        </w:tc>
      </w:tr>
      <w:tr w:rsidR="002E5B12" w:rsidRPr="00E73EED" w14:paraId="11BF672B" w14:textId="77777777" w:rsidTr="00354071">
        <w:trPr>
          <w:trHeight w:val="218"/>
          <w:jc w:val="center"/>
        </w:trPr>
        <w:tc>
          <w:tcPr>
            <w:tcW w:w="1619" w:type="dxa"/>
            <w:shd w:val="clear" w:color="auto" w:fill="E9E5FF"/>
          </w:tcPr>
          <w:p w14:paraId="12AA85F0" w14:textId="17C5668C" w:rsidR="002E5B12" w:rsidRPr="00E93BF8" w:rsidRDefault="002E5B12" w:rsidP="002E5B12">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1</w:t>
            </w:r>
            <w:r w:rsidRPr="00E93BF8">
              <w:rPr>
                <w:rFonts w:ascii="Aptos" w:hAnsi="Aptos"/>
                <w:b/>
                <w:bCs/>
                <w:sz w:val="20"/>
                <w:szCs w:val="20"/>
                <w:lang w:val="en-US"/>
              </w:rPr>
              <w:t>.1</w:t>
            </w:r>
            <w:r>
              <w:rPr>
                <w:rFonts w:ascii="Aptos" w:hAnsi="Aptos"/>
                <w:b/>
                <w:bCs/>
                <w:sz w:val="20"/>
                <w:szCs w:val="20"/>
                <w:lang w:val="en-US"/>
              </w:rPr>
              <w:t>.3</w:t>
            </w:r>
          </w:p>
          <w:p w14:paraId="4F54DC5B" w14:textId="32E11417" w:rsidR="002E5B12" w:rsidRPr="00E93BF8" w:rsidRDefault="00754700" w:rsidP="002E5B12">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88835454"/>
                <w14:checkbox>
                  <w14:checked w14:val="0"/>
                  <w14:checkedState w14:val="2612" w14:font="MS Gothic"/>
                  <w14:uncheckedState w14:val="2610" w14:font="MS Gothic"/>
                </w14:checkbox>
              </w:sdtPr>
              <w:sdtEndPr/>
              <w:sdtContent>
                <w:r w:rsidR="002E5B12">
                  <w:rPr>
                    <w:rFonts w:ascii="MS Gothic" w:eastAsia="MS Gothic" w:hAnsi="MS Gothic" w:hint="eastAsia"/>
                    <w:sz w:val="16"/>
                    <w:szCs w:val="16"/>
                    <w:lang w:val="en-US"/>
                  </w:rPr>
                  <w:t>☐</w:t>
                </w:r>
              </w:sdtContent>
            </w:sdt>
            <w:r w:rsidR="002E5B12">
              <w:rPr>
                <w:rFonts w:ascii="Aptos" w:hAnsi="Aptos"/>
                <w:sz w:val="20"/>
                <w:szCs w:val="20"/>
                <w:lang w:val="en-US"/>
              </w:rPr>
              <w:t xml:space="preserve"> </w:t>
            </w:r>
            <w:r w:rsidR="002E5B12" w:rsidRPr="00B95AEB">
              <w:rPr>
                <w:rFonts w:ascii="Aptos" w:hAnsi="Aptos"/>
                <w:sz w:val="16"/>
                <w:szCs w:val="16"/>
                <w:lang w:val="en-US"/>
              </w:rPr>
              <w:t xml:space="preserve">Check if </w:t>
            </w:r>
            <w:r w:rsidR="002E5B12">
              <w:rPr>
                <w:rFonts w:ascii="Aptos" w:hAnsi="Aptos"/>
                <w:sz w:val="16"/>
                <w:szCs w:val="16"/>
                <w:lang w:val="en-US"/>
              </w:rPr>
              <w:t>n/a</w:t>
            </w:r>
          </w:p>
        </w:tc>
        <w:tc>
          <w:tcPr>
            <w:tcW w:w="2345" w:type="dxa"/>
          </w:tcPr>
          <w:p w14:paraId="05966A7A" w14:textId="7FCC9044" w:rsidR="002E5B12" w:rsidRPr="00716E8C" w:rsidRDefault="002E5B12" w:rsidP="002E5B1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620FA35" w14:textId="77777777" w:rsidR="002E5B12" w:rsidRDefault="00611DB5" w:rsidP="00611DB5">
            <w:pPr>
              <w:pStyle w:val="Default"/>
              <w:rPr>
                <w:rFonts w:ascii="Aptos" w:hAnsi="Aptos"/>
                <w:sz w:val="20"/>
                <w:szCs w:val="20"/>
              </w:rPr>
            </w:pPr>
            <w:r w:rsidRPr="003A2FC2">
              <w:rPr>
                <w:rFonts w:ascii="Aptos" w:hAnsi="Aptos"/>
                <w:sz w:val="20"/>
                <w:szCs w:val="20"/>
              </w:rPr>
              <w:t xml:space="preserve">Where the non-equity securities offered to the public or admitted to trading on a regulated market are advertised as aligned with a specific market standard or label requirements relating to the ESG factors taken into account or the ESG objectives pursued by the securities: </w:t>
            </w:r>
          </w:p>
          <w:p w14:paraId="0D905F35" w14:textId="77777777" w:rsidR="006B3EC8" w:rsidRDefault="006B3EC8" w:rsidP="00611DB5">
            <w:pPr>
              <w:pStyle w:val="Default"/>
              <w:rPr>
                <w:rStyle w:val="normaltextrun"/>
                <w:rFonts w:ascii="Aptos" w:hAnsi="Aptos" w:cs="Segoe UI"/>
                <w:color w:val="FF0000"/>
                <w:sz w:val="16"/>
                <w:szCs w:val="16"/>
                <w:shd w:val="clear" w:color="auto" w:fill="FFFFFF"/>
              </w:rPr>
            </w:pPr>
          </w:p>
          <w:p w14:paraId="767F6E82" w14:textId="75E28189" w:rsidR="006B3EC8" w:rsidRPr="003A2FC2" w:rsidRDefault="006B3EC8" w:rsidP="00611DB5">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611DB5" w:rsidRPr="00E73EED" w14:paraId="712BE5B8" w14:textId="77777777" w:rsidTr="00354071">
        <w:trPr>
          <w:trHeight w:val="218"/>
          <w:jc w:val="center"/>
        </w:trPr>
        <w:tc>
          <w:tcPr>
            <w:tcW w:w="1619" w:type="dxa"/>
            <w:shd w:val="clear" w:color="auto" w:fill="E9E5FF"/>
          </w:tcPr>
          <w:p w14:paraId="1A9A07DD" w14:textId="7EEBEB3E" w:rsidR="00611DB5" w:rsidRPr="00E93BF8" w:rsidRDefault="00754700" w:rsidP="00611DB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87085629"/>
                <w14:checkbox>
                  <w14:checked w14:val="0"/>
                  <w14:checkedState w14:val="2612" w14:font="MS Gothic"/>
                  <w14:uncheckedState w14:val="2610" w14:font="MS Gothic"/>
                </w14:checkbox>
              </w:sdtPr>
              <w:sdtEndPr/>
              <w:sdtContent>
                <w:r w:rsidR="00611DB5">
                  <w:rPr>
                    <w:rFonts w:ascii="MS Gothic" w:eastAsia="MS Gothic" w:hAnsi="MS Gothic" w:hint="eastAsia"/>
                    <w:sz w:val="16"/>
                    <w:szCs w:val="16"/>
                    <w:lang w:val="en-US"/>
                  </w:rPr>
                  <w:t>☐</w:t>
                </w:r>
              </w:sdtContent>
            </w:sdt>
            <w:r w:rsidR="00611DB5">
              <w:rPr>
                <w:rFonts w:ascii="Aptos" w:hAnsi="Aptos"/>
                <w:sz w:val="20"/>
                <w:szCs w:val="20"/>
                <w:lang w:val="en-US"/>
              </w:rPr>
              <w:t xml:space="preserve"> </w:t>
            </w:r>
            <w:r w:rsidR="00611DB5" w:rsidRPr="00B95AEB">
              <w:rPr>
                <w:rFonts w:ascii="Aptos" w:hAnsi="Aptos"/>
                <w:sz w:val="16"/>
                <w:szCs w:val="16"/>
                <w:lang w:val="en-US"/>
              </w:rPr>
              <w:t xml:space="preserve">Check if </w:t>
            </w:r>
            <w:r w:rsidR="00611DB5">
              <w:rPr>
                <w:rFonts w:ascii="Aptos" w:hAnsi="Aptos"/>
                <w:sz w:val="16"/>
                <w:szCs w:val="16"/>
                <w:lang w:val="en-US"/>
              </w:rPr>
              <w:t>n/a</w:t>
            </w:r>
          </w:p>
        </w:tc>
        <w:tc>
          <w:tcPr>
            <w:tcW w:w="2345" w:type="dxa"/>
          </w:tcPr>
          <w:p w14:paraId="222C6E12" w14:textId="3BAC99C4" w:rsidR="00611DB5" w:rsidRPr="00716E8C"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1EE2103" w14:textId="77777777" w:rsidR="00611DB5" w:rsidRDefault="007B2D9B" w:rsidP="00164743">
            <w:pPr>
              <w:pStyle w:val="Default"/>
              <w:numPr>
                <w:ilvl w:val="0"/>
                <w:numId w:val="4"/>
              </w:numPr>
              <w:rPr>
                <w:rFonts w:ascii="Aptos" w:hAnsi="Aptos"/>
                <w:sz w:val="20"/>
                <w:szCs w:val="20"/>
              </w:rPr>
            </w:pPr>
            <w:r w:rsidRPr="003A2FC2">
              <w:rPr>
                <w:rFonts w:ascii="Aptos" w:hAnsi="Aptos"/>
                <w:sz w:val="20"/>
                <w:szCs w:val="20"/>
              </w:rPr>
              <w:t xml:space="preserve">identify the market standard or label; </w:t>
            </w:r>
          </w:p>
          <w:p w14:paraId="25CBF81C" w14:textId="77777777" w:rsidR="00762741" w:rsidRDefault="00762741" w:rsidP="00762741">
            <w:pPr>
              <w:pStyle w:val="Default"/>
              <w:rPr>
                <w:rStyle w:val="normaltextrun"/>
                <w:rFonts w:ascii="Aptos" w:hAnsi="Aptos" w:cs="Segoe UI"/>
                <w:color w:val="FF0000"/>
                <w:sz w:val="16"/>
                <w:szCs w:val="16"/>
                <w:shd w:val="clear" w:color="auto" w:fill="FFFFFF"/>
              </w:rPr>
            </w:pPr>
          </w:p>
          <w:p w14:paraId="1D8778A4" w14:textId="5D83D695" w:rsidR="00762741" w:rsidRPr="003A2FC2" w:rsidRDefault="00762741" w:rsidP="00762741">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611DB5" w:rsidRPr="00E73EED" w14:paraId="407E9682" w14:textId="77777777" w:rsidTr="00354071">
        <w:trPr>
          <w:trHeight w:val="218"/>
          <w:jc w:val="center"/>
        </w:trPr>
        <w:tc>
          <w:tcPr>
            <w:tcW w:w="1619" w:type="dxa"/>
            <w:shd w:val="clear" w:color="auto" w:fill="E9E5FF"/>
          </w:tcPr>
          <w:p w14:paraId="20D554DC" w14:textId="75E323CA" w:rsidR="00611DB5" w:rsidRPr="00E93BF8" w:rsidRDefault="00754700" w:rsidP="00611DB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9869349"/>
                <w14:checkbox>
                  <w14:checked w14:val="0"/>
                  <w14:checkedState w14:val="2612" w14:font="MS Gothic"/>
                  <w14:uncheckedState w14:val="2610" w14:font="MS Gothic"/>
                </w14:checkbox>
              </w:sdtPr>
              <w:sdtEndPr/>
              <w:sdtContent>
                <w:r w:rsidR="00611DB5">
                  <w:rPr>
                    <w:rFonts w:ascii="MS Gothic" w:eastAsia="MS Gothic" w:hAnsi="MS Gothic" w:hint="eastAsia"/>
                    <w:sz w:val="16"/>
                    <w:szCs w:val="16"/>
                    <w:lang w:val="en-US"/>
                  </w:rPr>
                  <w:t>☐</w:t>
                </w:r>
              </w:sdtContent>
            </w:sdt>
            <w:r w:rsidR="00611DB5">
              <w:rPr>
                <w:rFonts w:ascii="Aptos" w:hAnsi="Aptos"/>
                <w:sz w:val="20"/>
                <w:szCs w:val="20"/>
                <w:lang w:val="en-US"/>
              </w:rPr>
              <w:t xml:space="preserve"> </w:t>
            </w:r>
            <w:r w:rsidR="00611DB5" w:rsidRPr="00B95AEB">
              <w:rPr>
                <w:rFonts w:ascii="Aptos" w:hAnsi="Aptos"/>
                <w:sz w:val="16"/>
                <w:szCs w:val="16"/>
                <w:lang w:val="en-US"/>
              </w:rPr>
              <w:t xml:space="preserve">Check if </w:t>
            </w:r>
            <w:r w:rsidR="00611DB5">
              <w:rPr>
                <w:rFonts w:ascii="Aptos" w:hAnsi="Aptos"/>
                <w:sz w:val="16"/>
                <w:szCs w:val="16"/>
                <w:lang w:val="en-US"/>
              </w:rPr>
              <w:t>n/a</w:t>
            </w:r>
          </w:p>
        </w:tc>
        <w:tc>
          <w:tcPr>
            <w:tcW w:w="2345" w:type="dxa"/>
          </w:tcPr>
          <w:p w14:paraId="33254FEB" w14:textId="25E0F3AC" w:rsidR="00611DB5" w:rsidRPr="00716E8C"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EBDECE1" w14:textId="77777777" w:rsidR="00611DB5" w:rsidRDefault="007B2D9B" w:rsidP="00164743">
            <w:pPr>
              <w:pStyle w:val="Default"/>
              <w:numPr>
                <w:ilvl w:val="0"/>
                <w:numId w:val="4"/>
              </w:numPr>
              <w:rPr>
                <w:rFonts w:ascii="Aptos" w:hAnsi="Aptos"/>
                <w:sz w:val="20"/>
                <w:szCs w:val="20"/>
              </w:rPr>
            </w:pPr>
            <w:r w:rsidRPr="003A2FC2">
              <w:rPr>
                <w:rFonts w:ascii="Aptos" w:hAnsi="Aptos"/>
                <w:sz w:val="20"/>
                <w:szCs w:val="20"/>
              </w:rPr>
              <w:t xml:space="preserve">include an electronic link to the disclosures related to that market standard or label, such as an applicable framework, and to general information about the market standard, or label, with a disclaimer that the information on the website does not form part of the prospectus unless it is incorporated by reference into the prospectus in accordance with Article 19 of Regulation (EU) 2017/1129. </w:t>
            </w:r>
          </w:p>
          <w:p w14:paraId="748905F1" w14:textId="77777777" w:rsidR="00762741" w:rsidRDefault="00762741" w:rsidP="00762741">
            <w:pPr>
              <w:pStyle w:val="Default"/>
              <w:rPr>
                <w:rFonts w:ascii="Aptos" w:hAnsi="Aptos"/>
                <w:sz w:val="20"/>
                <w:szCs w:val="20"/>
              </w:rPr>
            </w:pPr>
          </w:p>
          <w:p w14:paraId="3977B59A" w14:textId="47B5E071" w:rsidR="00762741" w:rsidRPr="003A2FC2" w:rsidRDefault="00762741" w:rsidP="00762741">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A</w:t>
            </w:r>
          </w:p>
        </w:tc>
      </w:tr>
      <w:tr w:rsidR="00611DB5" w:rsidRPr="00E73EED" w14:paraId="324DFF65" w14:textId="77777777" w:rsidTr="00354071">
        <w:trPr>
          <w:trHeight w:val="220"/>
          <w:jc w:val="center"/>
        </w:trPr>
        <w:tc>
          <w:tcPr>
            <w:tcW w:w="1619" w:type="dxa"/>
            <w:shd w:val="clear" w:color="auto" w:fill="7261A2"/>
          </w:tcPr>
          <w:p w14:paraId="6B8B7752" w14:textId="2959C139" w:rsidR="00611DB5" w:rsidRPr="0049195F" w:rsidRDefault="00611DB5" w:rsidP="00611DB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tc>
        <w:tc>
          <w:tcPr>
            <w:tcW w:w="8866" w:type="dxa"/>
            <w:gridSpan w:val="2"/>
            <w:shd w:val="clear" w:color="auto" w:fill="7261A2"/>
          </w:tcPr>
          <w:p w14:paraId="7D71510F" w14:textId="77777777" w:rsidR="00611DB5" w:rsidRDefault="00611DB5" w:rsidP="00611DB5">
            <w:pPr>
              <w:autoSpaceDE w:val="0"/>
              <w:autoSpaceDN w:val="0"/>
              <w:adjustRightInd w:val="0"/>
              <w:outlineLvl w:val="0"/>
              <w:rPr>
                <w:rFonts w:ascii="Aptos" w:hAnsi="Aptos"/>
                <w:b/>
                <w:bCs/>
                <w:color w:val="FFFFFF" w:themeColor="background1"/>
                <w:sz w:val="24"/>
                <w:lang w:val="en-US"/>
              </w:rPr>
            </w:pPr>
            <w:r w:rsidRPr="00387B1D">
              <w:rPr>
                <w:rFonts w:ascii="Aptos" w:hAnsi="Aptos"/>
                <w:b/>
                <w:bCs/>
                <w:color w:val="FFFFFF" w:themeColor="background1"/>
                <w:sz w:val="24"/>
                <w:lang w:val="en-US"/>
              </w:rPr>
              <w:t>NON-EQUITY SECURITIES WITH ESG-RELATED USE OF PROCEEDS</w:t>
            </w:r>
            <w:r w:rsidR="004C0C2A">
              <w:rPr>
                <w:rStyle w:val="FootnoteReference"/>
                <w:rFonts w:ascii="Aptos" w:hAnsi="Aptos"/>
                <w:b/>
                <w:bCs/>
                <w:color w:val="FFFFFF" w:themeColor="background1"/>
                <w:sz w:val="24"/>
                <w:lang w:val="en-US"/>
              </w:rPr>
              <w:footnoteReference w:id="1"/>
            </w:r>
          </w:p>
          <w:p w14:paraId="61CDE16D" w14:textId="429164FB" w:rsidR="00762741" w:rsidRPr="00B418C4" w:rsidRDefault="00762741" w:rsidP="00611DB5">
            <w:pPr>
              <w:autoSpaceDE w:val="0"/>
              <w:autoSpaceDN w:val="0"/>
              <w:adjustRightInd w:val="0"/>
              <w:outlineLvl w:val="0"/>
              <w:rPr>
                <w:rFonts w:ascii="Aptos" w:hAnsi="Aptos"/>
                <w:b/>
                <w:bCs/>
                <w:sz w:val="24"/>
                <w:lang w:val="en-US"/>
              </w:rPr>
            </w:pPr>
          </w:p>
        </w:tc>
      </w:tr>
      <w:tr w:rsidR="00611DB5" w:rsidRPr="00E73EED" w14:paraId="15259D3E" w14:textId="77777777" w:rsidTr="00354071">
        <w:trPr>
          <w:trHeight w:val="220"/>
          <w:jc w:val="center"/>
        </w:trPr>
        <w:tc>
          <w:tcPr>
            <w:tcW w:w="1619" w:type="dxa"/>
            <w:shd w:val="clear" w:color="auto" w:fill="E9E5FF"/>
          </w:tcPr>
          <w:p w14:paraId="754B95A3" w14:textId="7D2FDFDC" w:rsidR="00611DB5" w:rsidRPr="00E93BF8" w:rsidRDefault="00611DB5" w:rsidP="00611DB5">
            <w:pPr>
              <w:autoSpaceDE w:val="0"/>
              <w:autoSpaceDN w:val="0"/>
              <w:adjustRightInd w:val="0"/>
              <w:outlineLvl w:val="0"/>
              <w:rPr>
                <w:rFonts w:ascii="Aptos" w:hAnsi="Aptos"/>
                <w:b/>
                <w:bCs/>
                <w:sz w:val="20"/>
                <w:szCs w:val="20"/>
              </w:rPr>
            </w:pPr>
            <w:r w:rsidRPr="081E9C0F">
              <w:rPr>
                <w:rFonts w:ascii="Aptos" w:hAnsi="Aptos"/>
                <w:b/>
                <w:bCs/>
                <w:sz w:val="20"/>
                <w:szCs w:val="20"/>
              </w:rPr>
              <w:t>Item</w:t>
            </w:r>
            <w:r w:rsidR="00AF129E">
              <w:rPr>
                <w:rFonts w:ascii="Aptos" w:hAnsi="Aptos"/>
                <w:b/>
                <w:bCs/>
                <w:sz w:val="20"/>
                <w:szCs w:val="20"/>
              </w:rPr>
              <w:t xml:space="preserve"> 2.1</w:t>
            </w:r>
          </w:p>
        </w:tc>
        <w:tc>
          <w:tcPr>
            <w:tcW w:w="8866" w:type="dxa"/>
            <w:gridSpan w:val="2"/>
            <w:shd w:val="clear" w:color="auto" w:fill="E9E5FF"/>
          </w:tcPr>
          <w:p w14:paraId="6FB88726" w14:textId="18CB7899" w:rsidR="00611DB5" w:rsidRPr="0025285D" w:rsidRDefault="0025285D" w:rsidP="0025285D">
            <w:pPr>
              <w:autoSpaceDE w:val="0"/>
              <w:autoSpaceDN w:val="0"/>
              <w:adjustRightInd w:val="0"/>
              <w:outlineLvl w:val="0"/>
              <w:rPr>
                <w:rFonts w:ascii="Times New Roman" w:hAnsi="Times New Roman"/>
                <w:color w:val="000000"/>
                <w:sz w:val="23"/>
                <w:szCs w:val="23"/>
                <w:lang w:val="en-US"/>
              </w:rPr>
            </w:pPr>
            <w:r w:rsidRPr="0025285D">
              <w:rPr>
                <w:rFonts w:ascii="Aptos" w:hAnsi="Aptos"/>
                <w:b/>
                <w:bCs/>
                <w:sz w:val="24"/>
                <w:lang w:val="en-US"/>
              </w:rPr>
              <w:t>In relation to non-equity securities with ESG-related use of proceeds:</w:t>
            </w:r>
            <w:r w:rsidRPr="00E73EED">
              <w:rPr>
                <w:sz w:val="23"/>
                <w:szCs w:val="23"/>
                <w:lang w:val="en-GB"/>
              </w:rPr>
              <w:t xml:space="preserve"> </w:t>
            </w:r>
          </w:p>
        </w:tc>
      </w:tr>
      <w:tr w:rsidR="00611DB5" w:rsidRPr="00E73EED" w14:paraId="6D570714" w14:textId="77777777" w:rsidTr="00354071">
        <w:trPr>
          <w:trHeight w:val="218"/>
          <w:jc w:val="center"/>
        </w:trPr>
        <w:tc>
          <w:tcPr>
            <w:tcW w:w="1619" w:type="dxa"/>
            <w:shd w:val="clear" w:color="auto" w:fill="E9E5FF"/>
          </w:tcPr>
          <w:p w14:paraId="14E6B3AE" w14:textId="3493F9F6" w:rsidR="0047666D" w:rsidRPr="00E93BF8" w:rsidRDefault="0047666D" w:rsidP="0047666D">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2</w:t>
            </w:r>
            <w:r w:rsidRPr="00E93BF8">
              <w:rPr>
                <w:rFonts w:ascii="Aptos" w:hAnsi="Aptos"/>
                <w:b/>
                <w:bCs/>
                <w:sz w:val="20"/>
                <w:szCs w:val="20"/>
                <w:lang w:val="en-US"/>
              </w:rPr>
              <w:t>.1</w:t>
            </w:r>
            <w:r>
              <w:rPr>
                <w:rFonts w:ascii="Aptos" w:hAnsi="Aptos"/>
                <w:b/>
                <w:bCs/>
                <w:sz w:val="20"/>
                <w:szCs w:val="20"/>
                <w:lang w:val="en-US"/>
              </w:rPr>
              <w:t>.1</w:t>
            </w:r>
          </w:p>
          <w:p w14:paraId="5F0DFE4E" w14:textId="7187CD02" w:rsidR="00611DB5" w:rsidRDefault="00754700" w:rsidP="0047666D">
            <w:pPr>
              <w:autoSpaceDE w:val="0"/>
              <w:autoSpaceDN w:val="0"/>
              <w:adjustRightInd w:val="0"/>
              <w:outlineLvl w:val="0"/>
              <w:rPr>
                <w:rFonts w:ascii="Aptos" w:hAnsi="Aptos"/>
                <w:sz w:val="20"/>
                <w:szCs w:val="20"/>
                <w:lang w:val="en-US"/>
              </w:rPr>
            </w:pPr>
            <w:sdt>
              <w:sdtPr>
                <w:rPr>
                  <w:rFonts w:ascii="Aptos" w:hAnsi="Aptos"/>
                  <w:sz w:val="16"/>
                  <w:szCs w:val="16"/>
                  <w:lang w:val="en-US"/>
                </w:rPr>
                <w:id w:val="2145616902"/>
                <w14:checkbox>
                  <w14:checked w14:val="0"/>
                  <w14:checkedState w14:val="2612" w14:font="MS Gothic"/>
                  <w14:uncheckedState w14:val="2610" w14:font="MS Gothic"/>
                </w14:checkbox>
              </w:sdtPr>
              <w:sdtEndPr/>
              <w:sdtContent>
                <w:r w:rsidR="0047666D">
                  <w:rPr>
                    <w:rFonts w:ascii="MS Gothic" w:eastAsia="MS Gothic" w:hAnsi="MS Gothic" w:hint="eastAsia"/>
                    <w:sz w:val="16"/>
                    <w:szCs w:val="16"/>
                    <w:lang w:val="en-US"/>
                  </w:rPr>
                  <w:t>☐</w:t>
                </w:r>
              </w:sdtContent>
            </w:sdt>
            <w:r w:rsidR="0047666D">
              <w:rPr>
                <w:rFonts w:ascii="Aptos" w:hAnsi="Aptos"/>
                <w:sz w:val="20"/>
                <w:szCs w:val="20"/>
                <w:lang w:val="en-US"/>
              </w:rPr>
              <w:t xml:space="preserve"> </w:t>
            </w:r>
            <w:r w:rsidR="0047666D" w:rsidRPr="00B95AEB">
              <w:rPr>
                <w:rFonts w:ascii="Aptos" w:hAnsi="Aptos"/>
                <w:sz w:val="16"/>
                <w:szCs w:val="16"/>
                <w:lang w:val="en-US"/>
              </w:rPr>
              <w:t xml:space="preserve">Check if </w:t>
            </w:r>
            <w:r w:rsidR="0047666D">
              <w:rPr>
                <w:rFonts w:ascii="Aptos" w:hAnsi="Aptos"/>
                <w:sz w:val="16"/>
                <w:szCs w:val="16"/>
                <w:lang w:val="en-US"/>
              </w:rPr>
              <w:t>n/a</w:t>
            </w:r>
          </w:p>
        </w:tc>
        <w:tc>
          <w:tcPr>
            <w:tcW w:w="2345" w:type="dxa"/>
          </w:tcPr>
          <w:p w14:paraId="36E1EBAD" w14:textId="77777777" w:rsidR="00611DB5" w:rsidRPr="00642232"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ED8BB10" w14:textId="7B8D13F9" w:rsidR="00611DB5" w:rsidRDefault="00162CFB" w:rsidP="00EA0E53">
            <w:pPr>
              <w:pStyle w:val="Default"/>
              <w:numPr>
                <w:ilvl w:val="0"/>
                <w:numId w:val="6"/>
              </w:numPr>
              <w:rPr>
                <w:rFonts w:ascii="Aptos" w:hAnsi="Aptos"/>
                <w:sz w:val="20"/>
                <w:szCs w:val="20"/>
              </w:rPr>
            </w:pPr>
            <w:r w:rsidRPr="00F6677E">
              <w:rPr>
                <w:rFonts w:ascii="Aptos" w:hAnsi="Aptos"/>
                <w:sz w:val="20"/>
                <w:szCs w:val="20"/>
              </w:rPr>
              <w:t xml:space="preserve">A list of the sustainable projects and activities to which the proceeds from the non-equity securities are to be allocated. </w:t>
            </w:r>
          </w:p>
          <w:p w14:paraId="7677E987" w14:textId="77777777" w:rsidR="00EA0E53" w:rsidRDefault="00EA0E53" w:rsidP="00EA0E53">
            <w:pPr>
              <w:pStyle w:val="Default"/>
              <w:rPr>
                <w:rFonts w:ascii="Aptos" w:hAnsi="Aptos"/>
                <w:sz w:val="20"/>
                <w:szCs w:val="20"/>
              </w:rPr>
            </w:pPr>
          </w:p>
          <w:p w14:paraId="141B108F" w14:textId="067711B8" w:rsidR="00EA0E53" w:rsidRPr="00F6677E" w:rsidRDefault="00EA0E53" w:rsidP="00EA0E53">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611DB5" w:rsidRPr="00E73EED" w14:paraId="656BCF37" w14:textId="77777777" w:rsidTr="00354071">
        <w:trPr>
          <w:trHeight w:val="218"/>
          <w:jc w:val="center"/>
        </w:trPr>
        <w:tc>
          <w:tcPr>
            <w:tcW w:w="1619" w:type="dxa"/>
            <w:shd w:val="clear" w:color="auto" w:fill="E9E5FF"/>
          </w:tcPr>
          <w:p w14:paraId="3EB76EE5" w14:textId="77777777" w:rsidR="00611DB5" w:rsidRPr="00642232" w:rsidRDefault="00754700" w:rsidP="00611DB5">
            <w:pPr>
              <w:autoSpaceDE w:val="0"/>
              <w:autoSpaceDN w:val="0"/>
              <w:adjustRightInd w:val="0"/>
              <w:outlineLvl w:val="0"/>
              <w:rPr>
                <w:rFonts w:ascii="Aptos" w:hAnsi="Aptos"/>
                <w:sz w:val="20"/>
                <w:szCs w:val="20"/>
                <w:lang w:val="en-GB"/>
              </w:rPr>
            </w:pPr>
            <w:sdt>
              <w:sdtPr>
                <w:rPr>
                  <w:rFonts w:ascii="Aptos" w:hAnsi="Aptos"/>
                  <w:sz w:val="16"/>
                  <w:szCs w:val="16"/>
                  <w:lang w:val="en-US"/>
                </w:rPr>
                <w:id w:val="1481884813"/>
                <w14:checkbox>
                  <w14:checked w14:val="0"/>
                  <w14:checkedState w14:val="2612" w14:font="MS Gothic"/>
                  <w14:uncheckedState w14:val="2610" w14:font="MS Gothic"/>
                </w14:checkbox>
              </w:sdtPr>
              <w:sdtEndPr/>
              <w:sdtContent>
                <w:r w:rsidR="00611DB5">
                  <w:rPr>
                    <w:rFonts w:ascii="MS Gothic" w:eastAsia="MS Gothic" w:hAnsi="MS Gothic" w:hint="eastAsia"/>
                    <w:sz w:val="16"/>
                    <w:szCs w:val="16"/>
                    <w:lang w:val="en-US"/>
                  </w:rPr>
                  <w:t>☐</w:t>
                </w:r>
              </w:sdtContent>
            </w:sdt>
            <w:r w:rsidR="00611DB5">
              <w:rPr>
                <w:rFonts w:ascii="Aptos" w:hAnsi="Aptos"/>
                <w:sz w:val="20"/>
                <w:szCs w:val="20"/>
                <w:lang w:val="en-US"/>
              </w:rPr>
              <w:t xml:space="preserve"> </w:t>
            </w:r>
            <w:r w:rsidR="00611DB5" w:rsidRPr="00B95AEB">
              <w:rPr>
                <w:rFonts w:ascii="Aptos" w:hAnsi="Aptos"/>
                <w:sz w:val="16"/>
                <w:szCs w:val="16"/>
                <w:lang w:val="en-US"/>
              </w:rPr>
              <w:t xml:space="preserve">Check if </w:t>
            </w:r>
            <w:r w:rsidR="00611DB5">
              <w:rPr>
                <w:rFonts w:ascii="Aptos" w:hAnsi="Aptos"/>
                <w:sz w:val="16"/>
                <w:szCs w:val="16"/>
                <w:lang w:val="en-US"/>
              </w:rPr>
              <w:t>n/a</w:t>
            </w:r>
          </w:p>
        </w:tc>
        <w:tc>
          <w:tcPr>
            <w:tcW w:w="2345" w:type="dxa"/>
          </w:tcPr>
          <w:p w14:paraId="1E261EEF" w14:textId="77777777" w:rsidR="00611DB5" w:rsidRPr="00642232"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FDD7C88" w14:textId="12A0BB54" w:rsidR="009A076C" w:rsidRPr="00E7344F" w:rsidRDefault="00BB41B8" w:rsidP="009A076C">
            <w:pPr>
              <w:pStyle w:val="Default"/>
              <w:numPr>
                <w:ilvl w:val="0"/>
                <w:numId w:val="6"/>
              </w:numPr>
              <w:rPr>
                <w:rFonts w:ascii="Aptos" w:hAnsi="Aptos"/>
                <w:sz w:val="20"/>
                <w:szCs w:val="20"/>
              </w:rPr>
            </w:pPr>
            <w:r w:rsidRPr="00F6677E">
              <w:rPr>
                <w:rFonts w:ascii="Aptos" w:hAnsi="Aptos"/>
                <w:sz w:val="20"/>
                <w:szCs w:val="20"/>
              </w:rPr>
              <w:t xml:space="preserve">A description of: </w:t>
            </w:r>
          </w:p>
          <w:p w14:paraId="134E82B3" w14:textId="77777777" w:rsidR="009A076C" w:rsidRDefault="009A076C" w:rsidP="009A076C">
            <w:pPr>
              <w:pStyle w:val="Default"/>
              <w:rPr>
                <w:rFonts w:ascii="Aptos" w:hAnsi="Aptos"/>
                <w:sz w:val="20"/>
                <w:szCs w:val="20"/>
              </w:rPr>
            </w:pPr>
          </w:p>
          <w:p w14:paraId="2570B415" w14:textId="77777777" w:rsidR="00486CF9" w:rsidRDefault="00486CF9" w:rsidP="00486CF9">
            <w:pPr>
              <w:pStyle w:val="ListParagraph"/>
              <w:numPr>
                <w:ilvl w:val="0"/>
                <w:numId w:val="7"/>
              </w:numPr>
              <w:autoSpaceDE w:val="0"/>
              <w:autoSpaceDN w:val="0"/>
              <w:adjustRightInd w:val="0"/>
              <w:outlineLvl w:val="0"/>
              <w:rPr>
                <w:rFonts w:ascii="Aptos" w:hAnsi="Aptos"/>
                <w:sz w:val="20"/>
                <w:szCs w:val="20"/>
              </w:rPr>
            </w:pPr>
            <w:r w:rsidRPr="00F6677E">
              <w:rPr>
                <w:rFonts w:ascii="Aptos" w:hAnsi="Aptos"/>
                <w:sz w:val="20"/>
                <w:szCs w:val="20"/>
              </w:rPr>
              <w:t xml:space="preserve">the goal and characteristics of the relevant sustainable projects or activities to be financed, and the criteria used to determine that such projects or activities are sustainable; </w:t>
            </w:r>
          </w:p>
          <w:p w14:paraId="6CEF55A9" w14:textId="2B630DFA" w:rsidR="00E7344F" w:rsidRPr="00E7344F" w:rsidRDefault="00BB41B8" w:rsidP="00E7344F">
            <w:pPr>
              <w:pStyle w:val="ListParagraph"/>
              <w:numPr>
                <w:ilvl w:val="0"/>
                <w:numId w:val="7"/>
              </w:numPr>
              <w:autoSpaceDE w:val="0"/>
              <w:autoSpaceDN w:val="0"/>
              <w:adjustRightInd w:val="0"/>
              <w:outlineLvl w:val="0"/>
              <w:rPr>
                <w:rFonts w:ascii="Aptos" w:hAnsi="Aptos"/>
                <w:sz w:val="20"/>
                <w:szCs w:val="20"/>
              </w:rPr>
            </w:pPr>
            <w:r w:rsidRPr="00486CF9">
              <w:rPr>
                <w:rFonts w:ascii="Aptos" w:eastAsia="Calibri" w:hAnsi="Aptos"/>
                <w:sz w:val="20"/>
                <w:szCs w:val="20"/>
                <w14:ligatures w14:val="none"/>
              </w:rPr>
              <w:t xml:space="preserve">any permissible deviations from that allocation including, where applicable, any terms and conditions that allow for such deviations. </w:t>
            </w:r>
          </w:p>
          <w:p w14:paraId="377D8533" w14:textId="34B6278F" w:rsidR="00E7344F" w:rsidRPr="00E7344F" w:rsidRDefault="00E7344F" w:rsidP="00E7344F">
            <w:pPr>
              <w:autoSpaceDE w:val="0"/>
              <w:autoSpaceDN w:val="0"/>
              <w:adjustRightInd w:val="0"/>
              <w:outlineLvl w:val="0"/>
              <w:rPr>
                <w:rFonts w:ascii="Aptos" w:eastAsiaTheme="minorHAnsi" w:hAnsi="Aptos"/>
                <w:sz w:val="20"/>
                <w:szCs w:val="20"/>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B</w:t>
            </w:r>
          </w:p>
        </w:tc>
      </w:tr>
      <w:tr w:rsidR="00611DB5" w:rsidRPr="00E73EED" w14:paraId="2B489D93" w14:textId="77777777" w:rsidTr="00354071">
        <w:trPr>
          <w:trHeight w:val="218"/>
          <w:jc w:val="center"/>
        </w:trPr>
        <w:tc>
          <w:tcPr>
            <w:tcW w:w="1619" w:type="dxa"/>
            <w:shd w:val="clear" w:color="auto" w:fill="E9E5FF"/>
          </w:tcPr>
          <w:p w14:paraId="73F95B13" w14:textId="77777777" w:rsidR="00611DB5" w:rsidRDefault="00754700" w:rsidP="00611DB5">
            <w:pPr>
              <w:autoSpaceDE w:val="0"/>
              <w:autoSpaceDN w:val="0"/>
              <w:adjustRightInd w:val="0"/>
              <w:outlineLvl w:val="0"/>
              <w:rPr>
                <w:rFonts w:ascii="Aptos" w:hAnsi="Aptos"/>
                <w:sz w:val="20"/>
                <w:szCs w:val="20"/>
                <w:lang w:val="en-US"/>
              </w:rPr>
            </w:pPr>
            <w:sdt>
              <w:sdtPr>
                <w:rPr>
                  <w:rFonts w:ascii="Aptos" w:hAnsi="Aptos"/>
                  <w:sz w:val="16"/>
                  <w:szCs w:val="16"/>
                  <w:lang w:val="en-US"/>
                </w:rPr>
                <w:id w:val="-1459945215"/>
                <w14:checkbox>
                  <w14:checked w14:val="0"/>
                  <w14:checkedState w14:val="2612" w14:font="MS Gothic"/>
                  <w14:uncheckedState w14:val="2610" w14:font="MS Gothic"/>
                </w14:checkbox>
              </w:sdtPr>
              <w:sdtEndPr/>
              <w:sdtContent>
                <w:r w:rsidR="00611DB5">
                  <w:rPr>
                    <w:rFonts w:ascii="MS Gothic" w:eastAsia="MS Gothic" w:hAnsi="MS Gothic" w:hint="eastAsia"/>
                    <w:sz w:val="16"/>
                    <w:szCs w:val="16"/>
                    <w:lang w:val="en-US"/>
                  </w:rPr>
                  <w:t>☐</w:t>
                </w:r>
              </w:sdtContent>
            </w:sdt>
            <w:r w:rsidR="00611DB5">
              <w:rPr>
                <w:rFonts w:ascii="Aptos" w:hAnsi="Aptos"/>
                <w:sz w:val="20"/>
                <w:szCs w:val="20"/>
                <w:lang w:val="en-US"/>
              </w:rPr>
              <w:t xml:space="preserve"> </w:t>
            </w:r>
            <w:r w:rsidR="00611DB5" w:rsidRPr="00B95AEB">
              <w:rPr>
                <w:rFonts w:ascii="Aptos" w:hAnsi="Aptos"/>
                <w:sz w:val="16"/>
                <w:szCs w:val="16"/>
                <w:lang w:val="en-US"/>
              </w:rPr>
              <w:t xml:space="preserve">Check if </w:t>
            </w:r>
            <w:r w:rsidR="00611DB5">
              <w:rPr>
                <w:rFonts w:ascii="Aptos" w:hAnsi="Aptos"/>
                <w:sz w:val="16"/>
                <w:szCs w:val="16"/>
                <w:lang w:val="en-US"/>
              </w:rPr>
              <w:t>n/a</w:t>
            </w:r>
          </w:p>
        </w:tc>
        <w:tc>
          <w:tcPr>
            <w:tcW w:w="2345" w:type="dxa"/>
          </w:tcPr>
          <w:p w14:paraId="4027EFE6" w14:textId="77777777" w:rsidR="00611DB5" w:rsidRPr="00642232"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EBDCDC3" w14:textId="77777777" w:rsidR="00611DB5" w:rsidRDefault="00BB41B8" w:rsidP="00BB41B8">
            <w:pPr>
              <w:pStyle w:val="Default"/>
              <w:rPr>
                <w:rFonts w:ascii="Aptos" w:hAnsi="Aptos"/>
                <w:sz w:val="20"/>
                <w:szCs w:val="20"/>
              </w:rPr>
            </w:pPr>
            <w:r w:rsidRPr="00F6677E">
              <w:rPr>
                <w:rFonts w:ascii="Aptos" w:hAnsi="Aptos"/>
                <w:sz w:val="20"/>
                <w:szCs w:val="20"/>
              </w:rPr>
              <w:t xml:space="preserve">Where the sustainable projects or activities are not identified at the time of the approval of the prospectus, issuers shall disclose the criteria which will be used to identify the relevant projects. </w:t>
            </w:r>
          </w:p>
          <w:p w14:paraId="728B6CA8" w14:textId="77777777" w:rsidR="00DB5D66" w:rsidRDefault="00DB5D66" w:rsidP="00DB5D66">
            <w:pPr>
              <w:pStyle w:val="Default"/>
              <w:rPr>
                <w:rFonts w:ascii="Aptos" w:hAnsi="Aptos"/>
                <w:sz w:val="20"/>
                <w:szCs w:val="20"/>
              </w:rPr>
            </w:pPr>
          </w:p>
          <w:p w14:paraId="572B181B" w14:textId="69D4596C" w:rsidR="00DB5D66" w:rsidRPr="00F6677E" w:rsidRDefault="00DB5D66" w:rsidP="00DB5D66">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611DB5" w:rsidRPr="00E73EED" w14:paraId="0FBCC949" w14:textId="77777777" w:rsidTr="00354071">
        <w:trPr>
          <w:trHeight w:val="220"/>
          <w:jc w:val="center"/>
        </w:trPr>
        <w:tc>
          <w:tcPr>
            <w:tcW w:w="1619" w:type="dxa"/>
            <w:shd w:val="clear" w:color="auto" w:fill="7261A2"/>
          </w:tcPr>
          <w:p w14:paraId="607DBA7C" w14:textId="7795DF75" w:rsidR="00611DB5" w:rsidRPr="0049195F" w:rsidRDefault="00611DB5" w:rsidP="00611DB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Pr>
          <w:p w14:paraId="384402DA" w14:textId="77777777" w:rsidR="00611DB5" w:rsidRDefault="00611DB5" w:rsidP="00611DB5">
            <w:pPr>
              <w:pStyle w:val="Default"/>
              <w:rPr>
                <w:rFonts w:ascii="Aptos" w:eastAsia="Times New Roman" w:hAnsi="Aptos"/>
                <w:b/>
                <w:bCs/>
                <w:color w:val="FFFFFF" w:themeColor="background1"/>
                <w:sz w:val="24"/>
              </w:rPr>
            </w:pPr>
            <w:r w:rsidRPr="00654830">
              <w:rPr>
                <w:rFonts w:ascii="Aptos" w:eastAsia="Times New Roman" w:hAnsi="Aptos"/>
                <w:b/>
                <w:bCs/>
                <w:color w:val="FFFFFF" w:themeColor="background1"/>
                <w:sz w:val="24"/>
              </w:rPr>
              <w:t>SUSTAINABILITY-LINKED NON-EQUITY SECURITIES</w:t>
            </w:r>
            <w:r w:rsidR="0048224C">
              <w:rPr>
                <w:rStyle w:val="FootnoteReference"/>
                <w:rFonts w:ascii="Aptos" w:eastAsia="Times New Roman" w:hAnsi="Aptos"/>
                <w:b/>
                <w:bCs/>
                <w:color w:val="FFFFFF" w:themeColor="background1"/>
                <w:sz w:val="24"/>
              </w:rPr>
              <w:footnoteReference w:id="2"/>
            </w:r>
          </w:p>
          <w:p w14:paraId="7C136955" w14:textId="43662866" w:rsidR="00EA0E53" w:rsidRPr="00654830" w:rsidRDefault="00EA0E53" w:rsidP="00611DB5">
            <w:pPr>
              <w:pStyle w:val="Default"/>
              <w:rPr>
                <w:sz w:val="16"/>
                <w:szCs w:val="16"/>
              </w:rPr>
            </w:pPr>
          </w:p>
        </w:tc>
      </w:tr>
      <w:tr w:rsidR="00611DB5" w:rsidRPr="00E73EED" w14:paraId="45215AE5" w14:textId="77777777" w:rsidTr="00354071">
        <w:trPr>
          <w:trHeight w:val="220"/>
          <w:jc w:val="center"/>
        </w:trPr>
        <w:tc>
          <w:tcPr>
            <w:tcW w:w="1619" w:type="dxa"/>
            <w:shd w:val="clear" w:color="auto" w:fill="E9E5FF"/>
          </w:tcPr>
          <w:p w14:paraId="58829C1B" w14:textId="04BA2CA2" w:rsidR="00611DB5" w:rsidRPr="00E93BF8" w:rsidRDefault="00611DB5" w:rsidP="00611DB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C82C56">
              <w:rPr>
                <w:rFonts w:ascii="Aptos" w:hAnsi="Aptos"/>
                <w:b/>
                <w:bCs/>
                <w:sz w:val="20"/>
                <w:szCs w:val="20"/>
              </w:rPr>
              <w:t>3.1</w:t>
            </w:r>
          </w:p>
        </w:tc>
        <w:tc>
          <w:tcPr>
            <w:tcW w:w="8866" w:type="dxa"/>
            <w:gridSpan w:val="2"/>
            <w:shd w:val="clear" w:color="auto" w:fill="E9E5FF"/>
          </w:tcPr>
          <w:p w14:paraId="25ABA68E" w14:textId="401280DA" w:rsidR="00611DB5" w:rsidRPr="000D0BF6" w:rsidRDefault="000D0BF6" w:rsidP="000D0BF6">
            <w:pPr>
              <w:autoSpaceDE w:val="0"/>
              <w:autoSpaceDN w:val="0"/>
              <w:adjustRightInd w:val="0"/>
              <w:outlineLvl w:val="0"/>
              <w:rPr>
                <w:rFonts w:ascii="Times New Roman" w:hAnsi="Times New Roman"/>
                <w:color w:val="000000"/>
                <w:sz w:val="23"/>
                <w:szCs w:val="23"/>
                <w:lang w:val="en-US"/>
              </w:rPr>
            </w:pPr>
            <w:r w:rsidRPr="00E73EED">
              <w:rPr>
                <w:rFonts w:ascii="Aptos" w:hAnsi="Aptos"/>
                <w:b/>
                <w:bCs/>
                <w:sz w:val="24"/>
                <w:szCs w:val="24"/>
                <w:lang w:val="en-GB"/>
              </w:rPr>
              <w:t>In relation to sustainability-linked non-equity securities:</w:t>
            </w:r>
            <w:r w:rsidRPr="00E73EED">
              <w:rPr>
                <w:sz w:val="27"/>
                <w:szCs w:val="28"/>
                <w:lang w:val="en-GB"/>
              </w:rPr>
              <w:t xml:space="preserve"> </w:t>
            </w:r>
          </w:p>
        </w:tc>
      </w:tr>
      <w:tr w:rsidR="00611DB5" w:rsidRPr="00642232" w14:paraId="486E9E95" w14:textId="77777777" w:rsidTr="00354071">
        <w:trPr>
          <w:trHeight w:val="218"/>
          <w:jc w:val="center"/>
        </w:trPr>
        <w:tc>
          <w:tcPr>
            <w:tcW w:w="1619" w:type="dxa"/>
            <w:shd w:val="clear" w:color="auto" w:fill="E9E5FF"/>
          </w:tcPr>
          <w:p w14:paraId="11A98255" w14:textId="51568B36" w:rsidR="00037F6A" w:rsidRPr="00E93BF8" w:rsidRDefault="00037F6A" w:rsidP="00037F6A">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3</w:t>
            </w:r>
            <w:r w:rsidRPr="00E93BF8">
              <w:rPr>
                <w:rFonts w:ascii="Aptos" w:hAnsi="Aptos"/>
                <w:b/>
                <w:bCs/>
                <w:sz w:val="20"/>
                <w:szCs w:val="20"/>
                <w:lang w:val="en-US"/>
              </w:rPr>
              <w:t>.1</w:t>
            </w:r>
            <w:r>
              <w:rPr>
                <w:rFonts w:ascii="Aptos" w:hAnsi="Aptos"/>
                <w:b/>
                <w:bCs/>
                <w:sz w:val="20"/>
                <w:szCs w:val="20"/>
                <w:lang w:val="en-US"/>
              </w:rPr>
              <w:t>.1</w:t>
            </w:r>
          </w:p>
          <w:p w14:paraId="2BA8DDB5" w14:textId="2EF9C1BC" w:rsidR="00611DB5" w:rsidRDefault="00754700" w:rsidP="00037F6A">
            <w:pPr>
              <w:autoSpaceDE w:val="0"/>
              <w:autoSpaceDN w:val="0"/>
              <w:adjustRightInd w:val="0"/>
              <w:outlineLvl w:val="0"/>
              <w:rPr>
                <w:rFonts w:ascii="Aptos" w:hAnsi="Aptos"/>
                <w:sz w:val="20"/>
                <w:szCs w:val="20"/>
                <w:lang w:val="en-US"/>
              </w:rPr>
            </w:pPr>
            <w:sdt>
              <w:sdtPr>
                <w:rPr>
                  <w:rFonts w:ascii="Aptos" w:hAnsi="Aptos"/>
                  <w:sz w:val="16"/>
                  <w:szCs w:val="16"/>
                  <w:lang w:val="en-US"/>
                </w:rPr>
                <w:id w:val="1654875246"/>
                <w14:checkbox>
                  <w14:checked w14:val="0"/>
                  <w14:checkedState w14:val="2612" w14:font="MS Gothic"/>
                  <w14:uncheckedState w14:val="2610" w14:font="MS Gothic"/>
                </w14:checkbox>
              </w:sdtPr>
              <w:sdtEndPr/>
              <w:sdtContent>
                <w:r w:rsidR="00037F6A">
                  <w:rPr>
                    <w:rFonts w:ascii="MS Gothic" w:eastAsia="MS Gothic" w:hAnsi="MS Gothic" w:hint="eastAsia"/>
                    <w:sz w:val="16"/>
                    <w:szCs w:val="16"/>
                    <w:lang w:val="en-US"/>
                  </w:rPr>
                  <w:t>☐</w:t>
                </w:r>
              </w:sdtContent>
            </w:sdt>
            <w:r w:rsidR="00037F6A">
              <w:rPr>
                <w:rFonts w:ascii="Aptos" w:hAnsi="Aptos"/>
                <w:sz w:val="20"/>
                <w:szCs w:val="20"/>
                <w:lang w:val="en-US"/>
              </w:rPr>
              <w:t xml:space="preserve"> </w:t>
            </w:r>
            <w:r w:rsidR="00037F6A" w:rsidRPr="00B95AEB">
              <w:rPr>
                <w:rFonts w:ascii="Aptos" w:hAnsi="Aptos"/>
                <w:sz w:val="16"/>
                <w:szCs w:val="16"/>
                <w:lang w:val="en-US"/>
              </w:rPr>
              <w:t xml:space="preserve">Check if </w:t>
            </w:r>
            <w:r w:rsidR="00037F6A">
              <w:rPr>
                <w:rFonts w:ascii="Aptos" w:hAnsi="Aptos"/>
                <w:sz w:val="16"/>
                <w:szCs w:val="16"/>
                <w:lang w:val="en-US"/>
              </w:rPr>
              <w:t>n/a</w:t>
            </w:r>
          </w:p>
        </w:tc>
        <w:tc>
          <w:tcPr>
            <w:tcW w:w="2345" w:type="dxa"/>
          </w:tcPr>
          <w:p w14:paraId="084E2C6B" w14:textId="77777777" w:rsidR="00611DB5" w:rsidRPr="00642232"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359CF3E" w14:textId="77777777" w:rsidR="008E2568" w:rsidRPr="00CC65A8" w:rsidRDefault="008E2568" w:rsidP="008E2568">
            <w:pPr>
              <w:pStyle w:val="Default"/>
              <w:rPr>
                <w:rFonts w:ascii="Aptos" w:hAnsi="Aptos"/>
                <w:sz w:val="20"/>
                <w:szCs w:val="20"/>
              </w:rPr>
            </w:pPr>
            <w:r w:rsidRPr="00CC65A8">
              <w:rPr>
                <w:rFonts w:ascii="Aptos" w:hAnsi="Aptos"/>
                <w:sz w:val="20"/>
                <w:szCs w:val="20"/>
              </w:rPr>
              <w:t xml:space="preserve">A description of any financial features of the securities such as interest or premium payments which are influenced by the fulfilment or failure to fulfil ESG objectives, including the means by which interest payments or redemption amounts are calculated. </w:t>
            </w:r>
          </w:p>
          <w:p w14:paraId="1556F8C4" w14:textId="77777777" w:rsidR="00270E8A" w:rsidRDefault="00270E8A" w:rsidP="008E2568">
            <w:pPr>
              <w:autoSpaceDE w:val="0"/>
              <w:autoSpaceDN w:val="0"/>
              <w:adjustRightInd w:val="0"/>
              <w:outlineLvl w:val="0"/>
              <w:rPr>
                <w:rFonts w:ascii="Aptos" w:eastAsia="Calibri" w:hAnsi="Aptos"/>
                <w:color w:val="000000"/>
                <w:sz w:val="20"/>
                <w:szCs w:val="20"/>
                <w:lang w:val="en-US"/>
              </w:rPr>
            </w:pPr>
          </w:p>
          <w:p w14:paraId="61CB2B2C" w14:textId="695040B0" w:rsidR="00270E8A" w:rsidRDefault="008E2568" w:rsidP="008E2568">
            <w:pPr>
              <w:autoSpaceDE w:val="0"/>
              <w:autoSpaceDN w:val="0"/>
              <w:adjustRightInd w:val="0"/>
              <w:outlineLvl w:val="0"/>
              <w:rPr>
                <w:rFonts w:ascii="Aptos" w:eastAsia="Calibri" w:hAnsi="Aptos"/>
                <w:color w:val="000000"/>
                <w:sz w:val="20"/>
                <w:szCs w:val="20"/>
                <w:lang w:val="en-US"/>
              </w:rPr>
            </w:pPr>
            <w:r w:rsidRPr="00CC65A8">
              <w:rPr>
                <w:rFonts w:ascii="Aptos" w:eastAsia="Calibri" w:hAnsi="Aptos"/>
                <w:color w:val="000000"/>
                <w:sz w:val="20"/>
                <w:szCs w:val="20"/>
                <w:lang w:val="en-US"/>
              </w:rPr>
              <w:t xml:space="preserve">That disclosure shall: </w:t>
            </w:r>
          </w:p>
          <w:p w14:paraId="4A442581" w14:textId="77777777" w:rsidR="00270E8A" w:rsidRDefault="00270E8A" w:rsidP="00270E8A">
            <w:pPr>
              <w:pStyle w:val="Default"/>
              <w:rPr>
                <w:rFonts w:ascii="Aptos" w:hAnsi="Aptos"/>
                <w:sz w:val="20"/>
                <w:szCs w:val="20"/>
              </w:rPr>
            </w:pPr>
          </w:p>
          <w:p w14:paraId="3A0AB92C" w14:textId="335F9CA2" w:rsidR="00270E8A" w:rsidRPr="00CC65A8" w:rsidRDefault="00270E8A" w:rsidP="00270E8A">
            <w:pPr>
              <w:autoSpaceDE w:val="0"/>
              <w:autoSpaceDN w:val="0"/>
              <w:adjustRightInd w:val="0"/>
              <w:outlineLvl w:val="0"/>
              <w:rPr>
                <w:rFonts w:ascii="Aptos" w:eastAsia="Calibri" w:hAnsi="Aptos"/>
                <w:color w:val="000000"/>
                <w:sz w:val="20"/>
                <w:szCs w:val="20"/>
                <w:lang w:val="en-US"/>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B</w:t>
            </w:r>
          </w:p>
        </w:tc>
      </w:tr>
      <w:tr w:rsidR="00611DB5" w:rsidRPr="00E73EED" w14:paraId="7A8CDB5E" w14:textId="77777777" w:rsidTr="00354071">
        <w:trPr>
          <w:trHeight w:val="218"/>
          <w:jc w:val="center"/>
        </w:trPr>
        <w:tc>
          <w:tcPr>
            <w:tcW w:w="1619" w:type="dxa"/>
            <w:shd w:val="clear" w:color="auto" w:fill="E9E5FF"/>
          </w:tcPr>
          <w:p w14:paraId="56C68C8D" w14:textId="77777777" w:rsidR="00611DB5" w:rsidRPr="00642232" w:rsidRDefault="00754700" w:rsidP="00611DB5">
            <w:pPr>
              <w:autoSpaceDE w:val="0"/>
              <w:autoSpaceDN w:val="0"/>
              <w:adjustRightInd w:val="0"/>
              <w:outlineLvl w:val="0"/>
              <w:rPr>
                <w:rFonts w:ascii="Aptos" w:hAnsi="Aptos"/>
                <w:sz w:val="20"/>
                <w:szCs w:val="20"/>
                <w:lang w:val="en-GB"/>
              </w:rPr>
            </w:pPr>
            <w:sdt>
              <w:sdtPr>
                <w:rPr>
                  <w:rFonts w:ascii="Aptos" w:hAnsi="Aptos"/>
                  <w:sz w:val="16"/>
                  <w:szCs w:val="16"/>
                  <w:lang w:val="en-US"/>
                </w:rPr>
                <w:id w:val="-1609969377"/>
                <w14:checkbox>
                  <w14:checked w14:val="0"/>
                  <w14:checkedState w14:val="2612" w14:font="MS Gothic"/>
                  <w14:uncheckedState w14:val="2610" w14:font="MS Gothic"/>
                </w14:checkbox>
              </w:sdtPr>
              <w:sdtEndPr/>
              <w:sdtContent>
                <w:r w:rsidR="00611DB5">
                  <w:rPr>
                    <w:rFonts w:ascii="MS Gothic" w:eastAsia="MS Gothic" w:hAnsi="MS Gothic" w:hint="eastAsia"/>
                    <w:sz w:val="16"/>
                    <w:szCs w:val="16"/>
                    <w:lang w:val="en-US"/>
                  </w:rPr>
                  <w:t>☐</w:t>
                </w:r>
              </w:sdtContent>
            </w:sdt>
            <w:r w:rsidR="00611DB5">
              <w:rPr>
                <w:rFonts w:ascii="Aptos" w:hAnsi="Aptos"/>
                <w:sz w:val="20"/>
                <w:szCs w:val="20"/>
                <w:lang w:val="en-US"/>
              </w:rPr>
              <w:t xml:space="preserve"> </w:t>
            </w:r>
            <w:r w:rsidR="00611DB5" w:rsidRPr="00B95AEB">
              <w:rPr>
                <w:rFonts w:ascii="Aptos" w:hAnsi="Aptos"/>
                <w:sz w:val="16"/>
                <w:szCs w:val="16"/>
                <w:lang w:val="en-US"/>
              </w:rPr>
              <w:t xml:space="preserve">Check if </w:t>
            </w:r>
            <w:r w:rsidR="00611DB5">
              <w:rPr>
                <w:rFonts w:ascii="Aptos" w:hAnsi="Aptos"/>
                <w:sz w:val="16"/>
                <w:szCs w:val="16"/>
                <w:lang w:val="en-US"/>
              </w:rPr>
              <w:t>n/a</w:t>
            </w:r>
          </w:p>
        </w:tc>
        <w:tc>
          <w:tcPr>
            <w:tcW w:w="2345" w:type="dxa"/>
          </w:tcPr>
          <w:p w14:paraId="1A0ACF92" w14:textId="77777777" w:rsidR="00611DB5" w:rsidRPr="00642232"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3FE8B33" w14:textId="77777777" w:rsidR="00611DB5" w:rsidRDefault="008E2568" w:rsidP="00270E8A">
            <w:pPr>
              <w:pStyle w:val="Default"/>
              <w:numPr>
                <w:ilvl w:val="0"/>
                <w:numId w:val="8"/>
              </w:numPr>
              <w:rPr>
                <w:rFonts w:ascii="Aptos" w:hAnsi="Aptos"/>
                <w:sz w:val="20"/>
                <w:szCs w:val="20"/>
              </w:rPr>
            </w:pPr>
            <w:r w:rsidRPr="00CC65A8">
              <w:rPr>
                <w:rFonts w:ascii="Aptos" w:hAnsi="Aptos"/>
                <w:sz w:val="20"/>
                <w:szCs w:val="20"/>
              </w:rPr>
              <w:t xml:space="preserve">explain the selected key performance indicators (KPIs) and sustainability performance targets (SPTs); </w:t>
            </w:r>
          </w:p>
          <w:p w14:paraId="25491BD9" w14:textId="77777777" w:rsidR="00F47E5E" w:rsidRDefault="00F47E5E" w:rsidP="00F47E5E">
            <w:pPr>
              <w:pStyle w:val="Default"/>
              <w:rPr>
                <w:rStyle w:val="normaltextrun"/>
                <w:rFonts w:ascii="Aptos" w:hAnsi="Aptos" w:cs="Segoe UI"/>
                <w:color w:val="FF0000"/>
                <w:sz w:val="16"/>
                <w:szCs w:val="16"/>
                <w:shd w:val="clear" w:color="auto" w:fill="FFFFFF"/>
              </w:rPr>
            </w:pPr>
          </w:p>
          <w:p w14:paraId="2BC9DF6B" w14:textId="77B2E6B1" w:rsidR="00F47E5E" w:rsidRPr="00CC65A8" w:rsidRDefault="00F47E5E" w:rsidP="00F47E5E">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611DB5" w:rsidRPr="00E73EED" w14:paraId="6CD3F95C" w14:textId="77777777" w:rsidTr="00354071">
        <w:trPr>
          <w:trHeight w:val="218"/>
          <w:jc w:val="center"/>
        </w:trPr>
        <w:tc>
          <w:tcPr>
            <w:tcW w:w="1619" w:type="dxa"/>
            <w:shd w:val="clear" w:color="auto" w:fill="E9E5FF"/>
          </w:tcPr>
          <w:p w14:paraId="08C89AA4" w14:textId="77777777" w:rsidR="00611DB5" w:rsidRDefault="00754700" w:rsidP="00611DB5">
            <w:pPr>
              <w:autoSpaceDE w:val="0"/>
              <w:autoSpaceDN w:val="0"/>
              <w:adjustRightInd w:val="0"/>
              <w:outlineLvl w:val="0"/>
              <w:rPr>
                <w:rFonts w:ascii="Aptos" w:hAnsi="Aptos"/>
                <w:sz w:val="20"/>
                <w:szCs w:val="20"/>
                <w:lang w:val="en-US"/>
              </w:rPr>
            </w:pPr>
            <w:sdt>
              <w:sdtPr>
                <w:rPr>
                  <w:rFonts w:ascii="Aptos" w:hAnsi="Aptos"/>
                  <w:sz w:val="16"/>
                  <w:szCs w:val="16"/>
                  <w:lang w:val="en-US"/>
                </w:rPr>
                <w:id w:val="-353578469"/>
                <w14:checkbox>
                  <w14:checked w14:val="0"/>
                  <w14:checkedState w14:val="2612" w14:font="MS Gothic"/>
                  <w14:uncheckedState w14:val="2610" w14:font="MS Gothic"/>
                </w14:checkbox>
              </w:sdtPr>
              <w:sdtEndPr/>
              <w:sdtContent>
                <w:r w:rsidR="00611DB5">
                  <w:rPr>
                    <w:rFonts w:ascii="MS Gothic" w:eastAsia="MS Gothic" w:hAnsi="MS Gothic" w:hint="eastAsia"/>
                    <w:sz w:val="16"/>
                    <w:szCs w:val="16"/>
                    <w:lang w:val="en-US"/>
                  </w:rPr>
                  <w:t>☐</w:t>
                </w:r>
              </w:sdtContent>
            </w:sdt>
            <w:r w:rsidR="00611DB5">
              <w:rPr>
                <w:rFonts w:ascii="Aptos" w:hAnsi="Aptos"/>
                <w:sz w:val="20"/>
                <w:szCs w:val="20"/>
                <w:lang w:val="en-US"/>
              </w:rPr>
              <w:t xml:space="preserve"> </w:t>
            </w:r>
            <w:r w:rsidR="00611DB5" w:rsidRPr="00B95AEB">
              <w:rPr>
                <w:rFonts w:ascii="Aptos" w:hAnsi="Aptos"/>
                <w:sz w:val="16"/>
                <w:szCs w:val="16"/>
                <w:lang w:val="en-US"/>
              </w:rPr>
              <w:t xml:space="preserve">Check if </w:t>
            </w:r>
            <w:r w:rsidR="00611DB5">
              <w:rPr>
                <w:rFonts w:ascii="Aptos" w:hAnsi="Aptos"/>
                <w:sz w:val="16"/>
                <w:szCs w:val="16"/>
                <w:lang w:val="en-US"/>
              </w:rPr>
              <w:t>n/a</w:t>
            </w:r>
          </w:p>
        </w:tc>
        <w:tc>
          <w:tcPr>
            <w:tcW w:w="2345" w:type="dxa"/>
          </w:tcPr>
          <w:p w14:paraId="12E131DD" w14:textId="77777777" w:rsidR="00611DB5" w:rsidRPr="00642232" w:rsidRDefault="00611DB5" w:rsidP="00611DB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5CE25F6" w14:textId="77777777" w:rsidR="00611DB5" w:rsidRDefault="008E2568" w:rsidP="00270E8A">
            <w:pPr>
              <w:pStyle w:val="Default"/>
              <w:numPr>
                <w:ilvl w:val="0"/>
                <w:numId w:val="8"/>
              </w:numPr>
              <w:rPr>
                <w:rFonts w:ascii="Aptos" w:hAnsi="Aptos"/>
                <w:sz w:val="20"/>
                <w:szCs w:val="20"/>
              </w:rPr>
            </w:pPr>
            <w:r w:rsidRPr="00CC65A8">
              <w:rPr>
                <w:rFonts w:ascii="Aptos" w:hAnsi="Aptos"/>
                <w:sz w:val="20"/>
                <w:szCs w:val="20"/>
              </w:rPr>
              <w:t xml:space="preserve">contain the calculation methodology of the (KPIs) and SPTs; </w:t>
            </w:r>
          </w:p>
          <w:p w14:paraId="78BFCD47" w14:textId="77777777" w:rsidR="00E05219" w:rsidRDefault="00E05219" w:rsidP="00E05219">
            <w:pPr>
              <w:pStyle w:val="Default"/>
              <w:rPr>
                <w:rStyle w:val="normaltextrun"/>
                <w:rFonts w:ascii="Aptos" w:hAnsi="Aptos" w:cs="Segoe UI"/>
                <w:color w:val="FF0000"/>
                <w:sz w:val="16"/>
                <w:szCs w:val="16"/>
                <w:shd w:val="clear" w:color="auto" w:fill="FFFFFF"/>
              </w:rPr>
            </w:pPr>
          </w:p>
          <w:p w14:paraId="6442AC2C" w14:textId="0416C63D" w:rsidR="00E05219" w:rsidRPr="00CC65A8" w:rsidRDefault="00E05219" w:rsidP="00E05219">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037F6A" w:rsidRPr="00E73EED" w14:paraId="293DF834" w14:textId="77777777" w:rsidTr="00354071">
        <w:trPr>
          <w:trHeight w:val="218"/>
          <w:jc w:val="center"/>
        </w:trPr>
        <w:tc>
          <w:tcPr>
            <w:tcW w:w="1619" w:type="dxa"/>
            <w:shd w:val="clear" w:color="auto" w:fill="E9E5FF"/>
          </w:tcPr>
          <w:p w14:paraId="232FD9B3" w14:textId="66444F96" w:rsidR="00037F6A" w:rsidRDefault="00754700" w:rsidP="00037F6A">
            <w:pPr>
              <w:autoSpaceDE w:val="0"/>
              <w:autoSpaceDN w:val="0"/>
              <w:adjustRightInd w:val="0"/>
              <w:outlineLvl w:val="0"/>
              <w:rPr>
                <w:rFonts w:ascii="Aptos" w:hAnsi="Aptos"/>
                <w:sz w:val="16"/>
                <w:szCs w:val="16"/>
                <w:lang w:val="en-US"/>
              </w:rPr>
            </w:pPr>
            <w:sdt>
              <w:sdtPr>
                <w:rPr>
                  <w:rFonts w:ascii="Aptos" w:hAnsi="Aptos"/>
                  <w:sz w:val="16"/>
                  <w:szCs w:val="16"/>
                  <w:lang w:val="en-US"/>
                </w:rPr>
                <w:id w:val="-1713418894"/>
                <w14:checkbox>
                  <w14:checked w14:val="0"/>
                  <w14:checkedState w14:val="2612" w14:font="MS Gothic"/>
                  <w14:uncheckedState w14:val="2610" w14:font="MS Gothic"/>
                </w14:checkbox>
              </w:sdtPr>
              <w:sdtEndPr/>
              <w:sdtContent>
                <w:r w:rsidR="00037F6A">
                  <w:rPr>
                    <w:rFonts w:ascii="MS Gothic" w:eastAsia="MS Gothic" w:hAnsi="MS Gothic" w:hint="eastAsia"/>
                    <w:sz w:val="16"/>
                    <w:szCs w:val="16"/>
                    <w:lang w:val="en-US"/>
                  </w:rPr>
                  <w:t>☐</w:t>
                </w:r>
              </w:sdtContent>
            </w:sdt>
            <w:r w:rsidR="00037F6A">
              <w:rPr>
                <w:rFonts w:ascii="Aptos" w:hAnsi="Aptos"/>
                <w:sz w:val="20"/>
                <w:szCs w:val="20"/>
                <w:lang w:val="en-US"/>
              </w:rPr>
              <w:t xml:space="preserve"> </w:t>
            </w:r>
            <w:r w:rsidR="00037F6A" w:rsidRPr="00B95AEB">
              <w:rPr>
                <w:rFonts w:ascii="Aptos" w:hAnsi="Aptos"/>
                <w:sz w:val="16"/>
                <w:szCs w:val="16"/>
                <w:lang w:val="en-US"/>
              </w:rPr>
              <w:t xml:space="preserve">Check if </w:t>
            </w:r>
            <w:r w:rsidR="00037F6A">
              <w:rPr>
                <w:rFonts w:ascii="Aptos" w:hAnsi="Aptos"/>
                <w:sz w:val="16"/>
                <w:szCs w:val="16"/>
                <w:lang w:val="en-US"/>
              </w:rPr>
              <w:t>n/a</w:t>
            </w:r>
          </w:p>
        </w:tc>
        <w:tc>
          <w:tcPr>
            <w:tcW w:w="2345" w:type="dxa"/>
          </w:tcPr>
          <w:p w14:paraId="7DBF7008" w14:textId="65AE236D" w:rsidR="00037F6A" w:rsidRPr="00716E8C" w:rsidRDefault="00037F6A" w:rsidP="00037F6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EBE6F4D" w14:textId="7F987A97" w:rsidR="00270E8A" w:rsidRDefault="00CC65A8" w:rsidP="00270E8A">
            <w:pPr>
              <w:pStyle w:val="Default"/>
              <w:numPr>
                <w:ilvl w:val="0"/>
                <w:numId w:val="8"/>
              </w:numPr>
              <w:rPr>
                <w:rFonts w:ascii="Aptos" w:hAnsi="Aptos"/>
                <w:sz w:val="20"/>
                <w:szCs w:val="20"/>
              </w:rPr>
            </w:pPr>
            <w:r w:rsidRPr="00CC65A8">
              <w:rPr>
                <w:rFonts w:ascii="Aptos" w:hAnsi="Aptos"/>
                <w:sz w:val="20"/>
                <w:szCs w:val="20"/>
              </w:rPr>
              <w:t xml:space="preserve">contain information enabling investors to understand: </w:t>
            </w:r>
          </w:p>
          <w:p w14:paraId="313F6122" w14:textId="77777777" w:rsidR="00F47E5E" w:rsidRPr="00270E8A" w:rsidRDefault="00F47E5E" w:rsidP="00F47E5E">
            <w:pPr>
              <w:pStyle w:val="Default"/>
              <w:ind w:left="720"/>
              <w:rPr>
                <w:rFonts w:ascii="Aptos" w:hAnsi="Aptos"/>
                <w:sz w:val="20"/>
                <w:szCs w:val="20"/>
              </w:rPr>
            </w:pPr>
          </w:p>
          <w:p w14:paraId="0EFF91D8" w14:textId="77777777" w:rsidR="00F47E5E" w:rsidRPr="00F47E5E" w:rsidRDefault="00F47E5E" w:rsidP="00F47E5E">
            <w:pPr>
              <w:pStyle w:val="ListParagraph"/>
              <w:numPr>
                <w:ilvl w:val="0"/>
                <w:numId w:val="9"/>
              </w:numPr>
              <w:autoSpaceDE w:val="0"/>
              <w:autoSpaceDN w:val="0"/>
              <w:adjustRightInd w:val="0"/>
              <w:outlineLvl w:val="0"/>
              <w:rPr>
                <w:rFonts w:ascii="Aptos" w:hAnsi="Aptos"/>
                <w:sz w:val="20"/>
                <w:szCs w:val="20"/>
              </w:rPr>
            </w:pPr>
            <w:r w:rsidRPr="00F47E5E">
              <w:rPr>
                <w:rFonts w:ascii="Aptos" w:hAnsi="Aptos"/>
                <w:sz w:val="20"/>
                <w:szCs w:val="20"/>
              </w:rPr>
              <w:t xml:space="preserve">whether the KPIs and their associated SPTs are consistent with the relevant sector-specific science-based targets (where any); </w:t>
            </w:r>
            <w:r w:rsidR="00270E8A" w:rsidRPr="00486CF9">
              <w:rPr>
                <w:rFonts w:ascii="Aptos" w:eastAsia="Calibri" w:hAnsi="Aptos"/>
                <w:sz w:val="20"/>
                <w:szCs w:val="20"/>
                <w14:ligatures w14:val="none"/>
              </w:rPr>
              <w:t xml:space="preserve">any permissible deviations from that allocation including, where applicable, any terms and conditions that allow for such deviations. </w:t>
            </w:r>
          </w:p>
          <w:p w14:paraId="4CFB41B4" w14:textId="77777777" w:rsidR="00037F6A" w:rsidRPr="00E05219" w:rsidRDefault="00F47E5E" w:rsidP="00F47E5E">
            <w:pPr>
              <w:pStyle w:val="ListParagraph"/>
              <w:numPr>
                <w:ilvl w:val="0"/>
                <w:numId w:val="9"/>
              </w:numPr>
              <w:autoSpaceDE w:val="0"/>
              <w:autoSpaceDN w:val="0"/>
              <w:adjustRightInd w:val="0"/>
              <w:outlineLvl w:val="0"/>
              <w:rPr>
                <w:rFonts w:ascii="Aptos" w:hAnsi="Aptos"/>
                <w:sz w:val="20"/>
                <w:szCs w:val="20"/>
              </w:rPr>
            </w:pPr>
            <w:r w:rsidRPr="00F47E5E">
              <w:rPr>
                <w:rFonts w:ascii="Aptos" w:eastAsia="Calibri" w:hAnsi="Aptos"/>
                <w:sz w:val="20"/>
                <w:szCs w:val="20"/>
                <w14:ligatures w14:val="none"/>
              </w:rPr>
              <w:t>the consistency of the KPIs and their associated SPTs with the issuer’s sustainability strategy.</w:t>
            </w:r>
          </w:p>
          <w:p w14:paraId="3439D21A" w14:textId="08948F53" w:rsidR="00E05219" w:rsidRPr="00E05219" w:rsidRDefault="00E05219" w:rsidP="00E05219">
            <w:pPr>
              <w:autoSpaceDE w:val="0"/>
              <w:autoSpaceDN w:val="0"/>
              <w:adjustRightInd w:val="0"/>
              <w:outlineLvl w:val="0"/>
              <w:rPr>
                <w:rFonts w:ascii="Aptos" w:eastAsiaTheme="minorHAnsi" w:hAnsi="Aptos"/>
                <w:sz w:val="20"/>
                <w:szCs w:val="20"/>
              </w:rPr>
            </w:pPr>
            <w:r w:rsidRPr="00F01495">
              <w:rPr>
                <w:rStyle w:val="normaltextrun"/>
                <w:rFonts w:ascii="Aptos" w:hAnsi="Aptos" w:cs="Segoe UI"/>
                <w:color w:val="FF0000"/>
                <w:sz w:val="16"/>
                <w:szCs w:val="16"/>
                <w:shd w:val="clear" w:color="auto" w:fill="FFFFFF"/>
                <w:lang w:val="en-US"/>
              </w:rPr>
              <w:t xml:space="preserve">Cat. </w:t>
            </w:r>
            <w:r>
              <w:rPr>
                <w:rStyle w:val="normaltextrun"/>
                <w:rFonts w:ascii="Aptos" w:hAnsi="Aptos" w:cs="Segoe UI"/>
                <w:color w:val="FF0000"/>
                <w:sz w:val="16"/>
                <w:szCs w:val="16"/>
                <w:shd w:val="clear" w:color="auto" w:fill="FFFFFF"/>
              </w:rPr>
              <w:t>B</w:t>
            </w:r>
          </w:p>
        </w:tc>
      </w:tr>
      <w:tr w:rsidR="005F0752" w:rsidRPr="00E73EED" w14:paraId="6EABD780" w14:textId="77777777" w:rsidTr="00354071">
        <w:trPr>
          <w:trHeight w:val="218"/>
          <w:jc w:val="center"/>
        </w:trPr>
        <w:tc>
          <w:tcPr>
            <w:tcW w:w="1619" w:type="dxa"/>
            <w:shd w:val="clear" w:color="auto" w:fill="E9E5FF"/>
          </w:tcPr>
          <w:p w14:paraId="5FBDD902" w14:textId="02A05749" w:rsidR="005F0752" w:rsidRPr="00E93BF8" w:rsidRDefault="005F0752" w:rsidP="005F0752">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3</w:t>
            </w:r>
            <w:r w:rsidRPr="00E93BF8">
              <w:rPr>
                <w:rFonts w:ascii="Aptos" w:hAnsi="Aptos"/>
                <w:b/>
                <w:bCs/>
                <w:sz w:val="20"/>
                <w:szCs w:val="20"/>
                <w:lang w:val="en-US"/>
              </w:rPr>
              <w:t>.1</w:t>
            </w:r>
            <w:r>
              <w:rPr>
                <w:rFonts w:ascii="Aptos" w:hAnsi="Aptos"/>
                <w:b/>
                <w:bCs/>
                <w:sz w:val="20"/>
                <w:szCs w:val="20"/>
                <w:lang w:val="en-US"/>
              </w:rPr>
              <w:t>.2</w:t>
            </w:r>
          </w:p>
          <w:p w14:paraId="576B8C6B" w14:textId="113B00F7" w:rsidR="005F0752" w:rsidRDefault="00754700" w:rsidP="005F0752">
            <w:pPr>
              <w:autoSpaceDE w:val="0"/>
              <w:autoSpaceDN w:val="0"/>
              <w:adjustRightInd w:val="0"/>
              <w:outlineLvl w:val="0"/>
              <w:rPr>
                <w:rFonts w:ascii="Aptos" w:hAnsi="Aptos"/>
                <w:sz w:val="16"/>
                <w:szCs w:val="16"/>
                <w:lang w:val="en-US"/>
              </w:rPr>
            </w:pPr>
            <w:sdt>
              <w:sdtPr>
                <w:rPr>
                  <w:rFonts w:ascii="Aptos" w:hAnsi="Aptos"/>
                  <w:sz w:val="16"/>
                  <w:szCs w:val="16"/>
                  <w:lang w:val="en-US"/>
                </w:rPr>
                <w:id w:val="-2104955489"/>
                <w14:checkbox>
                  <w14:checked w14:val="0"/>
                  <w14:checkedState w14:val="2612" w14:font="MS Gothic"/>
                  <w14:uncheckedState w14:val="2610" w14:font="MS Gothic"/>
                </w14:checkbox>
              </w:sdtPr>
              <w:sdtEndPr/>
              <w:sdtContent>
                <w:r w:rsidR="005F0752">
                  <w:rPr>
                    <w:rFonts w:ascii="MS Gothic" w:eastAsia="MS Gothic" w:hAnsi="MS Gothic" w:hint="eastAsia"/>
                    <w:sz w:val="16"/>
                    <w:szCs w:val="16"/>
                    <w:lang w:val="en-US"/>
                  </w:rPr>
                  <w:t>☐</w:t>
                </w:r>
              </w:sdtContent>
            </w:sdt>
            <w:r w:rsidR="005F0752">
              <w:rPr>
                <w:rFonts w:ascii="Aptos" w:hAnsi="Aptos"/>
                <w:sz w:val="20"/>
                <w:szCs w:val="20"/>
                <w:lang w:val="en-US"/>
              </w:rPr>
              <w:t xml:space="preserve"> </w:t>
            </w:r>
            <w:r w:rsidR="005F0752" w:rsidRPr="00B95AEB">
              <w:rPr>
                <w:rFonts w:ascii="Aptos" w:hAnsi="Aptos"/>
                <w:sz w:val="16"/>
                <w:szCs w:val="16"/>
                <w:lang w:val="en-US"/>
              </w:rPr>
              <w:t xml:space="preserve">Check if </w:t>
            </w:r>
            <w:r w:rsidR="005F0752">
              <w:rPr>
                <w:rFonts w:ascii="Aptos" w:hAnsi="Aptos"/>
                <w:sz w:val="16"/>
                <w:szCs w:val="16"/>
                <w:lang w:val="en-US"/>
              </w:rPr>
              <w:t>n/a</w:t>
            </w:r>
          </w:p>
        </w:tc>
        <w:tc>
          <w:tcPr>
            <w:tcW w:w="2345" w:type="dxa"/>
          </w:tcPr>
          <w:p w14:paraId="53F6B80A" w14:textId="1FA0B20A" w:rsidR="005F0752" w:rsidRPr="00716E8C" w:rsidRDefault="005F0752" w:rsidP="005F075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05D9FD8" w14:textId="77777777" w:rsidR="005F0752" w:rsidRDefault="00F041A8" w:rsidP="005F0752">
            <w:pPr>
              <w:pStyle w:val="Default"/>
              <w:rPr>
                <w:sz w:val="23"/>
                <w:szCs w:val="23"/>
              </w:rPr>
            </w:pPr>
            <w:r w:rsidRPr="00F041A8">
              <w:rPr>
                <w:rFonts w:ascii="Aptos" w:hAnsi="Aptos"/>
                <w:sz w:val="20"/>
                <w:szCs w:val="20"/>
              </w:rPr>
              <w:t>Where advanced amortisation may occur, disclosure about any impact which this may have on the sustainability performance of an investment.</w:t>
            </w:r>
            <w:r>
              <w:rPr>
                <w:sz w:val="23"/>
                <w:szCs w:val="23"/>
              </w:rPr>
              <w:t xml:space="preserve"> </w:t>
            </w:r>
          </w:p>
          <w:p w14:paraId="26A7B2D2" w14:textId="77777777" w:rsidR="00E56120" w:rsidRDefault="00E56120" w:rsidP="005F0752">
            <w:pPr>
              <w:pStyle w:val="Default"/>
              <w:rPr>
                <w:rStyle w:val="normaltextrun"/>
                <w:rFonts w:ascii="Aptos" w:hAnsi="Aptos" w:cs="Segoe UI"/>
                <w:color w:val="FF0000"/>
                <w:sz w:val="16"/>
                <w:szCs w:val="16"/>
                <w:shd w:val="clear" w:color="auto" w:fill="FFFFFF"/>
              </w:rPr>
            </w:pPr>
          </w:p>
          <w:p w14:paraId="3AFF494D" w14:textId="0710B2CA" w:rsidR="00E56120" w:rsidRPr="00F041A8" w:rsidRDefault="00E56120" w:rsidP="005F0752">
            <w:pPr>
              <w:pStyle w:val="Default"/>
              <w:rPr>
                <w:sz w:val="23"/>
                <w:szCs w:val="23"/>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5F0752" w:rsidRPr="00E73EED" w14:paraId="0FDBA0E5" w14:textId="77777777" w:rsidTr="081E9C0F">
        <w:trPr>
          <w:trHeight w:val="220"/>
          <w:jc w:val="center"/>
        </w:trPr>
        <w:tc>
          <w:tcPr>
            <w:tcW w:w="1619" w:type="dxa"/>
            <w:shd w:val="clear" w:color="auto" w:fill="7261A2"/>
          </w:tcPr>
          <w:p w14:paraId="523EFA5E" w14:textId="09F56BFA" w:rsidR="005F0752" w:rsidRPr="0049195F" w:rsidRDefault="005F0752" w:rsidP="005F075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Pr>
          <w:p w14:paraId="0A4EE609" w14:textId="7588FF2D" w:rsidR="005F0752" w:rsidRPr="00B418C4" w:rsidRDefault="005F0752" w:rsidP="005F0752">
            <w:pPr>
              <w:pStyle w:val="Default"/>
              <w:rPr>
                <w:rFonts w:ascii="Aptos" w:hAnsi="Aptos"/>
                <w:b/>
                <w:bCs/>
                <w:sz w:val="24"/>
              </w:rPr>
            </w:pPr>
            <w:r w:rsidRPr="00654830">
              <w:rPr>
                <w:rFonts w:ascii="Aptos" w:eastAsia="Times New Roman" w:hAnsi="Aptos"/>
                <w:b/>
                <w:bCs/>
                <w:color w:val="FFFFFF" w:themeColor="background1"/>
                <w:sz w:val="24"/>
              </w:rPr>
              <w:t>STRUCTURED NON-EQUITY SECURITIES ADVERTISED AS HAVING AN ESG COMPONENT OR PURSUING AN ESG OBJECTIVE</w:t>
            </w:r>
          </w:p>
        </w:tc>
      </w:tr>
      <w:tr w:rsidR="005F0752" w:rsidRPr="00E73EED" w14:paraId="443B2A08" w14:textId="77777777" w:rsidTr="081E9C0F">
        <w:trPr>
          <w:trHeight w:val="220"/>
          <w:jc w:val="center"/>
        </w:trPr>
        <w:tc>
          <w:tcPr>
            <w:tcW w:w="1619" w:type="dxa"/>
            <w:shd w:val="clear" w:color="auto" w:fill="E9E5FF"/>
          </w:tcPr>
          <w:p w14:paraId="77B81873" w14:textId="04A50CA2" w:rsidR="005F0752" w:rsidRPr="00E93BF8" w:rsidRDefault="005F0752" w:rsidP="005F0752">
            <w:pPr>
              <w:autoSpaceDE w:val="0"/>
              <w:autoSpaceDN w:val="0"/>
              <w:adjustRightInd w:val="0"/>
              <w:outlineLvl w:val="0"/>
              <w:rPr>
                <w:rFonts w:ascii="Aptos" w:hAnsi="Aptos"/>
                <w:b/>
                <w:bCs/>
                <w:sz w:val="20"/>
                <w:szCs w:val="20"/>
              </w:rPr>
            </w:pPr>
            <w:r w:rsidRPr="081E9C0F">
              <w:rPr>
                <w:rFonts w:ascii="Aptos" w:hAnsi="Aptos"/>
                <w:b/>
                <w:bCs/>
                <w:sz w:val="20"/>
                <w:szCs w:val="20"/>
              </w:rPr>
              <w:lastRenderedPageBreak/>
              <w:t xml:space="preserve">Item </w:t>
            </w:r>
            <w:r w:rsidR="00706AFD">
              <w:rPr>
                <w:rFonts w:ascii="Aptos" w:hAnsi="Aptos"/>
                <w:b/>
                <w:bCs/>
                <w:sz w:val="20"/>
                <w:szCs w:val="20"/>
              </w:rPr>
              <w:t>4.1</w:t>
            </w:r>
          </w:p>
        </w:tc>
        <w:tc>
          <w:tcPr>
            <w:tcW w:w="8866" w:type="dxa"/>
            <w:gridSpan w:val="2"/>
            <w:shd w:val="clear" w:color="auto" w:fill="E9E5FF"/>
          </w:tcPr>
          <w:p w14:paraId="6C8EFADF" w14:textId="698120C7" w:rsidR="005F0752" w:rsidRPr="00706AFD" w:rsidRDefault="00706AFD" w:rsidP="00706AFD">
            <w:pPr>
              <w:pStyle w:val="Default"/>
              <w:rPr>
                <w:sz w:val="23"/>
                <w:szCs w:val="23"/>
              </w:rPr>
            </w:pPr>
            <w:r w:rsidRPr="00E73EED">
              <w:rPr>
                <w:rFonts w:ascii="Aptos" w:eastAsia="Times New Roman" w:hAnsi="Aptos"/>
                <w:b/>
                <w:bCs/>
                <w:color w:val="auto"/>
                <w:sz w:val="24"/>
                <w:szCs w:val="24"/>
                <w:lang w:val="en-GB"/>
              </w:rPr>
              <w:t>In relation to non-equity securities advertised as taking into account ESG factors or pursuing ESG objectives linked to an underlying that is material for assessing the ESG factors or ESG objectives:</w:t>
            </w:r>
            <w:r>
              <w:rPr>
                <w:sz w:val="23"/>
                <w:szCs w:val="23"/>
              </w:rPr>
              <w:t xml:space="preserve"> </w:t>
            </w:r>
          </w:p>
        </w:tc>
      </w:tr>
      <w:tr w:rsidR="005F0752" w:rsidRPr="00E73EED" w14:paraId="77275B56" w14:textId="77777777" w:rsidTr="081E9C0F">
        <w:trPr>
          <w:trHeight w:val="218"/>
          <w:jc w:val="center"/>
        </w:trPr>
        <w:tc>
          <w:tcPr>
            <w:tcW w:w="1619" w:type="dxa"/>
            <w:shd w:val="clear" w:color="auto" w:fill="E9E5FF"/>
          </w:tcPr>
          <w:p w14:paraId="551FBD6F" w14:textId="47637CD6" w:rsidR="00E858CD" w:rsidRPr="00E93BF8" w:rsidRDefault="00E858CD" w:rsidP="00E858CD">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.1</w:t>
            </w:r>
            <w:r>
              <w:rPr>
                <w:rFonts w:ascii="Aptos" w:hAnsi="Aptos"/>
                <w:b/>
                <w:bCs/>
                <w:sz w:val="20"/>
                <w:szCs w:val="20"/>
                <w:lang w:val="en-US"/>
              </w:rPr>
              <w:t>.1</w:t>
            </w:r>
          </w:p>
          <w:p w14:paraId="2CC859D6" w14:textId="3DB32949" w:rsidR="005F0752" w:rsidRDefault="00754700" w:rsidP="00E858CD">
            <w:pPr>
              <w:autoSpaceDE w:val="0"/>
              <w:autoSpaceDN w:val="0"/>
              <w:adjustRightInd w:val="0"/>
              <w:outlineLvl w:val="0"/>
              <w:rPr>
                <w:rFonts w:ascii="Aptos" w:hAnsi="Aptos"/>
                <w:sz w:val="20"/>
                <w:szCs w:val="20"/>
                <w:lang w:val="en-US"/>
              </w:rPr>
            </w:pPr>
            <w:sdt>
              <w:sdtPr>
                <w:rPr>
                  <w:rFonts w:ascii="Aptos" w:hAnsi="Aptos"/>
                  <w:sz w:val="16"/>
                  <w:szCs w:val="16"/>
                  <w:lang w:val="en-US"/>
                </w:rPr>
                <w:id w:val="-492407800"/>
                <w14:checkbox>
                  <w14:checked w14:val="0"/>
                  <w14:checkedState w14:val="2612" w14:font="MS Gothic"/>
                  <w14:uncheckedState w14:val="2610" w14:font="MS Gothic"/>
                </w14:checkbox>
              </w:sdtPr>
              <w:sdtEndPr/>
              <w:sdtContent>
                <w:r w:rsidR="00E858CD">
                  <w:rPr>
                    <w:rFonts w:ascii="MS Gothic" w:eastAsia="MS Gothic" w:hAnsi="MS Gothic" w:hint="eastAsia"/>
                    <w:sz w:val="16"/>
                    <w:szCs w:val="16"/>
                    <w:lang w:val="en-US"/>
                  </w:rPr>
                  <w:t>☐</w:t>
                </w:r>
              </w:sdtContent>
            </w:sdt>
            <w:r w:rsidR="00E858CD">
              <w:rPr>
                <w:rFonts w:ascii="Aptos" w:hAnsi="Aptos"/>
                <w:sz w:val="20"/>
                <w:szCs w:val="20"/>
                <w:lang w:val="en-US"/>
              </w:rPr>
              <w:t xml:space="preserve"> </w:t>
            </w:r>
            <w:r w:rsidR="00E858CD" w:rsidRPr="00B95AEB">
              <w:rPr>
                <w:rFonts w:ascii="Aptos" w:hAnsi="Aptos"/>
                <w:sz w:val="16"/>
                <w:szCs w:val="16"/>
                <w:lang w:val="en-US"/>
              </w:rPr>
              <w:t xml:space="preserve">Check if </w:t>
            </w:r>
            <w:r w:rsidR="00E858CD">
              <w:rPr>
                <w:rFonts w:ascii="Aptos" w:hAnsi="Aptos"/>
                <w:sz w:val="16"/>
                <w:szCs w:val="16"/>
                <w:lang w:val="en-US"/>
              </w:rPr>
              <w:t>n/a</w:t>
            </w:r>
          </w:p>
        </w:tc>
        <w:tc>
          <w:tcPr>
            <w:tcW w:w="2345" w:type="dxa"/>
          </w:tcPr>
          <w:p w14:paraId="1D2B33EC" w14:textId="77777777" w:rsidR="005F0752" w:rsidRPr="00642232" w:rsidRDefault="005F0752" w:rsidP="005F075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169F253" w14:textId="58820516" w:rsidR="005F0752" w:rsidRDefault="003E6B10" w:rsidP="00E56120">
            <w:pPr>
              <w:pStyle w:val="Default"/>
              <w:numPr>
                <w:ilvl w:val="0"/>
                <w:numId w:val="10"/>
              </w:numPr>
              <w:rPr>
                <w:rFonts w:ascii="Aptos" w:hAnsi="Aptos"/>
                <w:sz w:val="20"/>
                <w:szCs w:val="20"/>
              </w:rPr>
            </w:pPr>
            <w:r w:rsidRPr="00EA5094">
              <w:rPr>
                <w:rFonts w:ascii="Aptos" w:hAnsi="Aptos"/>
                <w:sz w:val="20"/>
                <w:szCs w:val="20"/>
              </w:rPr>
              <w:t xml:space="preserve">A description of the underlying and of the ESG features taken into account or the ESG objectives pursued by the underlying. </w:t>
            </w:r>
          </w:p>
          <w:p w14:paraId="33DF30AF" w14:textId="77777777" w:rsidR="00E56120" w:rsidRDefault="00E56120" w:rsidP="00E56120">
            <w:pPr>
              <w:pStyle w:val="Default"/>
              <w:rPr>
                <w:rStyle w:val="normaltextrun"/>
                <w:rFonts w:ascii="Aptos" w:hAnsi="Aptos" w:cs="Segoe UI"/>
                <w:color w:val="FF0000"/>
                <w:sz w:val="16"/>
                <w:szCs w:val="16"/>
                <w:shd w:val="clear" w:color="auto" w:fill="FFFFFF"/>
              </w:rPr>
            </w:pPr>
          </w:p>
          <w:p w14:paraId="1D739BA9" w14:textId="73534479" w:rsidR="00E56120" w:rsidRPr="00EA5094" w:rsidRDefault="00E56120" w:rsidP="00E56120">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sidR="00F06F83">
              <w:rPr>
                <w:rStyle w:val="normaltextrun"/>
                <w:rFonts w:ascii="Aptos" w:hAnsi="Aptos" w:cs="Segoe UI"/>
                <w:color w:val="FF0000"/>
                <w:sz w:val="16"/>
                <w:szCs w:val="16"/>
                <w:shd w:val="clear" w:color="auto" w:fill="FFFFFF"/>
              </w:rPr>
              <w:t>C</w:t>
            </w:r>
          </w:p>
        </w:tc>
      </w:tr>
      <w:tr w:rsidR="005F0752" w:rsidRPr="00E73EED" w14:paraId="2081F696" w14:textId="77777777" w:rsidTr="081E9C0F">
        <w:trPr>
          <w:trHeight w:val="218"/>
          <w:jc w:val="center"/>
        </w:trPr>
        <w:tc>
          <w:tcPr>
            <w:tcW w:w="1619" w:type="dxa"/>
            <w:shd w:val="clear" w:color="auto" w:fill="E9E5FF"/>
          </w:tcPr>
          <w:p w14:paraId="3BE7F43E" w14:textId="77777777" w:rsidR="005F0752" w:rsidRPr="00642232" w:rsidRDefault="00754700" w:rsidP="005F0752">
            <w:pPr>
              <w:autoSpaceDE w:val="0"/>
              <w:autoSpaceDN w:val="0"/>
              <w:adjustRightInd w:val="0"/>
              <w:outlineLvl w:val="0"/>
              <w:rPr>
                <w:rFonts w:ascii="Aptos" w:hAnsi="Aptos"/>
                <w:sz w:val="20"/>
                <w:szCs w:val="20"/>
                <w:lang w:val="en-GB"/>
              </w:rPr>
            </w:pPr>
            <w:sdt>
              <w:sdtPr>
                <w:rPr>
                  <w:rFonts w:ascii="Aptos" w:hAnsi="Aptos"/>
                  <w:sz w:val="16"/>
                  <w:szCs w:val="16"/>
                  <w:lang w:val="en-US"/>
                </w:rPr>
                <w:id w:val="27075715"/>
                <w14:checkbox>
                  <w14:checked w14:val="0"/>
                  <w14:checkedState w14:val="2612" w14:font="MS Gothic"/>
                  <w14:uncheckedState w14:val="2610" w14:font="MS Gothic"/>
                </w14:checkbox>
              </w:sdtPr>
              <w:sdtEndPr/>
              <w:sdtContent>
                <w:r w:rsidR="005F0752">
                  <w:rPr>
                    <w:rFonts w:ascii="MS Gothic" w:eastAsia="MS Gothic" w:hAnsi="MS Gothic" w:hint="eastAsia"/>
                    <w:sz w:val="16"/>
                    <w:szCs w:val="16"/>
                    <w:lang w:val="en-US"/>
                  </w:rPr>
                  <w:t>☐</w:t>
                </w:r>
              </w:sdtContent>
            </w:sdt>
            <w:r w:rsidR="005F0752">
              <w:rPr>
                <w:rFonts w:ascii="Aptos" w:hAnsi="Aptos"/>
                <w:sz w:val="20"/>
                <w:szCs w:val="20"/>
                <w:lang w:val="en-US"/>
              </w:rPr>
              <w:t xml:space="preserve"> </w:t>
            </w:r>
            <w:r w:rsidR="005F0752" w:rsidRPr="00B95AEB">
              <w:rPr>
                <w:rFonts w:ascii="Aptos" w:hAnsi="Aptos"/>
                <w:sz w:val="16"/>
                <w:szCs w:val="16"/>
                <w:lang w:val="en-US"/>
              </w:rPr>
              <w:t xml:space="preserve">Check if </w:t>
            </w:r>
            <w:r w:rsidR="005F0752">
              <w:rPr>
                <w:rFonts w:ascii="Aptos" w:hAnsi="Aptos"/>
                <w:sz w:val="16"/>
                <w:szCs w:val="16"/>
                <w:lang w:val="en-US"/>
              </w:rPr>
              <w:t>n/a</w:t>
            </w:r>
          </w:p>
        </w:tc>
        <w:tc>
          <w:tcPr>
            <w:tcW w:w="2345" w:type="dxa"/>
          </w:tcPr>
          <w:p w14:paraId="4C91CE0E" w14:textId="77777777" w:rsidR="005F0752" w:rsidRPr="00642232" w:rsidRDefault="005F0752" w:rsidP="005F075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5CC1706" w14:textId="119C1C25" w:rsidR="005F0752" w:rsidRDefault="003E6B10" w:rsidP="00F06F83">
            <w:pPr>
              <w:pStyle w:val="Default"/>
              <w:numPr>
                <w:ilvl w:val="0"/>
                <w:numId w:val="10"/>
              </w:numPr>
              <w:rPr>
                <w:rFonts w:ascii="Aptos" w:hAnsi="Aptos"/>
                <w:sz w:val="20"/>
                <w:szCs w:val="20"/>
              </w:rPr>
            </w:pPr>
            <w:r w:rsidRPr="00EA5094">
              <w:rPr>
                <w:rFonts w:ascii="Aptos" w:hAnsi="Aptos"/>
                <w:sz w:val="20"/>
                <w:szCs w:val="20"/>
              </w:rPr>
              <w:t xml:space="preserve">An explanation of how the use of an underlying is compatible with the sustainability characteristics that the non-equity securities promote or with the objective of sustainable investment. </w:t>
            </w:r>
          </w:p>
          <w:p w14:paraId="2133A929" w14:textId="77777777" w:rsidR="00F06F83" w:rsidRDefault="00F06F83" w:rsidP="00F06F83">
            <w:pPr>
              <w:pStyle w:val="Default"/>
              <w:rPr>
                <w:rFonts w:ascii="Aptos" w:hAnsi="Aptos"/>
                <w:sz w:val="20"/>
                <w:szCs w:val="20"/>
              </w:rPr>
            </w:pPr>
          </w:p>
          <w:p w14:paraId="109ADFA2" w14:textId="4695E032" w:rsidR="00F06F83" w:rsidRPr="00EA5094" w:rsidRDefault="00F06F83" w:rsidP="00F06F83">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C</w:t>
            </w:r>
          </w:p>
        </w:tc>
      </w:tr>
      <w:tr w:rsidR="005F0752" w:rsidRPr="00E73EED" w14:paraId="57553511" w14:textId="77777777" w:rsidTr="081E9C0F">
        <w:trPr>
          <w:trHeight w:val="218"/>
          <w:jc w:val="center"/>
        </w:trPr>
        <w:tc>
          <w:tcPr>
            <w:tcW w:w="1619" w:type="dxa"/>
            <w:shd w:val="clear" w:color="auto" w:fill="E9E5FF"/>
          </w:tcPr>
          <w:p w14:paraId="34DD9CD4" w14:textId="77777777" w:rsidR="005F0752" w:rsidRDefault="00754700" w:rsidP="005F0752">
            <w:pPr>
              <w:autoSpaceDE w:val="0"/>
              <w:autoSpaceDN w:val="0"/>
              <w:adjustRightInd w:val="0"/>
              <w:outlineLvl w:val="0"/>
              <w:rPr>
                <w:rFonts w:ascii="Aptos" w:hAnsi="Aptos"/>
                <w:sz w:val="20"/>
                <w:szCs w:val="20"/>
                <w:lang w:val="en-US"/>
              </w:rPr>
            </w:pPr>
            <w:sdt>
              <w:sdtPr>
                <w:rPr>
                  <w:rFonts w:ascii="Aptos" w:hAnsi="Aptos"/>
                  <w:sz w:val="16"/>
                  <w:szCs w:val="16"/>
                  <w:lang w:val="en-US"/>
                </w:rPr>
                <w:id w:val="385149602"/>
                <w14:checkbox>
                  <w14:checked w14:val="0"/>
                  <w14:checkedState w14:val="2612" w14:font="MS Gothic"/>
                  <w14:uncheckedState w14:val="2610" w14:font="MS Gothic"/>
                </w14:checkbox>
              </w:sdtPr>
              <w:sdtEndPr/>
              <w:sdtContent>
                <w:r w:rsidR="005F0752">
                  <w:rPr>
                    <w:rFonts w:ascii="MS Gothic" w:eastAsia="MS Gothic" w:hAnsi="MS Gothic" w:hint="eastAsia"/>
                    <w:sz w:val="16"/>
                    <w:szCs w:val="16"/>
                    <w:lang w:val="en-US"/>
                  </w:rPr>
                  <w:t>☐</w:t>
                </w:r>
              </w:sdtContent>
            </w:sdt>
            <w:r w:rsidR="005F0752">
              <w:rPr>
                <w:rFonts w:ascii="Aptos" w:hAnsi="Aptos"/>
                <w:sz w:val="20"/>
                <w:szCs w:val="20"/>
                <w:lang w:val="en-US"/>
              </w:rPr>
              <w:t xml:space="preserve"> </w:t>
            </w:r>
            <w:r w:rsidR="005F0752" w:rsidRPr="00B95AEB">
              <w:rPr>
                <w:rFonts w:ascii="Aptos" w:hAnsi="Aptos"/>
                <w:sz w:val="16"/>
                <w:szCs w:val="16"/>
                <w:lang w:val="en-US"/>
              </w:rPr>
              <w:t xml:space="preserve">Check if </w:t>
            </w:r>
            <w:r w:rsidR="005F0752">
              <w:rPr>
                <w:rFonts w:ascii="Aptos" w:hAnsi="Aptos"/>
                <w:sz w:val="16"/>
                <w:szCs w:val="16"/>
                <w:lang w:val="en-US"/>
              </w:rPr>
              <w:t>n/a</w:t>
            </w:r>
          </w:p>
        </w:tc>
        <w:tc>
          <w:tcPr>
            <w:tcW w:w="2345" w:type="dxa"/>
          </w:tcPr>
          <w:p w14:paraId="34D63DAB" w14:textId="77777777" w:rsidR="005F0752" w:rsidRPr="00642232" w:rsidRDefault="005F0752" w:rsidP="005F075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8BEADD7" w14:textId="77777777" w:rsidR="005F0752" w:rsidRDefault="003E6B10" w:rsidP="003E6B10">
            <w:pPr>
              <w:pStyle w:val="Default"/>
              <w:rPr>
                <w:rFonts w:ascii="Aptos" w:hAnsi="Aptos"/>
                <w:sz w:val="20"/>
                <w:szCs w:val="20"/>
              </w:rPr>
            </w:pPr>
            <w:r w:rsidRPr="00EA5094">
              <w:rPr>
                <w:rFonts w:ascii="Aptos" w:hAnsi="Aptos"/>
                <w:sz w:val="20"/>
                <w:szCs w:val="20"/>
              </w:rPr>
              <w:t xml:space="preserve">Alternatively, an electronic link to the website(s) where the information referred to in points (a) and/or (b) is available, with a disclaimer that the information on the website does not form part of the prospectus unless it is incorporated by reference into the prospectus in accordance with Article 19 of Regulation (EU) 2017/1129. </w:t>
            </w:r>
          </w:p>
          <w:p w14:paraId="7CB6CEEF" w14:textId="77777777" w:rsidR="00F06F83" w:rsidRDefault="00F06F83" w:rsidP="003E6B10">
            <w:pPr>
              <w:pStyle w:val="Default"/>
              <w:rPr>
                <w:rFonts w:ascii="Aptos" w:hAnsi="Aptos"/>
                <w:sz w:val="20"/>
                <w:szCs w:val="20"/>
              </w:rPr>
            </w:pPr>
          </w:p>
          <w:p w14:paraId="1A089BFF" w14:textId="58D4E1B9" w:rsidR="00F06F83" w:rsidRPr="00EA5094" w:rsidRDefault="00F06F83" w:rsidP="003E6B10">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C</w:t>
            </w:r>
          </w:p>
        </w:tc>
      </w:tr>
      <w:tr w:rsidR="00E858CD" w:rsidRPr="00E73EED" w14:paraId="33323834" w14:textId="77777777" w:rsidTr="081E9C0F">
        <w:trPr>
          <w:trHeight w:val="218"/>
          <w:jc w:val="center"/>
        </w:trPr>
        <w:tc>
          <w:tcPr>
            <w:tcW w:w="1619" w:type="dxa"/>
            <w:shd w:val="clear" w:color="auto" w:fill="E9E5FF"/>
          </w:tcPr>
          <w:p w14:paraId="1AE16EEB" w14:textId="388B279E" w:rsidR="00E858CD" w:rsidRPr="00E93BF8" w:rsidRDefault="00E858CD" w:rsidP="00E858CD">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.1</w:t>
            </w:r>
            <w:r>
              <w:rPr>
                <w:rFonts w:ascii="Aptos" w:hAnsi="Aptos"/>
                <w:b/>
                <w:bCs/>
                <w:sz w:val="20"/>
                <w:szCs w:val="20"/>
                <w:lang w:val="en-US"/>
              </w:rPr>
              <w:t>.2</w:t>
            </w:r>
          </w:p>
          <w:p w14:paraId="78CB11D7" w14:textId="5568DFDF" w:rsidR="00E858CD" w:rsidRDefault="00754700" w:rsidP="00E858CD">
            <w:pPr>
              <w:autoSpaceDE w:val="0"/>
              <w:autoSpaceDN w:val="0"/>
              <w:adjustRightInd w:val="0"/>
              <w:outlineLvl w:val="0"/>
              <w:rPr>
                <w:rFonts w:ascii="Aptos" w:hAnsi="Aptos"/>
                <w:sz w:val="16"/>
                <w:szCs w:val="16"/>
                <w:lang w:val="en-US"/>
              </w:rPr>
            </w:pPr>
            <w:sdt>
              <w:sdtPr>
                <w:rPr>
                  <w:rFonts w:ascii="Aptos" w:hAnsi="Aptos"/>
                  <w:sz w:val="16"/>
                  <w:szCs w:val="16"/>
                  <w:lang w:val="en-US"/>
                </w:rPr>
                <w:id w:val="216709280"/>
                <w14:checkbox>
                  <w14:checked w14:val="0"/>
                  <w14:checkedState w14:val="2612" w14:font="MS Gothic"/>
                  <w14:uncheckedState w14:val="2610" w14:font="MS Gothic"/>
                </w14:checkbox>
              </w:sdtPr>
              <w:sdtEndPr/>
              <w:sdtContent>
                <w:r w:rsidR="00E858CD">
                  <w:rPr>
                    <w:rFonts w:ascii="MS Gothic" w:eastAsia="MS Gothic" w:hAnsi="MS Gothic" w:hint="eastAsia"/>
                    <w:sz w:val="16"/>
                    <w:szCs w:val="16"/>
                    <w:lang w:val="en-US"/>
                  </w:rPr>
                  <w:t>☐</w:t>
                </w:r>
              </w:sdtContent>
            </w:sdt>
            <w:r w:rsidR="00E858CD">
              <w:rPr>
                <w:rFonts w:ascii="Aptos" w:hAnsi="Aptos"/>
                <w:sz w:val="20"/>
                <w:szCs w:val="20"/>
                <w:lang w:val="en-US"/>
              </w:rPr>
              <w:t xml:space="preserve"> </w:t>
            </w:r>
            <w:r w:rsidR="00E858CD" w:rsidRPr="00B95AEB">
              <w:rPr>
                <w:rFonts w:ascii="Aptos" w:hAnsi="Aptos"/>
                <w:sz w:val="16"/>
                <w:szCs w:val="16"/>
                <w:lang w:val="en-US"/>
              </w:rPr>
              <w:t xml:space="preserve">Check if </w:t>
            </w:r>
            <w:r w:rsidR="00E858CD">
              <w:rPr>
                <w:rFonts w:ascii="Aptos" w:hAnsi="Aptos"/>
                <w:sz w:val="16"/>
                <w:szCs w:val="16"/>
                <w:lang w:val="en-US"/>
              </w:rPr>
              <w:t>n/a</w:t>
            </w:r>
          </w:p>
        </w:tc>
        <w:tc>
          <w:tcPr>
            <w:tcW w:w="2345" w:type="dxa"/>
          </w:tcPr>
          <w:p w14:paraId="217856A0" w14:textId="33615830" w:rsidR="00E858CD" w:rsidRPr="00716E8C" w:rsidRDefault="00E858CD" w:rsidP="00E858C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8A019DB" w14:textId="77777777" w:rsidR="00E858CD" w:rsidRDefault="00993575" w:rsidP="00993575">
            <w:pPr>
              <w:pStyle w:val="Default"/>
              <w:rPr>
                <w:rFonts w:ascii="Aptos" w:hAnsi="Aptos"/>
                <w:sz w:val="20"/>
                <w:szCs w:val="20"/>
              </w:rPr>
            </w:pPr>
            <w:r w:rsidRPr="00EA5094">
              <w:rPr>
                <w:rFonts w:ascii="Aptos" w:hAnsi="Aptos"/>
                <w:sz w:val="20"/>
                <w:szCs w:val="20"/>
              </w:rPr>
              <w:t xml:space="preserve">Where the underlying of the securities offered to the public or admitted to trading on a regulated market is an EU Paris-aligned Benchmark or EU Climate Transition Benchmark as referred to in Regulation (EU) 2016/2011, or a benchmark complying with an ESG-related label, state that fact, identify the benchmark administrator and, where applicable, identify the ESG-related label. </w:t>
            </w:r>
          </w:p>
          <w:p w14:paraId="2296CB36" w14:textId="77777777" w:rsidR="00F06F83" w:rsidRDefault="00F06F83" w:rsidP="00993575">
            <w:pPr>
              <w:pStyle w:val="Default"/>
              <w:rPr>
                <w:rFonts w:ascii="Aptos" w:hAnsi="Aptos"/>
                <w:sz w:val="20"/>
                <w:szCs w:val="20"/>
              </w:rPr>
            </w:pPr>
          </w:p>
          <w:p w14:paraId="209FF2CC" w14:textId="080C9072" w:rsidR="00F06F83" w:rsidRPr="00EA5094" w:rsidRDefault="00F06F83" w:rsidP="00993575">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C</w:t>
            </w:r>
          </w:p>
        </w:tc>
      </w:tr>
      <w:tr w:rsidR="00E858CD" w:rsidRPr="00E73EED" w14:paraId="12C80CDF" w14:textId="77777777" w:rsidTr="081E9C0F">
        <w:trPr>
          <w:trHeight w:val="218"/>
          <w:jc w:val="center"/>
        </w:trPr>
        <w:tc>
          <w:tcPr>
            <w:tcW w:w="1619" w:type="dxa"/>
            <w:shd w:val="clear" w:color="auto" w:fill="E9E5FF"/>
          </w:tcPr>
          <w:p w14:paraId="68FD795D" w14:textId="30E4C2AA" w:rsidR="00E858CD" w:rsidRPr="00E93BF8" w:rsidRDefault="00E858CD" w:rsidP="00E858CD">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.1</w:t>
            </w:r>
            <w:r>
              <w:rPr>
                <w:rFonts w:ascii="Aptos" w:hAnsi="Aptos"/>
                <w:b/>
                <w:bCs/>
                <w:sz w:val="20"/>
                <w:szCs w:val="20"/>
                <w:lang w:val="en-US"/>
              </w:rPr>
              <w:t>.3</w:t>
            </w:r>
          </w:p>
          <w:p w14:paraId="65734197" w14:textId="5F25D8D9" w:rsidR="00E858CD" w:rsidRDefault="00754700" w:rsidP="00E858CD">
            <w:pPr>
              <w:autoSpaceDE w:val="0"/>
              <w:autoSpaceDN w:val="0"/>
              <w:adjustRightInd w:val="0"/>
              <w:outlineLvl w:val="0"/>
              <w:rPr>
                <w:rFonts w:ascii="Aptos" w:hAnsi="Aptos"/>
                <w:sz w:val="16"/>
                <w:szCs w:val="16"/>
                <w:lang w:val="en-US"/>
              </w:rPr>
            </w:pPr>
            <w:sdt>
              <w:sdtPr>
                <w:rPr>
                  <w:rFonts w:ascii="Aptos" w:hAnsi="Aptos"/>
                  <w:sz w:val="16"/>
                  <w:szCs w:val="16"/>
                  <w:lang w:val="en-US"/>
                </w:rPr>
                <w:id w:val="-543288355"/>
                <w14:checkbox>
                  <w14:checked w14:val="0"/>
                  <w14:checkedState w14:val="2612" w14:font="MS Gothic"/>
                  <w14:uncheckedState w14:val="2610" w14:font="MS Gothic"/>
                </w14:checkbox>
              </w:sdtPr>
              <w:sdtEndPr/>
              <w:sdtContent>
                <w:r w:rsidR="00E858CD">
                  <w:rPr>
                    <w:rFonts w:ascii="MS Gothic" w:eastAsia="MS Gothic" w:hAnsi="MS Gothic" w:hint="eastAsia"/>
                    <w:sz w:val="16"/>
                    <w:szCs w:val="16"/>
                    <w:lang w:val="en-US"/>
                  </w:rPr>
                  <w:t>☐</w:t>
                </w:r>
              </w:sdtContent>
            </w:sdt>
            <w:r w:rsidR="00E858CD">
              <w:rPr>
                <w:rFonts w:ascii="Aptos" w:hAnsi="Aptos"/>
                <w:sz w:val="20"/>
                <w:szCs w:val="20"/>
                <w:lang w:val="en-US"/>
              </w:rPr>
              <w:t xml:space="preserve"> </w:t>
            </w:r>
            <w:r w:rsidR="00E858CD" w:rsidRPr="00B95AEB">
              <w:rPr>
                <w:rFonts w:ascii="Aptos" w:hAnsi="Aptos"/>
                <w:sz w:val="16"/>
                <w:szCs w:val="16"/>
                <w:lang w:val="en-US"/>
              </w:rPr>
              <w:t xml:space="preserve">Check if </w:t>
            </w:r>
            <w:r w:rsidR="00E858CD">
              <w:rPr>
                <w:rFonts w:ascii="Aptos" w:hAnsi="Aptos"/>
                <w:sz w:val="16"/>
                <w:szCs w:val="16"/>
                <w:lang w:val="en-US"/>
              </w:rPr>
              <w:t>n/a</w:t>
            </w:r>
          </w:p>
        </w:tc>
        <w:tc>
          <w:tcPr>
            <w:tcW w:w="2345" w:type="dxa"/>
          </w:tcPr>
          <w:p w14:paraId="11A8391E" w14:textId="49FCE488" w:rsidR="00E858CD" w:rsidRPr="00716E8C" w:rsidRDefault="00E858CD" w:rsidP="00E858C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439658F" w14:textId="77777777" w:rsidR="00E858CD" w:rsidRDefault="00993575" w:rsidP="00EA5094">
            <w:pPr>
              <w:pStyle w:val="Default"/>
              <w:rPr>
                <w:rFonts w:ascii="Aptos" w:hAnsi="Aptos"/>
                <w:sz w:val="20"/>
                <w:szCs w:val="20"/>
              </w:rPr>
            </w:pPr>
            <w:r w:rsidRPr="00EA5094">
              <w:rPr>
                <w:rFonts w:ascii="Aptos" w:hAnsi="Aptos"/>
                <w:sz w:val="20"/>
                <w:szCs w:val="20"/>
              </w:rPr>
              <w:t xml:space="preserve">Where the non-equity securities do not qualify as non-equity securities with ESG-related use of proceeds, a statement that the non-equity securities do not represent a direct investment in a sustainable product or economic activities, including products or </w:t>
            </w:r>
            <w:r w:rsidR="00EA5094" w:rsidRPr="00EA5094">
              <w:rPr>
                <w:rFonts w:ascii="Aptos" w:hAnsi="Aptos"/>
                <w:sz w:val="20"/>
                <w:szCs w:val="20"/>
              </w:rPr>
              <w:t xml:space="preserve">economic activities in transition finance. </w:t>
            </w:r>
          </w:p>
          <w:p w14:paraId="3623CD94" w14:textId="77777777" w:rsidR="00F06F83" w:rsidRDefault="00F06F83" w:rsidP="00EA5094">
            <w:pPr>
              <w:pStyle w:val="Default"/>
              <w:rPr>
                <w:rFonts w:ascii="Aptos" w:hAnsi="Aptos"/>
                <w:sz w:val="20"/>
                <w:szCs w:val="20"/>
              </w:rPr>
            </w:pPr>
          </w:p>
          <w:p w14:paraId="7DA3DFA7" w14:textId="29C28A8B" w:rsidR="00F06F83" w:rsidRPr="00EA5094" w:rsidRDefault="00F06F83" w:rsidP="00EA5094">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E858CD" w:rsidRPr="00770D2B" w14:paraId="4412EE6A" w14:textId="77777777" w:rsidTr="00354071">
        <w:trPr>
          <w:trHeight w:val="220"/>
          <w:jc w:val="center"/>
        </w:trPr>
        <w:tc>
          <w:tcPr>
            <w:tcW w:w="1619" w:type="dxa"/>
            <w:shd w:val="clear" w:color="auto" w:fill="7261A2"/>
          </w:tcPr>
          <w:p w14:paraId="53A36A01" w14:textId="6A42C822" w:rsidR="00E858CD" w:rsidRPr="0049195F" w:rsidRDefault="00E858CD" w:rsidP="00E858C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Pr>
          <w:p w14:paraId="53B0BD19" w14:textId="77777777" w:rsidR="00E858CD" w:rsidRDefault="00E858CD" w:rsidP="00E858CD">
            <w:pPr>
              <w:pStyle w:val="Default"/>
              <w:rPr>
                <w:rFonts w:ascii="Aptos" w:eastAsia="Times New Roman" w:hAnsi="Aptos"/>
                <w:b/>
                <w:bCs/>
                <w:color w:val="FFFFFF" w:themeColor="background1"/>
                <w:sz w:val="24"/>
              </w:rPr>
            </w:pPr>
            <w:r w:rsidRPr="00CF5CBA">
              <w:rPr>
                <w:rFonts w:ascii="Aptos" w:eastAsia="Times New Roman" w:hAnsi="Aptos"/>
                <w:b/>
                <w:bCs/>
                <w:color w:val="FFFFFF" w:themeColor="background1"/>
                <w:sz w:val="24"/>
              </w:rPr>
              <w:t xml:space="preserve">ADDITIONAL INFORMATION </w:t>
            </w:r>
          </w:p>
          <w:p w14:paraId="3F2686EC" w14:textId="1694ADB4" w:rsidR="00F06F83" w:rsidRPr="00B418C4" w:rsidRDefault="00F06F83" w:rsidP="00E858CD">
            <w:pPr>
              <w:pStyle w:val="Default"/>
              <w:rPr>
                <w:rFonts w:ascii="Aptos" w:hAnsi="Aptos"/>
                <w:b/>
                <w:bCs/>
                <w:sz w:val="24"/>
              </w:rPr>
            </w:pPr>
          </w:p>
        </w:tc>
      </w:tr>
      <w:tr w:rsidR="00E858CD" w:rsidRPr="00E73EED" w14:paraId="320F1477" w14:textId="77777777" w:rsidTr="00354071">
        <w:trPr>
          <w:trHeight w:val="218"/>
          <w:jc w:val="center"/>
        </w:trPr>
        <w:tc>
          <w:tcPr>
            <w:tcW w:w="1619" w:type="dxa"/>
            <w:shd w:val="clear" w:color="auto" w:fill="E9E5FF"/>
          </w:tcPr>
          <w:p w14:paraId="0E4BF1B1" w14:textId="3EC4EE3C" w:rsidR="00BE0DAE" w:rsidRPr="00E93BF8" w:rsidRDefault="00BE0DAE" w:rsidP="00BE0DA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5.1</w:t>
            </w:r>
          </w:p>
          <w:p w14:paraId="20232641" w14:textId="1283CBBA" w:rsidR="00E858CD" w:rsidRDefault="00754700" w:rsidP="00BE0DAE">
            <w:pPr>
              <w:autoSpaceDE w:val="0"/>
              <w:autoSpaceDN w:val="0"/>
              <w:adjustRightInd w:val="0"/>
              <w:outlineLvl w:val="0"/>
              <w:rPr>
                <w:rFonts w:ascii="Aptos" w:hAnsi="Aptos"/>
                <w:sz w:val="20"/>
                <w:szCs w:val="20"/>
                <w:lang w:val="en-US"/>
              </w:rPr>
            </w:pPr>
            <w:sdt>
              <w:sdtPr>
                <w:rPr>
                  <w:rFonts w:ascii="Aptos" w:hAnsi="Aptos"/>
                  <w:sz w:val="16"/>
                  <w:szCs w:val="16"/>
                  <w:lang w:val="en-US"/>
                </w:rPr>
                <w:id w:val="1209529444"/>
                <w14:checkbox>
                  <w14:checked w14:val="0"/>
                  <w14:checkedState w14:val="2612" w14:font="MS Gothic"/>
                  <w14:uncheckedState w14:val="2610" w14:font="MS Gothic"/>
                </w14:checkbox>
              </w:sdtPr>
              <w:sdtEndPr/>
              <w:sdtContent>
                <w:r w:rsidR="00BE0DAE">
                  <w:rPr>
                    <w:rFonts w:ascii="MS Gothic" w:eastAsia="MS Gothic" w:hAnsi="MS Gothic" w:hint="eastAsia"/>
                    <w:sz w:val="16"/>
                    <w:szCs w:val="16"/>
                    <w:lang w:val="en-US"/>
                  </w:rPr>
                  <w:t>☐</w:t>
                </w:r>
              </w:sdtContent>
            </w:sdt>
            <w:r w:rsidR="00BE0DAE">
              <w:rPr>
                <w:rFonts w:ascii="Aptos" w:hAnsi="Aptos"/>
                <w:sz w:val="20"/>
                <w:szCs w:val="20"/>
                <w:lang w:val="en-US"/>
              </w:rPr>
              <w:t xml:space="preserve"> </w:t>
            </w:r>
            <w:r w:rsidR="00BE0DAE" w:rsidRPr="00B95AEB">
              <w:rPr>
                <w:rFonts w:ascii="Aptos" w:hAnsi="Aptos"/>
                <w:sz w:val="16"/>
                <w:szCs w:val="16"/>
                <w:lang w:val="en-US"/>
              </w:rPr>
              <w:t xml:space="preserve">Check if </w:t>
            </w:r>
            <w:r w:rsidR="00BE0DAE">
              <w:rPr>
                <w:rFonts w:ascii="Aptos" w:hAnsi="Aptos"/>
                <w:sz w:val="16"/>
                <w:szCs w:val="16"/>
                <w:lang w:val="en-US"/>
              </w:rPr>
              <w:t>n/a</w:t>
            </w:r>
          </w:p>
        </w:tc>
        <w:tc>
          <w:tcPr>
            <w:tcW w:w="2345" w:type="dxa"/>
          </w:tcPr>
          <w:p w14:paraId="7F7F490D" w14:textId="77777777" w:rsidR="00E858CD" w:rsidRPr="00642232" w:rsidRDefault="00E858CD" w:rsidP="00E858C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B84E75D" w14:textId="77777777" w:rsidR="00E858CD" w:rsidRDefault="00E158E3" w:rsidP="00E158E3">
            <w:pPr>
              <w:pStyle w:val="Default"/>
              <w:rPr>
                <w:rFonts w:ascii="Aptos" w:hAnsi="Aptos"/>
                <w:sz w:val="20"/>
                <w:szCs w:val="20"/>
              </w:rPr>
            </w:pPr>
            <w:r w:rsidRPr="00E158E3">
              <w:rPr>
                <w:rFonts w:ascii="Aptos" w:hAnsi="Aptos"/>
                <w:sz w:val="20"/>
                <w:szCs w:val="20"/>
              </w:rPr>
              <w:t xml:space="preserve">Where the issuer chooses to use ESG ratings assigned to the non-equity securities advertised as taking into account ESG factors or pursuing ESG objectives, an electronic link to those ratings, together with a disclaimer that the information on the website does not form part of the prospectus unless that information is incorporated by reference into the prospectus in accordance with Article 19 of Regulation (EU) 2017/1129. </w:t>
            </w:r>
          </w:p>
          <w:p w14:paraId="7F721D1D" w14:textId="77777777" w:rsidR="00F06F83" w:rsidRDefault="00F06F83" w:rsidP="00E158E3">
            <w:pPr>
              <w:pStyle w:val="Default"/>
              <w:rPr>
                <w:rFonts w:ascii="Aptos" w:hAnsi="Aptos"/>
                <w:sz w:val="20"/>
                <w:szCs w:val="20"/>
              </w:rPr>
            </w:pPr>
          </w:p>
          <w:p w14:paraId="512275D4" w14:textId="5A180DD1" w:rsidR="00F06F83" w:rsidRPr="00E158E3" w:rsidRDefault="00F06F83" w:rsidP="00E158E3">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C</w:t>
            </w:r>
          </w:p>
        </w:tc>
      </w:tr>
      <w:tr w:rsidR="00BE0DAE" w:rsidRPr="00E73EED" w14:paraId="15DE8D68" w14:textId="77777777" w:rsidTr="00354071">
        <w:trPr>
          <w:trHeight w:val="218"/>
          <w:jc w:val="center"/>
        </w:trPr>
        <w:tc>
          <w:tcPr>
            <w:tcW w:w="1619" w:type="dxa"/>
            <w:shd w:val="clear" w:color="auto" w:fill="E9E5FF"/>
          </w:tcPr>
          <w:p w14:paraId="353C917E" w14:textId="5F830FBE" w:rsidR="00BE0DAE" w:rsidRPr="00E93BF8" w:rsidRDefault="00BE0DAE" w:rsidP="00BE0DA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5.2</w:t>
            </w:r>
          </w:p>
          <w:p w14:paraId="0790F9E4" w14:textId="6FA65E7F" w:rsidR="00BE0DAE" w:rsidRPr="00642232" w:rsidRDefault="00754700" w:rsidP="00BE0DAE">
            <w:pPr>
              <w:autoSpaceDE w:val="0"/>
              <w:autoSpaceDN w:val="0"/>
              <w:adjustRightInd w:val="0"/>
              <w:outlineLvl w:val="0"/>
              <w:rPr>
                <w:rFonts w:ascii="Aptos" w:hAnsi="Aptos"/>
                <w:sz w:val="20"/>
                <w:szCs w:val="20"/>
                <w:lang w:val="en-GB"/>
              </w:rPr>
            </w:pPr>
            <w:sdt>
              <w:sdtPr>
                <w:rPr>
                  <w:rFonts w:ascii="Aptos" w:hAnsi="Aptos"/>
                  <w:sz w:val="16"/>
                  <w:szCs w:val="16"/>
                  <w:lang w:val="en-US"/>
                </w:rPr>
                <w:id w:val="934714228"/>
                <w14:checkbox>
                  <w14:checked w14:val="0"/>
                  <w14:checkedState w14:val="2612" w14:font="MS Gothic"/>
                  <w14:uncheckedState w14:val="2610" w14:font="MS Gothic"/>
                </w14:checkbox>
              </w:sdtPr>
              <w:sdtEndPr/>
              <w:sdtContent>
                <w:r w:rsidR="00BE0DAE">
                  <w:rPr>
                    <w:rFonts w:ascii="MS Gothic" w:eastAsia="MS Gothic" w:hAnsi="MS Gothic" w:hint="eastAsia"/>
                    <w:sz w:val="16"/>
                    <w:szCs w:val="16"/>
                    <w:lang w:val="en-US"/>
                  </w:rPr>
                  <w:t>☐</w:t>
                </w:r>
              </w:sdtContent>
            </w:sdt>
            <w:r w:rsidR="00BE0DAE">
              <w:rPr>
                <w:rFonts w:ascii="Aptos" w:hAnsi="Aptos"/>
                <w:sz w:val="20"/>
                <w:szCs w:val="20"/>
                <w:lang w:val="en-US"/>
              </w:rPr>
              <w:t xml:space="preserve"> </w:t>
            </w:r>
            <w:r w:rsidR="00BE0DAE" w:rsidRPr="00B95AEB">
              <w:rPr>
                <w:rFonts w:ascii="Aptos" w:hAnsi="Aptos"/>
                <w:sz w:val="16"/>
                <w:szCs w:val="16"/>
                <w:lang w:val="en-US"/>
              </w:rPr>
              <w:t xml:space="preserve">Check if </w:t>
            </w:r>
            <w:r w:rsidR="00BE0DAE">
              <w:rPr>
                <w:rFonts w:ascii="Aptos" w:hAnsi="Aptos"/>
                <w:sz w:val="16"/>
                <w:szCs w:val="16"/>
                <w:lang w:val="en-US"/>
              </w:rPr>
              <w:t>n/a</w:t>
            </w:r>
          </w:p>
        </w:tc>
        <w:tc>
          <w:tcPr>
            <w:tcW w:w="2345" w:type="dxa"/>
          </w:tcPr>
          <w:p w14:paraId="5FCF5F71" w14:textId="51B9C1FA" w:rsidR="00BE0DAE" w:rsidRPr="00642232" w:rsidRDefault="00BE0DAE" w:rsidP="00BE0DA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B7A54B6" w14:textId="77777777" w:rsidR="00BE0DAE" w:rsidRDefault="00E158E3" w:rsidP="00E158E3">
            <w:pPr>
              <w:pStyle w:val="Default"/>
              <w:rPr>
                <w:rFonts w:ascii="Aptos" w:hAnsi="Aptos"/>
                <w:sz w:val="20"/>
                <w:szCs w:val="20"/>
              </w:rPr>
            </w:pPr>
            <w:r w:rsidRPr="00E158E3">
              <w:rPr>
                <w:rFonts w:ascii="Aptos" w:hAnsi="Aptos"/>
                <w:sz w:val="20"/>
                <w:szCs w:val="20"/>
              </w:rPr>
              <w:t xml:space="preserve">An electronic link to the website where investors will be able to access any external review or second-party opinion by independent third parties on the non-equity securities taking into account ESG factors or pursuing ESG objectives, where any, together with a disclaimer that the information on the website does not form part of the prospectus unless that information is incorporated by reference into the prospectus in accordance with Article 19 of Regulation (EU) 2017/1129. </w:t>
            </w:r>
          </w:p>
          <w:p w14:paraId="19E7FCC7" w14:textId="77777777" w:rsidR="00F06F83" w:rsidRDefault="00F06F83" w:rsidP="00E158E3">
            <w:pPr>
              <w:pStyle w:val="Default"/>
              <w:rPr>
                <w:rFonts w:ascii="Aptos" w:hAnsi="Aptos"/>
                <w:sz w:val="20"/>
                <w:szCs w:val="20"/>
              </w:rPr>
            </w:pPr>
          </w:p>
          <w:p w14:paraId="318D540F" w14:textId="73D917D6" w:rsidR="00F06F83" w:rsidRPr="00E158E3" w:rsidRDefault="00F06F83" w:rsidP="00E158E3">
            <w:pPr>
              <w:pStyle w:val="Default"/>
              <w:rPr>
                <w:rFonts w:ascii="Aptos" w:hAnsi="Aptos"/>
                <w:sz w:val="20"/>
                <w:szCs w:val="20"/>
              </w:rPr>
            </w:pPr>
            <w:r w:rsidRPr="00F01495">
              <w:rPr>
                <w:rStyle w:val="normaltextrun"/>
                <w:rFonts w:ascii="Aptos" w:hAnsi="Aptos" w:cs="Segoe UI"/>
                <w:color w:val="FF0000"/>
                <w:sz w:val="16"/>
                <w:szCs w:val="16"/>
                <w:shd w:val="clear" w:color="auto" w:fill="FFFFFF"/>
              </w:rPr>
              <w:t xml:space="preserve">Cat. </w:t>
            </w:r>
            <w:r>
              <w:rPr>
                <w:rStyle w:val="normaltextrun"/>
                <w:rFonts w:ascii="Aptos" w:hAnsi="Aptos" w:cs="Segoe UI"/>
                <w:color w:val="FF0000"/>
                <w:sz w:val="16"/>
                <w:szCs w:val="16"/>
                <w:shd w:val="clear" w:color="auto" w:fill="FFFFFF"/>
              </w:rPr>
              <w:t>B</w:t>
            </w:r>
          </w:p>
        </w:tc>
      </w:tr>
      <w:tr w:rsidR="00BE0DAE" w:rsidRPr="00E73EED" w14:paraId="4D6923E2" w14:textId="77777777" w:rsidTr="00354071">
        <w:trPr>
          <w:trHeight w:val="218"/>
          <w:jc w:val="center"/>
        </w:trPr>
        <w:tc>
          <w:tcPr>
            <w:tcW w:w="1619" w:type="dxa"/>
            <w:shd w:val="clear" w:color="auto" w:fill="E9E5FF"/>
          </w:tcPr>
          <w:p w14:paraId="55279DDF" w14:textId="1124C99C" w:rsidR="00BE0DAE" w:rsidRPr="00E93BF8" w:rsidRDefault="00BE0DAE" w:rsidP="00BE0DA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5.3</w:t>
            </w:r>
          </w:p>
          <w:p w14:paraId="15E38CFA" w14:textId="6BE05F15" w:rsidR="00BE0DAE" w:rsidRDefault="00754700" w:rsidP="00BE0DAE">
            <w:pPr>
              <w:autoSpaceDE w:val="0"/>
              <w:autoSpaceDN w:val="0"/>
              <w:adjustRightInd w:val="0"/>
              <w:outlineLvl w:val="0"/>
              <w:rPr>
                <w:rFonts w:ascii="Aptos" w:hAnsi="Aptos"/>
                <w:sz w:val="20"/>
                <w:szCs w:val="20"/>
                <w:lang w:val="en-US"/>
              </w:rPr>
            </w:pPr>
            <w:sdt>
              <w:sdtPr>
                <w:rPr>
                  <w:rFonts w:ascii="Aptos" w:hAnsi="Aptos"/>
                  <w:sz w:val="16"/>
                  <w:szCs w:val="16"/>
                  <w:lang w:val="en-US"/>
                </w:rPr>
                <w:id w:val="-1490486953"/>
                <w14:checkbox>
                  <w14:checked w14:val="0"/>
                  <w14:checkedState w14:val="2612" w14:font="MS Gothic"/>
                  <w14:uncheckedState w14:val="2610" w14:font="MS Gothic"/>
                </w14:checkbox>
              </w:sdtPr>
              <w:sdtEndPr/>
              <w:sdtContent>
                <w:r w:rsidR="00BE0DAE">
                  <w:rPr>
                    <w:rFonts w:ascii="MS Gothic" w:eastAsia="MS Gothic" w:hAnsi="MS Gothic" w:hint="eastAsia"/>
                    <w:sz w:val="16"/>
                    <w:szCs w:val="16"/>
                    <w:lang w:val="en-US"/>
                  </w:rPr>
                  <w:t>☐</w:t>
                </w:r>
              </w:sdtContent>
            </w:sdt>
            <w:r w:rsidR="00BE0DAE">
              <w:rPr>
                <w:rFonts w:ascii="Aptos" w:hAnsi="Aptos"/>
                <w:sz w:val="20"/>
                <w:szCs w:val="20"/>
                <w:lang w:val="en-US"/>
              </w:rPr>
              <w:t xml:space="preserve"> </w:t>
            </w:r>
            <w:r w:rsidR="00BE0DAE" w:rsidRPr="00B95AEB">
              <w:rPr>
                <w:rFonts w:ascii="Aptos" w:hAnsi="Aptos"/>
                <w:sz w:val="16"/>
                <w:szCs w:val="16"/>
                <w:lang w:val="en-US"/>
              </w:rPr>
              <w:t xml:space="preserve">Check if </w:t>
            </w:r>
            <w:r w:rsidR="00BE0DAE">
              <w:rPr>
                <w:rFonts w:ascii="Aptos" w:hAnsi="Aptos"/>
                <w:sz w:val="16"/>
                <w:szCs w:val="16"/>
                <w:lang w:val="en-US"/>
              </w:rPr>
              <w:t>n/a</w:t>
            </w:r>
          </w:p>
        </w:tc>
        <w:tc>
          <w:tcPr>
            <w:tcW w:w="2345" w:type="dxa"/>
          </w:tcPr>
          <w:p w14:paraId="55A3FD27" w14:textId="0D54C1E5" w:rsidR="00BE0DAE" w:rsidRPr="00642232" w:rsidRDefault="00BE0DAE" w:rsidP="00BE0DA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61716E2" w14:textId="77777777" w:rsidR="00BE0DAE" w:rsidRDefault="00E158E3" w:rsidP="00E158E3">
            <w:pPr>
              <w:pStyle w:val="Default"/>
              <w:rPr>
                <w:rFonts w:ascii="Aptos" w:hAnsi="Aptos"/>
                <w:sz w:val="20"/>
                <w:szCs w:val="20"/>
              </w:rPr>
            </w:pPr>
            <w:r w:rsidRPr="00E158E3">
              <w:rPr>
                <w:rFonts w:ascii="Aptos" w:hAnsi="Aptos"/>
                <w:sz w:val="20"/>
                <w:szCs w:val="20"/>
              </w:rPr>
              <w:t xml:space="preserve">Whether post-issuance information will be provided, together with an indication of where that information will be reported (where any). </w:t>
            </w:r>
          </w:p>
          <w:p w14:paraId="31EC32B3" w14:textId="77777777" w:rsidR="00F06F83" w:rsidRDefault="00F06F83" w:rsidP="00E158E3">
            <w:pPr>
              <w:pStyle w:val="Default"/>
              <w:rPr>
                <w:rFonts w:ascii="Aptos" w:hAnsi="Aptos"/>
                <w:sz w:val="20"/>
                <w:szCs w:val="20"/>
              </w:rPr>
            </w:pPr>
          </w:p>
          <w:p w14:paraId="0F33B310" w14:textId="4D61B84C" w:rsidR="00F06F83" w:rsidRPr="00E158E3" w:rsidRDefault="00F06F83" w:rsidP="00E158E3">
            <w:pPr>
              <w:pStyle w:val="Default"/>
              <w:rPr>
                <w:rFonts w:ascii="Aptos" w:hAnsi="Aptos"/>
                <w:sz w:val="20"/>
                <w:szCs w:val="20"/>
              </w:rPr>
            </w:pPr>
            <w:r w:rsidRPr="00F01495">
              <w:rPr>
                <w:rStyle w:val="normaltextrun"/>
                <w:rFonts w:ascii="Aptos" w:hAnsi="Aptos" w:cs="Segoe UI"/>
                <w:color w:val="FF0000"/>
                <w:sz w:val="16"/>
                <w:szCs w:val="16"/>
                <w:shd w:val="clear" w:color="auto" w:fill="FFFFFF"/>
              </w:rPr>
              <w:lastRenderedPageBreak/>
              <w:t xml:space="preserve">Cat. </w:t>
            </w:r>
            <w:r>
              <w:rPr>
                <w:rStyle w:val="normaltextrun"/>
                <w:rFonts w:ascii="Aptos" w:hAnsi="Aptos" w:cs="Segoe UI"/>
                <w:color w:val="FF0000"/>
                <w:sz w:val="16"/>
                <w:szCs w:val="16"/>
                <w:shd w:val="clear" w:color="auto" w:fill="FFFFFF"/>
              </w:rPr>
              <w:t>B</w:t>
            </w:r>
          </w:p>
        </w:tc>
      </w:tr>
    </w:tbl>
    <w:p w14:paraId="248660DE" w14:textId="692D5056" w:rsidR="00151469" w:rsidRDefault="00151469">
      <w:pPr>
        <w:rPr>
          <w:lang w:val="en-GB"/>
        </w:rPr>
      </w:pPr>
    </w:p>
    <w:p w14:paraId="54A6784A" w14:textId="017660D8" w:rsidR="00151469" w:rsidRPr="00E73EED" w:rsidRDefault="00151469" w:rsidP="00633959">
      <w:pPr>
        <w:rPr>
          <w:lang w:val="en-GB"/>
        </w:rPr>
      </w:pPr>
    </w:p>
    <w:sectPr w:rsidR="00151469" w:rsidRPr="00E73E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B6A" w14:textId="77777777" w:rsidR="00754700" w:rsidRDefault="00754700" w:rsidP="009510B6">
      <w:r>
        <w:separator/>
      </w:r>
    </w:p>
  </w:endnote>
  <w:endnote w:type="continuationSeparator" w:id="0">
    <w:p w14:paraId="4EE33669" w14:textId="77777777" w:rsidR="00754700" w:rsidRDefault="00754700" w:rsidP="0095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4E80" w14:textId="77777777" w:rsidR="00754700" w:rsidRDefault="00754700" w:rsidP="009510B6">
      <w:r>
        <w:separator/>
      </w:r>
    </w:p>
  </w:footnote>
  <w:footnote w:type="continuationSeparator" w:id="0">
    <w:p w14:paraId="189C743C" w14:textId="77777777" w:rsidR="00754700" w:rsidRDefault="00754700" w:rsidP="009510B6">
      <w:r>
        <w:continuationSeparator/>
      </w:r>
    </w:p>
  </w:footnote>
  <w:footnote w:id="1">
    <w:p w14:paraId="5EDBCD45" w14:textId="0A78B8FA" w:rsidR="004C0C2A" w:rsidRPr="00A91843" w:rsidRDefault="004C0C2A">
      <w:pPr>
        <w:pStyle w:val="FootnoteText"/>
        <w:rPr>
          <w:rFonts w:asciiTheme="minorHAnsi" w:hAnsiTheme="minorHAnsi"/>
          <w:sz w:val="18"/>
          <w:szCs w:val="18"/>
          <w:lang w:val="en-US"/>
        </w:rPr>
      </w:pPr>
      <w:r w:rsidRPr="00A91843">
        <w:rPr>
          <w:rStyle w:val="FootnoteReference"/>
          <w:rFonts w:asciiTheme="minorHAnsi" w:hAnsiTheme="minorHAnsi"/>
          <w:sz w:val="18"/>
          <w:szCs w:val="18"/>
        </w:rPr>
        <w:footnoteRef/>
      </w:r>
      <w:r w:rsidRPr="00A91843">
        <w:rPr>
          <w:rFonts w:asciiTheme="minorHAnsi" w:hAnsiTheme="minorHAnsi"/>
          <w:sz w:val="18"/>
          <w:szCs w:val="18"/>
          <w:lang w:val="en-US"/>
        </w:rPr>
        <w:t xml:space="preserve"> Non-equity securities with ESG-related use of proceeds refer to non-equity securities whose proceeds or an equivalent amount are or are to be allocated to ESG-related projects or activities.</w:t>
      </w:r>
    </w:p>
  </w:footnote>
  <w:footnote w:id="2">
    <w:p w14:paraId="4128BB14" w14:textId="78EF4AE8" w:rsidR="0048224C" w:rsidRPr="0048224C" w:rsidRDefault="0048224C">
      <w:pPr>
        <w:pStyle w:val="FootnoteText"/>
        <w:rPr>
          <w:lang w:val="en-US"/>
        </w:rPr>
      </w:pPr>
      <w:r w:rsidRPr="00A91843">
        <w:rPr>
          <w:rStyle w:val="FootnoteReference"/>
          <w:rFonts w:asciiTheme="minorHAnsi" w:hAnsiTheme="minorHAnsi"/>
          <w:sz w:val="18"/>
          <w:szCs w:val="18"/>
        </w:rPr>
        <w:footnoteRef/>
      </w:r>
      <w:r w:rsidRPr="00A91843">
        <w:rPr>
          <w:rFonts w:asciiTheme="minorHAnsi" w:hAnsiTheme="minorHAnsi"/>
          <w:sz w:val="18"/>
          <w:szCs w:val="18"/>
          <w:lang w:val="en-US"/>
        </w:rPr>
        <w:t xml:space="preserve"> Sustainability-linked non-equity securities refer to non-equity securities for which the financial and/or structural characteristics may vary depending on whether the issuer achieves predefined ESG objectives.’.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55F"/>
    <w:multiLevelType w:val="hybridMultilevel"/>
    <w:tmpl w:val="C4CC4FE8"/>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0220A"/>
    <w:multiLevelType w:val="hybridMultilevel"/>
    <w:tmpl w:val="0708FABC"/>
    <w:lvl w:ilvl="0" w:tplc="487AF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72820"/>
    <w:multiLevelType w:val="hybridMultilevel"/>
    <w:tmpl w:val="3926B236"/>
    <w:lvl w:ilvl="0" w:tplc="253AA2C0">
      <w:start w:val="1"/>
      <w:numFmt w:val="lowerRoman"/>
      <w:lvlText w:val="(%1)"/>
      <w:lvlJc w:val="left"/>
      <w:pPr>
        <w:ind w:left="1440" w:hanging="72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2C1369"/>
    <w:multiLevelType w:val="hybridMultilevel"/>
    <w:tmpl w:val="3926B236"/>
    <w:lvl w:ilvl="0" w:tplc="FFFFFFFF">
      <w:start w:val="1"/>
      <w:numFmt w:val="lowerRoman"/>
      <w:lvlText w:val="(%1)"/>
      <w:lvlJc w:val="left"/>
      <w:pPr>
        <w:ind w:left="1440" w:hanging="720"/>
      </w:pPr>
      <w:rPr>
        <w:rFonts w:asciiTheme="minorHAnsi" w:hAnsi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8821248"/>
    <w:multiLevelType w:val="hybridMultilevel"/>
    <w:tmpl w:val="2156657E"/>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E71F10"/>
    <w:multiLevelType w:val="hybridMultilevel"/>
    <w:tmpl w:val="3926B236"/>
    <w:lvl w:ilvl="0" w:tplc="FFFFFFFF">
      <w:start w:val="1"/>
      <w:numFmt w:val="lowerRoman"/>
      <w:lvlText w:val="(%1)"/>
      <w:lvlJc w:val="left"/>
      <w:pPr>
        <w:ind w:left="1440" w:hanging="720"/>
      </w:pPr>
      <w:rPr>
        <w:rFonts w:asciiTheme="minorHAnsi" w:hAnsi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7DA08A0"/>
    <w:multiLevelType w:val="hybridMultilevel"/>
    <w:tmpl w:val="E60AADE8"/>
    <w:lvl w:ilvl="0" w:tplc="2F54F8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8" w15:restartNumberingAfterBreak="0">
    <w:nsid w:val="70D735A1"/>
    <w:multiLevelType w:val="hybridMultilevel"/>
    <w:tmpl w:val="897CEEC8"/>
    <w:lvl w:ilvl="0" w:tplc="79EA78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25E5F"/>
    <w:multiLevelType w:val="hybridMultilevel"/>
    <w:tmpl w:val="11FEBB2E"/>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7"/>
  </w:num>
  <w:num w:numId="2" w16cid:durableId="808085527">
    <w:abstractNumId w:val="9"/>
  </w:num>
  <w:num w:numId="3" w16cid:durableId="388305387">
    <w:abstractNumId w:val="1"/>
  </w:num>
  <w:num w:numId="4" w16cid:durableId="708727618">
    <w:abstractNumId w:val="0"/>
  </w:num>
  <w:num w:numId="5" w16cid:durableId="24142888">
    <w:abstractNumId w:val="2"/>
  </w:num>
  <w:num w:numId="6" w16cid:durableId="115565044">
    <w:abstractNumId w:val="4"/>
  </w:num>
  <w:num w:numId="7" w16cid:durableId="1701011915">
    <w:abstractNumId w:val="3"/>
  </w:num>
  <w:num w:numId="8" w16cid:durableId="1774126016">
    <w:abstractNumId w:val="6"/>
  </w:num>
  <w:num w:numId="9" w16cid:durableId="1420323828">
    <w:abstractNumId w:val="5"/>
  </w:num>
  <w:num w:numId="10" w16cid:durableId="1513491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37F6A"/>
    <w:rsid w:val="00065316"/>
    <w:rsid w:val="000D0BF6"/>
    <w:rsid w:val="000F38E4"/>
    <w:rsid w:val="0013359D"/>
    <w:rsid w:val="001363A3"/>
    <w:rsid w:val="001402CA"/>
    <w:rsid w:val="00151469"/>
    <w:rsid w:val="00155DE7"/>
    <w:rsid w:val="00161B6E"/>
    <w:rsid w:val="00162CFB"/>
    <w:rsid w:val="00164743"/>
    <w:rsid w:val="001871F5"/>
    <w:rsid w:val="001A4F04"/>
    <w:rsid w:val="001B1D46"/>
    <w:rsid w:val="001C2179"/>
    <w:rsid w:val="001C7D9E"/>
    <w:rsid w:val="001E2B9F"/>
    <w:rsid w:val="00214F0F"/>
    <w:rsid w:val="00224C4D"/>
    <w:rsid w:val="0025285D"/>
    <w:rsid w:val="00252BF6"/>
    <w:rsid w:val="00267E4A"/>
    <w:rsid w:val="00270E8A"/>
    <w:rsid w:val="002E5B12"/>
    <w:rsid w:val="00334D8A"/>
    <w:rsid w:val="003718AE"/>
    <w:rsid w:val="00386534"/>
    <w:rsid w:val="00387B1D"/>
    <w:rsid w:val="003A2FC2"/>
    <w:rsid w:val="003E6B10"/>
    <w:rsid w:val="003F765D"/>
    <w:rsid w:val="00406538"/>
    <w:rsid w:val="004076F5"/>
    <w:rsid w:val="00407AC4"/>
    <w:rsid w:val="00463262"/>
    <w:rsid w:val="0047433C"/>
    <w:rsid w:val="0047666D"/>
    <w:rsid w:val="0048224C"/>
    <w:rsid w:val="00486CF9"/>
    <w:rsid w:val="004961C0"/>
    <w:rsid w:val="004B5165"/>
    <w:rsid w:val="004C0C2A"/>
    <w:rsid w:val="004C336C"/>
    <w:rsid w:val="0051128F"/>
    <w:rsid w:val="005743E6"/>
    <w:rsid w:val="005A07A6"/>
    <w:rsid w:val="005D35E2"/>
    <w:rsid w:val="005E3B2C"/>
    <w:rsid w:val="005E44D0"/>
    <w:rsid w:val="005F0752"/>
    <w:rsid w:val="00611DB5"/>
    <w:rsid w:val="00633959"/>
    <w:rsid w:val="00654830"/>
    <w:rsid w:val="00684E41"/>
    <w:rsid w:val="00695CFA"/>
    <w:rsid w:val="006B3EC8"/>
    <w:rsid w:val="00706AFD"/>
    <w:rsid w:val="007107A4"/>
    <w:rsid w:val="00713652"/>
    <w:rsid w:val="007265A4"/>
    <w:rsid w:val="00740FD6"/>
    <w:rsid w:val="00752FD2"/>
    <w:rsid w:val="00754700"/>
    <w:rsid w:val="00762741"/>
    <w:rsid w:val="0076356A"/>
    <w:rsid w:val="00770D2B"/>
    <w:rsid w:val="007B2D9B"/>
    <w:rsid w:val="007C7DBF"/>
    <w:rsid w:val="008005C2"/>
    <w:rsid w:val="00830974"/>
    <w:rsid w:val="00844AD3"/>
    <w:rsid w:val="00863D13"/>
    <w:rsid w:val="00881EEE"/>
    <w:rsid w:val="008D7831"/>
    <w:rsid w:val="008E2568"/>
    <w:rsid w:val="0091726C"/>
    <w:rsid w:val="00937044"/>
    <w:rsid w:val="0094770B"/>
    <w:rsid w:val="009510B6"/>
    <w:rsid w:val="00993575"/>
    <w:rsid w:val="009A076C"/>
    <w:rsid w:val="009B2309"/>
    <w:rsid w:val="00A13971"/>
    <w:rsid w:val="00A15A53"/>
    <w:rsid w:val="00A25243"/>
    <w:rsid w:val="00A77DF1"/>
    <w:rsid w:val="00A91843"/>
    <w:rsid w:val="00A97FE9"/>
    <w:rsid w:val="00AC6791"/>
    <w:rsid w:val="00AC67D8"/>
    <w:rsid w:val="00AF129E"/>
    <w:rsid w:val="00B07629"/>
    <w:rsid w:val="00B27F95"/>
    <w:rsid w:val="00B32CE0"/>
    <w:rsid w:val="00B721BC"/>
    <w:rsid w:val="00B96C8A"/>
    <w:rsid w:val="00BB41B8"/>
    <w:rsid w:val="00BE0DAE"/>
    <w:rsid w:val="00BE16D8"/>
    <w:rsid w:val="00C82C56"/>
    <w:rsid w:val="00CC65A8"/>
    <w:rsid w:val="00CE52C1"/>
    <w:rsid w:val="00CF5CBA"/>
    <w:rsid w:val="00D0238F"/>
    <w:rsid w:val="00D15B3B"/>
    <w:rsid w:val="00D23F68"/>
    <w:rsid w:val="00D4278B"/>
    <w:rsid w:val="00D86C9D"/>
    <w:rsid w:val="00DB5D66"/>
    <w:rsid w:val="00DF6BE7"/>
    <w:rsid w:val="00E05219"/>
    <w:rsid w:val="00E103C5"/>
    <w:rsid w:val="00E158E3"/>
    <w:rsid w:val="00E209AA"/>
    <w:rsid w:val="00E3475B"/>
    <w:rsid w:val="00E56120"/>
    <w:rsid w:val="00E7344F"/>
    <w:rsid w:val="00E73EBE"/>
    <w:rsid w:val="00E73EED"/>
    <w:rsid w:val="00E854C1"/>
    <w:rsid w:val="00E858CD"/>
    <w:rsid w:val="00EA0E53"/>
    <w:rsid w:val="00EA5094"/>
    <w:rsid w:val="00F01001"/>
    <w:rsid w:val="00F01495"/>
    <w:rsid w:val="00F041A8"/>
    <w:rsid w:val="00F06F83"/>
    <w:rsid w:val="00F47E5E"/>
    <w:rsid w:val="00F641FB"/>
    <w:rsid w:val="00F6677E"/>
    <w:rsid w:val="00FB27A7"/>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44F"/>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paragraph" w:customStyle="1" w:styleId="Default">
    <w:name w:val="Default"/>
    <w:rsid w:val="00844AD3"/>
    <w:pPr>
      <w:autoSpaceDE w:val="0"/>
      <w:autoSpaceDN w:val="0"/>
      <w:adjustRightInd w:val="0"/>
      <w:spacing w:after="0" w:line="240" w:lineRule="auto"/>
    </w:pPr>
    <w:rPr>
      <w:rFonts w:ascii="Times New Roman" w:hAnsi="Times New Roman" w:cs="Times New Roman"/>
      <w:color w:val="000000"/>
      <w:kern w:val="0"/>
      <w:lang w:val="en-US"/>
    </w:rPr>
  </w:style>
  <w:style w:type="paragraph" w:styleId="EndnoteText">
    <w:name w:val="endnote text"/>
    <w:basedOn w:val="Normal"/>
    <w:link w:val="EndnoteTextChar"/>
    <w:uiPriority w:val="99"/>
    <w:semiHidden/>
    <w:unhideWhenUsed/>
    <w:rsid w:val="009510B6"/>
    <w:rPr>
      <w:sz w:val="20"/>
      <w:szCs w:val="20"/>
    </w:rPr>
  </w:style>
  <w:style w:type="character" w:customStyle="1" w:styleId="EndnoteTextChar">
    <w:name w:val="Endnote Text Char"/>
    <w:basedOn w:val="DefaultParagraphFont"/>
    <w:link w:val="EndnoteText"/>
    <w:uiPriority w:val="99"/>
    <w:semiHidden/>
    <w:rsid w:val="009510B6"/>
    <w:rPr>
      <w:rFonts w:ascii="Minion" w:eastAsia="Times New Roman" w:hAnsi="Minion" w:cs="Times New Roman"/>
      <w:kern w:val="0"/>
      <w:sz w:val="20"/>
      <w:szCs w:val="20"/>
      <w:lang w:val="nl-NL"/>
      <w14:ligatures w14:val="none"/>
    </w:rPr>
  </w:style>
  <w:style w:type="character" w:styleId="EndnoteReference">
    <w:name w:val="endnote reference"/>
    <w:basedOn w:val="DefaultParagraphFont"/>
    <w:uiPriority w:val="99"/>
    <w:semiHidden/>
    <w:unhideWhenUsed/>
    <w:rsid w:val="009510B6"/>
    <w:rPr>
      <w:vertAlign w:val="superscript"/>
    </w:rPr>
  </w:style>
  <w:style w:type="paragraph" w:styleId="FootnoteText">
    <w:name w:val="footnote text"/>
    <w:basedOn w:val="Normal"/>
    <w:link w:val="FootnoteTextChar"/>
    <w:uiPriority w:val="99"/>
    <w:semiHidden/>
    <w:unhideWhenUsed/>
    <w:rsid w:val="004C0C2A"/>
    <w:rPr>
      <w:sz w:val="20"/>
      <w:szCs w:val="20"/>
    </w:rPr>
  </w:style>
  <w:style w:type="character" w:customStyle="1" w:styleId="FootnoteTextChar">
    <w:name w:val="Footnote Text Char"/>
    <w:basedOn w:val="DefaultParagraphFont"/>
    <w:link w:val="FootnoteText"/>
    <w:uiPriority w:val="99"/>
    <w:semiHidden/>
    <w:rsid w:val="004C0C2A"/>
    <w:rPr>
      <w:rFonts w:ascii="Minion" w:eastAsia="Times New Roman" w:hAnsi="Minion" w:cs="Times New Roman"/>
      <w:kern w:val="0"/>
      <w:sz w:val="20"/>
      <w:szCs w:val="20"/>
      <w:lang w:val="nl-NL"/>
      <w14:ligatures w14:val="none"/>
    </w:rPr>
  </w:style>
  <w:style w:type="character" w:styleId="FootnoteReference">
    <w:name w:val="footnote reference"/>
    <w:basedOn w:val="DefaultParagraphFont"/>
    <w:uiPriority w:val="99"/>
    <w:semiHidden/>
    <w:unhideWhenUsed/>
    <w:rsid w:val="004C0C2A"/>
    <w:rPr>
      <w:vertAlign w:val="superscript"/>
    </w:rPr>
  </w:style>
  <w:style w:type="paragraph" w:customStyle="1" w:styleId="paragraph">
    <w:name w:val="paragraph"/>
    <w:basedOn w:val="Normal"/>
    <w:rsid w:val="00E73EED"/>
    <w:pPr>
      <w:spacing w:before="100" w:beforeAutospacing="1" w:after="100" w:afterAutospacing="1"/>
    </w:pPr>
    <w:rPr>
      <w:rFonts w:ascii="Times New Roman" w:hAnsi="Times New Roman"/>
      <w:sz w:val="24"/>
      <w:lang w:val="en-GB" w:eastAsia="en-GB"/>
    </w:rPr>
  </w:style>
  <w:style w:type="character" w:customStyle="1" w:styleId="eop">
    <w:name w:val="eop"/>
    <w:basedOn w:val="DefaultParagraphFont"/>
    <w:rsid w:val="00E73EED"/>
  </w:style>
  <w:style w:type="character" w:customStyle="1" w:styleId="normaltextrun">
    <w:name w:val="normaltextrun"/>
    <w:basedOn w:val="DefaultParagraphFont"/>
    <w:rsid w:val="00E7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07542F" w:rsidRDefault="0007542F">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07542F"/>
    <w:rsid w:val="00886516"/>
    <w:rsid w:val="009026CC"/>
    <w:rsid w:val="009B2309"/>
    <w:rsid w:val="00A15A53"/>
    <w:rsid w:val="00AF331B"/>
    <w:rsid w:val="00B32CE0"/>
    <w:rsid w:val="00BE16D8"/>
    <w:rsid w:val="00E103C5"/>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918BF-7EA5-4C07-B237-F323A2CCC4EE}">
  <ds:schemaRefs>
    <ds:schemaRef ds:uri="http://schemas.openxmlformats.org/officeDocument/2006/bibliography"/>
  </ds:schemaRefs>
</ds:datastoreItem>
</file>

<file path=customXml/itemProps2.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3.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73</cp:revision>
  <dcterms:created xsi:type="dcterms:W3CDTF">2026-06-01T10:58:00Z</dcterms:created>
  <dcterms:modified xsi:type="dcterms:W3CDTF">2026-06-02T14:35:00Z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