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AB" w:rsidRDefault="00536A93">
      <w:pPr>
        <w:autoSpaceDE w:val="0"/>
        <w:autoSpaceDN w:val="0"/>
        <w:adjustRightInd w:val="0"/>
        <w:rPr>
          <w:rFonts w:ascii="Verdana" w:hAnsi="Verdana"/>
          <w:b/>
          <w:bCs/>
          <w:color w:val="625326"/>
          <w:sz w:val="90"/>
          <w:szCs w:val="90"/>
          <w:lang w:val="en-GB"/>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8pt;width:200.25pt;height:75.75pt;z-index:-251657216">
            <v:imagedata r:id="rId8" o:title="logo_home_new"/>
          </v:shape>
        </w:pict>
      </w:r>
      <w:r w:rsidR="005E48AB">
        <w:rPr>
          <w:rFonts w:ascii="Verdana" w:hAnsi="Verdana"/>
          <w:b/>
          <w:bCs/>
          <w:color w:val="625326"/>
          <w:sz w:val="90"/>
          <w:szCs w:val="90"/>
          <w:lang w:val="en-GB"/>
        </w:rPr>
        <w:t>FAQ</w:t>
      </w:r>
    </w:p>
    <w:p w:rsidR="005E48AB" w:rsidRDefault="005E48AB">
      <w:pPr>
        <w:autoSpaceDE w:val="0"/>
        <w:autoSpaceDN w:val="0"/>
        <w:adjustRightInd w:val="0"/>
        <w:rPr>
          <w:rFonts w:ascii="Verdana" w:hAnsi="Verdana"/>
          <w:b/>
          <w:bCs/>
          <w:color w:val="625326"/>
          <w:sz w:val="27"/>
          <w:szCs w:val="27"/>
          <w:lang w:val="en-GB"/>
        </w:rPr>
      </w:pPr>
    </w:p>
    <w:p w:rsidR="005E48AB" w:rsidRDefault="005E48AB">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 xml:space="preserve">Annex to the Common Application Form (Form I) for Registration of Third-Country Audit Entities under </w:t>
      </w:r>
      <w:r w:rsidR="00E76939">
        <w:rPr>
          <w:rFonts w:ascii="Verdana" w:hAnsi="Verdana"/>
          <w:b/>
          <w:bCs/>
          <w:color w:val="625326"/>
          <w:sz w:val="27"/>
          <w:szCs w:val="27"/>
          <w:lang w:val="en-GB"/>
        </w:rPr>
        <w:t>the</w:t>
      </w:r>
      <w:r>
        <w:rPr>
          <w:rFonts w:ascii="Verdana" w:hAnsi="Verdana"/>
          <w:b/>
          <w:bCs/>
          <w:color w:val="625326"/>
          <w:sz w:val="27"/>
          <w:szCs w:val="27"/>
          <w:lang w:val="en-GB"/>
        </w:rPr>
        <w:t xml:space="preserve"> European Commission Decision of </w:t>
      </w:r>
      <w:r w:rsidR="00E76939">
        <w:rPr>
          <w:rFonts w:ascii="Verdana" w:hAnsi="Verdana"/>
          <w:b/>
          <w:bCs/>
          <w:color w:val="625326"/>
          <w:sz w:val="27"/>
          <w:szCs w:val="27"/>
          <w:lang w:val="en-GB"/>
        </w:rPr>
        <w:t>13 June 2013</w:t>
      </w:r>
      <w:r>
        <w:rPr>
          <w:rFonts w:ascii="Verdana" w:hAnsi="Verdana"/>
          <w:b/>
          <w:bCs/>
          <w:color w:val="625326"/>
          <w:sz w:val="27"/>
          <w:szCs w:val="27"/>
          <w:lang w:val="en-GB"/>
        </w:rPr>
        <w:t xml:space="preserve"> on transitional provisions for the purposes of Article 46 (2) of the Directive 2006/43/EC of 17 May 2006 on Statutory Audits of Annual Accounts and Consolidated Accounts</w:t>
      </w:r>
    </w:p>
    <w:p w:rsidR="005E48AB" w:rsidRDefault="00536A93">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val="en-GB"/>
        </w:rPr>
        <w:pict>
          <v:line id="_x0000_s1027" style="position:absolute;z-index:251660288" from="0,8.85pt" to="531pt,8.85pt" strokecolor="#625326" strokeweight="2.25pt"/>
        </w:pict>
      </w:r>
    </w:p>
    <w:p w:rsidR="005E48AB" w:rsidRDefault="005E48A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E48A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Registration</w:t>
            </w:r>
          </w:p>
        </w:tc>
      </w:tr>
      <w:tr w:rsidR="005E48AB" w:rsidRPr="00CB4A51">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 Why do third-country audit entities have to register with authorities in Member States?</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EU Statutory Audit Directive (“Directive 2006/43/EC”) sets minimum regulatory requirements for statutory audits across the European Union/European Economic Area (“EU/EEA”). The interrelation of capital markets underlines the need to ensure that auditors from third countries carry out high quality audit work in relation to capital markets within the EU/EEA. Directive 2006/43/EC therefore requires that the relevant statutory audit entities and auditors from third countries should be entered on a public register, and subject to a level of regulation equivalent to the minimum required for EU/EEA auditors. In addition the European Commission has made transitional measures to facilitate the introduction of these new requirements.</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Registration is required according to Article 45 of Directive 2006/43/EC if a third-country audit entity provides an audit report concerning the annual or consolidated accounts of a relevant audit client (see FAQ no. 3.). According to Article 2 (4) of Directive 2006/43/EC a ‘third-country audit entity’ means an entity, regardless of its legal form, which carries out audits of the annual or consolidated accounts of a company incorporated in a third-country.</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2. Who should use this Form?</w:t>
            </w:r>
            <w:r>
              <w:rPr>
                <w:rFonts w:ascii="Verdana" w:hAnsi="Verdana"/>
                <w:bCs/>
                <w:color w:val="093A5D"/>
                <w:sz w:val="13"/>
                <w:szCs w:val="13"/>
                <w:lang w:val="en-GB"/>
              </w:rPr>
              <w:t xml:space="preserve"> (Item 1.0)</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Form I can only be used by a third-country audit entity whose </w:t>
            </w:r>
            <w:r w:rsidR="00633DA7">
              <w:rPr>
                <w:rFonts w:ascii="Verdana" w:hAnsi="Verdana"/>
                <w:bCs/>
                <w:color w:val="093A5D"/>
                <w:sz w:val="13"/>
                <w:szCs w:val="13"/>
                <w:lang w:val="en-GB"/>
              </w:rPr>
              <w:t xml:space="preserve">relevant audit client’s </w:t>
            </w:r>
            <w:r>
              <w:rPr>
                <w:rFonts w:ascii="Verdana" w:hAnsi="Verdana"/>
                <w:bCs/>
                <w:color w:val="093A5D"/>
                <w:sz w:val="13"/>
                <w:szCs w:val="13"/>
                <w:lang w:val="en-GB"/>
              </w:rPr>
              <w:t xml:space="preserve">home country is one of the third countries to which the European Commission has granted a transitional period under the Decision </w:t>
            </w:r>
            <w:r w:rsidR="00633DA7">
              <w:rPr>
                <w:rFonts w:ascii="Verdana" w:hAnsi="Verdana"/>
                <w:bCs/>
                <w:color w:val="093A5D"/>
                <w:sz w:val="13"/>
                <w:szCs w:val="13"/>
                <w:lang w:val="en-GB"/>
              </w:rPr>
              <w:t>of 13 June 2013</w:t>
            </w:r>
            <w:r>
              <w:rPr>
                <w:rFonts w:ascii="Verdana" w:hAnsi="Verdana"/>
                <w:bCs/>
                <w:color w:val="093A5D"/>
                <w:sz w:val="13"/>
                <w:szCs w:val="13"/>
                <w:lang w:val="en-GB"/>
              </w:rPr>
              <w:t xml:space="preserve"> in accordance with Article 46 (2) of the Directive 2006/43/EC. These third countries are </w:t>
            </w:r>
            <w:proofErr w:type="spellStart"/>
            <w:r>
              <w:rPr>
                <w:rFonts w:ascii="Verdana" w:hAnsi="Verdana"/>
                <w:bCs/>
                <w:color w:val="093A5D"/>
                <w:sz w:val="13"/>
                <w:szCs w:val="13"/>
                <w:lang w:val="en-GB"/>
              </w:rPr>
              <w:t>Bermudas</w:t>
            </w:r>
            <w:proofErr w:type="spellEnd"/>
            <w:r>
              <w:rPr>
                <w:rFonts w:ascii="Verdana" w:hAnsi="Verdana"/>
                <w:bCs/>
                <w:color w:val="093A5D"/>
                <w:sz w:val="13"/>
                <w:szCs w:val="13"/>
                <w:lang w:val="en-GB"/>
              </w:rPr>
              <w:t xml:space="preserve">, Cayman Islands, </w:t>
            </w:r>
            <w:r w:rsidR="00633DA7">
              <w:rPr>
                <w:rFonts w:ascii="Verdana" w:hAnsi="Verdana"/>
                <w:bCs/>
                <w:color w:val="093A5D"/>
                <w:sz w:val="13"/>
                <w:szCs w:val="13"/>
                <w:lang w:val="en-GB"/>
              </w:rPr>
              <w:t xml:space="preserve">Egypt, </w:t>
            </w:r>
            <w:r>
              <w:rPr>
                <w:rFonts w:ascii="Verdana" w:hAnsi="Verdana"/>
                <w:bCs/>
                <w:color w:val="093A5D"/>
                <w:sz w:val="13"/>
                <w:szCs w:val="13"/>
                <w:lang w:val="en-GB"/>
              </w:rPr>
              <w:t>Mauritius, New Zealand, Russia</w:t>
            </w:r>
            <w:r w:rsidR="00633DA7">
              <w:rPr>
                <w:rFonts w:ascii="Verdana" w:hAnsi="Verdana"/>
                <w:bCs/>
                <w:color w:val="093A5D"/>
                <w:sz w:val="13"/>
                <w:szCs w:val="13"/>
                <w:lang w:val="en-GB"/>
              </w:rPr>
              <w:t xml:space="preserve"> and</w:t>
            </w:r>
            <w:r>
              <w:rPr>
                <w:rFonts w:ascii="Verdana" w:hAnsi="Verdana"/>
                <w:bCs/>
                <w:color w:val="093A5D"/>
                <w:sz w:val="13"/>
                <w:szCs w:val="13"/>
                <w:lang w:val="en-GB"/>
              </w:rPr>
              <w:t xml:space="preserve"> Turkey. The home country is ordinarily the country where the audit client </w:t>
            </w:r>
            <w:r w:rsidR="00633DA7">
              <w:rPr>
                <w:rFonts w:ascii="Verdana" w:hAnsi="Verdana"/>
                <w:bCs/>
                <w:color w:val="093A5D"/>
                <w:sz w:val="13"/>
                <w:szCs w:val="13"/>
                <w:lang w:val="en-GB"/>
              </w:rPr>
              <w:t>is</w:t>
            </w:r>
            <w:r>
              <w:rPr>
                <w:rFonts w:ascii="Verdana" w:hAnsi="Verdana"/>
                <w:bCs/>
                <w:color w:val="093A5D"/>
                <w:sz w:val="13"/>
                <w:szCs w:val="13"/>
                <w:lang w:val="en-GB"/>
              </w:rPr>
              <w:t xml:space="preserve"> incorporated or ha</w:t>
            </w:r>
            <w:r w:rsidR="00633DA7">
              <w:rPr>
                <w:rFonts w:ascii="Verdana" w:hAnsi="Verdana"/>
                <w:bCs/>
                <w:color w:val="093A5D"/>
                <w:sz w:val="13"/>
                <w:szCs w:val="13"/>
                <w:lang w:val="en-GB"/>
              </w:rPr>
              <w:t>s</w:t>
            </w:r>
            <w:r>
              <w:rPr>
                <w:rFonts w:ascii="Verdana" w:hAnsi="Verdana"/>
                <w:bCs/>
                <w:color w:val="093A5D"/>
                <w:sz w:val="13"/>
                <w:szCs w:val="13"/>
                <w:lang w:val="en-GB"/>
              </w:rPr>
              <w:t xml:space="preserve"> </w:t>
            </w:r>
            <w:r w:rsidR="007D7A9D">
              <w:rPr>
                <w:rFonts w:ascii="Verdana" w:hAnsi="Verdana"/>
                <w:bCs/>
                <w:color w:val="093A5D"/>
                <w:sz w:val="13"/>
                <w:szCs w:val="13"/>
                <w:lang w:val="en-GB"/>
              </w:rPr>
              <w:t>its</w:t>
            </w:r>
            <w:r>
              <w:rPr>
                <w:rFonts w:ascii="Verdana" w:hAnsi="Verdana"/>
                <w:bCs/>
                <w:color w:val="093A5D"/>
                <w:sz w:val="13"/>
                <w:szCs w:val="13"/>
                <w:lang w:val="en-GB"/>
              </w:rPr>
              <w:t xml:space="preserve"> main office. According to the EU Statutory Audit Directive (“Directive 2006/43/EC”) a third country audit entity is “an entity, regardless of its legal form, which carries out audits of the annual or consolidated accounts of a company incorporated in a third country”.</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3. What is a “relevant audit client”?</w:t>
            </w:r>
            <w:r>
              <w:rPr>
                <w:rFonts w:ascii="Verdana" w:hAnsi="Verdana"/>
                <w:bCs/>
                <w:color w:val="093A5D"/>
                <w:sz w:val="13"/>
                <w:szCs w:val="13"/>
                <w:lang w:val="en-GB"/>
              </w:rPr>
              <w:t xml:space="preserve"> (Item 7.0)</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A relevant audit client is a company incorporated outside the EU/EEA whose transferable securities are admitted to trading on a regulated market of any Member State of the EU/EEA within the meaning of point 14 of Article 4 (1) of Directive 2004/39/EC. This refers to an issuer as defined in Article 2 (1) (d) of Directive 2004/109/EC, </w:t>
            </w:r>
            <w:r>
              <w:rPr>
                <w:rFonts w:ascii="Verdana" w:hAnsi="Verdana"/>
                <w:bCs/>
                <w:i/>
                <w:iCs/>
                <w:color w:val="093A5D"/>
                <w:sz w:val="13"/>
                <w:szCs w:val="13"/>
                <w:u w:val="single"/>
                <w:lang w:val="en-GB"/>
              </w:rPr>
              <w:t>except</w:t>
            </w:r>
            <w:r>
              <w:rPr>
                <w:rFonts w:ascii="Verdana" w:hAnsi="Verdana"/>
                <w:bCs/>
                <w:color w:val="093A5D"/>
                <w:sz w:val="13"/>
                <w:szCs w:val="13"/>
                <w:lang w:val="en-GB"/>
              </w:rPr>
              <w:t xml:space="preserve"> when:</w:t>
            </w:r>
          </w:p>
          <w:p w:rsidR="005E48AB" w:rsidRDefault="005E48AB" w:rsidP="005E48AB">
            <w:pPr>
              <w:numPr>
                <w:ilvl w:val="0"/>
                <w:numId w:val="2"/>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the company is an issuer exclusively of debt securities admitted to trading on a regulated market in the relevant Member State of the EU/EEA within the meaning of Article 2(1)(b) of Directive 2004/109/EC, the denomination per unit of which is at least EUR 50 000 or, in case of debt securities denominated in another currency, equivalent, at the date of issue, to at least EUR 50 000; or</w:t>
            </w:r>
          </w:p>
          <w:p w:rsidR="005E48AB" w:rsidRDefault="005E48AB" w:rsidP="005E48AB">
            <w:pPr>
              <w:numPr>
                <w:ilvl w:val="0"/>
                <w:numId w:val="2"/>
              </w:numPr>
              <w:autoSpaceDE w:val="0"/>
              <w:autoSpaceDN w:val="0"/>
              <w:adjustRightInd w:val="0"/>
              <w:spacing w:before="120" w:after="120" w:line="240" w:lineRule="auto"/>
              <w:rPr>
                <w:rFonts w:ascii="Verdana" w:hAnsi="Verdana"/>
                <w:bCs/>
                <w:color w:val="093A5D"/>
                <w:sz w:val="13"/>
                <w:szCs w:val="13"/>
                <w:lang w:val="en-GB"/>
              </w:rPr>
            </w:pPr>
            <w:proofErr w:type="gramStart"/>
            <w:r>
              <w:rPr>
                <w:rFonts w:ascii="Verdana" w:hAnsi="Verdana"/>
                <w:bCs/>
                <w:color w:val="093A5D"/>
                <w:sz w:val="13"/>
                <w:szCs w:val="13"/>
                <w:lang w:val="en-GB"/>
              </w:rPr>
              <w:t>the</w:t>
            </w:r>
            <w:proofErr w:type="gramEnd"/>
            <w:r>
              <w:rPr>
                <w:rFonts w:ascii="Verdana" w:hAnsi="Verdana"/>
                <w:bCs/>
                <w:color w:val="093A5D"/>
                <w:sz w:val="13"/>
                <w:szCs w:val="13"/>
                <w:lang w:val="en-GB"/>
              </w:rPr>
              <w:t xml:space="preserve"> company is an issuer exclusively of units issued by collective investment undertakings other than closed-end type, or units acquired or deposited of in such collective investment undertakings within the meaning of Article 1 (2) of Directive 2004/109/EC.</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applicant should submit applications in each Member State where the audit client's securities are admitted to trading on a regulated market.</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lastRenderedPageBreak/>
              <w:t>4. Does registration entitle third-country audit entities to provide statutory audit services in the EU/EEA?</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No. Registration does not give approval to carry out statutory audits as required by Community law (see Article 2 (1) of Directive 2006/43/EC). Nor does it recognise the qualifications of third-country auditors.</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5. What are the requirements for registration as a third-country audit entity under the Commission Decision on transitional provisions?</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The Commission Decision states that Member States shall not apply Article 45 in respect of the audit reports of the relevant issuers for financial years starting during the period from </w:t>
            </w:r>
            <w:r w:rsidR="000963C8">
              <w:rPr>
                <w:rFonts w:ascii="Verdana" w:hAnsi="Verdana"/>
                <w:bCs/>
                <w:color w:val="093A5D"/>
                <w:sz w:val="13"/>
                <w:szCs w:val="13"/>
                <w:lang w:val="en-GB"/>
              </w:rPr>
              <w:t>2</w:t>
            </w:r>
            <w:r>
              <w:rPr>
                <w:rFonts w:ascii="Verdana" w:hAnsi="Verdana"/>
                <w:bCs/>
                <w:color w:val="093A5D"/>
                <w:sz w:val="13"/>
                <w:szCs w:val="13"/>
                <w:lang w:val="en-GB"/>
              </w:rPr>
              <w:t xml:space="preserve"> July 2010</w:t>
            </w:r>
            <w:r w:rsidR="000963C8">
              <w:rPr>
                <w:rFonts w:ascii="Verdana" w:hAnsi="Verdana"/>
                <w:bCs/>
                <w:color w:val="093A5D"/>
                <w:sz w:val="13"/>
                <w:szCs w:val="13"/>
                <w:lang w:val="en-GB"/>
              </w:rPr>
              <w:t xml:space="preserve"> to 31 July 2015</w:t>
            </w:r>
            <w:r>
              <w:rPr>
                <w:rFonts w:ascii="Verdana" w:hAnsi="Verdana"/>
                <w:bCs/>
                <w:color w:val="093A5D"/>
                <w:sz w:val="13"/>
                <w:szCs w:val="13"/>
                <w:lang w:val="en-GB"/>
              </w:rPr>
              <w:t>, issued by auditors or audit entities from specified third countries where the third-country auditor or audit entity concerned provides:</w:t>
            </w:r>
          </w:p>
          <w:p w:rsidR="005E48AB" w:rsidRDefault="005E48AB" w:rsidP="005E48AB">
            <w:pPr>
              <w:numPr>
                <w:ilvl w:val="0"/>
                <w:numId w:val="3"/>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the name and address of the auditor or audit entity concerned and information about its legal structure;</w:t>
            </w:r>
          </w:p>
          <w:p w:rsidR="005E48AB" w:rsidRDefault="005E48AB" w:rsidP="005E48AB">
            <w:pPr>
              <w:numPr>
                <w:ilvl w:val="0"/>
                <w:numId w:val="3"/>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where the auditor or the audit entity belongs to a network, a description of the network;</w:t>
            </w:r>
          </w:p>
          <w:p w:rsidR="005E48AB" w:rsidRDefault="005E48AB" w:rsidP="005E48AB">
            <w:pPr>
              <w:numPr>
                <w:ilvl w:val="0"/>
                <w:numId w:val="3"/>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the auditing standards and independence requirements which have been applied to the audit concerned;</w:t>
            </w:r>
          </w:p>
          <w:p w:rsidR="005E48AB" w:rsidRDefault="005E48AB" w:rsidP="005E48AB">
            <w:pPr>
              <w:numPr>
                <w:ilvl w:val="0"/>
                <w:numId w:val="3"/>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a description of the internal quality control system of the audit entity;</w:t>
            </w:r>
          </w:p>
          <w:p w:rsidR="005E48AB" w:rsidRDefault="005E48AB" w:rsidP="005E48AB">
            <w:pPr>
              <w:numPr>
                <w:ilvl w:val="0"/>
                <w:numId w:val="3"/>
              </w:numPr>
              <w:autoSpaceDE w:val="0"/>
              <w:autoSpaceDN w:val="0"/>
              <w:adjustRightInd w:val="0"/>
              <w:spacing w:before="120" w:after="120" w:line="240" w:lineRule="auto"/>
              <w:rPr>
                <w:rFonts w:ascii="Verdana" w:hAnsi="Verdana"/>
                <w:bCs/>
                <w:color w:val="093A5D"/>
                <w:sz w:val="13"/>
                <w:szCs w:val="13"/>
                <w:lang w:val="en-GB"/>
              </w:rPr>
            </w:pPr>
            <w:proofErr w:type="gramStart"/>
            <w:r>
              <w:rPr>
                <w:rFonts w:ascii="Verdana" w:hAnsi="Verdana"/>
                <w:bCs/>
                <w:color w:val="093A5D"/>
                <w:sz w:val="13"/>
                <w:szCs w:val="13"/>
                <w:lang w:val="en-GB"/>
              </w:rPr>
              <w:t>an</w:t>
            </w:r>
            <w:proofErr w:type="gramEnd"/>
            <w:r>
              <w:rPr>
                <w:rFonts w:ascii="Verdana" w:hAnsi="Verdana"/>
                <w:bCs/>
                <w:color w:val="093A5D"/>
                <w:sz w:val="13"/>
                <w:szCs w:val="13"/>
                <w:lang w:val="en-GB"/>
              </w:rPr>
              <w:t xml:space="preserve"> indication of whether and when the last quality assurance review of the auditor or audit entity was carried out and necessary information about the outcome of the review.</w:t>
            </w:r>
          </w:p>
          <w:p w:rsidR="005E48AB" w:rsidRDefault="005E48AB">
            <w:pPr>
              <w:autoSpaceDE w:val="0"/>
              <w:autoSpaceDN w:val="0"/>
              <w:adjustRightInd w:val="0"/>
              <w:spacing w:before="120" w:after="120"/>
              <w:ind w:left="36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6. What happens if an applicant does not meet the requirements of the Commission Decision on transitional provisions?</w:t>
            </w: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 xml:space="preserve">Member States would have to apply Article 45 of Directive 2006/43/EC, which means that full registration (Form </w:t>
            </w:r>
            <w:proofErr w:type="gramStart"/>
            <w:r>
              <w:rPr>
                <w:rFonts w:ascii="Verdana" w:hAnsi="Verdana"/>
                <w:bCs/>
                <w:color w:val="093A5D"/>
                <w:sz w:val="13"/>
                <w:szCs w:val="13"/>
                <w:lang w:val="en-GB"/>
              </w:rPr>
              <w:t>H)</w:t>
            </w:r>
            <w:proofErr w:type="gramEnd"/>
            <w:r>
              <w:rPr>
                <w:rFonts w:ascii="Verdana" w:hAnsi="Verdana"/>
                <w:bCs/>
                <w:color w:val="093A5D"/>
                <w:sz w:val="13"/>
                <w:szCs w:val="13"/>
                <w:lang w:val="en-GB"/>
              </w:rPr>
              <w:t xml:space="preserve"> would be required.</w:t>
            </w:r>
            <w:r>
              <w:rPr>
                <w:rFonts w:ascii="Verdana" w:hAnsi="Verdana"/>
                <w:bCs/>
                <w:color w:val="003366"/>
                <w:sz w:val="13"/>
                <w:lang w:val="en-GB"/>
              </w:rPr>
              <w:t xml:space="preserve"> </w:t>
            </w:r>
          </w:p>
        </w:tc>
      </w:tr>
    </w:tbl>
    <w:p w:rsidR="005E48AB" w:rsidRDefault="005E48AB">
      <w:pPr>
        <w:rPr>
          <w:lang w:val="en-GB"/>
        </w:rPr>
      </w:pPr>
    </w:p>
    <w:tbl>
      <w:tblPr>
        <w:tblW w:w="0" w:type="auto"/>
        <w:tblInd w:w="108" w:type="dxa"/>
        <w:shd w:val="clear" w:color="auto" w:fill="625326"/>
        <w:tblLook w:val="0000" w:firstRow="0" w:lastRow="0" w:firstColumn="0" w:lastColumn="0" w:noHBand="0" w:noVBand="0"/>
      </w:tblPr>
      <w:tblGrid>
        <w:gridCol w:w="9180"/>
      </w:tblGrid>
      <w:tr w:rsidR="005E48A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Application procedure</w:t>
            </w:r>
          </w:p>
        </w:tc>
      </w:tr>
      <w:tr w:rsidR="005E48AB" w:rsidRPr="001923B8">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7. How does a third-country audit entity apply for registration in the EU/EEA?</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Directive does not provide for a single registration across the EU/EEA, although Member States are cooperating closely on the implementation of these requirements. Therefore registration is the responsibility of each Member State. Applications must be made with the relevant competent authority in each Member State where a registration is required. There is a list of relevant bodies and contacts at Attachment 1.</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7A (NL). How does a third-country audit entity apply for registration with the AFM?</w:t>
            </w:r>
          </w:p>
          <w:p w:rsidR="005E48AB" w:rsidRDefault="005E48AB" w:rsidP="00F42264">
            <w:pPr>
              <w:spacing w:line="360" w:lineRule="auto"/>
              <w:rPr>
                <w:rFonts w:ascii="Verdana" w:hAnsi="Verdana"/>
                <w:color w:val="003366"/>
                <w:sz w:val="13"/>
                <w:lang w:val="en-GB"/>
              </w:rPr>
            </w:pPr>
            <w:r>
              <w:rPr>
                <w:rFonts w:ascii="Verdana" w:hAnsi="Verdana"/>
                <w:color w:val="003366"/>
                <w:sz w:val="13"/>
                <w:lang w:val="en-GB"/>
              </w:rPr>
              <w:t>The application form needs to be filled in electronically</w:t>
            </w:r>
            <w:r w:rsidR="00095E48">
              <w:rPr>
                <w:rFonts w:ascii="Verdana" w:hAnsi="Verdana"/>
                <w:color w:val="003366"/>
                <w:sz w:val="13"/>
                <w:lang w:val="en-GB"/>
              </w:rPr>
              <w:t>, signed by an authorized person on behalf of the applicant (e.g. a member of the management or administrative board)</w:t>
            </w:r>
            <w:r>
              <w:rPr>
                <w:rFonts w:ascii="Verdana" w:hAnsi="Verdana"/>
                <w:color w:val="003366"/>
                <w:sz w:val="13"/>
                <w:lang w:val="en-GB"/>
              </w:rPr>
              <w:t xml:space="preserve"> and sent to the AFM</w:t>
            </w:r>
            <w:r w:rsidR="00F42264">
              <w:rPr>
                <w:rFonts w:ascii="Verdana" w:hAnsi="Verdana"/>
                <w:color w:val="003366"/>
                <w:sz w:val="13"/>
                <w:lang w:val="en-GB"/>
              </w:rPr>
              <w:t xml:space="preserve"> </w:t>
            </w:r>
            <w:r>
              <w:rPr>
                <w:rFonts w:ascii="Verdana" w:hAnsi="Verdana"/>
                <w:color w:val="003366"/>
                <w:sz w:val="13"/>
                <w:lang w:val="en-GB"/>
              </w:rPr>
              <w:t xml:space="preserve">by e-mail (as attachment to </w:t>
            </w:r>
            <w:hyperlink r:id="rId9" w:history="1">
              <w:r>
                <w:rPr>
                  <w:rStyle w:val="Hyperlink"/>
                  <w:rFonts w:ascii="Verdana" w:hAnsi="Verdana"/>
                  <w:color w:val="003366"/>
                  <w:sz w:val="13"/>
                  <w:lang w:val="en-GB"/>
                </w:rPr>
                <w:t>wta@afm.nl</w:t>
              </w:r>
            </w:hyperlink>
            <w:r>
              <w:rPr>
                <w:rFonts w:ascii="Verdana" w:hAnsi="Verdana"/>
                <w:color w:val="003366"/>
                <w:sz w:val="13"/>
                <w:lang w:val="en-GB"/>
              </w:rPr>
              <w:t>)</w:t>
            </w:r>
            <w:r w:rsidR="00095E48">
              <w:rPr>
                <w:rFonts w:ascii="Verdana" w:hAnsi="Verdana"/>
                <w:i/>
                <w:iCs/>
                <w:color w:val="003366"/>
                <w:sz w:val="13"/>
                <w:lang w:val="en-GB"/>
              </w:rPr>
              <w:t>.</w:t>
            </w:r>
          </w:p>
          <w:p w:rsidR="005E48AB" w:rsidRDefault="005E48AB">
            <w:pPr>
              <w:autoSpaceDE w:val="0"/>
              <w:autoSpaceDN w:val="0"/>
              <w:adjustRightInd w:val="0"/>
              <w:spacing w:before="120" w:after="120"/>
              <w:rPr>
                <w:rFonts w:ascii="Verdana" w:hAnsi="Verdana"/>
                <w:color w:val="003366"/>
                <w:sz w:val="13"/>
                <w:lang w:val="en-GB"/>
              </w:rPr>
            </w:pPr>
            <w:r>
              <w:rPr>
                <w:rFonts w:ascii="Verdana" w:hAnsi="Verdana"/>
                <w:color w:val="003366"/>
                <w:sz w:val="13"/>
                <w:lang w:val="en-GB"/>
              </w:rPr>
              <w:t xml:space="preserve">The AFM will send a receipt when the application form has been received by e-mail. </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095E48">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8</w:t>
            </w:r>
            <w:r w:rsidR="005E48AB">
              <w:rPr>
                <w:rFonts w:ascii="Verdana" w:hAnsi="Verdana"/>
                <w:b/>
                <w:color w:val="093A5D"/>
                <w:sz w:val="13"/>
                <w:szCs w:val="13"/>
                <w:lang w:val="en-GB"/>
              </w:rPr>
              <w:t>. Will the information submitted by the third-country audit entity be treated as confidential?</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Yes. According to Article 36 (2) of Directive 2006/43/EC the obligation of professional secrecy shall apply to all persons who are employed or who have been employed by competent authorities. In particular, this applies with regard to the outcome of an external quality assurance review in accordance with Article 1 (1) (e) of the Commission Decision. Information covered by professional secrecy may not be disclosed to any other person or authority except by virtue of the laws, regulations or administrative procedures of a Member State. Some information will be stored in the register in electronic form and shall be electronically accessible to the public (see FAQ no. 1</w:t>
            </w:r>
            <w:r w:rsidR="00AB271A">
              <w:rPr>
                <w:rFonts w:ascii="Verdana" w:hAnsi="Verdana"/>
                <w:bCs/>
                <w:color w:val="093A5D"/>
                <w:sz w:val="13"/>
                <w:szCs w:val="13"/>
                <w:lang w:val="en-GB"/>
              </w:rPr>
              <w:t>7</w:t>
            </w:r>
            <w:r>
              <w:rPr>
                <w:rFonts w:ascii="Verdana" w:hAnsi="Verdana"/>
                <w:bCs/>
                <w:color w:val="093A5D"/>
                <w:sz w:val="13"/>
                <w:szCs w:val="13"/>
                <w:lang w:val="en-GB"/>
              </w:rPr>
              <w:t>).</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095E48">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9</w:t>
            </w:r>
            <w:r w:rsidR="005E48AB">
              <w:rPr>
                <w:rFonts w:ascii="Verdana" w:hAnsi="Verdana"/>
                <w:b/>
                <w:color w:val="093A5D"/>
                <w:sz w:val="13"/>
                <w:szCs w:val="13"/>
                <w:lang w:val="en-GB"/>
              </w:rPr>
              <w:t>. Will the information submitted by the third-country audit entity be subject to data protection rules?</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Yes. All authorities in the Member States are subject to data protection provisions according to Directive 95/46/EC. However, some information will be publicly available in the register (see FAQ no. 1</w:t>
            </w:r>
            <w:r w:rsidR="00542AAC">
              <w:rPr>
                <w:rFonts w:ascii="Verdana" w:hAnsi="Verdana"/>
                <w:bCs/>
                <w:color w:val="093A5D"/>
                <w:sz w:val="13"/>
                <w:szCs w:val="13"/>
                <w:lang w:val="en-GB"/>
              </w:rPr>
              <w:t>7</w:t>
            </w:r>
            <w:r>
              <w:rPr>
                <w:rFonts w:ascii="Verdana" w:hAnsi="Verdana"/>
                <w:bCs/>
                <w:color w:val="093A5D"/>
                <w:sz w:val="13"/>
                <w:szCs w:val="13"/>
                <w:lang w:val="en-GB"/>
              </w:rPr>
              <w:t>).</w:t>
            </w:r>
          </w:p>
          <w:p w:rsidR="005E48AB" w:rsidRDefault="005E48AB">
            <w:pPr>
              <w:autoSpaceDE w:val="0"/>
              <w:autoSpaceDN w:val="0"/>
              <w:adjustRightInd w:val="0"/>
              <w:spacing w:before="120" w:after="12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0</w:t>
            </w:r>
            <w:r>
              <w:rPr>
                <w:rFonts w:ascii="Verdana" w:hAnsi="Verdana"/>
                <w:b/>
                <w:color w:val="093A5D"/>
                <w:sz w:val="13"/>
                <w:szCs w:val="13"/>
                <w:lang w:val="en-GB"/>
              </w:rPr>
              <w:t xml:space="preserve">. Which countries are members of the EU/EEA? </w:t>
            </w:r>
            <w:r>
              <w:rPr>
                <w:rFonts w:ascii="Verdana" w:hAnsi="Verdana"/>
                <w:bCs/>
                <w:color w:val="093A5D"/>
                <w:sz w:val="13"/>
                <w:szCs w:val="13"/>
                <w:lang w:val="en-GB"/>
              </w:rPr>
              <w:t>(Item 1.0)</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Members of the EU: Austria, Belgium, Bulgaria, </w:t>
            </w:r>
            <w:r w:rsidR="00F42264">
              <w:rPr>
                <w:rFonts w:ascii="Verdana" w:hAnsi="Verdana"/>
                <w:bCs/>
                <w:color w:val="093A5D"/>
                <w:sz w:val="13"/>
                <w:szCs w:val="13"/>
                <w:lang w:val="en-GB"/>
              </w:rPr>
              <w:t xml:space="preserve">Croatia, </w:t>
            </w:r>
            <w:r>
              <w:rPr>
                <w:rFonts w:ascii="Verdana" w:hAnsi="Verdana"/>
                <w:bCs/>
                <w:color w:val="093A5D"/>
                <w:sz w:val="13"/>
                <w:szCs w:val="13"/>
                <w:lang w:val="en-GB"/>
              </w:rPr>
              <w:t xml:space="preserve">Cyprus, Czech Republic, Denmark, Estonia, Finland, France, Germany, Greece, Hungary, Ireland, Italy, Latvia, Lithuania, Luxembourg, Malta, Netherlands, Poland, Portugal, Romania, Slovakia, Slovenia, Spain, Sweden, United Kingdom. </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Members of the EEA that are not also members of the EU: Iceland, Liechtenstein and Norway.</w:t>
            </w:r>
          </w:p>
          <w:p w:rsidR="005E48AB" w:rsidRDefault="005E48AB">
            <w:pPr>
              <w:autoSpaceDE w:val="0"/>
              <w:autoSpaceDN w:val="0"/>
              <w:adjustRightInd w:val="0"/>
              <w:spacing w:before="120" w:after="120"/>
              <w:rPr>
                <w:rFonts w:ascii="Verdana" w:hAnsi="Verdana"/>
                <w:bCs/>
                <w:color w:val="093A5D"/>
                <w:sz w:val="13"/>
                <w:szCs w:val="13"/>
                <w:lang w:val="en-GB"/>
              </w:rPr>
            </w:pPr>
          </w:p>
          <w:p w:rsidR="001923B8" w:rsidRDefault="001923B8">
            <w:pPr>
              <w:autoSpaceDE w:val="0"/>
              <w:autoSpaceDN w:val="0"/>
              <w:adjustRightInd w:val="0"/>
              <w:spacing w:before="120" w:after="120"/>
              <w:rPr>
                <w:rFonts w:ascii="Verdana" w:hAnsi="Verdana"/>
                <w:bCs/>
                <w:color w:val="093A5D"/>
                <w:sz w:val="13"/>
                <w:szCs w:val="13"/>
                <w:lang w:val="en-GB"/>
              </w:rPr>
            </w:pP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lastRenderedPageBreak/>
              <w:t>1</w:t>
            </w:r>
            <w:r w:rsidR="00095E48">
              <w:rPr>
                <w:rFonts w:ascii="Verdana" w:hAnsi="Verdana"/>
                <w:b/>
                <w:color w:val="093A5D"/>
                <w:sz w:val="13"/>
                <w:szCs w:val="13"/>
                <w:lang w:val="en-GB"/>
              </w:rPr>
              <w:t>1</w:t>
            </w:r>
            <w:r>
              <w:rPr>
                <w:rFonts w:ascii="Verdana" w:hAnsi="Verdana"/>
                <w:b/>
                <w:color w:val="093A5D"/>
                <w:sz w:val="13"/>
                <w:szCs w:val="13"/>
                <w:lang w:val="en-GB"/>
              </w:rPr>
              <w:t>. What language should be used for registration purposes?</w:t>
            </w: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 xml:space="preserve">Registration is the responsibility of each Member State. Therefore Member States may require the submission of information in their own official language. However, the European Group of Auditors’ Oversight Bodies (“EGAOB”) has recommended that, where the law of the Member States does not prohibit, any information can be submitted in English or at least information which does not need to be published in the register. The applicant should check the situation with the competent authority in the relevant Member States. </w:t>
            </w:r>
          </w:p>
        </w:tc>
      </w:tr>
    </w:tbl>
    <w:p w:rsidR="005E48AB" w:rsidRDefault="005E48AB">
      <w:pPr>
        <w:autoSpaceDE w:val="0"/>
        <w:autoSpaceDN w:val="0"/>
        <w:adjustRightInd w:val="0"/>
        <w:rPr>
          <w:rFonts w:ascii="Verdana" w:hAnsi="Verdana"/>
          <w:b/>
          <w:bCs/>
          <w:color w:val="625326"/>
          <w:sz w:val="18"/>
          <w:szCs w:val="18"/>
          <w:lang w:val="en-GB"/>
        </w:rPr>
      </w:pPr>
    </w:p>
    <w:p w:rsidR="005E48AB" w:rsidRDefault="005E48A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E48AB" w:rsidRPr="001923B8">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Other information required by Form I</w:t>
            </w:r>
          </w:p>
        </w:tc>
      </w:tr>
      <w:tr w:rsidR="005E48AB" w:rsidRPr="001923B8">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2</w:t>
            </w:r>
            <w:r>
              <w:rPr>
                <w:rFonts w:ascii="Verdana" w:hAnsi="Verdana"/>
                <w:b/>
                <w:color w:val="093A5D"/>
                <w:sz w:val="13"/>
                <w:szCs w:val="13"/>
                <w:lang w:val="en-GB"/>
              </w:rPr>
              <w:t>. What is a network?</w:t>
            </w:r>
            <w:r>
              <w:rPr>
                <w:rFonts w:ascii="Verdana" w:hAnsi="Verdana"/>
                <w:bCs/>
                <w:color w:val="093A5D"/>
                <w:sz w:val="13"/>
                <w:szCs w:val="13"/>
                <w:lang w:val="en-GB"/>
              </w:rPr>
              <w:t xml:space="preserve"> (Item 2.0)</w:t>
            </w: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According to Article 2 (7) of Directive 2006/43/EC a ‘network’ is:</w:t>
            </w:r>
          </w:p>
          <w:p w:rsidR="005E48AB" w:rsidRDefault="005E48AB" w:rsidP="005E48AB">
            <w:pPr>
              <w:keepNext/>
              <w:numPr>
                <w:ilvl w:val="0"/>
                <w:numId w:val="4"/>
              </w:numPr>
              <w:autoSpaceDE w:val="0"/>
              <w:autoSpaceDN w:val="0"/>
              <w:adjustRightInd w:val="0"/>
              <w:spacing w:before="120" w:after="120" w:line="240" w:lineRule="auto"/>
              <w:rPr>
                <w:rFonts w:ascii="Verdana" w:hAnsi="Verdana"/>
                <w:bCs/>
                <w:color w:val="093A5D"/>
                <w:sz w:val="13"/>
                <w:szCs w:val="13"/>
                <w:lang w:val="en-GB"/>
              </w:rPr>
            </w:pPr>
            <w:r>
              <w:rPr>
                <w:rFonts w:ascii="Verdana" w:hAnsi="Verdana"/>
                <w:bCs/>
                <w:color w:val="093A5D"/>
                <w:sz w:val="13"/>
                <w:szCs w:val="13"/>
                <w:lang w:val="en-GB"/>
              </w:rPr>
              <w:t xml:space="preserve">the larger structure which is aimed at cooperation and to which the applicant belongs, </w:t>
            </w:r>
            <w:r>
              <w:rPr>
                <w:rFonts w:ascii="Verdana" w:hAnsi="Verdana"/>
                <w:bCs/>
                <w:i/>
                <w:iCs/>
                <w:color w:val="093A5D"/>
                <w:sz w:val="13"/>
                <w:szCs w:val="13"/>
                <w:u w:val="single"/>
                <w:lang w:val="en-GB"/>
              </w:rPr>
              <w:t>and</w:t>
            </w:r>
          </w:p>
          <w:p w:rsidR="005E48AB" w:rsidRDefault="005E48AB" w:rsidP="005E48AB">
            <w:pPr>
              <w:keepNext/>
              <w:numPr>
                <w:ilvl w:val="0"/>
                <w:numId w:val="4"/>
              </w:numPr>
              <w:autoSpaceDE w:val="0"/>
              <w:autoSpaceDN w:val="0"/>
              <w:adjustRightInd w:val="0"/>
              <w:spacing w:before="120" w:after="120" w:line="240" w:lineRule="auto"/>
              <w:rPr>
                <w:rFonts w:ascii="Verdana" w:hAnsi="Verdana"/>
                <w:bCs/>
                <w:color w:val="093A5D"/>
                <w:sz w:val="13"/>
                <w:szCs w:val="13"/>
                <w:lang w:val="en-GB"/>
              </w:rPr>
            </w:pPr>
            <w:proofErr w:type="gramStart"/>
            <w:r>
              <w:rPr>
                <w:rFonts w:ascii="Verdana" w:hAnsi="Verdana"/>
                <w:bCs/>
                <w:color w:val="093A5D"/>
                <w:sz w:val="13"/>
                <w:szCs w:val="13"/>
                <w:lang w:val="en-GB"/>
              </w:rPr>
              <w:t>which</w:t>
            </w:r>
            <w:proofErr w:type="gramEnd"/>
            <w:r>
              <w:rPr>
                <w:rFonts w:ascii="Verdana" w:hAnsi="Verdana"/>
                <w:bCs/>
                <w:color w:val="093A5D"/>
                <w:sz w:val="13"/>
                <w:szCs w:val="13"/>
                <w:lang w:val="en-GB"/>
              </w:rPr>
              <w:t xml:space="preserve"> is clearly aimed at profit- or cost-sharing </w:t>
            </w:r>
            <w:r>
              <w:rPr>
                <w:rFonts w:ascii="Verdana" w:hAnsi="Verdana"/>
                <w:bCs/>
                <w:i/>
                <w:iCs/>
                <w:color w:val="093A5D"/>
                <w:sz w:val="13"/>
                <w:szCs w:val="13"/>
                <w:u w:val="single"/>
                <w:lang w:val="en-GB"/>
              </w:rPr>
              <w:t>or</w:t>
            </w:r>
            <w:r>
              <w:rPr>
                <w:rFonts w:ascii="Verdana" w:hAnsi="Verdana"/>
                <w:bCs/>
                <w:color w:val="093A5D"/>
                <w:sz w:val="13"/>
                <w:szCs w:val="13"/>
                <w:lang w:val="en-GB"/>
              </w:rPr>
              <w:t xml:space="preserve"> shares common ownership, control or management, </w:t>
            </w:r>
            <w:r>
              <w:rPr>
                <w:rFonts w:ascii="Verdana" w:hAnsi="Verdana"/>
                <w:bCs/>
                <w:i/>
                <w:iCs/>
                <w:color w:val="093A5D"/>
                <w:sz w:val="13"/>
                <w:szCs w:val="13"/>
                <w:lang w:val="en-GB"/>
              </w:rPr>
              <w:t>or</w:t>
            </w:r>
            <w:r>
              <w:rPr>
                <w:rFonts w:ascii="Verdana" w:hAnsi="Verdana"/>
                <w:bCs/>
                <w:color w:val="093A5D"/>
                <w:sz w:val="13"/>
                <w:szCs w:val="13"/>
                <w:lang w:val="en-GB"/>
              </w:rPr>
              <w:t xml:space="preserve"> shares common quality-control policies and procedures, </w:t>
            </w:r>
            <w:r>
              <w:rPr>
                <w:rFonts w:ascii="Verdana" w:hAnsi="Verdana"/>
                <w:bCs/>
                <w:i/>
                <w:iCs/>
                <w:color w:val="093A5D"/>
                <w:sz w:val="13"/>
                <w:szCs w:val="13"/>
                <w:lang w:val="en-GB"/>
              </w:rPr>
              <w:t>or</w:t>
            </w:r>
            <w:r>
              <w:rPr>
                <w:rFonts w:ascii="Verdana" w:hAnsi="Verdana"/>
                <w:bCs/>
                <w:color w:val="093A5D"/>
                <w:sz w:val="13"/>
                <w:szCs w:val="13"/>
                <w:lang w:val="en-GB"/>
              </w:rPr>
              <w:t xml:space="preserve"> shares a common business strategy, </w:t>
            </w:r>
            <w:r>
              <w:rPr>
                <w:rFonts w:ascii="Verdana" w:hAnsi="Verdana"/>
                <w:bCs/>
                <w:i/>
                <w:iCs/>
                <w:color w:val="093A5D"/>
                <w:sz w:val="13"/>
                <w:szCs w:val="13"/>
                <w:u w:val="single"/>
                <w:lang w:val="en-GB"/>
              </w:rPr>
              <w:t>or</w:t>
            </w:r>
            <w:r>
              <w:rPr>
                <w:rFonts w:ascii="Verdana" w:hAnsi="Verdana"/>
                <w:bCs/>
                <w:color w:val="093A5D"/>
                <w:sz w:val="13"/>
                <w:szCs w:val="13"/>
                <w:lang w:val="en-GB"/>
              </w:rPr>
              <w:t xml:space="preserve"> shares the use of a common branch-name </w:t>
            </w:r>
            <w:r>
              <w:rPr>
                <w:rFonts w:ascii="Verdana" w:hAnsi="Verdana"/>
                <w:bCs/>
                <w:i/>
                <w:iCs/>
                <w:color w:val="093A5D"/>
                <w:sz w:val="13"/>
                <w:szCs w:val="13"/>
                <w:u w:val="single"/>
                <w:lang w:val="en-GB"/>
              </w:rPr>
              <w:t>or</w:t>
            </w:r>
            <w:r>
              <w:rPr>
                <w:rFonts w:ascii="Verdana" w:hAnsi="Verdana"/>
                <w:bCs/>
                <w:color w:val="093A5D"/>
                <w:sz w:val="13"/>
                <w:szCs w:val="13"/>
                <w:lang w:val="en-GB"/>
              </w:rPr>
              <w:t xml:space="preserve"> shares a significant part of professional resources.</w:t>
            </w:r>
          </w:p>
          <w:p w:rsidR="005E48AB" w:rsidRDefault="005E48AB">
            <w:pPr>
              <w:keepNext/>
              <w:autoSpaceDE w:val="0"/>
              <w:autoSpaceDN w:val="0"/>
              <w:adjustRightInd w:val="0"/>
              <w:spacing w:before="120" w:after="120"/>
              <w:ind w:left="360"/>
              <w:rPr>
                <w:rFonts w:ascii="Verdana" w:hAnsi="Verdana"/>
                <w:bCs/>
                <w:color w:val="093A5D"/>
                <w:sz w:val="13"/>
                <w:szCs w:val="13"/>
                <w:lang w:val="en-GB"/>
              </w:rPr>
            </w:pP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3</w:t>
            </w:r>
            <w:r>
              <w:rPr>
                <w:rFonts w:ascii="Verdana" w:hAnsi="Verdana"/>
                <w:b/>
                <w:color w:val="093A5D"/>
                <w:sz w:val="13"/>
                <w:szCs w:val="13"/>
                <w:lang w:val="en-GB"/>
              </w:rPr>
              <w:t xml:space="preserve">. What is the difference between a registration as a third-country audit entity and registration as an audit firm in a member state of the EU/EEA? </w:t>
            </w:r>
            <w:r>
              <w:rPr>
                <w:rFonts w:ascii="Verdana" w:hAnsi="Verdana"/>
                <w:bCs/>
                <w:color w:val="093A5D"/>
                <w:sz w:val="13"/>
                <w:szCs w:val="13"/>
                <w:lang w:val="en-GB"/>
              </w:rPr>
              <w:t>(Item 4.0)</w:t>
            </w: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An entity should apply as a ‘third-country audit entity’ with a member state of the EU/EEA when it meets the criteria of FAQ no. 1. However, it is possible that a third-country audit entity may also be registered as an ‘audit firm’ in a member state of the EU/EEA when it wishes to carry out audits of annual accounts or consolidated accounts required by the law of that member state (‘statutory audit according to Article 2 (1) of Directive 2006/43/EC’). Statutory audits may only be carried out by audit firms which are approved by the member state requiring the statutory audit (see Article 3 (1) of Directive 2006/43/EC).</w:t>
            </w:r>
          </w:p>
          <w:p w:rsidR="005E48AB" w:rsidRDefault="005E48AB">
            <w:pPr>
              <w:keepNext/>
              <w:autoSpaceDE w:val="0"/>
              <w:autoSpaceDN w:val="0"/>
              <w:adjustRightInd w:val="0"/>
              <w:spacing w:before="120" w:after="120"/>
              <w:rPr>
                <w:rFonts w:ascii="Verdana" w:hAnsi="Verdana"/>
                <w:bCs/>
                <w:color w:val="093A5D"/>
                <w:sz w:val="13"/>
                <w:szCs w:val="13"/>
                <w:lang w:val="en-GB"/>
              </w:rPr>
            </w:pP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4</w:t>
            </w:r>
            <w:r>
              <w:rPr>
                <w:rFonts w:ascii="Verdana" w:hAnsi="Verdana"/>
                <w:b/>
                <w:color w:val="093A5D"/>
                <w:sz w:val="13"/>
                <w:szCs w:val="13"/>
                <w:lang w:val="en-GB"/>
              </w:rPr>
              <w:t>. What should be included in the description of the applicant’s internal quality control system?</w:t>
            </w:r>
            <w:r>
              <w:rPr>
                <w:rFonts w:ascii="Verdana" w:hAnsi="Verdana"/>
                <w:bCs/>
                <w:color w:val="093A5D"/>
                <w:sz w:val="13"/>
                <w:szCs w:val="13"/>
                <w:lang w:val="en-GB"/>
              </w:rPr>
              <w:t xml:space="preserve"> (Item 5.0)</w:t>
            </w: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 description of the applicant’s internal quality control system should include at least a description of (</w:t>
            </w:r>
            <w:proofErr w:type="spellStart"/>
            <w:r>
              <w:rPr>
                <w:rFonts w:ascii="Verdana" w:hAnsi="Verdana"/>
                <w:bCs/>
                <w:color w:val="093A5D"/>
                <w:sz w:val="13"/>
                <w:szCs w:val="13"/>
                <w:lang w:val="en-GB"/>
              </w:rPr>
              <w:t>i</w:t>
            </w:r>
            <w:proofErr w:type="spellEnd"/>
            <w:r>
              <w:rPr>
                <w:rFonts w:ascii="Verdana" w:hAnsi="Verdana"/>
                <w:bCs/>
                <w:color w:val="093A5D"/>
                <w:sz w:val="13"/>
                <w:szCs w:val="13"/>
                <w:lang w:val="en-GB"/>
              </w:rPr>
              <w:t>) the policies designed to provide reasonable assurance that the firm and its personnel comply with professional standards and regulatory and legal requirements, and that reports issued by the firm or engagement partners are appropriate in the circumstances, and (ii) the procedures necessary to implement and monitor compliance with these policies.</w:t>
            </w:r>
          </w:p>
          <w:p w:rsidR="005E48AB" w:rsidRDefault="005E48AB">
            <w:pPr>
              <w:keepNext/>
              <w:autoSpaceDE w:val="0"/>
              <w:autoSpaceDN w:val="0"/>
              <w:adjustRightInd w:val="0"/>
              <w:spacing w:before="120" w:after="120"/>
              <w:rPr>
                <w:rFonts w:ascii="Verdana" w:hAnsi="Verdana"/>
                <w:bCs/>
                <w:color w:val="093A5D"/>
                <w:sz w:val="13"/>
                <w:szCs w:val="13"/>
                <w:lang w:val="en-GB"/>
              </w:rPr>
            </w:pP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5</w:t>
            </w:r>
            <w:r>
              <w:rPr>
                <w:rFonts w:ascii="Verdana" w:hAnsi="Verdana"/>
                <w:b/>
                <w:color w:val="093A5D"/>
                <w:sz w:val="13"/>
                <w:szCs w:val="13"/>
                <w:lang w:val="en-GB"/>
              </w:rPr>
              <w:t>. What is an external quality assurance review?</w:t>
            </w:r>
            <w:r>
              <w:rPr>
                <w:rFonts w:ascii="Verdana" w:hAnsi="Verdana"/>
                <w:bCs/>
                <w:color w:val="093A5D"/>
                <w:sz w:val="13"/>
                <w:szCs w:val="13"/>
                <w:lang w:val="en-GB"/>
              </w:rPr>
              <w:t xml:space="preserve"> (Item 6.0)</w:t>
            </w: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The external quality assurance review can be a peer review under the supervision of a professional body or an independent public oversight body, a review carried out by a professional </w:t>
            </w:r>
            <w:r w:rsidR="00536A93">
              <w:rPr>
                <w:rFonts w:ascii="Verdana" w:hAnsi="Verdana"/>
                <w:bCs/>
                <w:color w:val="093A5D"/>
                <w:sz w:val="13"/>
                <w:szCs w:val="13"/>
                <w:lang w:val="en-GB"/>
              </w:rPr>
              <w:t>body, a review carried out by a</w:t>
            </w:r>
            <w:bookmarkStart w:id="0" w:name="_GoBack"/>
            <w:bookmarkEnd w:id="0"/>
            <w:r>
              <w:rPr>
                <w:rFonts w:ascii="Verdana" w:hAnsi="Verdana"/>
                <w:bCs/>
                <w:color w:val="093A5D"/>
                <w:sz w:val="13"/>
                <w:szCs w:val="13"/>
                <w:lang w:val="en-GB"/>
              </w:rPr>
              <w:t xml:space="preserve"> professional body under the supervision of an independent public oversight body, or an inspection by an independent public oversight body in any jurisdiction. The external quality assurance review should comprise both an assessment of the firm-wide procedures (including compliance with applicable auditing standards and independence requirements, of the quantity and quality of resources spent, of the audit fees charged and of the internal quality control system of the audit firm) and adequate testing of selected audit files. It is important to note that this obligation only applies if an external quality assurance review has been carried out and a corresponding report exists.</w:t>
            </w:r>
          </w:p>
          <w:p w:rsidR="005E48AB" w:rsidRDefault="005E48AB">
            <w:pPr>
              <w:keepNext/>
              <w:autoSpaceDE w:val="0"/>
              <w:autoSpaceDN w:val="0"/>
              <w:adjustRightInd w:val="0"/>
              <w:spacing w:before="120" w:after="120"/>
              <w:rPr>
                <w:rFonts w:ascii="Verdana" w:hAnsi="Verdana"/>
                <w:bCs/>
                <w:color w:val="093A5D"/>
                <w:sz w:val="13"/>
                <w:szCs w:val="13"/>
                <w:lang w:val="en-GB"/>
              </w:rPr>
            </w:pPr>
          </w:p>
          <w:p w:rsidR="005E48AB" w:rsidRDefault="005E48AB">
            <w:pPr>
              <w:keepNext/>
              <w:autoSpaceDE w:val="0"/>
              <w:autoSpaceDN w:val="0"/>
              <w:adjustRightInd w:val="0"/>
              <w:spacing w:before="120" w:after="120"/>
              <w:rPr>
                <w:rFonts w:ascii="Verdana" w:hAnsi="Verdana"/>
                <w:bCs/>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6</w:t>
            </w:r>
            <w:r>
              <w:rPr>
                <w:rFonts w:ascii="Verdana" w:hAnsi="Verdana"/>
                <w:b/>
                <w:color w:val="093A5D"/>
                <w:sz w:val="13"/>
                <w:szCs w:val="13"/>
                <w:lang w:val="en-GB"/>
              </w:rPr>
              <w:t xml:space="preserve">. What is “necessary information”? </w:t>
            </w:r>
            <w:r>
              <w:rPr>
                <w:rFonts w:ascii="Verdana" w:hAnsi="Verdana"/>
                <w:bCs/>
                <w:color w:val="093A5D"/>
                <w:sz w:val="13"/>
                <w:szCs w:val="13"/>
                <w:lang w:val="en-GB"/>
              </w:rPr>
              <w:t>(Item 6.10)</w:t>
            </w:r>
          </w:p>
          <w:p w:rsidR="005E48AB" w:rsidRDefault="005E48AB">
            <w:pPr>
              <w:keepNext/>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Applicants should provide information as to the outcome, the main shortcomings, and the main measures the applicant has undertaken to address the shortcomings and to prevent them from recurring. Where possible the applicant should provide a full copy of the last quality assurance review report, e.g. an inspection report issued by the competent body in the home country.</w:t>
            </w:r>
            <w:r>
              <w:rPr>
                <w:rFonts w:ascii="Verdana" w:hAnsi="Verdana"/>
                <w:color w:val="093A5D"/>
                <w:sz w:val="13"/>
                <w:szCs w:val="13"/>
                <w:lang w:val="en-GB"/>
              </w:rPr>
              <w:t xml:space="preserve"> </w:t>
            </w:r>
          </w:p>
        </w:tc>
      </w:tr>
    </w:tbl>
    <w:p w:rsidR="005E48AB" w:rsidRDefault="005E48AB">
      <w:pPr>
        <w:autoSpaceDE w:val="0"/>
        <w:autoSpaceDN w:val="0"/>
        <w:adjustRightInd w:val="0"/>
        <w:rPr>
          <w:rFonts w:ascii="Verdana" w:hAnsi="Verdana"/>
          <w:b/>
          <w:bCs/>
          <w:color w:val="625326"/>
          <w:sz w:val="18"/>
          <w:szCs w:val="18"/>
          <w:lang w:val="en-GB"/>
        </w:rPr>
      </w:pPr>
    </w:p>
    <w:p w:rsidR="005E48AB" w:rsidRDefault="005E48A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E48A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Register</w:t>
            </w:r>
          </w:p>
        </w:tc>
      </w:tr>
      <w:tr w:rsidR="005E48AB" w:rsidRPr="001923B8">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7</w:t>
            </w:r>
            <w:r>
              <w:rPr>
                <w:rFonts w:ascii="Verdana" w:hAnsi="Verdana"/>
                <w:b/>
                <w:color w:val="093A5D"/>
                <w:sz w:val="13"/>
                <w:szCs w:val="13"/>
                <w:lang w:val="en-GB"/>
              </w:rPr>
              <w:t>. What information provided in the form will be available on the public register?</w:t>
            </w: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Cs/>
                <w:color w:val="093A5D"/>
                <w:sz w:val="13"/>
                <w:szCs w:val="13"/>
                <w:lang w:val="en-GB"/>
              </w:rPr>
              <w:t xml:space="preserve">The information provided under Items 1.1 to 1.12, </w:t>
            </w:r>
            <w:r w:rsidR="001A074F">
              <w:rPr>
                <w:rFonts w:ascii="Verdana" w:hAnsi="Verdana"/>
                <w:bCs/>
                <w:color w:val="093A5D"/>
                <w:sz w:val="13"/>
                <w:szCs w:val="13"/>
                <w:lang w:val="en-GB"/>
              </w:rPr>
              <w:t xml:space="preserve">1.16, 1.18, </w:t>
            </w:r>
            <w:r>
              <w:rPr>
                <w:rFonts w:ascii="Verdana" w:hAnsi="Verdana"/>
                <w:bCs/>
                <w:color w:val="093A5D"/>
                <w:sz w:val="13"/>
                <w:szCs w:val="13"/>
                <w:lang w:val="en-GB"/>
              </w:rPr>
              <w:t>2.3, 3.2, 3.6, 3.9 and 4.1 of Form I will be stored in the register in electronic form and shall be electronically accessible to the public.</w:t>
            </w:r>
          </w:p>
        </w:tc>
      </w:tr>
    </w:tbl>
    <w:p w:rsidR="005E48AB" w:rsidRDefault="005E48AB">
      <w:pPr>
        <w:autoSpaceDE w:val="0"/>
        <w:autoSpaceDN w:val="0"/>
        <w:adjustRightInd w:val="0"/>
        <w:rPr>
          <w:rFonts w:ascii="Verdana" w:hAnsi="Verdana"/>
          <w:b/>
          <w:bCs/>
          <w:color w:val="625326"/>
          <w:sz w:val="18"/>
          <w:szCs w:val="18"/>
          <w:lang w:val="en-GB"/>
        </w:rPr>
      </w:pPr>
    </w:p>
    <w:p w:rsidR="005E48AB" w:rsidRDefault="005E48A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E48A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Registration fees</w:t>
            </w:r>
          </w:p>
        </w:tc>
      </w:tr>
      <w:tr w:rsidR="005E48AB" w:rsidRPr="001923B8">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8</w:t>
            </w:r>
            <w:r>
              <w:rPr>
                <w:rFonts w:ascii="Verdana" w:hAnsi="Verdana"/>
                <w:b/>
                <w:color w:val="093A5D"/>
                <w:sz w:val="13"/>
                <w:szCs w:val="13"/>
                <w:lang w:val="en-GB"/>
              </w:rPr>
              <w:t>. Is there a common system of registration fees across the EU/EEA?</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Directive 2006/43/EC does not provide for a single registration fee across the EU/EEA. This is a matter for individual Member States. </w:t>
            </w:r>
          </w:p>
          <w:p w:rsidR="005E48AB" w:rsidRDefault="005E48AB">
            <w:pPr>
              <w:autoSpaceDE w:val="0"/>
              <w:autoSpaceDN w:val="0"/>
              <w:adjustRightInd w:val="0"/>
              <w:spacing w:before="120" w:after="120"/>
              <w:rPr>
                <w:rFonts w:ascii="Verdana" w:hAnsi="Verdana"/>
                <w:b/>
                <w:color w:val="093A5D"/>
                <w:sz w:val="13"/>
                <w:szCs w:val="13"/>
                <w:lang w:val="en-GB"/>
              </w:rPr>
            </w:pP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8</w:t>
            </w:r>
            <w:r>
              <w:rPr>
                <w:rFonts w:ascii="Verdana" w:hAnsi="Verdana"/>
                <w:b/>
                <w:color w:val="093A5D"/>
                <w:sz w:val="13"/>
                <w:szCs w:val="13"/>
                <w:lang w:val="en-GB"/>
              </w:rPr>
              <w:t>A (NL). What are the registration fees in the Netherlands?</w:t>
            </w:r>
          </w:p>
          <w:p w:rsidR="005E48AB" w:rsidRDefault="005E48AB">
            <w:pPr>
              <w:spacing w:before="120" w:after="120"/>
              <w:rPr>
                <w:rFonts w:ascii="Verdana" w:hAnsi="Verdana"/>
                <w:color w:val="003366"/>
                <w:sz w:val="13"/>
                <w:lang w:val="en-GB"/>
              </w:rPr>
            </w:pPr>
            <w:r>
              <w:rPr>
                <w:rFonts w:ascii="Verdana" w:hAnsi="Verdana"/>
                <w:color w:val="003366"/>
                <w:sz w:val="13"/>
                <w:lang w:val="en-GB"/>
              </w:rPr>
              <w:t>Applicants are charged with the costs of processing the application for registration. The registration fees will be determined by ministerial order [</w:t>
            </w:r>
            <w:r>
              <w:rPr>
                <w:rFonts w:ascii="Verdana" w:hAnsi="Verdana"/>
                <w:i/>
                <w:iCs/>
                <w:color w:val="003366"/>
                <w:sz w:val="13"/>
                <w:lang w:val="en-GB"/>
              </w:rPr>
              <w:t>“</w:t>
            </w:r>
            <w:proofErr w:type="spellStart"/>
            <w:r>
              <w:rPr>
                <w:rFonts w:ascii="Verdana" w:hAnsi="Verdana"/>
                <w:i/>
                <w:iCs/>
                <w:color w:val="003366"/>
                <w:sz w:val="13"/>
                <w:lang w:val="en-GB"/>
              </w:rPr>
              <w:t>Regeling</w:t>
            </w:r>
            <w:proofErr w:type="spellEnd"/>
            <w:r>
              <w:rPr>
                <w:rFonts w:ascii="Verdana" w:hAnsi="Verdana"/>
                <w:i/>
                <w:iCs/>
                <w:color w:val="003366"/>
                <w:sz w:val="13"/>
                <w:lang w:val="en-GB"/>
              </w:rPr>
              <w:t xml:space="preserve"> </w:t>
            </w:r>
            <w:proofErr w:type="spellStart"/>
            <w:r>
              <w:rPr>
                <w:rFonts w:ascii="Verdana" w:hAnsi="Verdana"/>
                <w:i/>
                <w:iCs/>
                <w:color w:val="003366"/>
                <w:sz w:val="13"/>
                <w:lang w:val="en-GB"/>
              </w:rPr>
              <w:t>toezichtskosten</w:t>
            </w:r>
            <w:proofErr w:type="spellEnd"/>
            <w:r>
              <w:rPr>
                <w:rFonts w:ascii="Verdana" w:hAnsi="Verdana"/>
                <w:i/>
                <w:iCs/>
                <w:color w:val="003366"/>
                <w:sz w:val="13"/>
                <w:lang w:val="en-GB"/>
              </w:rPr>
              <w:t xml:space="preserve"> Wet </w:t>
            </w:r>
            <w:proofErr w:type="spellStart"/>
            <w:r>
              <w:rPr>
                <w:rFonts w:ascii="Verdana" w:hAnsi="Verdana"/>
                <w:i/>
                <w:iCs/>
                <w:color w:val="003366"/>
                <w:sz w:val="13"/>
                <w:lang w:val="en-GB"/>
              </w:rPr>
              <w:t>toezicht</w:t>
            </w:r>
            <w:proofErr w:type="spellEnd"/>
            <w:r>
              <w:rPr>
                <w:rFonts w:ascii="Verdana" w:hAnsi="Verdana"/>
                <w:i/>
                <w:iCs/>
                <w:color w:val="003366"/>
                <w:sz w:val="13"/>
                <w:lang w:val="en-GB"/>
              </w:rPr>
              <w:t xml:space="preserve"> </w:t>
            </w:r>
            <w:proofErr w:type="spellStart"/>
            <w:r>
              <w:rPr>
                <w:rFonts w:ascii="Verdana" w:hAnsi="Verdana"/>
                <w:i/>
                <w:iCs/>
                <w:color w:val="003366"/>
                <w:sz w:val="13"/>
                <w:lang w:val="en-GB"/>
              </w:rPr>
              <w:t>accountantsorganisaties</w:t>
            </w:r>
            <w:proofErr w:type="spellEnd"/>
            <w:r>
              <w:rPr>
                <w:rFonts w:ascii="Verdana" w:hAnsi="Verdana"/>
                <w:i/>
                <w:iCs/>
                <w:color w:val="003366"/>
                <w:sz w:val="13"/>
                <w:lang w:val="en-GB"/>
              </w:rPr>
              <w:t>”</w:t>
            </w:r>
            <w:r>
              <w:rPr>
                <w:rFonts w:ascii="Verdana" w:hAnsi="Verdana"/>
                <w:color w:val="003366"/>
                <w:sz w:val="13"/>
                <w:lang w:val="en-GB"/>
              </w:rPr>
              <w:t xml:space="preserve">]. More information on registration fees can be found on the AFM website. </w:t>
            </w:r>
          </w:p>
          <w:p w:rsidR="005E48AB" w:rsidRDefault="005E48AB">
            <w:pPr>
              <w:autoSpaceDE w:val="0"/>
              <w:autoSpaceDN w:val="0"/>
              <w:adjustRightInd w:val="0"/>
              <w:spacing w:before="120" w:after="120"/>
              <w:rPr>
                <w:rFonts w:ascii="Verdana" w:hAnsi="Verdana"/>
                <w:b/>
                <w:color w:val="093A5D"/>
                <w:sz w:val="13"/>
                <w:szCs w:val="13"/>
                <w:lang w:val="en-GB"/>
              </w:rPr>
            </w:pP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w:t>
            </w:r>
            <w:r w:rsidR="00095E48">
              <w:rPr>
                <w:rFonts w:ascii="Verdana" w:hAnsi="Verdana"/>
                <w:b/>
                <w:color w:val="093A5D"/>
                <w:sz w:val="13"/>
                <w:szCs w:val="13"/>
                <w:lang w:val="en-GB"/>
              </w:rPr>
              <w:t>8</w:t>
            </w:r>
            <w:r>
              <w:rPr>
                <w:rFonts w:ascii="Verdana" w:hAnsi="Verdana"/>
                <w:b/>
                <w:color w:val="093A5D"/>
                <w:sz w:val="13"/>
                <w:szCs w:val="13"/>
                <w:lang w:val="en-GB"/>
              </w:rPr>
              <w:t>B (NL). When will payment of the registration fees be due?</w:t>
            </w:r>
          </w:p>
          <w:p w:rsidR="005E48AB" w:rsidRDefault="005E48AB">
            <w:pPr>
              <w:autoSpaceDE w:val="0"/>
              <w:autoSpaceDN w:val="0"/>
              <w:adjustRightInd w:val="0"/>
              <w:spacing w:before="120" w:after="120"/>
              <w:rPr>
                <w:rFonts w:ascii="Verdana" w:hAnsi="Verdana"/>
                <w:b/>
                <w:color w:val="093A5D"/>
                <w:sz w:val="13"/>
                <w:szCs w:val="13"/>
                <w:lang w:val="en-GB"/>
              </w:rPr>
            </w:pPr>
            <w:r>
              <w:rPr>
                <w:rFonts w:ascii="Verdana" w:hAnsi="Verdana"/>
                <w:color w:val="003366"/>
                <w:sz w:val="13"/>
                <w:lang w:val="en-GB"/>
              </w:rPr>
              <w:t xml:space="preserve">The registration fee will be due in two terms. The first payment is due at the time of submission of the application. The second payment is due at the time the AFM will start assessing the application. </w:t>
            </w:r>
          </w:p>
        </w:tc>
      </w:tr>
    </w:tbl>
    <w:p w:rsidR="005E48AB" w:rsidRDefault="005E48AB">
      <w:pPr>
        <w:autoSpaceDE w:val="0"/>
        <w:autoSpaceDN w:val="0"/>
        <w:adjustRightInd w:val="0"/>
        <w:rPr>
          <w:rFonts w:ascii="Verdana" w:hAnsi="Verdana"/>
          <w:b/>
          <w:bCs/>
          <w:color w:val="625326"/>
          <w:sz w:val="18"/>
          <w:szCs w:val="18"/>
          <w:lang w:val="en-GB"/>
        </w:rPr>
      </w:pPr>
    </w:p>
    <w:p w:rsidR="005E48AB" w:rsidRDefault="005E48A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E48AB">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Updating of registration information</w:t>
            </w:r>
          </w:p>
        </w:tc>
      </w:tr>
      <w:tr w:rsidR="005E48AB">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5E48AB" w:rsidRDefault="00095E48">
            <w:pPr>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19</w:t>
            </w:r>
            <w:r w:rsidR="005E48AB">
              <w:rPr>
                <w:rFonts w:ascii="Verdana" w:hAnsi="Verdana"/>
                <w:b/>
                <w:color w:val="093A5D"/>
                <w:sz w:val="13"/>
                <w:szCs w:val="13"/>
                <w:lang w:val="en-GB"/>
              </w:rPr>
              <w:t xml:space="preserve"> (NL). What does the registered third-country audit entity need to do to update registration information?</w:t>
            </w:r>
          </w:p>
          <w:p w:rsidR="005E48AB" w:rsidRDefault="005E48AB">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According to Article 18 of Directive 2006/43/EC registered third-country audit entities have to notify the competent authorities in the Member States in charge of the public register without undue delay of any change of information contained in the public register (see FAQ no. 1</w:t>
            </w:r>
            <w:r w:rsidR="00A91338">
              <w:rPr>
                <w:rFonts w:ascii="Verdana" w:hAnsi="Verdana"/>
                <w:bCs/>
                <w:color w:val="093A5D"/>
                <w:sz w:val="13"/>
                <w:szCs w:val="13"/>
                <w:lang w:val="en-GB"/>
              </w:rPr>
              <w:t>7</w:t>
            </w:r>
            <w:r>
              <w:rPr>
                <w:rFonts w:ascii="Verdana" w:hAnsi="Verdana"/>
                <w:bCs/>
                <w:color w:val="093A5D"/>
                <w:sz w:val="13"/>
                <w:szCs w:val="13"/>
                <w:lang w:val="en-GB"/>
              </w:rPr>
              <w:t>).</w:t>
            </w:r>
            <w:r>
              <w:rPr>
                <w:rFonts w:ascii="Verdana" w:hAnsi="Verdana"/>
                <w:color w:val="003366"/>
                <w:sz w:val="13"/>
                <w:lang w:val="en-GB"/>
              </w:rPr>
              <w:t xml:space="preserve"> </w:t>
            </w:r>
            <w:r>
              <w:rPr>
                <w:rFonts w:ascii="Verdana" w:hAnsi="Verdana"/>
                <w:bCs/>
                <w:color w:val="093A5D"/>
                <w:sz w:val="13"/>
                <w:szCs w:val="13"/>
                <w:lang w:val="en-GB"/>
              </w:rPr>
              <w:t xml:space="preserve">Furthermore, registered third-country audit entities have to notify the competent authorities quarterly of any change of information included in the application documentation but not contained in the public register. </w:t>
            </w:r>
            <w:r>
              <w:rPr>
                <w:rFonts w:ascii="Verdana" w:hAnsi="Verdana"/>
                <w:color w:val="003366"/>
                <w:sz w:val="13"/>
                <w:lang w:val="en-GB"/>
              </w:rPr>
              <w:t>A change of information can be done by completing form U2 and sending it to the AFM. Form U2 can be found on the AFM website.</w:t>
            </w:r>
          </w:p>
          <w:p w:rsidR="005E48AB" w:rsidRDefault="005E48AB">
            <w:pPr>
              <w:autoSpaceDE w:val="0"/>
              <w:autoSpaceDN w:val="0"/>
              <w:adjustRightInd w:val="0"/>
              <w:spacing w:before="120" w:after="120"/>
              <w:rPr>
                <w:rFonts w:ascii="Verdana" w:hAnsi="Verdana"/>
                <w:b/>
                <w:color w:val="093A5D"/>
                <w:sz w:val="13"/>
                <w:szCs w:val="13"/>
                <w:lang w:val="en-GB"/>
              </w:rPr>
            </w:pPr>
          </w:p>
          <w:p w:rsidR="005E48AB" w:rsidRDefault="005E48AB">
            <w:pPr>
              <w:autoSpaceDE w:val="0"/>
              <w:autoSpaceDN w:val="0"/>
              <w:adjustRightInd w:val="0"/>
              <w:spacing w:before="120" w:after="120"/>
              <w:rPr>
                <w:rFonts w:ascii="Verdana" w:hAnsi="Verdana"/>
                <w:b/>
                <w:color w:val="093A5D"/>
                <w:sz w:val="13"/>
                <w:szCs w:val="13"/>
                <w:lang w:val="en-GB"/>
              </w:rPr>
            </w:pPr>
          </w:p>
        </w:tc>
      </w:tr>
    </w:tbl>
    <w:p w:rsidR="005E48AB" w:rsidRDefault="005E48AB">
      <w:pPr>
        <w:autoSpaceDE w:val="0"/>
        <w:autoSpaceDN w:val="0"/>
        <w:adjustRightInd w:val="0"/>
        <w:rPr>
          <w:rFonts w:ascii="Verdana" w:hAnsi="Verdana"/>
          <w:b/>
          <w:bCs/>
          <w:color w:val="625326"/>
          <w:sz w:val="18"/>
          <w:szCs w:val="18"/>
          <w:lang w:val="en-GB"/>
        </w:rPr>
      </w:pPr>
    </w:p>
    <w:p w:rsidR="005E48AB" w:rsidRDefault="005E48AB">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9180"/>
      </w:tblGrid>
      <w:tr w:rsidR="005E48AB" w:rsidRPr="001923B8">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Further questions and contact details</w:t>
            </w:r>
          </w:p>
        </w:tc>
      </w:tr>
      <w:tr w:rsidR="005E48AB" w:rsidRPr="001923B8">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rsidR="005E48AB" w:rsidRDefault="005E48AB">
            <w:pPr>
              <w:keepNext/>
              <w:autoSpaceDE w:val="0"/>
              <w:autoSpaceDN w:val="0"/>
              <w:adjustRightInd w:val="0"/>
              <w:spacing w:before="120" w:after="120"/>
              <w:rPr>
                <w:rFonts w:ascii="Verdana" w:hAnsi="Verdana"/>
                <w:b/>
                <w:color w:val="093A5D"/>
                <w:sz w:val="13"/>
                <w:szCs w:val="13"/>
                <w:lang w:val="en-GB"/>
              </w:rPr>
            </w:pPr>
            <w:r>
              <w:rPr>
                <w:rFonts w:ascii="Verdana" w:hAnsi="Verdana"/>
                <w:b/>
                <w:color w:val="093A5D"/>
                <w:sz w:val="13"/>
                <w:szCs w:val="13"/>
                <w:lang w:val="en-GB"/>
              </w:rPr>
              <w:t>2</w:t>
            </w:r>
            <w:r w:rsidR="00095E48">
              <w:rPr>
                <w:rFonts w:ascii="Verdana" w:hAnsi="Verdana"/>
                <w:b/>
                <w:color w:val="093A5D"/>
                <w:sz w:val="13"/>
                <w:szCs w:val="13"/>
                <w:lang w:val="en-GB"/>
              </w:rPr>
              <w:t>0</w:t>
            </w:r>
            <w:r>
              <w:rPr>
                <w:rFonts w:ascii="Verdana" w:hAnsi="Verdana"/>
                <w:b/>
                <w:color w:val="093A5D"/>
                <w:sz w:val="13"/>
                <w:szCs w:val="13"/>
                <w:lang w:val="en-GB"/>
              </w:rPr>
              <w:t xml:space="preserve"> (NL). How can third-country audit entities contact the AFM for any further questions regarding the application for registration?</w:t>
            </w:r>
          </w:p>
          <w:p w:rsidR="005E48AB" w:rsidRDefault="005E48AB">
            <w:pPr>
              <w:keepNext/>
              <w:autoSpaceDE w:val="0"/>
              <w:autoSpaceDN w:val="0"/>
              <w:adjustRightInd w:val="0"/>
              <w:spacing w:before="120" w:after="120"/>
              <w:rPr>
                <w:rFonts w:ascii="Verdana" w:hAnsi="Verdana"/>
                <w:bCs/>
                <w:color w:val="003366"/>
                <w:sz w:val="13"/>
                <w:szCs w:val="13"/>
                <w:lang w:val="en-GB"/>
              </w:rPr>
            </w:pPr>
            <w:r>
              <w:rPr>
                <w:rFonts w:ascii="Verdana" w:hAnsi="Verdana"/>
                <w:color w:val="003366"/>
                <w:sz w:val="13"/>
                <w:lang w:val="en-GB"/>
              </w:rPr>
              <w:t>More information about the AFM and the public oversight on third-country audit entities as well as contact information can be found on the AFM website (</w:t>
            </w:r>
            <w:hyperlink r:id="rId10" w:history="1">
              <w:r>
                <w:rPr>
                  <w:rStyle w:val="Hyperlink"/>
                  <w:rFonts w:ascii="Verdana" w:hAnsi="Verdana"/>
                  <w:color w:val="003366"/>
                  <w:sz w:val="13"/>
                  <w:lang w:val="en-GB"/>
                </w:rPr>
                <w:t>www.afm.nl</w:t>
              </w:r>
            </w:hyperlink>
            <w:r>
              <w:rPr>
                <w:rFonts w:ascii="Verdana" w:hAnsi="Verdana"/>
                <w:color w:val="003366"/>
                <w:sz w:val="13"/>
                <w:lang w:val="en-GB"/>
              </w:rPr>
              <w:t>).</w:t>
            </w:r>
          </w:p>
        </w:tc>
      </w:tr>
    </w:tbl>
    <w:p w:rsidR="005E48AB" w:rsidRDefault="005E48AB">
      <w:pPr>
        <w:autoSpaceDE w:val="0"/>
        <w:autoSpaceDN w:val="0"/>
        <w:adjustRightInd w:val="0"/>
        <w:rPr>
          <w:rFonts w:ascii="Verdana" w:hAnsi="Verdana"/>
          <w:b/>
          <w:bCs/>
          <w:color w:val="625326"/>
          <w:sz w:val="18"/>
          <w:szCs w:val="18"/>
          <w:lang w:val="en-GB"/>
        </w:rPr>
      </w:pPr>
    </w:p>
    <w:p w:rsidR="005E48AB" w:rsidRDefault="005E48AB">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9180"/>
      </w:tblGrid>
      <w:tr w:rsidR="005E48AB" w:rsidRPr="001923B8">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rsidR="005E48AB" w:rsidRDefault="005E48AB">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Attachment 1: Provisional list of competent authorities in the relevant Member States and EEA countries</w:t>
            </w:r>
          </w:p>
        </w:tc>
      </w:tr>
      <w:tr w:rsidR="005E48AB" w:rsidRPr="00961934">
        <w:tc>
          <w:tcPr>
            <w:tcW w:w="10620" w:type="dxa"/>
            <w:tcBorders>
              <w:top w:val="single" w:sz="18" w:space="0" w:color="5B4C25"/>
              <w:left w:val="single" w:sz="18" w:space="0" w:color="EAE8D6"/>
              <w:bottom w:val="single" w:sz="18" w:space="0" w:color="EAE8D6"/>
              <w:right w:val="single" w:sz="18" w:space="0" w:color="EAE8D6"/>
            </w:tcBorders>
            <w:shd w:val="clear" w:color="auto" w:fill="EAE8D6"/>
          </w:tcPr>
          <w:tbl>
            <w:tblPr>
              <w:tblW w:w="8781" w:type="dxa"/>
              <w:tblInd w:w="163" w:type="dxa"/>
              <w:tblLook w:val="0000" w:firstRow="0" w:lastRow="0" w:firstColumn="0" w:lastColumn="0" w:noHBand="0" w:noVBand="0"/>
            </w:tblPr>
            <w:tblGrid>
              <w:gridCol w:w="1326"/>
              <w:gridCol w:w="4215"/>
              <w:gridCol w:w="3240"/>
            </w:tblGrid>
            <w:tr w:rsidR="005E48AB" w:rsidTr="00F339E2">
              <w:trPr>
                <w:trHeight w:val="270"/>
              </w:trPr>
              <w:tc>
                <w:tcPr>
                  <w:tcW w:w="1347" w:type="dxa"/>
                  <w:tcBorders>
                    <w:top w:val="single" w:sz="8" w:space="0" w:color="auto"/>
                    <w:left w:val="single" w:sz="8" w:space="0" w:color="auto"/>
                    <w:bottom w:val="single" w:sz="8" w:space="0" w:color="auto"/>
                    <w:right w:val="single" w:sz="8" w:space="0" w:color="auto"/>
                  </w:tcBorders>
                  <w:noWrap/>
                  <w:vAlign w:val="center"/>
                </w:tcPr>
                <w:p w:rsidR="005E48AB" w:rsidRDefault="005E48AB">
                  <w:pPr>
                    <w:jc w:val="center"/>
                    <w:rPr>
                      <w:rFonts w:ascii="Verdana" w:hAnsi="Verdana" w:cs="Arial"/>
                      <w:b/>
                      <w:bCs/>
                      <w:sz w:val="13"/>
                      <w:szCs w:val="20"/>
                    </w:rPr>
                  </w:pPr>
                  <w:r>
                    <w:rPr>
                      <w:rFonts w:ascii="Verdana" w:hAnsi="Verdana" w:cs="Arial"/>
                      <w:b/>
                      <w:bCs/>
                      <w:sz w:val="13"/>
                      <w:szCs w:val="20"/>
                    </w:rPr>
                    <w:t>MEMBER STATES</w:t>
                  </w:r>
                </w:p>
              </w:tc>
              <w:tc>
                <w:tcPr>
                  <w:tcW w:w="4288" w:type="dxa"/>
                  <w:tcBorders>
                    <w:top w:val="single" w:sz="8" w:space="0" w:color="auto"/>
                    <w:left w:val="nil"/>
                    <w:bottom w:val="single" w:sz="8" w:space="0" w:color="auto"/>
                    <w:right w:val="single" w:sz="8" w:space="0" w:color="auto"/>
                  </w:tcBorders>
                  <w:noWrap/>
                  <w:vAlign w:val="center"/>
                </w:tcPr>
                <w:p w:rsidR="005E48AB" w:rsidRDefault="005E48AB">
                  <w:pPr>
                    <w:jc w:val="center"/>
                    <w:rPr>
                      <w:rFonts w:ascii="Verdana" w:hAnsi="Verdana" w:cs="Arial"/>
                      <w:b/>
                      <w:bCs/>
                      <w:sz w:val="13"/>
                      <w:szCs w:val="20"/>
                    </w:rPr>
                  </w:pPr>
                  <w:r>
                    <w:rPr>
                      <w:rFonts w:ascii="Verdana" w:hAnsi="Verdana" w:cs="Arial"/>
                      <w:b/>
                      <w:bCs/>
                      <w:sz w:val="13"/>
                      <w:szCs w:val="20"/>
                    </w:rPr>
                    <w:t>MEMBER OF THE EGAOB</w:t>
                  </w:r>
                </w:p>
              </w:tc>
              <w:tc>
                <w:tcPr>
                  <w:tcW w:w="3146" w:type="dxa"/>
                  <w:tcBorders>
                    <w:top w:val="single" w:sz="8" w:space="0" w:color="auto"/>
                    <w:left w:val="nil"/>
                    <w:bottom w:val="single" w:sz="8" w:space="0" w:color="auto"/>
                    <w:right w:val="single" w:sz="8" w:space="0" w:color="auto"/>
                  </w:tcBorders>
                  <w:noWrap/>
                  <w:vAlign w:val="center"/>
                </w:tcPr>
                <w:p w:rsidR="005E48AB" w:rsidRDefault="005E48AB">
                  <w:pPr>
                    <w:jc w:val="center"/>
                    <w:rPr>
                      <w:rFonts w:ascii="Verdana" w:hAnsi="Verdana" w:cs="Arial"/>
                      <w:b/>
                      <w:bCs/>
                      <w:sz w:val="13"/>
                      <w:szCs w:val="20"/>
                    </w:rPr>
                  </w:pPr>
                  <w:r>
                    <w:rPr>
                      <w:rFonts w:ascii="Verdana" w:hAnsi="Verdana" w:cs="Arial"/>
                      <w:b/>
                      <w:bCs/>
                      <w:sz w:val="13"/>
                      <w:szCs w:val="20"/>
                    </w:rPr>
                    <w:t>WEBSITE</w:t>
                  </w:r>
                </w:p>
              </w:tc>
            </w:tr>
            <w:tr w:rsidR="005E48AB" w:rsidRPr="001923B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Belgium</w:t>
                  </w:r>
                </w:p>
              </w:tc>
              <w:tc>
                <w:tcPr>
                  <w:tcW w:w="4288" w:type="dxa"/>
                  <w:tcBorders>
                    <w:top w:val="nil"/>
                    <w:left w:val="nil"/>
                    <w:bottom w:val="single" w:sz="4" w:space="0" w:color="auto"/>
                    <w:right w:val="single" w:sz="8" w:space="0" w:color="auto"/>
                  </w:tcBorders>
                  <w:noWrap/>
                  <w:vAlign w:val="center"/>
                </w:tcPr>
                <w:p w:rsidR="005E48AB" w:rsidRPr="00961934" w:rsidRDefault="005E48AB">
                  <w:pPr>
                    <w:jc w:val="center"/>
                    <w:rPr>
                      <w:rFonts w:ascii="Verdana" w:hAnsi="Verdana" w:cs="Arial"/>
                      <w:sz w:val="13"/>
                      <w:szCs w:val="20"/>
                      <w:lang w:val="en-US"/>
                    </w:rPr>
                  </w:pPr>
                  <w:r w:rsidRPr="00961934">
                    <w:rPr>
                      <w:rFonts w:ascii="Verdana" w:hAnsi="Verdana" w:cs="Arial"/>
                      <w:sz w:val="13"/>
                      <w:szCs w:val="20"/>
                      <w:lang w:val="en-US"/>
                    </w:rPr>
                    <w:t>High Council for the Economic Professions</w:t>
                  </w:r>
                </w:p>
              </w:tc>
              <w:tc>
                <w:tcPr>
                  <w:tcW w:w="3146" w:type="dxa"/>
                  <w:tcBorders>
                    <w:top w:val="nil"/>
                    <w:left w:val="nil"/>
                    <w:bottom w:val="single" w:sz="4" w:space="0" w:color="auto"/>
                    <w:right w:val="single" w:sz="8" w:space="0" w:color="auto"/>
                  </w:tcBorders>
                  <w:noWrap/>
                  <w:vAlign w:val="center"/>
                </w:tcPr>
                <w:p w:rsidR="005E48AB" w:rsidRPr="00961934" w:rsidRDefault="005E48AB">
                  <w:pPr>
                    <w:jc w:val="center"/>
                    <w:rPr>
                      <w:rFonts w:ascii="Verdana" w:hAnsi="Verdana" w:cs="Arial"/>
                      <w:sz w:val="13"/>
                      <w:szCs w:val="20"/>
                      <w:lang w:val="en-US"/>
                    </w:rPr>
                  </w:pPr>
                  <w:r w:rsidRPr="00961934">
                    <w:rPr>
                      <w:rFonts w:ascii="Verdana" w:hAnsi="Verdana" w:cs="Arial"/>
                      <w:sz w:val="13"/>
                      <w:szCs w:val="20"/>
                      <w:lang w:val="en-US"/>
                    </w:rPr>
                    <w:t>http://www.cspe-hreb.be</w:t>
                  </w:r>
                </w:p>
              </w:tc>
            </w:tr>
            <w:tr w:rsidR="005E48AB"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Denmark</w:t>
                  </w:r>
                </w:p>
              </w:tc>
              <w:tc>
                <w:tcPr>
                  <w:tcW w:w="4288" w:type="dxa"/>
                  <w:tcBorders>
                    <w:top w:val="nil"/>
                    <w:left w:val="nil"/>
                    <w:bottom w:val="single" w:sz="4" w:space="0" w:color="auto"/>
                    <w:right w:val="single" w:sz="8" w:space="0" w:color="auto"/>
                  </w:tcBorders>
                  <w:noWrap/>
                  <w:vAlign w:val="center"/>
                </w:tcPr>
                <w:p w:rsidR="005E48AB" w:rsidRPr="00961934" w:rsidRDefault="005E48AB">
                  <w:pPr>
                    <w:jc w:val="center"/>
                    <w:rPr>
                      <w:rFonts w:ascii="Verdana" w:hAnsi="Verdana" w:cs="Arial"/>
                      <w:sz w:val="13"/>
                      <w:szCs w:val="20"/>
                      <w:lang w:val="en-US"/>
                    </w:rPr>
                  </w:pPr>
                  <w:r w:rsidRPr="00961934">
                    <w:rPr>
                      <w:rFonts w:ascii="Verdana" w:hAnsi="Verdana" w:cs="Arial"/>
                      <w:sz w:val="13"/>
                      <w:szCs w:val="20"/>
                      <w:lang w:val="en-US"/>
                    </w:rPr>
                    <w:t>Danish Commerce and Companies Agency</w:t>
                  </w:r>
                </w:p>
              </w:tc>
              <w:tc>
                <w:tcPr>
                  <w:tcW w:w="3146" w:type="dxa"/>
                  <w:tcBorders>
                    <w:top w:val="nil"/>
                    <w:left w:val="nil"/>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http://www.eogs.dk</w:t>
                  </w:r>
                </w:p>
              </w:tc>
            </w:tr>
            <w:tr w:rsidR="005E48AB" w:rsidRPr="001923B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Finland</w:t>
                  </w:r>
                </w:p>
              </w:tc>
              <w:tc>
                <w:tcPr>
                  <w:tcW w:w="4288" w:type="dxa"/>
                  <w:tcBorders>
                    <w:top w:val="nil"/>
                    <w:left w:val="nil"/>
                    <w:bottom w:val="single" w:sz="4" w:space="0" w:color="auto"/>
                    <w:right w:val="single" w:sz="8" w:space="0" w:color="auto"/>
                  </w:tcBorders>
                  <w:noWrap/>
                  <w:vAlign w:val="center"/>
                </w:tcPr>
                <w:p w:rsidR="005E48AB" w:rsidRPr="00961934" w:rsidRDefault="005E48AB">
                  <w:pPr>
                    <w:jc w:val="center"/>
                    <w:rPr>
                      <w:rFonts w:ascii="Verdana" w:hAnsi="Verdana" w:cs="Arial"/>
                      <w:sz w:val="13"/>
                      <w:szCs w:val="20"/>
                      <w:lang w:val="en-US"/>
                    </w:rPr>
                  </w:pPr>
                  <w:r w:rsidRPr="00961934">
                    <w:rPr>
                      <w:rFonts w:ascii="Verdana" w:hAnsi="Verdana" w:cs="Arial"/>
                      <w:sz w:val="13"/>
                      <w:szCs w:val="20"/>
                      <w:lang w:val="en-US"/>
                    </w:rPr>
                    <w:t>Auditing Board of the Central Chamber of Commerce (AB3C)</w:t>
                  </w:r>
                </w:p>
              </w:tc>
              <w:tc>
                <w:tcPr>
                  <w:tcW w:w="3146" w:type="dxa"/>
                  <w:tcBorders>
                    <w:top w:val="nil"/>
                    <w:left w:val="nil"/>
                    <w:bottom w:val="single" w:sz="4" w:space="0" w:color="auto"/>
                    <w:right w:val="single" w:sz="8" w:space="0" w:color="auto"/>
                  </w:tcBorders>
                  <w:noWrap/>
                  <w:vAlign w:val="center"/>
                </w:tcPr>
                <w:p w:rsidR="005E48AB" w:rsidRPr="00961934" w:rsidRDefault="005E48AB">
                  <w:pPr>
                    <w:jc w:val="center"/>
                    <w:rPr>
                      <w:rFonts w:ascii="Verdana" w:hAnsi="Verdana" w:cs="Arial"/>
                      <w:sz w:val="13"/>
                      <w:szCs w:val="20"/>
                      <w:lang w:val="en-US"/>
                    </w:rPr>
                  </w:pPr>
                  <w:r w:rsidRPr="00961934">
                    <w:rPr>
                      <w:rFonts w:ascii="Verdana" w:hAnsi="Verdana" w:cs="Arial"/>
                      <w:sz w:val="13"/>
                      <w:szCs w:val="20"/>
                      <w:lang w:val="en-US"/>
                    </w:rPr>
                    <w:t>http://www.keskuskauppakamari.fi/en_GB/</w:t>
                  </w:r>
                </w:p>
              </w:tc>
            </w:tr>
            <w:tr w:rsidR="005E48AB"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France</w:t>
                  </w:r>
                </w:p>
              </w:tc>
              <w:tc>
                <w:tcPr>
                  <w:tcW w:w="4288" w:type="dxa"/>
                  <w:tcBorders>
                    <w:top w:val="nil"/>
                    <w:left w:val="nil"/>
                    <w:bottom w:val="single" w:sz="4" w:space="0" w:color="auto"/>
                    <w:right w:val="single" w:sz="8" w:space="0" w:color="auto"/>
                  </w:tcBorders>
                  <w:noWrap/>
                  <w:vAlign w:val="center"/>
                </w:tcPr>
                <w:p w:rsidR="005E48AB" w:rsidRDefault="005E48AB">
                  <w:pPr>
                    <w:jc w:val="center"/>
                    <w:rPr>
                      <w:rFonts w:ascii="Verdana" w:hAnsi="Verdana" w:cs="Arial"/>
                      <w:sz w:val="13"/>
                      <w:szCs w:val="20"/>
                      <w:lang w:val="fr-FR"/>
                    </w:rPr>
                  </w:pPr>
                  <w:r>
                    <w:rPr>
                      <w:rFonts w:ascii="Verdana" w:hAnsi="Verdana" w:cs="Arial"/>
                      <w:sz w:val="13"/>
                      <w:szCs w:val="20"/>
                      <w:lang w:val="fr-FR"/>
                    </w:rPr>
                    <w:t>Haut Conseil du Commissariat aux Comptes</w:t>
                  </w:r>
                </w:p>
              </w:tc>
              <w:tc>
                <w:tcPr>
                  <w:tcW w:w="3146" w:type="dxa"/>
                  <w:tcBorders>
                    <w:top w:val="nil"/>
                    <w:left w:val="nil"/>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http://www.h3c.org/</w:t>
                  </w:r>
                </w:p>
              </w:tc>
            </w:tr>
            <w:tr w:rsidR="005E48AB"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Germany</w:t>
                  </w:r>
                </w:p>
              </w:tc>
              <w:tc>
                <w:tcPr>
                  <w:tcW w:w="4288" w:type="dxa"/>
                  <w:tcBorders>
                    <w:top w:val="nil"/>
                    <w:left w:val="nil"/>
                    <w:bottom w:val="single" w:sz="4" w:space="0" w:color="auto"/>
                    <w:right w:val="single" w:sz="8" w:space="0" w:color="auto"/>
                  </w:tcBorders>
                  <w:noWrap/>
                  <w:vAlign w:val="center"/>
                </w:tcPr>
                <w:p w:rsidR="005E48AB" w:rsidRDefault="005E48AB">
                  <w:pPr>
                    <w:jc w:val="center"/>
                    <w:rPr>
                      <w:rFonts w:ascii="Verdana" w:hAnsi="Verdana" w:cs="Arial"/>
                      <w:color w:val="000000"/>
                      <w:sz w:val="13"/>
                      <w:szCs w:val="20"/>
                      <w:lang w:val="fr-FR"/>
                    </w:rPr>
                  </w:pPr>
                  <w:proofErr w:type="spellStart"/>
                  <w:r>
                    <w:rPr>
                      <w:rFonts w:ascii="Verdana" w:hAnsi="Verdana" w:cs="Arial"/>
                      <w:color w:val="000000"/>
                      <w:sz w:val="13"/>
                      <w:szCs w:val="20"/>
                      <w:lang w:val="fr-FR"/>
                    </w:rPr>
                    <w:t>Auditor</w:t>
                  </w:r>
                  <w:proofErr w:type="spellEnd"/>
                  <w:r>
                    <w:rPr>
                      <w:rFonts w:ascii="Verdana" w:hAnsi="Verdana" w:cs="Arial"/>
                      <w:color w:val="000000"/>
                      <w:sz w:val="13"/>
                      <w:szCs w:val="20"/>
                      <w:lang w:val="fr-FR"/>
                    </w:rPr>
                    <w:t xml:space="preserve"> </w:t>
                  </w:r>
                  <w:proofErr w:type="spellStart"/>
                  <w:r>
                    <w:rPr>
                      <w:rFonts w:ascii="Verdana" w:hAnsi="Verdana" w:cs="Arial"/>
                      <w:color w:val="000000"/>
                      <w:sz w:val="13"/>
                      <w:szCs w:val="20"/>
                      <w:lang w:val="fr-FR"/>
                    </w:rPr>
                    <w:t>Oversight</w:t>
                  </w:r>
                  <w:proofErr w:type="spellEnd"/>
                  <w:r>
                    <w:rPr>
                      <w:rFonts w:ascii="Verdana" w:hAnsi="Verdana" w:cs="Arial"/>
                      <w:color w:val="000000"/>
                      <w:sz w:val="13"/>
                      <w:szCs w:val="20"/>
                      <w:lang w:val="fr-FR"/>
                    </w:rPr>
                    <w:t xml:space="preserve"> Commission (AOC)</w:t>
                  </w:r>
                </w:p>
              </w:tc>
              <w:tc>
                <w:tcPr>
                  <w:tcW w:w="3146" w:type="dxa"/>
                  <w:tcBorders>
                    <w:top w:val="nil"/>
                    <w:left w:val="nil"/>
                    <w:bottom w:val="single" w:sz="4" w:space="0" w:color="auto"/>
                    <w:right w:val="single" w:sz="8" w:space="0" w:color="auto"/>
                  </w:tcBorders>
                  <w:noWrap/>
                  <w:vAlign w:val="center"/>
                </w:tcPr>
                <w:p w:rsidR="005E48AB" w:rsidRDefault="005E48AB">
                  <w:pPr>
                    <w:jc w:val="center"/>
                    <w:rPr>
                      <w:rFonts w:ascii="Verdana" w:hAnsi="Verdana" w:cs="Arial"/>
                      <w:sz w:val="13"/>
                      <w:szCs w:val="20"/>
                    </w:rPr>
                  </w:pPr>
                  <w:r>
                    <w:rPr>
                      <w:rFonts w:ascii="Verdana" w:hAnsi="Verdana" w:cs="Arial"/>
                      <w:sz w:val="13"/>
                      <w:szCs w:val="20"/>
                    </w:rPr>
                    <w:t>www.apak-aoc.de</w:t>
                  </w:r>
                </w:p>
              </w:tc>
            </w:tr>
            <w:tr w:rsidR="00A9133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Ireland</w:t>
                  </w:r>
                </w:p>
              </w:tc>
              <w:tc>
                <w:tcPr>
                  <w:tcW w:w="4288"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color w:val="000000"/>
                      <w:sz w:val="13"/>
                      <w:szCs w:val="20"/>
                      <w:lang w:val="fr-FR"/>
                    </w:rPr>
                  </w:pPr>
                  <w:r w:rsidRPr="00961934">
                    <w:rPr>
                      <w:rFonts w:ascii="Verdana" w:hAnsi="Verdana" w:cs="Arial"/>
                      <w:sz w:val="13"/>
                      <w:szCs w:val="20"/>
                      <w:lang w:val="en-US"/>
                    </w:rPr>
                    <w:t xml:space="preserve">Irish Auditing and Accounting Supervisory </w:t>
                  </w:r>
                  <w:proofErr w:type="spellStart"/>
                  <w:r w:rsidRPr="00961934">
                    <w:rPr>
                      <w:rFonts w:ascii="Verdana" w:hAnsi="Verdana" w:cs="Arial"/>
                      <w:sz w:val="13"/>
                      <w:szCs w:val="20"/>
                      <w:lang w:val="en-US"/>
                    </w:rPr>
                    <w:t>Authorithy</w:t>
                  </w:r>
                  <w:proofErr w:type="spellEnd"/>
                  <w:r w:rsidRPr="00961934">
                    <w:rPr>
                      <w:rFonts w:ascii="Verdana" w:hAnsi="Verdana" w:cs="Arial"/>
                      <w:sz w:val="13"/>
                      <w:szCs w:val="20"/>
                      <w:lang w:val="en-US"/>
                    </w:rPr>
                    <w:t xml:space="preserve"> (IAASA)</w:t>
                  </w:r>
                </w:p>
              </w:tc>
              <w:tc>
                <w:tcPr>
                  <w:tcW w:w="3146"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http://www.iaasa.ie/</w:t>
                  </w:r>
                </w:p>
              </w:tc>
            </w:tr>
            <w:tr w:rsidR="00A9133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Italy</w:t>
                  </w:r>
                </w:p>
              </w:tc>
              <w:tc>
                <w:tcPr>
                  <w:tcW w:w="4288"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lang w:val="fr-FR"/>
                    </w:rPr>
                  </w:pPr>
                  <w:proofErr w:type="spellStart"/>
                  <w:r>
                    <w:rPr>
                      <w:rFonts w:ascii="Verdana" w:hAnsi="Verdana" w:cs="Arial"/>
                      <w:color w:val="000000"/>
                      <w:sz w:val="13"/>
                      <w:szCs w:val="20"/>
                      <w:lang w:val="fr-FR"/>
                    </w:rPr>
                    <w:t>Commissione</w:t>
                  </w:r>
                  <w:proofErr w:type="spellEnd"/>
                  <w:r>
                    <w:rPr>
                      <w:rFonts w:ascii="Verdana" w:hAnsi="Verdana" w:cs="Arial"/>
                      <w:color w:val="000000"/>
                      <w:sz w:val="13"/>
                      <w:szCs w:val="20"/>
                      <w:lang w:val="fr-FR"/>
                    </w:rPr>
                    <w:t xml:space="preserve"> </w:t>
                  </w:r>
                  <w:proofErr w:type="spellStart"/>
                  <w:r>
                    <w:rPr>
                      <w:rFonts w:ascii="Verdana" w:hAnsi="Verdana" w:cs="Arial"/>
                      <w:color w:val="000000"/>
                      <w:sz w:val="13"/>
                      <w:szCs w:val="20"/>
                      <w:lang w:val="fr-FR"/>
                    </w:rPr>
                    <w:t>Nazionale</w:t>
                  </w:r>
                  <w:proofErr w:type="spellEnd"/>
                  <w:r>
                    <w:rPr>
                      <w:rFonts w:ascii="Verdana" w:hAnsi="Verdana" w:cs="Arial"/>
                      <w:color w:val="000000"/>
                      <w:sz w:val="13"/>
                      <w:szCs w:val="20"/>
                      <w:lang w:val="fr-FR"/>
                    </w:rPr>
                    <w:t xml:space="preserve"> per le </w:t>
                  </w:r>
                  <w:proofErr w:type="spellStart"/>
                  <w:r>
                    <w:rPr>
                      <w:rFonts w:ascii="Verdana" w:hAnsi="Verdana" w:cs="Arial"/>
                      <w:color w:val="000000"/>
                      <w:sz w:val="13"/>
                      <w:szCs w:val="20"/>
                      <w:lang w:val="fr-FR"/>
                    </w:rPr>
                    <w:t>Società</w:t>
                  </w:r>
                  <w:proofErr w:type="spellEnd"/>
                  <w:r>
                    <w:rPr>
                      <w:rFonts w:ascii="Verdana" w:hAnsi="Verdana" w:cs="Arial"/>
                      <w:color w:val="000000"/>
                      <w:sz w:val="13"/>
                      <w:szCs w:val="20"/>
                      <w:lang w:val="fr-FR"/>
                    </w:rPr>
                    <w:t xml:space="preserve"> e la </w:t>
                  </w:r>
                  <w:proofErr w:type="spellStart"/>
                  <w:r>
                    <w:rPr>
                      <w:rFonts w:ascii="Verdana" w:hAnsi="Verdana" w:cs="Arial"/>
                      <w:color w:val="000000"/>
                      <w:sz w:val="13"/>
                      <w:szCs w:val="20"/>
                      <w:lang w:val="fr-FR"/>
                    </w:rPr>
                    <w:t>Borsa</w:t>
                  </w:r>
                  <w:proofErr w:type="spellEnd"/>
                  <w:r>
                    <w:rPr>
                      <w:rFonts w:ascii="Verdana" w:hAnsi="Verdana" w:cs="Arial"/>
                      <w:color w:val="000000"/>
                      <w:sz w:val="13"/>
                      <w:szCs w:val="20"/>
                      <w:lang w:val="fr-FR"/>
                    </w:rPr>
                    <w:t xml:space="preserve"> (</w:t>
                  </w:r>
                  <w:r>
                    <w:rPr>
                      <w:rFonts w:ascii="Verdana" w:hAnsi="Verdana" w:cs="Arial"/>
                      <w:sz w:val="13"/>
                      <w:szCs w:val="20"/>
                      <w:lang w:val="fr-FR"/>
                    </w:rPr>
                    <w:t>CONSOB)</w:t>
                  </w:r>
                </w:p>
              </w:tc>
              <w:tc>
                <w:tcPr>
                  <w:tcW w:w="3146"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www.consob.it/</w:t>
                  </w:r>
                </w:p>
              </w:tc>
            </w:tr>
            <w:tr w:rsidR="00A9133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Luxembourg</w:t>
                  </w:r>
                </w:p>
              </w:tc>
              <w:tc>
                <w:tcPr>
                  <w:tcW w:w="4288"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lang w:val="fr-FR"/>
                    </w:rPr>
                  </w:pPr>
                  <w:r>
                    <w:rPr>
                      <w:rFonts w:ascii="Verdana" w:hAnsi="Verdana" w:cs="Arial"/>
                      <w:sz w:val="13"/>
                      <w:szCs w:val="20"/>
                      <w:lang w:val="fr-FR"/>
                    </w:rPr>
                    <w:t>Commission de Surveillance du Secteur Financier (CCSF)</w:t>
                  </w:r>
                </w:p>
              </w:tc>
              <w:tc>
                <w:tcPr>
                  <w:tcW w:w="3146"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http://www.cssf.lu/</w:t>
                  </w:r>
                </w:p>
              </w:tc>
            </w:tr>
            <w:tr w:rsidR="00A9133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Netherlands</w:t>
                  </w:r>
                </w:p>
              </w:tc>
              <w:tc>
                <w:tcPr>
                  <w:tcW w:w="4288" w:type="dxa"/>
                  <w:tcBorders>
                    <w:top w:val="nil"/>
                    <w:left w:val="nil"/>
                    <w:bottom w:val="single" w:sz="4" w:space="0" w:color="auto"/>
                    <w:right w:val="single" w:sz="8" w:space="0" w:color="auto"/>
                  </w:tcBorders>
                  <w:noWrap/>
                  <w:vAlign w:val="center"/>
                </w:tcPr>
                <w:p w:rsidR="00A91338" w:rsidRPr="00961934" w:rsidRDefault="00A91338">
                  <w:pPr>
                    <w:jc w:val="center"/>
                    <w:rPr>
                      <w:rFonts w:ascii="Verdana" w:hAnsi="Verdana" w:cs="Arial"/>
                      <w:sz w:val="13"/>
                      <w:szCs w:val="20"/>
                      <w:lang w:val="en-US"/>
                    </w:rPr>
                  </w:pPr>
                  <w:r w:rsidRPr="00961934">
                    <w:rPr>
                      <w:rFonts w:ascii="Verdana" w:hAnsi="Verdana" w:cs="Arial"/>
                      <w:sz w:val="13"/>
                      <w:szCs w:val="20"/>
                      <w:lang w:val="en-US"/>
                    </w:rPr>
                    <w:t>Netherlands Authority for the Financial Markets (AFM)</w:t>
                  </w:r>
                </w:p>
              </w:tc>
              <w:tc>
                <w:tcPr>
                  <w:tcW w:w="3146"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http://www.afm.nl/</w:t>
                  </w:r>
                </w:p>
              </w:tc>
            </w:tr>
            <w:tr w:rsidR="00A91338" w:rsidTr="00F339E2">
              <w:trPr>
                <w:trHeight w:val="503"/>
              </w:trPr>
              <w:tc>
                <w:tcPr>
                  <w:tcW w:w="1347" w:type="dxa"/>
                  <w:tcBorders>
                    <w:top w:val="single" w:sz="4" w:space="0" w:color="auto"/>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Norway</w:t>
                  </w:r>
                </w:p>
              </w:tc>
              <w:tc>
                <w:tcPr>
                  <w:tcW w:w="4288" w:type="dxa"/>
                  <w:tcBorders>
                    <w:top w:val="single" w:sz="4" w:space="0" w:color="auto"/>
                    <w:left w:val="nil"/>
                    <w:bottom w:val="single" w:sz="4" w:space="0" w:color="auto"/>
                    <w:right w:val="single" w:sz="8" w:space="0" w:color="auto"/>
                  </w:tcBorders>
                  <w:noWrap/>
                  <w:vAlign w:val="center"/>
                </w:tcPr>
                <w:p w:rsidR="00A91338" w:rsidRPr="00961934" w:rsidRDefault="00A91338">
                  <w:pPr>
                    <w:jc w:val="center"/>
                    <w:rPr>
                      <w:rFonts w:ascii="Verdana" w:hAnsi="Verdana" w:cs="Arial"/>
                      <w:sz w:val="13"/>
                      <w:szCs w:val="20"/>
                      <w:lang w:val="en-US"/>
                    </w:rPr>
                  </w:pPr>
                  <w:r w:rsidRPr="00961934">
                    <w:rPr>
                      <w:rFonts w:ascii="Verdana" w:hAnsi="Verdana" w:cs="Arial"/>
                      <w:sz w:val="13"/>
                      <w:szCs w:val="20"/>
                      <w:lang w:val="en-US"/>
                    </w:rPr>
                    <w:t>Financial Supervisory Authority of Norway</w:t>
                  </w:r>
                </w:p>
              </w:tc>
              <w:tc>
                <w:tcPr>
                  <w:tcW w:w="3146" w:type="dxa"/>
                  <w:tcBorders>
                    <w:top w:val="single" w:sz="4" w:space="0" w:color="auto"/>
                    <w:left w:val="nil"/>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www.kredittilsynet.no</w:t>
                  </w:r>
                </w:p>
              </w:tc>
            </w:tr>
            <w:tr w:rsidR="00A91338" w:rsidRPr="001923B8" w:rsidTr="00F339E2">
              <w:trPr>
                <w:trHeight w:val="503"/>
              </w:trPr>
              <w:tc>
                <w:tcPr>
                  <w:tcW w:w="1347" w:type="dxa"/>
                  <w:tcBorders>
                    <w:top w:val="single" w:sz="4" w:space="0" w:color="auto"/>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Slovakia</w:t>
                  </w:r>
                </w:p>
              </w:tc>
              <w:tc>
                <w:tcPr>
                  <w:tcW w:w="4288" w:type="dxa"/>
                  <w:tcBorders>
                    <w:top w:val="single" w:sz="4" w:space="0" w:color="auto"/>
                    <w:left w:val="nil"/>
                    <w:bottom w:val="single" w:sz="4" w:space="0" w:color="auto"/>
                    <w:right w:val="single" w:sz="8" w:space="0" w:color="auto"/>
                  </w:tcBorders>
                  <w:noWrap/>
                  <w:vAlign w:val="center"/>
                </w:tcPr>
                <w:p w:rsidR="00A91338" w:rsidRPr="00961934" w:rsidRDefault="00A91338">
                  <w:pPr>
                    <w:jc w:val="center"/>
                    <w:rPr>
                      <w:rFonts w:ascii="Verdana" w:hAnsi="Verdana" w:cs="Arial"/>
                      <w:sz w:val="13"/>
                      <w:szCs w:val="20"/>
                      <w:lang w:val="en-US"/>
                    </w:rPr>
                  </w:pPr>
                  <w:r w:rsidRPr="00961934">
                    <w:rPr>
                      <w:rFonts w:ascii="Verdana" w:hAnsi="Verdana" w:cs="Arial"/>
                      <w:sz w:val="13"/>
                      <w:szCs w:val="20"/>
                      <w:lang w:val="en-US"/>
                    </w:rPr>
                    <w:t>Authority for Oversight of Performance of Audit</w:t>
                  </w:r>
                </w:p>
              </w:tc>
              <w:tc>
                <w:tcPr>
                  <w:tcW w:w="3146" w:type="dxa"/>
                  <w:tcBorders>
                    <w:top w:val="single" w:sz="4" w:space="0" w:color="auto"/>
                    <w:left w:val="nil"/>
                    <w:bottom w:val="single" w:sz="4" w:space="0" w:color="auto"/>
                    <w:right w:val="single" w:sz="8" w:space="0" w:color="auto"/>
                  </w:tcBorders>
                  <w:noWrap/>
                  <w:vAlign w:val="center"/>
                </w:tcPr>
                <w:p w:rsidR="00A91338" w:rsidRPr="00961934" w:rsidRDefault="00A91338">
                  <w:pPr>
                    <w:jc w:val="center"/>
                    <w:rPr>
                      <w:rFonts w:ascii="Verdana" w:hAnsi="Verdana" w:cs="Arial"/>
                      <w:sz w:val="13"/>
                      <w:szCs w:val="20"/>
                      <w:lang w:val="en-US"/>
                    </w:rPr>
                  </w:pPr>
                  <w:r w:rsidRPr="00961934">
                    <w:rPr>
                      <w:rFonts w:ascii="Verdana" w:hAnsi="Verdana" w:cs="Arial"/>
                      <w:sz w:val="13"/>
                      <w:szCs w:val="20"/>
                      <w:lang w:val="en-US"/>
                    </w:rPr>
                    <w:t>http://www.finance.gov.sk/En/</w:t>
                  </w:r>
                </w:p>
              </w:tc>
            </w:tr>
            <w:tr w:rsidR="00A91338" w:rsidRPr="001923B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Spain</w:t>
                  </w:r>
                </w:p>
              </w:tc>
              <w:tc>
                <w:tcPr>
                  <w:tcW w:w="4288"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lang w:val="fr-FR"/>
                    </w:rPr>
                  </w:pPr>
                  <w:proofErr w:type="spellStart"/>
                  <w:r>
                    <w:rPr>
                      <w:rFonts w:ascii="Verdana" w:hAnsi="Verdana" w:cs="Arial"/>
                      <w:sz w:val="13"/>
                      <w:szCs w:val="20"/>
                      <w:lang w:val="fr-FR"/>
                    </w:rPr>
                    <w:t>Instituto</w:t>
                  </w:r>
                  <w:proofErr w:type="spellEnd"/>
                  <w:r>
                    <w:rPr>
                      <w:rFonts w:ascii="Verdana" w:hAnsi="Verdana" w:cs="Arial"/>
                      <w:sz w:val="13"/>
                      <w:szCs w:val="20"/>
                      <w:lang w:val="fr-FR"/>
                    </w:rPr>
                    <w:t xml:space="preserve"> de </w:t>
                  </w:r>
                  <w:proofErr w:type="spellStart"/>
                  <w:r>
                    <w:rPr>
                      <w:rFonts w:ascii="Verdana" w:hAnsi="Verdana" w:cs="Arial"/>
                      <w:sz w:val="13"/>
                      <w:szCs w:val="20"/>
                      <w:lang w:val="fr-FR"/>
                    </w:rPr>
                    <w:t>Contabilidad</w:t>
                  </w:r>
                  <w:proofErr w:type="spellEnd"/>
                  <w:r>
                    <w:rPr>
                      <w:rFonts w:ascii="Verdana" w:hAnsi="Verdana" w:cs="Arial"/>
                      <w:sz w:val="13"/>
                      <w:szCs w:val="20"/>
                      <w:lang w:val="fr-FR"/>
                    </w:rPr>
                    <w:t xml:space="preserve"> y </w:t>
                  </w:r>
                  <w:proofErr w:type="spellStart"/>
                  <w:r>
                    <w:rPr>
                      <w:rFonts w:ascii="Verdana" w:hAnsi="Verdana" w:cs="Arial"/>
                      <w:sz w:val="13"/>
                      <w:szCs w:val="20"/>
                      <w:lang w:val="fr-FR"/>
                    </w:rPr>
                    <w:t>Auditoria</w:t>
                  </w:r>
                  <w:proofErr w:type="spellEnd"/>
                  <w:r>
                    <w:rPr>
                      <w:rFonts w:ascii="Verdana" w:hAnsi="Verdana" w:cs="Arial"/>
                      <w:sz w:val="13"/>
                      <w:szCs w:val="20"/>
                      <w:lang w:val="fr-FR"/>
                    </w:rPr>
                    <w:t xml:space="preserve"> de </w:t>
                  </w:r>
                  <w:proofErr w:type="spellStart"/>
                  <w:r>
                    <w:rPr>
                      <w:rFonts w:ascii="Verdana" w:hAnsi="Verdana" w:cs="Arial"/>
                      <w:sz w:val="13"/>
                      <w:szCs w:val="20"/>
                      <w:lang w:val="fr-FR"/>
                    </w:rPr>
                    <w:t>Cuentas</w:t>
                  </w:r>
                  <w:proofErr w:type="spellEnd"/>
                  <w:r>
                    <w:rPr>
                      <w:rFonts w:ascii="Verdana" w:hAnsi="Verdana" w:cs="Arial"/>
                      <w:sz w:val="13"/>
                      <w:szCs w:val="20"/>
                      <w:lang w:val="fr-FR"/>
                    </w:rPr>
                    <w:t xml:space="preserve"> (ICAC)</w:t>
                  </w:r>
                </w:p>
              </w:tc>
              <w:tc>
                <w:tcPr>
                  <w:tcW w:w="3146" w:type="dxa"/>
                  <w:tcBorders>
                    <w:top w:val="nil"/>
                    <w:left w:val="nil"/>
                    <w:bottom w:val="single" w:sz="4" w:space="0" w:color="auto"/>
                    <w:right w:val="single" w:sz="8" w:space="0" w:color="auto"/>
                  </w:tcBorders>
                  <w:noWrap/>
                  <w:vAlign w:val="center"/>
                </w:tcPr>
                <w:p w:rsidR="00A91338" w:rsidRDefault="00A91338">
                  <w:pPr>
                    <w:jc w:val="center"/>
                    <w:rPr>
                      <w:rFonts w:ascii="Verdana" w:hAnsi="Verdana" w:cs="Arial"/>
                      <w:sz w:val="13"/>
                      <w:szCs w:val="20"/>
                      <w:lang w:val="fr-FR"/>
                    </w:rPr>
                  </w:pPr>
                  <w:r>
                    <w:rPr>
                      <w:rFonts w:ascii="Verdana" w:hAnsi="Verdana" w:cs="Arial"/>
                      <w:sz w:val="13"/>
                      <w:szCs w:val="20"/>
                      <w:lang w:val="fr-FR"/>
                    </w:rPr>
                    <w:t>http://www.icac.meh.es/</w:t>
                  </w:r>
                </w:p>
              </w:tc>
            </w:tr>
            <w:tr w:rsidR="00A91338" w:rsidRPr="001923B8" w:rsidTr="00F339E2">
              <w:trPr>
                <w:trHeight w:val="503"/>
              </w:trPr>
              <w:tc>
                <w:tcPr>
                  <w:tcW w:w="1347" w:type="dxa"/>
                  <w:tcBorders>
                    <w:top w:val="nil"/>
                    <w:left w:val="single" w:sz="8" w:space="0" w:color="auto"/>
                    <w:bottom w:val="single" w:sz="4"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Sweden</w:t>
                  </w:r>
                </w:p>
              </w:tc>
              <w:tc>
                <w:tcPr>
                  <w:tcW w:w="4288" w:type="dxa"/>
                  <w:tcBorders>
                    <w:top w:val="nil"/>
                    <w:left w:val="nil"/>
                    <w:bottom w:val="single" w:sz="4" w:space="0" w:color="auto"/>
                    <w:right w:val="single" w:sz="8" w:space="0" w:color="auto"/>
                  </w:tcBorders>
                  <w:noWrap/>
                  <w:vAlign w:val="center"/>
                </w:tcPr>
                <w:p w:rsidR="00A91338" w:rsidRPr="00961934" w:rsidRDefault="00A91338">
                  <w:pPr>
                    <w:jc w:val="center"/>
                    <w:rPr>
                      <w:rFonts w:ascii="Verdana" w:hAnsi="Verdana" w:cs="Arial"/>
                      <w:sz w:val="13"/>
                      <w:szCs w:val="20"/>
                      <w:lang w:val="en-US"/>
                    </w:rPr>
                  </w:pPr>
                  <w:r w:rsidRPr="00961934">
                    <w:rPr>
                      <w:rFonts w:ascii="Verdana" w:hAnsi="Verdana" w:cs="Arial"/>
                      <w:sz w:val="13"/>
                      <w:szCs w:val="20"/>
                      <w:lang w:val="en-US"/>
                    </w:rPr>
                    <w:t>Swedish Supervisory Board of Public Accountants</w:t>
                  </w:r>
                </w:p>
              </w:tc>
              <w:tc>
                <w:tcPr>
                  <w:tcW w:w="3146" w:type="dxa"/>
                  <w:tcBorders>
                    <w:top w:val="nil"/>
                    <w:left w:val="nil"/>
                    <w:bottom w:val="single" w:sz="4" w:space="0" w:color="auto"/>
                    <w:right w:val="single" w:sz="8" w:space="0" w:color="auto"/>
                  </w:tcBorders>
                  <w:noWrap/>
                  <w:vAlign w:val="center"/>
                </w:tcPr>
                <w:p w:rsidR="00A91338" w:rsidRPr="00961934" w:rsidRDefault="00A91338">
                  <w:pPr>
                    <w:jc w:val="center"/>
                    <w:rPr>
                      <w:rFonts w:ascii="Verdana" w:hAnsi="Verdana" w:cs="Arial"/>
                      <w:sz w:val="13"/>
                      <w:szCs w:val="20"/>
                      <w:lang w:val="en-US"/>
                    </w:rPr>
                  </w:pPr>
                  <w:r w:rsidRPr="00961934">
                    <w:rPr>
                      <w:rFonts w:ascii="Verdana" w:hAnsi="Verdana" w:cs="Arial"/>
                      <w:sz w:val="13"/>
                      <w:szCs w:val="20"/>
                      <w:lang w:val="en-US"/>
                    </w:rPr>
                    <w:t>http://www.revisorsnamnden.se/rn/index.html</w:t>
                  </w:r>
                </w:p>
              </w:tc>
            </w:tr>
            <w:tr w:rsidR="00A91338" w:rsidTr="00F339E2">
              <w:trPr>
                <w:trHeight w:val="503"/>
              </w:trPr>
              <w:tc>
                <w:tcPr>
                  <w:tcW w:w="1347" w:type="dxa"/>
                  <w:tcBorders>
                    <w:top w:val="nil"/>
                    <w:left w:val="single" w:sz="8" w:space="0" w:color="auto"/>
                    <w:bottom w:val="single" w:sz="8"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 xml:space="preserve">United </w:t>
                  </w:r>
                  <w:proofErr w:type="spellStart"/>
                  <w:r>
                    <w:rPr>
                      <w:rFonts w:ascii="Verdana" w:hAnsi="Verdana" w:cs="Arial"/>
                      <w:sz w:val="13"/>
                      <w:szCs w:val="20"/>
                    </w:rPr>
                    <w:t>Kingdom</w:t>
                  </w:r>
                  <w:proofErr w:type="spellEnd"/>
                </w:p>
              </w:tc>
              <w:tc>
                <w:tcPr>
                  <w:tcW w:w="4288" w:type="dxa"/>
                  <w:tcBorders>
                    <w:top w:val="nil"/>
                    <w:left w:val="nil"/>
                    <w:bottom w:val="single" w:sz="8"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Financial Reporting Council (FRC)</w:t>
                  </w:r>
                </w:p>
              </w:tc>
              <w:tc>
                <w:tcPr>
                  <w:tcW w:w="3146" w:type="dxa"/>
                  <w:tcBorders>
                    <w:top w:val="nil"/>
                    <w:left w:val="nil"/>
                    <w:bottom w:val="single" w:sz="8" w:space="0" w:color="auto"/>
                    <w:right w:val="single" w:sz="8" w:space="0" w:color="auto"/>
                  </w:tcBorders>
                  <w:noWrap/>
                  <w:vAlign w:val="center"/>
                </w:tcPr>
                <w:p w:rsidR="00A91338" w:rsidRDefault="00A91338">
                  <w:pPr>
                    <w:jc w:val="center"/>
                    <w:rPr>
                      <w:rFonts w:ascii="Verdana" w:hAnsi="Verdana" w:cs="Arial"/>
                      <w:sz w:val="13"/>
                      <w:szCs w:val="20"/>
                    </w:rPr>
                  </w:pPr>
                  <w:r>
                    <w:rPr>
                      <w:rFonts w:ascii="Verdana" w:hAnsi="Verdana" w:cs="Arial"/>
                      <w:sz w:val="13"/>
                      <w:szCs w:val="20"/>
                    </w:rPr>
                    <w:t>http://www.frc.org.uk/</w:t>
                  </w:r>
                </w:p>
              </w:tc>
            </w:tr>
          </w:tbl>
          <w:p w:rsidR="005E48AB" w:rsidRPr="00961934" w:rsidRDefault="005E48AB">
            <w:pPr>
              <w:autoSpaceDE w:val="0"/>
              <w:autoSpaceDN w:val="0"/>
              <w:adjustRightInd w:val="0"/>
              <w:spacing w:before="120" w:after="120"/>
              <w:rPr>
                <w:rFonts w:ascii="Verdana" w:hAnsi="Verdana"/>
                <w:bCs/>
                <w:color w:val="003366"/>
                <w:sz w:val="13"/>
                <w:szCs w:val="13"/>
              </w:rPr>
            </w:pPr>
          </w:p>
        </w:tc>
      </w:tr>
    </w:tbl>
    <w:p w:rsidR="005E48AB" w:rsidRPr="00961934" w:rsidRDefault="005E48AB">
      <w:pPr>
        <w:autoSpaceDE w:val="0"/>
        <w:autoSpaceDN w:val="0"/>
        <w:adjustRightInd w:val="0"/>
        <w:rPr>
          <w:rFonts w:ascii="Verdana" w:hAnsi="Verdana"/>
          <w:b/>
          <w:bCs/>
          <w:color w:val="625326"/>
          <w:sz w:val="18"/>
          <w:szCs w:val="18"/>
        </w:rPr>
      </w:pPr>
    </w:p>
    <w:p w:rsidR="002D4144" w:rsidRDefault="002D4144"/>
    <w:sectPr w:rsidR="002D4144" w:rsidSect="00B43EE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99" w:rsidRDefault="006340B5">
      <w:pPr>
        <w:spacing w:after="0" w:line="240" w:lineRule="auto"/>
      </w:pPr>
      <w:r>
        <w:separator/>
      </w:r>
    </w:p>
  </w:endnote>
  <w:endnote w:type="continuationSeparator" w:id="0">
    <w:p w:rsidR="002E5099" w:rsidRDefault="00634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E0" w:rsidRPr="00961934" w:rsidRDefault="00BF5485">
    <w:pPr>
      <w:pStyle w:val="Footer"/>
      <w:tabs>
        <w:tab w:val="clear" w:pos="9072"/>
        <w:tab w:val="right" w:pos="10620"/>
      </w:tabs>
      <w:rPr>
        <w:rFonts w:ascii="Verdana" w:hAnsi="Verdana"/>
        <w:sz w:val="13"/>
        <w:lang w:val="en-US"/>
      </w:rPr>
    </w:pPr>
    <w:r w:rsidRPr="00961934">
      <w:rPr>
        <w:rFonts w:ascii="Verdana" w:hAnsi="Verdana"/>
        <w:sz w:val="13"/>
        <w:lang w:val="en-US"/>
      </w:rPr>
      <w:t xml:space="preserve">Page </w:t>
    </w:r>
    <w:r>
      <w:rPr>
        <w:rStyle w:val="PageNumber"/>
        <w:rFonts w:ascii="Verdana" w:hAnsi="Verdana"/>
        <w:sz w:val="13"/>
      </w:rPr>
      <w:fldChar w:fldCharType="begin"/>
    </w:r>
    <w:r w:rsidRPr="00961934">
      <w:rPr>
        <w:rStyle w:val="PageNumber"/>
        <w:rFonts w:ascii="Verdana" w:hAnsi="Verdana"/>
        <w:sz w:val="13"/>
        <w:lang w:val="en-US"/>
      </w:rPr>
      <w:instrText xml:space="preserve"> PAGE </w:instrText>
    </w:r>
    <w:r>
      <w:rPr>
        <w:rStyle w:val="PageNumber"/>
        <w:rFonts w:ascii="Verdana" w:hAnsi="Verdana"/>
        <w:sz w:val="13"/>
      </w:rPr>
      <w:fldChar w:fldCharType="separate"/>
    </w:r>
    <w:r w:rsidR="00536A93">
      <w:rPr>
        <w:rStyle w:val="PageNumber"/>
        <w:rFonts w:ascii="Verdana" w:hAnsi="Verdana"/>
        <w:noProof/>
        <w:sz w:val="13"/>
        <w:lang w:val="en-US"/>
      </w:rPr>
      <w:t>3</w:t>
    </w:r>
    <w:r>
      <w:rPr>
        <w:rStyle w:val="PageNumber"/>
        <w:rFonts w:ascii="Verdana" w:hAnsi="Verdana"/>
        <w:sz w:val="13"/>
      </w:rPr>
      <w:fldChar w:fldCharType="end"/>
    </w:r>
    <w:r w:rsidRPr="00961934">
      <w:rPr>
        <w:rStyle w:val="PageNumber"/>
        <w:rFonts w:ascii="Verdana" w:hAnsi="Verdana"/>
        <w:sz w:val="13"/>
        <w:lang w:val="en-US"/>
      </w:rPr>
      <w:t xml:space="preserve"> of </w:t>
    </w:r>
    <w:r>
      <w:rPr>
        <w:rStyle w:val="PageNumber"/>
        <w:rFonts w:ascii="Verdana" w:hAnsi="Verdana"/>
        <w:sz w:val="13"/>
      </w:rPr>
      <w:fldChar w:fldCharType="begin"/>
    </w:r>
    <w:r w:rsidRPr="00961934">
      <w:rPr>
        <w:rStyle w:val="PageNumber"/>
        <w:rFonts w:ascii="Verdana" w:hAnsi="Verdana"/>
        <w:sz w:val="13"/>
        <w:lang w:val="en-US"/>
      </w:rPr>
      <w:instrText xml:space="preserve"> NUMPAGES </w:instrText>
    </w:r>
    <w:r>
      <w:rPr>
        <w:rStyle w:val="PageNumber"/>
        <w:rFonts w:ascii="Verdana" w:hAnsi="Verdana"/>
        <w:sz w:val="13"/>
      </w:rPr>
      <w:fldChar w:fldCharType="separate"/>
    </w:r>
    <w:r w:rsidR="00536A93">
      <w:rPr>
        <w:rStyle w:val="PageNumber"/>
        <w:rFonts w:ascii="Verdana" w:hAnsi="Verdana"/>
        <w:noProof/>
        <w:sz w:val="13"/>
        <w:lang w:val="en-US"/>
      </w:rPr>
      <w:t>5</w:t>
    </w:r>
    <w:r>
      <w:rPr>
        <w:rStyle w:val="PageNumber"/>
        <w:rFonts w:ascii="Verdana" w:hAnsi="Verdana"/>
        <w:sz w:val="13"/>
      </w:rPr>
      <w:fldChar w:fldCharType="end"/>
    </w:r>
    <w:r w:rsidRPr="00961934">
      <w:rPr>
        <w:rStyle w:val="PageNumber"/>
        <w:rFonts w:ascii="Verdana" w:hAnsi="Verdana"/>
        <w:sz w:val="13"/>
        <w:lang w:val="en-US"/>
      </w:rPr>
      <w:tab/>
    </w:r>
    <w:r w:rsidRPr="00961934">
      <w:rPr>
        <w:rStyle w:val="PageNumber"/>
        <w:rFonts w:ascii="Verdana" w:hAnsi="Verdana"/>
        <w:sz w:val="13"/>
        <w:lang w:val="en-US"/>
      </w:rPr>
      <w:tab/>
      <w:t>The Netherlands Authority for the Financial Markets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99" w:rsidRDefault="006340B5">
      <w:pPr>
        <w:spacing w:after="0" w:line="240" w:lineRule="auto"/>
      </w:pPr>
      <w:r>
        <w:separator/>
      </w:r>
    </w:p>
  </w:footnote>
  <w:footnote w:type="continuationSeparator" w:id="0">
    <w:p w:rsidR="002E5099" w:rsidRDefault="00634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23E2"/>
    <w:multiLevelType w:val="hybridMultilevel"/>
    <w:tmpl w:val="BC0467AA"/>
    <w:lvl w:ilvl="0" w:tplc="9D2A04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145D88"/>
    <w:multiLevelType w:val="hybridMultilevel"/>
    <w:tmpl w:val="BE7420D4"/>
    <w:lvl w:ilvl="0" w:tplc="F2F2EA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DF626A"/>
    <w:multiLevelType w:val="hybridMultilevel"/>
    <w:tmpl w:val="419438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630505"/>
    <w:multiLevelType w:val="hybridMultilevel"/>
    <w:tmpl w:val="7D78C11C"/>
    <w:lvl w:ilvl="0" w:tplc="DD5C90E0">
      <w:start w:val="1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ADF3FF9"/>
    <w:multiLevelType w:val="hybridMultilevel"/>
    <w:tmpl w:val="0FA6D5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AB"/>
    <w:rsid w:val="00095E48"/>
    <w:rsid w:val="000963C8"/>
    <w:rsid w:val="00096F6E"/>
    <w:rsid w:val="001923B8"/>
    <w:rsid w:val="001A074F"/>
    <w:rsid w:val="002D4144"/>
    <w:rsid w:val="002E5099"/>
    <w:rsid w:val="00536A93"/>
    <w:rsid w:val="00542AAC"/>
    <w:rsid w:val="005E48AB"/>
    <w:rsid w:val="00633DA7"/>
    <w:rsid w:val="006340B5"/>
    <w:rsid w:val="00732181"/>
    <w:rsid w:val="00735A59"/>
    <w:rsid w:val="007B767B"/>
    <w:rsid w:val="007D7A9D"/>
    <w:rsid w:val="00841989"/>
    <w:rsid w:val="00A91338"/>
    <w:rsid w:val="00AB271A"/>
    <w:rsid w:val="00BF5485"/>
    <w:rsid w:val="00C30F14"/>
    <w:rsid w:val="00CB4A51"/>
    <w:rsid w:val="00E76939"/>
    <w:rsid w:val="00ED026C"/>
    <w:rsid w:val="00F339E2"/>
    <w:rsid w:val="00F42264"/>
    <w:rsid w:val="00FB1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E48AB"/>
    <w:rPr>
      <w:color w:val="0000FF"/>
      <w:u w:val="single"/>
    </w:rPr>
  </w:style>
  <w:style w:type="paragraph" w:styleId="Footer">
    <w:name w:val="footer"/>
    <w:basedOn w:val="Normal"/>
    <w:link w:val="FooterChar"/>
    <w:semiHidden/>
    <w:rsid w:val="005E48AB"/>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FooterChar">
    <w:name w:val="Footer Char"/>
    <w:basedOn w:val="DefaultParagraphFont"/>
    <w:link w:val="Footer"/>
    <w:semiHidden/>
    <w:rsid w:val="005E48AB"/>
    <w:rPr>
      <w:rFonts w:ascii="Times New Roman" w:eastAsia="Times New Roman" w:hAnsi="Times New Roman" w:cs="Times New Roman"/>
      <w:sz w:val="21"/>
      <w:szCs w:val="24"/>
    </w:rPr>
  </w:style>
  <w:style w:type="character" w:styleId="PageNumber">
    <w:name w:val="page number"/>
    <w:basedOn w:val="DefaultParagraphFont"/>
    <w:semiHidden/>
    <w:rsid w:val="005E48AB"/>
  </w:style>
  <w:style w:type="character" w:styleId="CommentReference">
    <w:name w:val="annotation reference"/>
    <w:basedOn w:val="DefaultParagraphFont"/>
    <w:uiPriority w:val="99"/>
    <w:semiHidden/>
    <w:unhideWhenUsed/>
    <w:rsid w:val="00633DA7"/>
    <w:rPr>
      <w:sz w:val="16"/>
      <w:szCs w:val="16"/>
    </w:rPr>
  </w:style>
  <w:style w:type="paragraph" w:styleId="CommentText">
    <w:name w:val="annotation text"/>
    <w:basedOn w:val="Normal"/>
    <w:link w:val="CommentTextChar"/>
    <w:uiPriority w:val="99"/>
    <w:semiHidden/>
    <w:unhideWhenUsed/>
    <w:rsid w:val="00633DA7"/>
    <w:pPr>
      <w:spacing w:line="240" w:lineRule="auto"/>
    </w:pPr>
    <w:rPr>
      <w:sz w:val="20"/>
      <w:szCs w:val="20"/>
    </w:rPr>
  </w:style>
  <w:style w:type="character" w:customStyle="1" w:styleId="CommentTextChar">
    <w:name w:val="Comment Text Char"/>
    <w:basedOn w:val="DefaultParagraphFont"/>
    <w:link w:val="CommentText"/>
    <w:uiPriority w:val="99"/>
    <w:semiHidden/>
    <w:rsid w:val="00633DA7"/>
    <w:rPr>
      <w:sz w:val="20"/>
      <w:szCs w:val="20"/>
    </w:rPr>
  </w:style>
  <w:style w:type="paragraph" w:styleId="CommentSubject">
    <w:name w:val="annotation subject"/>
    <w:basedOn w:val="CommentText"/>
    <w:next w:val="CommentText"/>
    <w:link w:val="CommentSubjectChar"/>
    <w:uiPriority w:val="99"/>
    <w:semiHidden/>
    <w:unhideWhenUsed/>
    <w:rsid w:val="00633DA7"/>
    <w:rPr>
      <w:b/>
      <w:bCs/>
    </w:rPr>
  </w:style>
  <w:style w:type="character" w:customStyle="1" w:styleId="CommentSubjectChar">
    <w:name w:val="Comment Subject Char"/>
    <w:basedOn w:val="CommentTextChar"/>
    <w:link w:val="CommentSubject"/>
    <w:uiPriority w:val="99"/>
    <w:semiHidden/>
    <w:rsid w:val="00633DA7"/>
    <w:rPr>
      <w:b/>
      <w:bCs/>
      <w:sz w:val="20"/>
      <w:szCs w:val="20"/>
    </w:rPr>
  </w:style>
  <w:style w:type="paragraph" w:styleId="BalloonText">
    <w:name w:val="Balloon Text"/>
    <w:basedOn w:val="Normal"/>
    <w:link w:val="BalloonTextChar"/>
    <w:uiPriority w:val="99"/>
    <w:semiHidden/>
    <w:unhideWhenUsed/>
    <w:rsid w:val="0063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E48AB"/>
    <w:rPr>
      <w:color w:val="0000FF"/>
      <w:u w:val="single"/>
    </w:rPr>
  </w:style>
  <w:style w:type="paragraph" w:styleId="Footer">
    <w:name w:val="footer"/>
    <w:basedOn w:val="Normal"/>
    <w:link w:val="FooterChar"/>
    <w:semiHidden/>
    <w:rsid w:val="005E48AB"/>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FooterChar">
    <w:name w:val="Footer Char"/>
    <w:basedOn w:val="DefaultParagraphFont"/>
    <w:link w:val="Footer"/>
    <w:semiHidden/>
    <w:rsid w:val="005E48AB"/>
    <w:rPr>
      <w:rFonts w:ascii="Times New Roman" w:eastAsia="Times New Roman" w:hAnsi="Times New Roman" w:cs="Times New Roman"/>
      <w:sz w:val="21"/>
      <w:szCs w:val="24"/>
    </w:rPr>
  </w:style>
  <w:style w:type="character" w:styleId="PageNumber">
    <w:name w:val="page number"/>
    <w:basedOn w:val="DefaultParagraphFont"/>
    <w:semiHidden/>
    <w:rsid w:val="005E48AB"/>
  </w:style>
  <w:style w:type="character" w:styleId="CommentReference">
    <w:name w:val="annotation reference"/>
    <w:basedOn w:val="DefaultParagraphFont"/>
    <w:uiPriority w:val="99"/>
    <w:semiHidden/>
    <w:unhideWhenUsed/>
    <w:rsid w:val="00633DA7"/>
    <w:rPr>
      <w:sz w:val="16"/>
      <w:szCs w:val="16"/>
    </w:rPr>
  </w:style>
  <w:style w:type="paragraph" w:styleId="CommentText">
    <w:name w:val="annotation text"/>
    <w:basedOn w:val="Normal"/>
    <w:link w:val="CommentTextChar"/>
    <w:uiPriority w:val="99"/>
    <w:semiHidden/>
    <w:unhideWhenUsed/>
    <w:rsid w:val="00633DA7"/>
    <w:pPr>
      <w:spacing w:line="240" w:lineRule="auto"/>
    </w:pPr>
    <w:rPr>
      <w:sz w:val="20"/>
      <w:szCs w:val="20"/>
    </w:rPr>
  </w:style>
  <w:style w:type="character" w:customStyle="1" w:styleId="CommentTextChar">
    <w:name w:val="Comment Text Char"/>
    <w:basedOn w:val="DefaultParagraphFont"/>
    <w:link w:val="CommentText"/>
    <w:uiPriority w:val="99"/>
    <w:semiHidden/>
    <w:rsid w:val="00633DA7"/>
    <w:rPr>
      <w:sz w:val="20"/>
      <w:szCs w:val="20"/>
    </w:rPr>
  </w:style>
  <w:style w:type="paragraph" w:styleId="CommentSubject">
    <w:name w:val="annotation subject"/>
    <w:basedOn w:val="CommentText"/>
    <w:next w:val="CommentText"/>
    <w:link w:val="CommentSubjectChar"/>
    <w:uiPriority w:val="99"/>
    <w:semiHidden/>
    <w:unhideWhenUsed/>
    <w:rsid w:val="00633DA7"/>
    <w:rPr>
      <w:b/>
      <w:bCs/>
    </w:rPr>
  </w:style>
  <w:style w:type="character" w:customStyle="1" w:styleId="CommentSubjectChar">
    <w:name w:val="Comment Subject Char"/>
    <w:basedOn w:val="CommentTextChar"/>
    <w:link w:val="CommentSubject"/>
    <w:uiPriority w:val="99"/>
    <w:semiHidden/>
    <w:rsid w:val="00633DA7"/>
    <w:rPr>
      <w:b/>
      <w:bCs/>
      <w:sz w:val="20"/>
      <w:szCs w:val="20"/>
    </w:rPr>
  </w:style>
  <w:style w:type="paragraph" w:styleId="BalloonText">
    <w:name w:val="Balloon Text"/>
    <w:basedOn w:val="Normal"/>
    <w:link w:val="BalloonTextChar"/>
    <w:uiPriority w:val="99"/>
    <w:semiHidden/>
    <w:unhideWhenUsed/>
    <w:rsid w:val="0063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m.nl" TargetMode="External"/><Relationship Id="rId4" Type="http://schemas.openxmlformats.org/officeDocument/2006/relationships/settings" Target="settings.xml"/><Relationship Id="rId9" Type="http://schemas.openxmlformats.org/officeDocument/2006/relationships/hyperlink" Target="mailto:wta@af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2330</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rijkenberg</dc:creator>
  <cp:lastModifiedBy>rijkenberg</cp:lastModifiedBy>
  <cp:revision>21</cp:revision>
  <cp:lastPrinted>2014-03-26T09:39:00Z</cp:lastPrinted>
  <dcterms:created xsi:type="dcterms:W3CDTF">2014-03-19T10:41:00Z</dcterms:created>
  <dcterms:modified xsi:type="dcterms:W3CDTF">2014-05-28T12:49:00Z</dcterms:modified>
</cp:coreProperties>
</file>