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0527" w14:textId="2710ED91" w:rsidR="00740770" w:rsidRPr="0066337D" w:rsidRDefault="00740770" w:rsidP="00723D75">
      <w:pPr>
        <w:spacing w:line="240" w:lineRule="auto"/>
        <w:rPr>
          <w:i/>
          <w:iCs/>
          <w:szCs w:val="28"/>
        </w:rPr>
      </w:pPr>
      <w:bookmarkStart w:id="0" w:name="_GoBack"/>
      <w:bookmarkEnd w:id="0"/>
      <w:r w:rsidRPr="0066337D">
        <w:rPr>
          <w:i/>
          <w:iCs/>
          <w:szCs w:val="28"/>
        </w:rPr>
        <w:t>This is a press release by New Horizons Holding B.V. (the "</w:t>
      </w:r>
      <w:proofErr w:type="spellStart"/>
      <w:r w:rsidRPr="0066337D">
        <w:rPr>
          <w:b/>
          <w:bCs/>
          <w:i/>
          <w:iCs/>
          <w:szCs w:val="28"/>
        </w:rPr>
        <w:t>Offeror</w:t>
      </w:r>
      <w:proofErr w:type="spellEnd"/>
      <w:r w:rsidRPr="0066337D">
        <w:rPr>
          <w:i/>
          <w:iCs/>
          <w:szCs w:val="28"/>
        </w:rPr>
        <w:t xml:space="preserve">"), an entity incorporated under Dutch law, </w:t>
      </w:r>
      <w:r w:rsidR="00723D75">
        <w:rPr>
          <w:i/>
          <w:iCs/>
          <w:szCs w:val="28"/>
        </w:rPr>
        <w:t xml:space="preserve">currently </w:t>
      </w:r>
      <w:r w:rsidRPr="0066337D">
        <w:rPr>
          <w:i/>
          <w:iCs/>
          <w:szCs w:val="28"/>
        </w:rPr>
        <w:t xml:space="preserve">owned by certain funds managed and/or advised by </w:t>
      </w:r>
      <w:proofErr w:type="spellStart"/>
      <w:r w:rsidRPr="0066337D">
        <w:rPr>
          <w:i/>
          <w:iCs/>
          <w:szCs w:val="28"/>
        </w:rPr>
        <w:t>Gilde</w:t>
      </w:r>
      <w:proofErr w:type="spellEnd"/>
      <w:r w:rsidRPr="0066337D">
        <w:rPr>
          <w:i/>
          <w:iCs/>
          <w:szCs w:val="28"/>
        </w:rPr>
        <w:t xml:space="preserve"> Equity Management (GEM) Benelux Partners B.V.</w:t>
      </w:r>
      <w:r w:rsidR="0066337D" w:rsidRPr="0066337D">
        <w:rPr>
          <w:i/>
          <w:iCs/>
          <w:szCs w:val="28"/>
        </w:rPr>
        <w:t xml:space="preserve"> (“</w:t>
      </w:r>
      <w:proofErr w:type="spellStart"/>
      <w:r w:rsidR="0066337D" w:rsidRPr="0066337D">
        <w:rPr>
          <w:b/>
          <w:bCs/>
          <w:i/>
          <w:iCs/>
          <w:szCs w:val="28"/>
        </w:rPr>
        <w:t>Gilde</w:t>
      </w:r>
      <w:proofErr w:type="spellEnd"/>
      <w:r w:rsidR="0066337D" w:rsidRPr="0066337D">
        <w:rPr>
          <w:i/>
          <w:iCs/>
          <w:szCs w:val="28"/>
        </w:rPr>
        <w:t>”)</w:t>
      </w:r>
      <w:r w:rsidRPr="0066337D">
        <w:rPr>
          <w:i/>
          <w:iCs/>
          <w:szCs w:val="28"/>
        </w:rPr>
        <w:t xml:space="preserve">, pursuant to the provisions of </w:t>
      </w:r>
      <w:r w:rsidR="00723D75" w:rsidRPr="00723D75">
        <w:rPr>
          <w:i/>
          <w:iCs/>
          <w:szCs w:val="28"/>
        </w:rPr>
        <w:t>Section 5 paragraphs 4 and 5</w:t>
      </w:r>
      <w:r w:rsidRPr="0066337D">
        <w:rPr>
          <w:i/>
          <w:iCs/>
          <w:szCs w:val="28"/>
        </w:rPr>
        <w:t xml:space="preserve"> of the Decree on Public Takeover Bids (</w:t>
      </w:r>
      <w:proofErr w:type="spellStart"/>
      <w:r w:rsidRPr="0066337D">
        <w:rPr>
          <w:i/>
          <w:iCs/>
          <w:szCs w:val="28"/>
        </w:rPr>
        <w:t>Besluit</w:t>
      </w:r>
      <w:proofErr w:type="spellEnd"/>
      <w:r w:rsidRPr="0066337D">
        <w:rPr>
          <w:i/>
          <w:iCs/>
          <w:szCs w:val="28"/>
        </w:rPr>
        <w:t xml:space="preserve"> </w:t>
      </w:r>
      <w:proofErr w:type="spellStart"/>
      <w:r w:rsidRPr="0066337D">
        <w:rPr>
          <w:i/>
          <w:iCs/>
          <w:szCs w:val="28"/>
        </w:rPr>
        <w:t>openbare</w:t>
      </w:r>
      <w:proofErr w:type="spellEnd"/>
      <w:r w:rsidRPr="0066337D">
        <w:rPr>
          <w:i/>
          <w:iCs/>
          <w:szCs w:val="28"/>
        </w:rPr>
        <w:t xml:space="preserve"> </w:t>
      </w:r>
      <w:proofErr w:type="spellStart"/>
      <w:r w:rsidRPr="0066337D">
        <w:rPr>
          <w:i/>
          <w:iCs/>
          <w:szCs w:val="28"/>
        </w:rPr>
        <w:t>biedingen</w:t>
      </w:r>
      <w:proofErr w:type="spellEnd"/>
      <w:r w:rsidRPr="0066337D">
        <w:rPr>
          <w:i/>
          <w:iCs/>
          <w:szCs w:val="28"/>
        </w:rPr>
        <w:t xml:space="preserve"> </w:t>
      </w:r>
      <w:proofErr w:type="spellStart"/>
      <w:r w:rsidRPr="0066337D">
        <w:rPr>
          <w:i/>
          <w:iCs/>
          <w:szCs w:val="28"/>
        </w:rPr>
        <w:t>Wft</w:t>
      </w:r>
      <w:proofErr w:type="spellEnd"/>
      <w:r w:rsidRPr="0066337D">
        <w:rPr>
          <w:i/>
          <w:iCs/>
          <w:szCs w:val="28"/>
        </w:rPr>
        <w:t>) (the "</w:t>
      </w:r>
      <w:r w:rsidRPr="0066337D">
        <w:rPr>
          <w:b/>
          <w:bCs/>
          <w:i/>
          <w:iCs/>
          <w:szCs w:val="28"/>
        </w:rPr>
        <w:t>Decree</w:t>
      </w:r>
      <w:r w:rsidRPr="0066337D">
        <w:rPr>
          <w:i/>
          <w:iCs/>
          <w:szCs w:val="28"/>
        </w:rPr>
        <w:t xml:space="preserve">") in connection with the announced proposed recommended public offer by the </w:t>
      </w:r>
      <w:proofErr w:type="spellStart"/>
      <w:r w:rsidRPr="0066337D">
        <w:rPr>
          <w:i/>
          <w:iCs/>
          <w:szCs w:val="28"/>
        </w:rPr>
        <w:t>Offeror</w:t>
      </w:r>
      <w:proofErr w:type="spellEnd"/>
      <w:r w:rsidRPr="0066337D">
        <w:rPr>
          <w:i/>
          <w:iCs/>
          <w:szCs w:val="28"/>
        </w:rPr>
        <w:t xml:space="preserve"> for all the issued and outstanding ordinary shares in the capital of </w:t>
      </w:r>
      <w:r w:rsidR="00723D75">
        <w:rPr>
          <w:i/>
          <w:iCs/>
          <w:szCs w:val="28"/>
        </w:rPr>
        <w:t>DPA Group N.V. (“</w:t>
      </w:r>
      <w:r w:rsidR="00723D75" w:rsidRPr="00723D75">
        <w:rPr>
          <w:b/>
          <w:bCs/>
          <w:i/>
          <w:iCs/>
          <w:szCs w:val="28"/>
        </w:rPr>
        <w:t>DPA</w:t>
      </w:r>
      <w:r w:rsidR="00723D75">
        <w:rPr>
          <w:i/>
          <w:iCs/>
          <w:szCs w:val="28"/>
        </w:rPr>
        <w:t>”)</w:t>
      </w:r>
      <w:r w:rsidRPr="0066337D">
        <w:rPr>
          <w:i/>
          <w:iCs/>
          <w:szCs w:val="28"/>
        </w:rPr>
        <w:t xml:space="preserve">. </w:t>
      </w:r>
      <w:r w:rsidR="0057688B">
        <w:rPr>
          <w:i/>
          <w:iCs/>
          <w:szCs w:val="28"/>
        </w:rPr>
        <w:t>This press release may contain</w:t>
      </w:r>
      <w:r w:rsidR="0057688B" w:rsidRPr="0057688B">
        <w:rPr>
          <w:i/>
          <w:iCs/>
          <w:szCs w:val="28"/>
        </w:rPr>
        <w:t xml:space="preserve"> inside information within the meaning of Article 7(1) of the EU Market Abuse Regulation</w:t>
      </w:r>
      <w:r w:rsidR="0057688B">
        <w:rPr>
          <w:i/>
          <w:iCs/>
          <w:szCs w:val="28"/>
        </w:rPr>
        <w:t>.</w:t>
      </w:r>
    </w:p>
    <w:p w14:paraId="4434766B" w14:textId="2BB135C5" w:rsidR="001D575F" w:rsidRDefault="00740770" w:rsidP="00335D7F">
      <w:pPr>
        <w:spacing w:line="240" w:lineRule="auto"/>
        <w:rPr>
          <w:i/>
          <w:iCs/>
          <w:szCs w:val="28"/>
        </w:rPr>
      </w:pPr>
      <w:r w:rsidRPr="0066337D">
        <w:rPr>
          <w:i/>
          <w:iCs/>
          <w:szCs w:val="28"/>
        </w:rPr>
        <w:t>This announcement does not constitute an offer, or any solicitation of any offer, to buy or subscribe for any securities. Any offer will be made only by means of an offer memorandum</w:t>
      </w:r>
      <w:r w:rsidR="00723D75">
        <w:rPr>
          <w:i/>
          <w:iCs/>
          <w:szCs w:val="28"/>
        </w:rPr>
        <w:t xml:space="preserve">. </w:t>
      </w:r>
      <w:r w:rsidRPr="0066337D">
        <w:rPr>
          <w:i/>
          <w:iCs/>
          <w:szCs w:val="28"/>
        </w:rPr>
        <w:t xml:space="preserve">This announcement is not for release, publication or distribution, in whole or in part, in or into, directly or indirectly, </w:t>
      </w:r>
      <w:r w:rsidR="00723D75">
        <w:rPr>
          <w:i/>
          <w:iCs/>
          <w:szCs w:val="28"/>
        </w:rPr>
        <w:t xml:space="preserve">any </w:t>
      </w:r>
      <w:r w:rsidRPr="0066337D">
        <w:rPr>
          <w:i/>
          <w:iCs/>
          <w:szCs w:val="28"/>
        </w:rPr>
        <w:t>jurisdiction in which such release, publication or distribution would be unlawful.</w:t>
      </w:r>
    </w:p>
    <w:p w14:paraId="2BAFCB20" w14:textId="77777777" w:rsidR="002B21DF" w:rsidRPr="0066337D" w:rsidRDefault="002B21DF" w:rsidP="00335D7F">
      <w:pPr>
        <w:spacing w:line="240" w:lineRule="auto"/>
        <w:rPr>
          <w:i/>
          <w:iCs/>
          <w:szCs w:val="28"/>
        </w:rPr>
      </w:pPr>
    </w:p>
    <w:p w14:paraId="121065D1" w14:textId="74890DB2" w:rsidR="00E81488" w:rsidRDefault="001B7B64" w:rsidP="00723D75">
      <w:pPr>
        <w:tabs>
          <w:tab w:val="left" w:pos="8280"/>
        </w:tabs>
        <w:spacing w:after="120" w:line="280" w:lineRule="atLeast"/>
        <w:jc w:val="center"/>
        <w:rPr>
          <w:rFonts w:cs="Arial"/>
          <w:b/>
          <w:bCs/>
          <w:kern w:val="28"/>
          <w:sz w:val="32"/>
          <w:szCs w:val="32"/>
        </w:rPr>
      </w:pPr>
      <w:r>
        <w:rPr>
          <w:rFonts w:cs="Arial"/>
          <w:b/>
          <w:bCs/>
          <w:kern w:val="28"/>
          <w:sz w:val="32"/>
          <w:szCs w:val="32"/>
        </w:rPr>
        <w:t xml:space="preserve">The </w:t>
      </w:r>
      <w:proofErr w:type="spellStart"/>
      <w:r>
        <w:rPr>
          <w:rFonts w:cs="Arial"/>
          <w:b/>
          <w:bCs/>
          <w:kern w:val="28"/>
          <w:sz w:val="32"/>
          <w:szCs w:val="32"/>
        </w:rPr>
        <w:t>Offeror</w:t>
      </w:r>
      <w:proofErr w:type="spellEnd"/>
      <w:r w:rsidR="00723D75" w:rsidRPr="00723D75">
        <w:rPr>
          <w:rFonts w:cs="Arial"/>
          <w:b/>
          <w:bCs/>
          <w:kern w:val="28"/>
          <w:sz w:val="32"/>
          <w:szCs w:val="32"/>
        </w:rPr>
        <w:t xml:space="preserve"> acquires shares in DPA</w:t>
      </w:r>
    </w:p>
    <w:p w14:paraId="5A4DAF57" w14:textId="77777777" w:rsidR="00723D75" w:rsidRPr="00723D75" w:rsidRDefault="00723D75" w:rsidP="00723D75">
      <w:pPr>
        <w:tabs>
          <w:tab w:val="left" w:pos="8280"/>
        </w:tabs>
        <w:spacing w:after="120" w:line="280" w:lineRule="atLeast"/>
        <w:jc w:val="center"/>
        <w:rPr>
          <w:rFonts w:cs="Arial"/>
          <w:b/>
          <w:bCs/>
          <w:kern w:val="28"/>
          <w:sz w:val="32"/>
          <w:szCs w:val="32"/>
        </w:rPr>
      </w:pPr>
    </w:p>
    <w:p w14:paraId="1A1EB894" w14:textId="4B2DE9B0" w:rsidR="00486C72" w:rsidRPr="00723D75" w:rsidRDefault="00335D7F" w:rsidP="00EA4C85">
      <w:pPr>
        <w:tabs>
          <w:tab w:val="left" w:pos="6096"/>
        </w:tabs>
        <w:spacing w:line="280" w:lineRule="exact"/>
        <w:ind w:right="58"/>
        <w:rPr>
          <w:rFonts w:cs="Arial"/>
          <w:b/>
          <w:kern w:val="28"/>
        </w:rPr>
      </w:pPr>
      <w:proofErr w:type="spellStart"/>
      <w:r w:rsidRPr="00723D75">
        <w:rPr>
          <w:rFonts w:cs="Arial"/>
          <w:b/>
          <w:kern w:val="28"/>
        </w:rPr>
        <w:t>Houten</w:t>
      </w:r>
      <w:proofErr w:type="spellEnd"/>
      <w:r w:rsidR="00723D75" w:rsidRPr="00723D75">
        <w:rPr>
          <w:rFonts w:cs="Arial"/>
          <w:b/>
          <w:kern w:val="28"/>
        </w:rPr>
        <w:t>,</w:t>
      </w:r>
      <w:r w:rsidR="00486C72" w:rsidRPr="00723D75">
        <w:rPr>
          <w:rFonts w:cs="Arial"/>
          <w:b/>
          <w:kern w:val="28"/>
        </w:rPr>
        <w:t xml:space="preserve"> </w:t>
      </w:r>
      <w:r w:rsidR="006E4AD7">
        <w:rPr>
          <w:rFonts w:cs="Arial"/>
          <w:b/>
          <w:kern w:val="28"/>
        </w:rPr>
        <w:t>1</w:t>
      </w:r>
      <w:r w:rsidR="002C27B3">
        <w:rPr>
          <w:rFonts w:cs="Arial"/>
          <w:b/>
          <w:kern w:val="28"/>
        </w:rPr>
        <w:t>4</w:t>
      </w:r>
      <w:r w:rsidR="00F469C5">
        <w:rPr>
          <w:rFonts w:cs="Arial"/>
          <w:b/>
          <w:kern w:val="28"/>
        </w:rPr>
        <w:t xml:space="preserve"> </w:t>
      </w:r>
      <w:r w:rsidR="00811215">
        <w:rPr>
          <w:rFonts w:cs="Arial"/>
          <w:b/>
          <w:kern w:val="28"/>
        </w:rPr>
        <w:t>May</w:t>
      </w:r>
      <w:r w:rsidR="00F469C5">
        <w:rPr>
          <w:rFonts w:cs="Arial"/>
          <w:b/>
          <w:kern w:val="28"/>
        </w:rPr>
        <w:t xml:space="preserve"> </w:t>
      </w:r>
      <w:r w:rsidRPr="00723D75">
        <w:rPr>
          <w:rFonts w:cs="Arial"/>
          <w:b/>
          <w:kern w:val="28"/>
        </w:rPr>
        <w:t>2021</w:t>
      </w:r>
      <w:r w:rsidR="00723D75" w:rsidRPr="00723D75">
        <w:rPr>
          <w:rFonts w:cs="Arial"/>
          <w:b/>
          <w:kern w:val="28"/>
        </w:rPr>
        <w:t xml:space="preserve"> – </w:t>
      </w:r>
      <w:r w:rsidR="001B7B64">
        <w:rPr>
          <w:rFonts w:cs="Arial"/>
          <w:b/>
          <w:kern w:val="28"/>
        </w:rPr>
        <w:t xml:space="preserve">The </w:t>
      </w:r>
      <w:proofErr w:type="spellStart"/>
      <w:r w:rsidR="001B7B64">
        <w:rPr>
          <w:rFonts w:cs="Arial"/>
          <w:b/>
          <w:kern w:val="28"/>
        </w:rPr>
        <w:t>Offeror</w:t>
      </w:r>
      <w:proofErr w:type="spellEnd"/>
      <w:r w:rsidR="00723D75" w:rsidRPr="00723D75">
        <w:rPr>
          <w:rFonts w:cs="Arial"/>
          <w:b/>
          <w:kern w:val="28"/>
        </w:rPr>
        <w:t xml:space="preserve"> announces that it conducted transactions in DPA shares</w:t>
      </w:r>
    </w:p>
    <w:p w14:paraId="279BBB57" w14:textId="471DAF00" w:rsidR="00335D7F" w:rsidRDefault="00335D7F" w:rsidP="00335D7F">
      <w:pPr>
        <w:autoSpaceDE w:val="0"/>
        <w:autoSpaceDN w:val="0"/>
        <w:adjustRightInd w:val="0"/>
        <w:spacing w:line="280" w:lineRule="exact"/>
        <w:rPr>
          <w:rFonts w:cs="Arial"/>
        </w:rPr>
      </w:pPr>
      <w:r w:rsidRPr="00335D7F">
        <w:rPr>
          <w:rFonts w:cs="Arial"/>
        </w:rPr>
        <w:t xml:space="preserve">Reference is made to the joint press release by </w:t>
      </w:r>
      <w:r>
        <w:rPr>
          <w:rFonts w:cs="Arial"/>
        </w:rPr>
        <w:t>DPA</w:t>
      </w:r>
      <w:r w:rsidRPr="00335D7F">
        <w:rPr>
          <w:rFonts w:cs="Arial"/>
        </w:rPr>
        <w:t xml:space="preserve"> and the </w:t>
      </w:r>
      <w:proofErr w:type="spellStart"/>
      <w:r w:rsidRPr="00335D7F">
        <w:rPr>
          <w:rFonts w:cs="Arial"/>
        </w:rPr>
        <w:t>Offeror</w:t>
      </w:r>
      <w:proofErr w:type="spellEnd"/>
      <w:r w:rsidRPr="00335D7F">
        <w:rPr>
          <w:rFonts w:cs="Arial"/>
        </w:rPr>
        <w:t xml:space="preserve"> dated </w:t>
      </w:r>
      <w:r>
        <w:rPr>
          <w:rFonts w:cs="Arial"/>
        </w:rPr>
        <w:t>1</w:t>
      </w:r>
      <w:r w:rsidRPr="00335D7F">
        <w:rPr>
          <w:rFonts w:cs="Arial"/>
        </w:rPr>
        <w:t xml:space="preserve"> </w:t>
      </w:r>
      <w:r>
        <w:rPr>
          <w:rFonts w:cs="Arial"/>
        </w:rPr>
        <w:t>March</w:t>
      </w:r>
      <w:r w:rsidRPr="00335D7F">
        <w:rPr>
          <w:rFonts w:cs="Arial"/>
        </w:rPr>
        <w:t xml:space="preserve"> 202</w:t>
      </w:r>
      <w:r>
        <w:rPr>
          <w:rFonts w:cs="Arial"/>
        </w:rPr>
        <w:t>1</w:t>
      </w:r>
      <w:r w:rsidRPr="00335D7F">
        <w:rPr>
          <w:rFonts w:cs="Arial"/>
        </w:rPr>
        <w:t xml:space="preserve"> in respect of the conditional agreement on a recommended all-cash public offer for </w:t>
      </w:r>
      <w:r w:rsidR="007A1D68" w:rsidRPr="007A1D68">
        <w:rPr>
          <w:rFonts w:cs="Arial"/>
        </w:rPr>
        <w:t>all the issued and outstanding ordinary shares</w:t>
      </w:r>
      <w:r w:rsidR="007A1D68">
        <w:rPr>
          <w:rFonts w:cs="Arial"/>
        </w:rPr>
        <w:t xml:space="preserve"> in the capital of DPA (the “</w:t>
      </w:r>
      <w:r w:rsidR="007A1D68">
        <w:rPr>
          <w:rFonts w:cs="Arial"/>
          <w:b/>
          <w:bCs/>
        </w:rPr>
        <w:t>Shares</w:t>
      </w:r>
      <w:r w:rsidR="007A1D68">
        <w:rPr>
          <w:rFonts w:cs="Arial"/>
        </w:rPr>
        <w:t xml:space="preserve">”) </w:t>
      </w:r>
      <w:r w:rsidRPr="00335D7F">
        <w:rPr>
          <w:rFonts w:cs="Arial"/>
        </w:rPr>
        <w:t xml:space="preserve">at an offer price of EUR </w:t>
      </w:r>
      <w:r w:rsidR="0066337D">
        <w:rPr>
          <w:rFonts w:cs="Arial"/>
        </w:rPr>
        <w:t>1</w:t>
      </w:r>
      <w:r w:rsidRPr="00335D7F">
        <w:rPr>
          <w:rFonts w:cs="Arial"/>
        </w:rPr>
        <w:t>.</w:t>
      </w:r>
      <w:r w:rsidR="0066337D">
        <w:rPr>
          <w:rFonts w:cs="Arial"/>
        </w:rPr>
        <w:t>70</w:t>
      </w:r>
      <w:r w:rsidRPr="00335D7F">
        <w:rPr>
          <w:rFonts w:cs="Arial"/>
        </w:rPr>
        <w:t xml:space="preserve"> (cum dividend)</w:t>
      </w:r>
      <w:r w:rsidR="00E75F04" w:rsidRPr="00E75F04">
        <w:rPr>
          <w:rFonts w:cs="Arial"/>
        </w:rPr>
        <w:t xml:space="preserve"> </w:t>
      </w:r>
      <w:r w:rsidR="00E75F04" w:rsidRPr="00335D7F">
        <w:rPr>
          <w:rFonts w:cs="Arial"/>
        </w:rPr>
        <w:t>(the "</w:t>
      </w:r>
      <w:r w:rsidR="00E75F04" w:rsidRPr="0066337D">
        <w:rPr>
          <w:rFonts w:cs="Arial"/>
          <w:b/>
          <w:bCs/>
        </w:rPr>
        <w:t>Offer</w:t>
      </w:r>
      <w:r w:rsidR="00E75F04" w:rsidRPr="00335D7F">
        <w:rPr>
          <w:rFonts w:cs="Arial"/>
        </w:rPr>
        <w:t>")</w:t>
      </w:r>
      <w:r w:rsidRPr="00335D7F">
        <w:rPr>
          <w:rFonts w:cs="Arial"/>
        </w:rPr>
        <w:t>.</w:t>
      </w:r>
    </w:p>
    <w:p w14:paraId="1D00C47F" w14:textId="77777777" w:rsidR="006E4AD7" w:rsidRDefault="00A938CE" w:rsidP="00335D7F">
      <w:pPr>
        <w:autoSpaceDE w:val="0"/>
        <w:autoSpaceDN w:val="0"/>
        <w:adjustRightInd w:val="0"/>
        <w:spacing w:line="280" w:lineRule="exact"/>
      </w:pPr>
      <w:r>
        <w:t xml:space="preserve">The </w:t>
      </w:r>
      <w:proofErr w:type="spellStart"/>
      <w:r>
        <w:t>Offeror</w:t>
      </w:r>
      <w:proofErr w:type="spellEnd"/>
      <w:r>
        <w:t xml:space="preserve"> is currently </w:t>
      </w:r>
      <w:r w:rsidRPr="00A938CE">
        <w:t xml:space="preserve">owned by certain funds managed and/or advised by </w:t>
      </w:r>
      <w:proofErr w:type="spellStart"/>
      <w:r>
        <w:t>Gilde</w:t>
      </w:r>
      <w:proofErr w:type="spellEnd"/>
      <w:r>
        <w:t xml:space="preserve">. The </w:t>
      </w:r>
      <w:proofErr w:type="spellStart"/>
      <w:r>
        <w:t>Offeror</w:t>
      </w:r>
      <w:proofErr w:type="spellEnd"/>
      <w:r>
        <w:t xml:space="preserve"> will upon settlement of the Offer be (indirectly) controlled by </w:t>
      </w:r>
      <w:proofErr w:type="spellStart"/>
      <w:r>
        <w:t>Gilde</w:t>
      </w:r>
      <w:proofErr w:type="spellEnd"/>
      <w:r w:rsidR="0057688B">
        <w:t xml:space="preserve">, </w:t>
      </w:r>
      <w:r>
        <w:t>TBL Investments B.V. (“</w:t>
      </w:r>
      <w:r w:rsidRPr="00A938CE">
        <w:rPr>
          <w:b/>
          <w:bCs/>
        </w:rPr>
        <w:t>TBL</w:t>
      </w:r>
      <w:r>
        <w:t>”)</w:t>
      </w:r>
      <w:r w:rsidR="0057688B">
        <w:t xml:space="preserve"> and a foundation or other entity to be incorporated for the purpose of the envisaged (indirect) participation of certain DPA management members in the </w:t>
      </w:r>
      <w:proofErr w:type="spellStart"/>
      <w:r w:rsidR="0057688B">
        <w:t>Offeror</w:t>
      </w:r>
      <w:proofErr w:type="spellEnd"/>
      <w:r>
        <w:t xml:space="preserve">. </w:t>
      </w:r>
    </w:p>
    <w:p w14:paraId="0E9E2F31" w14:textId="4241ED69" w:rsidR="00A938CE" w:rsidRDefault="00A938CE" w:rsidP="00335D7F">
      <w:pPr>
        <w:autoSpaceDE w:val="0"/>
        <w:autoSpaceDN w:val="0"/>
        <w:adjustRightInd w:val="0"/>
        <w:spacing w:line="280" w:lineRule="exact"/>
      </w:pPr>
      <w:r>
        <w:t>TBL currently holds 3,725,000 Shares</w:t>
      </w:r>
      <w:r w:rsidR="00703A98">
        <w:t>.</w:t>
      </w:r>
      <w:r w:rsidR="006E4AD7">
        <w:t xml:space="preserve"> M</w:t>
      </w:r>
      <w:r w:rsidR="006E4AD7" w:rsidRPr="006E4AD7">
        <w:t xml:space="preserve">r R.E. </w:t>
      </w:r>
      <w:proofErr w:type="spellStart"/>
      <w:r w:rsidR="006E4AD7" w:rsidRPr="006E4AD7">
        <w:t>Strating</w:t>
      </w:r>
      <w:proofErr w:type="spellEnd"/>
      <w:r w:rsidR="006E4AD7" w:rsidRPr="006E4AD7">
        <w:t xml:space="preserve"> is the sole managing director and sole shareholder of TBL.</w:t>
      </w:r>
      <w:r w:rsidR="006E4AD7">
        <w:t xml:space="preserve"> </w:t>
      </w:r>
      <w:r w:rsidR="006E4AD7" w:rsidRPr="006E4AD7">
        <w:t xml:space="preserve">Indirectly via TBL, </w:t>
      </w:r>
      <w:bookmarkStart w:id="1" w:name="_Hlk71564582"/>
      <w:proofErr w:type="spellStart"/>
      <w:r w:rsidR="006E4AD7" w:rsidRPr="006E4AD7">
        <w:t>Gestion</w:t>
      </w:r>
      <w:proofErr w:type="spellEnd"/>
      <w:r w:rsidR="006E4AD7" w:rsidRPr="006E4AD7">
        <w:t xml:space="preserve"> </w:t>
      </w:r>
      <w:r w:rsidR="00687AD6">
        <w:t>N.V. (“</w:t>
      </w:r>
      <w:proofErr w:type="spellStart"/>
      <w:r w:rsidR="00687AD6" w:rsidRPr="00687AD6">
        <w:rPr>
          <w:b/>
          <w:bCs/>
        </w:rPr>
        <w:t>Gestion</w:t>
      </w:r>
      <w:proofErr w:type="spellEnd"/>
      <w:r w:rsidR="00687AD6">
        <w:t xml:space="preserve">”) </w:t>
      </w:r>
      <w:r w:rsidR="006E4AD7" w:rsidRPr="006E4AD7">
        <w:t xml:space="preserve">and </w:t>
      </w:r>
      <w:bookmarkEnd w:id="1"/>
      <w:proofErr w:type="spellStart"/>
      <w:r w:rsidR="00687AD6" w:rsidRPr="00687AD6">
        <w:t>Juridisch</w:t>
      </w:r>
      <w:proofErr w:type="spellEnd"/>
      <w:r w:rsidR="00687AD6" w:rsidRPr="00687AD6">
        <w:t xml:space="preserve"> </w:t>
      </w:r>
      <w:proofErr w:type="spellStart"/>
      <w:r w:rsidR="00687AD6" w:rsidRPr="00687AD6">
        <w:t>Eigenaar</w:t>
      </w:r>
      <w:proofErr w:type="spellEnd"/>
      <w:r w:rsidR="00687AD6" w:rsidRPr="00687AD6">
        <w:t xml:space="preserve"> </w:t>
      </w:r>
      <w:proofErr w:type="spellStart"/>
      <w:r w:rsidR="00687AD6" w:rsidRPr="00687AD6">
        <w:t>Gestion</w:t>
      </w:r>
      <w:proofErr w:type="spellEnd"/>
      <w:r w:rsidR="00687AD6" w:rsidRPr="00687AD6">
        <w:t xml:space="preserve"> </w:t>
      </w:r>
      <w:proofErr w:type="spellStart"/>
      <w:r w:rsidR="00687AD6" w:rsidRPr="00687AD6">
        <w:t>Actief</w:t>
      </w:r>
      <w:proofErr w:type="spellEnd"/>
      <w:r w:rsidR="00687AD6" w:rsidRPr="00687AD6">
        <w:t xml:space="preserve"> </w:t>
      </w:r>
      <w:proofErr w:type="spellStart"/>
      <w:r w:rsidR="00687AD6" w:rsidRPr="00687AD6">
        <w:t>Beheer</w:t>
      </w:r>
      <w:proofErr w:type="spellEnd"/>
      <w:r w:rsidR="00687AD6" w:rsidRPr="00687AD6">
        <w:t xml:space="preserve"> </w:t>
      </w:r>
      <w:proofErr w:type="spellStart"/>
      <w:r w:rsidR="00687AD6" w:rsidRPr="00687AD6">
        <w:t>Fonds</w:t>
      </w:r>
      <w:proofErr w:type="spellEnd"/>
      <w:r w:rsidR="00687AD6" w:rsidRPr="00687AD6">
        <w:t xml:space="preserve"> B.V. </w:t>
      </w:r>
      <w:r w:rsidR="00687AD6">
        <w:t>(“</w:t>
      </w:r>
      <w:r w:rsidR="008D4243" w:rsidRPr="00687AD6">
        <w:rPr>
          <w:b/>
          <w:bCs/>
        </w:rPr>
        <w:t>GABF</w:t>
      </w:r>
      <w:r w:rsidR="00687AD6">
        <w:t>”)</w:t>
      </w:r>
      <w:r w:rsidR="006E4AD7" w:rsidRPr="006E4AD7">
        <w:t xml:space="preserve">, Mr R.E. </w:t>
      </w:r>
      <w:proofErr w:type="spellStart"/>
      <w:r w:rsidR="006E4AD7" w:rsidRPr="006E4AD7">
        <w:t>Strating</w:t>
      </w:r>
      <w:proofErr w:type="spellEnd"/>
      <w:r w:rsidR="006E4AD7" w:rsidRPr="006E4AD7">
        <w:t xml:space="preserve"> </w:t>
      </w:r>
      <w:r w:rsidR="00687AD6">
        <w:t>is deemed to hold</w:t>
      </w:r>
      <w:r w:rsidR="006E4AD7" w:rsidRPr="006E4AD7">
        <w:t xml:space="preserve"> 6,388,422 Shares</w:t>
      </w:r>
      <w:r w:rsidR="0057249B">
        <w:t xml:space="preserve"> for the purpose of the Dutch public offer rules</w:t>
      </w:r>
      <w:r w:rsidR="006E4AD7">
        <w:t>.</w:t>
      </w:r>
      <w:r w:rsidR="00687AD6">
        <w:rPr>
          <w:rStyle w:val="FootnoteReference"/>
        </w:rPr>
        <w:footnoteReference w:id="1"/>
      </w:r>
      <w:r w:rsidR="006E4AD7">
        <w:t xml:space="preserve"> Each of TBL, </w:t>
      </w:r>
      <w:proofErr w:type="spellStart"/>
      <w:r w:rsidR="006E4AD7" w:rsidRPr="006E4AD7">
        <w:t>Gestion</w:t>
      </w:r>
      <w:proofErr w:type="spellEnd"/>
      <w:r w:rsidR="006E4AD7" w:rsidRPr="006E4AD7">
        <w:t xml:space="preserve"> and </w:t>
      </w:r>
      <w:r w:rsidR="008D4243">
        <w:t>GABF</w:t>
      </w:r>
      <w:r w:rsidR="006E4AD7" w:rsidRPr="006E4AD7">
        <w:t xml:space="preserve"> has agreed to an irrevocable undertaking to support and accept the Offer and to tender all Shares held by </w:t>
      </w:r>
      <w:r w:rsidR="006E4AD7">
        <w:t>them</w:t>
      </w:r>
      <w:r w:rsidR="006E4AD7" w:rsidRPr="006E4AD7">
        <w:t xml:space="preserve"> under the terms and conditions set out in an irrevocable undertaking</w:t>
      </w:r>
      <w:r w:rsidR="006E4AD7">
        <w:t>.</w:t>
      </w:r>
    </w:p>
    <w:p w14:paraId="3D583614" w14:textId="7D4657AB" w:rsidR="00723D75" w:rsidRDefault="00723D75" w:rsidP="00335D7F">
      <w:pPr>
        <w:autoSpaceDE w:val="0"/>
        <w:autoSpaceDN w:val="0"/>
        <w:adjustRightInd w:val="0"/>
        <w:spacing w:line="280" w:lineRule="exact"/>
      </w:pPr>
      <w:r>
        <w:t xml:space="preserve">Pursuant to the provisions of Section 5 paragraphs 4 and 5 of the Decree, </w:t>
      </w:r>
      <w:r w:rsidR="001B7B64">
        <w:t xml:space="preserve">the </w:t>
      </w:r>
      <w:proofErr w:type="spellStart"/>
      <w:r w:rsidR="001B7B64">
        <w:t>Offeror</w:t>
      </w:r>
      <w:proofErr w:type="spellEnd"/>
      <w:r>
        <w:t xml:space="preserve"> announces that it conducted transactions in </w:t>
      </w:r>
      <w:r w:rsidR="002C15A4">
        <w:t>S</w:t>
      </w:r>
      <w:r>
        <w:t xml:space="preserve">hares </w:t>
      </w:r>
      <w:r w:rsidR="002C15A4">
        <w:t>and/</w:t>
      </w:r>
      <w:r>
        <w:t>or securities that are convertible into, exchangeable for or exercisable for such shares, the details of which are stated below.</w:t>
      </w:r>
    </w:p>
    <w:tbl>
      <w:tblPr>
        <w:tblStyle w:val="ListTable3"/>
        <w:tblW w:w="0" w:type="auto"/>
        <w:tblLook w:val="04A0" w:firstRow="1" w:lastRow="0" w:firstColumn="1" w:lastColumn="0" w:noHBand="0" w:noVBand="1"/>
      </w:tblPr>
      <w:tblGrid>
        <w:gridCol w:w="1803"/>
        <w:gridCol w:w="1803"/>
        <w:gridCol w:w="1803"/>
        <w:gridCol w:w="1803"/>
        <w:gridCol w:w="1804"/>
      </w:tblGrid>
      <w:tr w:rsidR="00723D75" w14:paraId="53A9FDC3" w14:textId="77777777" w:rsidTr="00723D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shd w:val="clear" w:color="auto" w:fill="BFBFBF" w:themeFill="background1" w:themeFillShade="BF"/>
          </w:tcPr>
          <w:p w14:paraId="3C8A14C6" w14:textId="50FA6519" w:rsidR="00723D75" w:rsidRPr="00723D75" w:rsidRDefault="00723D75" w:rsidP="00723D75">
            <w:pPr>
              <w:autoSpaceDE w:val="0"/>
              <w:autoSpaceDN w:val="0"/>
              <w:adjustRightInd w:val="0"/>
              <w:spacing w:line="280" w:lineRule="exact"/>
              <w:jc w:val="center"/>
              <w:rPr>
                <w:rFonts w:cs="Arial"/>
                <w:color w:val="000000" w:themeColor="text1"/>
              </w:rPr>
            </w:pPr>
            <w:r w:rsidRPr="00723D75">
              <w:rPr>
                <w:rFonts w:cs="Arial"/>
                <w:color w:val="000000" w:themeColor="text1"/>
              </w:rPr>
              <w:t>Date</w:t>
            </w:r>
          </w:p>
        </w:tc>
        <w:tc>
          <w:tcPr>
            <w:tcW w:w="1803" w:type="dxa"/>
            <w:shd w:val="clear" w:color="auto" w:fill="BFBFBF" w:themeFill="background1" w:themeFillShade="BF"/>
          </w:tcPr>
          <w:p w14:paraId="184BBF0F" w14:textId="626EE507" w:rsidR="00723D75" w:rsidRPr="00723D75" w:rsidRDefault="00723D75" w:rsidP="00723D75">
            <w:pPr>
              <w:autoSpaceDE w:val="0"/>
              <w:autoSpaceDN w:val="0"/>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723D75">
              <w:rPr>
                <w:rFonts w:cs="Arial"/>
                <w:color w:val="000000" w:themeColor="text1"/>
              </w:rPr>
              <w:t>Transaction type</w:t>
            </w:r>
          </w:p>
        </w:tc>
        <w:tc>
          <w:tcPr>
            <w:tcW w:w="1803" w:type="dxa"/>
            <w:shd w:val="clear" w:color="auto" w:fill="BFBFBF" w:themeFill="background1" w:themeFillShade="BF"/>
          </w:tcPr>
          <w:p w14:paraId="2CED4EBC" w14:textId="759E6A8B" w:rsidR="00723D75" w:rsidRPr="00723D75" w:rsidRDefault="00723D75" w:rsidP="00723D75">
            <w:pPr>
              <w:autoSpaceDE w:val="0"/>
              <w:autoSpaceDN w:val="0"/>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723D75">
              <w:rPr>
                <w:rFonts w:cs="Arial"/>
                <w:color w:val="000000" w:themeColor="text1"/>
              </w:rPr>
              <w:t>Total number of  Shares</w:t>
            </w:r>
          </w:p>
        </w:tc>
        <w:tc>
          <w:tcPr>
            <w:tcW w:w="1803" w:type="dxa"/>
            <w:shd w:val="clear" w:color="auto" w:fill="BFBFBF" w:themeFill="background1" w:themeFillShade="BF"/>
          </w:tcPr>
          <w:p w14:paraId="26F24330" w14:textId="0D418158" w:rsidR="00723D75" w:rsidRPr="00723D75" w:rsidRDefault="00723D75" w:rsidP="00723D75">
            <w:pPr>
              <w:autoSpaceDE w:val="0"/>
              <w:autoSpaceDN w:val="0"/>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723D75">
              <w:rPr>
                <w:rFonts w:cs="Arial"/>
                <w:color w:val="000000" w:themeColor="text1"/>
              </w:rPr>
              <w:t>Type of Shares</w:t>
            </w:r>
          </w:p>
        </w:tc>
        <w:tc>
          <w:tcPr>
            <w:tcW w:w="1804" w:type="dxa"/>
            <w:shd w:val="clear" w:color="auto" w:fill="BFBFBF" w:themeFill="background1" w:themeFillShade="BF"/>
          </w:tcPr>
          <w:p w14:paraId="37084774" w14:textId="411589C3" w:rsidR="00723D75" w:rsidRPr="00723D75" w:rsidRDefault="00723D75" w:rsidP="00723D75">
            <w:pPr>
              <w:autoSpaceDE w:val="0"/>
              <w:autoSpaceDN w:val="0"/>
              <w:adjustRightInd w:val="0"/>
              <w:spacing w:line="280" w:lineRule="exact"/>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723D75">
              <w:rPr>
                <w:rFonts w:cs="Arial"/>
                <w:color w:val="000000" w:themeColor="text1"/>
              </w:rPr>
              <w:t>Volume weighted average price</w:t>
            </w:r>
            <w:r w:rsidR="001B7B64">
              <w:rPr>
                <w:rFonts w:cs="Arial"/>
                <w:color w:val="000000" w:themeColor="text1"/>
              </w:rPr>
              <w:t xml:space="preserve"> (EUR)</w:t>
            </w:r>
          </w:p>
        </w:tc>
      </w:tr>
      <w:tr w:rsidR="00723D75" w14:paraId="7E8853C1" w14:textId="77777777" w:rsidTr="0072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B790CC3" w14:textId="0DA3AD76" w:rsidR="00723D75" w:rsidRDefault="006E4AD7" w:rsidP="00723D75">
            <w:pPr>
              <w:autoSpaceDE w:val="0"/>
              <w:autoSpaceDN w:val="0"/>
              <w:adjustRightInd w:val="0"/>
              <w:spacing w:line="280" w:lineRule="exact"/>
              <w:jc w:val="center"/>
              <w:rPr>
                <w:rFonts w:cs="Arial"/>
              </w:rPr>
            </w:pPr>
            <w:r>
              <w:rPr>
                <w:rFonts w:cs="Arial"/>
              </w:rPr>
              <w:t>1</w:t>
            </w:r>
            <w:r w:rsidR="002C27B3">
              <w:rPr>
                <w:rFonts w:cs="Arial"/>
              </w:rPr>
              <w:t>4</w:t>
            </w:r>
            <w:r w:rsidR="00F469C5">
              <w:rPr>
                <w:rFonts w:cs="Arial"/>
              </w:rPr>
              <w:t xml:space="preserve"> </w:t>
            </w:r>
            <w:r w:rsidR="00246D0E">
              <w:rPr>
                <w:rFonts w:cs="Arial"/>
              </w:rPr>
              <w:t>May</w:t>
            </w:r>
            <w:r w:rsidR="00F469C5">
              <w:rPr>
                <w:rFonts w:cs="Arial"/>
              </w:rPr>
              <w:t xml:space="preserve"> 2021</w:t>
            </w:r>
          </w:p>
        </w:tc>
        <w:tc>
          <w:tcPr>
            <w:tcW w:w="1803" w:type="dxa"/>
          </w:tcPr>
          <w:p w14:paraId="2DEB7666" w14:textId="0A604530" w:rsidR="00723D75" w:rsidRDefault="00723D75" w:rsidP="00723D75">
            <w:pPr>
              <w:autoSpaceDE w:val="0"/>
              <w:autoSpaceDN w:val="0"/>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Purchase</w:t>
            </w:r>
          </w:p>
        </w:tc>
        <w:tc>
          <w:tcPr>
            <w:tcW w:w="1803" w:type="dxa"/>
          </w:tcPr>
          <w:p w14:paraId="3D29ED90" w14:textId="3B8BE76B" w:rsidR="00723D75" w:rsidRDefault="002C27B3" w:rsidP="00723D75">
            <w:pPr>
              <w:autoSpaceDE w:val="0"/>
              <w:autoSpaceDN w:val="0"/>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17</w:t>
            </w:r>
            <w:r w:rsidR="00E86045">
              <w:rPr>
                <w:rFonts w:cs="Arial"/>
              </w:rPr>
              <w:t>,</w:t>
            </w:r>
            <w:r>
              <w:rPr>
                <w:rFonts w:cs="Arial"/>
              </w:rPr>
              <w:t>081</w:t>
            </w:r>
          </w:p>
        </w:tc>
        <w:tc>
          <w:tcPr>
            <w:tcW w:w="1803" w:type="dxa"/>
          </w:tcPr>
          <w:p w14:paraId="0C8B843C" w14:textId="12E1370C" w:rsidR="00723D75" w:rsidRDefault="00723D75" w:rsidP="00723D75">
            <w:pPr>
              <w:autoSpaceDE w:val="0"/>
              <w:autoSpaceDN w:val="0"/>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Ordinary</w:t>
            </w:r>
          </w:p>
        </w:tc>
        <w:tc>
          <w:tcPr>
            <w:tcW w:w="1804" w:type="dxa"/>
          </w:tcPr>
          <w:p w14:paraId="5F5C99E2" w14:textId="35C007F7" w:rsidR="00723D75" w:rsidRDefault="00A55219" w:rsidP="00723D75">
            <w:pPr>
              <w:autoSpaceDE w:val="0"/>
              <w:autoSpaceDN w:val="0"/>
              <w:adjustRightInd w:val="0"/>
              <w:spacing w:line="280" w:lineRule="exact"/>
              <w:jc w:val="center"/>
              <w:cnfStyle w:val="000000100000" w:firstRow="0" w:lastRow="0" w:firstColumn="0" w:lastColumn="0" w:oddVBand="0" w:evenVBand="0" w:oddHBand="1" w:evenHBand="0" w:firstRowFirstColumn="0" w:firstRowLastColumn="0" w:lastRowFirstColumn="0" w:lastRowLastColumn="0"/>
              <w:rPr>
                <w:rFonts w:cs="Arial"/>
              </w:rPr>
            </w:pPr>
            <w:r w:rsidRPr="00015398">
              <w:rPr>
                <w:rFonts w:cs="Arial"/>
              </w:rPr>
              <w:t>1.69</w:t>
            </w:r>
            <w:r w:rsidR="00BC48B2">
              <w:rPr>
                <w:rFonts w:cs="Arial"/>
              </w:rPr>
              <w:t>0</w:t>
            </w:r>
            <w:r w:rsidR="00015398" w:rsidRPr="00015398">
              <w:rPr>
                <w:rFonts w:cs="Arial"/>
              </w:rPr>
              <w:t>0</w:t>
            </w:r>
          </w:p>
        </w:tc>
      </w:tr>
    </w:tbl>
    <w:p w14:paraId="1F572ED8" w14:textId="77777777" w:rsidR="00723D75" w:rsidRDefault="00723D75" w:rsidP="00335D7F">
      <w:pPr>
        <w:autoSpaceDE w:val="0"/>
        <w:autoSpaceDN w:val="0"/>
        <w:adjustRightInd w:val="0"/>
        <w:spacing w:line="280" w:lineRule="exact"/>
        <w:rPr>
          <w:rFonts w:cs="Arial"/>
        </w:rPr>
      </w:pPr>
    </w:p>
    <w:p w14:paraId="5AAE0092" w14:textId="70336E8B" w:rsidR="00723D75" w:rsidRPr="00E75F04" w:rsidRDefault="00E75F04" w:rsidP="00335D7F">
      <w:pPr>
        <w:autoSpaceDE w:val="0"/>
        <w:autoSpaceDN w:val="0"/>
        <w:adjustRightInd w:val="0"/>
        <w:spacing w:line="280" w:lineRule="exact"/>
      </w:pPr>
      <w:r>
        <w:lastRenderedPageBreak/>
        <w:t>T</w:t>
      </w:r>
      <w:r w:rsidR="00723D75">
        <w:t xml:space="preserve">he highest price per </w:t>
      </w:r>
      <w:r w:rsidR="001B7B64">
        <w:t>Share</w:t>
      </w:r>
      <w:r w:rsidR="00723D75">
        <w:t xml:space="preserve"> paid in a transaction conducted today was </w:t>
      </w:r>
      <w:r w:rsidR="00723D75" w:rsidRPr="00015398">
        <w:t xml:space="preserve">EUR </w:t>
      </w:r>
      <w:r w:rsidR="00A55219" w:rsidRPr="00015398">
        <w:t>1.69</w:t>
      </w:r>
      <w:r w:rsidR="00BC48B2">
        <w:t>0</w:t>
      </w:r>
      <w:r w:rsidR="00015398" w:rsidRPr="00015398">
        <w:t>0</w:t>
      </w:r>
      <w:r w:rsidR="00A55219">
        <w:t xml:space="preserve"> </w:t>
      </w:r>
      <w:r w:rsidR="00723D75">
        <w:t xml:space="preserve">per </w:t>
      </w:r>
      <w:r w:rsidR="001B7B64">
        <w:t>Share</w:t>
      </w:r>
      <w:r w:rsidR="00723D75">
        <w:t xml:space="preserve">. Based on the transactions set out above, </w:t>
      </w:r>
      <w:r w:rsidR="001B7B64">
        <w:t xml:space="preserve">the </w:t>
      </w:r>
      <w:proofErr w:type="spellStart"/>
      <w:r w:rsidR="001B7B64">
        <w:t>Offeror</w:t>
      </w:r>
      <w:proofErr w:type="spellEnd"/>
      <w:r w:rsidR="00723D75">
        <w:t xml:space="preserve"> acquired a total of </w:t>
      </w:r>
      <w:r w:rsidR="002C27B3">
        <w:t>1</w:t>
      </w:r>
      <w:r w:rsidR="00C46BBB">
        <w:t>7</w:t>
      </w:r>
      <w:r w:rsidR="00C948E3" w:rsidRPr="00E86045">
        <w:t>,</w:t>
      </w:r>
      <w:r w:rsidR="002C27B3">
        <w:t>081</w:t>
      </w:r>
      <w:r w:rsidR="003C79CF">
        <w:t xml:space="preserve"> </w:t>
      </w:r>
      <w:r w:rsidR="007A1D68">
        <w:t>Shares</w:t>
      </w:r>
      <w:r w:rsidR="007A1D68" w:rsidRPr="007A1D68">
        <w:t xml:space="preserve"> </w:t>
      </w:r>
      <w:r w:rsidR="007A1D68">
        <w:t>today</w:t>
      </w:r>
      <w:r w:rsidR="00723D75">
        <w:t xml:space="preserve">, representing </w:t>
      </w:r>
      <w:r w:rsidR="007A1D68">
        <w:t xml:space="preserve">approximately </w:t>
      </w:r>
      <w:r w:rsidR="00A55219" w:rsidRPr="00015398">
        <w:t>0.</w:t>
      </w:r>
      <w:r w:rsidR="00C46BBB">
        <w:t>0</w:t>
      </w:r>
      <w:r w:rsidR="002C27B3">
        <w:t>4</w:t>
      </w:r>
      <w:r w:rsidR="00723D75" w:rsidRPr="00015398">
        <w:t>%</w:t>
      </w:r>
      <w:r w:rsidR="00723D75">
        <w:t xml:space="preserve"> of the issued and outstanding share capital of </w:t>
      </w:r>
      <w:r w:rsidR="003F1B56">
        <w:t>DPA</w:t>
      </w:r>
      <w:r w:rsidR="002C15A4">
        <w:t>.</w:t>
      </w:r>
      <w:r>
        <w:t xml:space="preserve"> </w:t>
      </w:r>
      <w:r w:rsidR="00505D07">
        <w:t>TBL</w:t>
      </w:r>
      <w:r w:rsidR="00C948E3">
        <w:t xml:space="preserve">, </w:t>
      </w:r>
      <w:r w:rsidR="006A14D9">
        <w:t xml:space="preserve">Mr R.E. </w:t>
      </w:r>
      <w:proofErr w:type="spellStart"/>
      <w:r w:rsidR="006A14D9">
        <w:t>Strating</w:t>
      </w:r>
      <w:proofErr w:type="spellEnd"/>
      <w:r w:rsidR="00C948E3">
        <w:t>,</w:t>
      </w:r>
      <w:r w:rsidR="00505D07">
        <w:t xml:space="preserve"> </w:t>
      </w:r>
      <w:proofErr w:type="spellStart"/>
      <w:r w:rsidR="008D4243">
        <w:t>Gestion</w:t>
      </w:r>
      <w:proofErr w:type="spellEnd"/>
      <w:r w:rsidR="008D4243">
        <w:t xml:space="preserve"> and GABF </w:t>
      </w:r>
      <w:r w:rsidR="00505D07">
        <w:t xml:space="preserve">did not acquire any Shares today. </w:t>
      </w:r>
      <w:r w:rsidR="006976BB" w:rsidRPr="006976BB">
        <w:t xml:space="preserve">Together with the Shares already held by the </w:t>
      </w:r>
      <w:proofErr w:type="spellStart"/>
      <w:r w:rsidR="006976BB" w:rsidRPr="006976BB">
        <w:t>Offeror</w:t>
      </w:r>
      <w:proofErr w:type="spellEnd"/>
      <w:r w:rsidR="006E4AD7">
        <w:t>,</w:t>
      </w:r>
      <w:r w:rsidR="006976BB" w:rsidRPr="006976BB">
        <w:t xml:space="preserve"> TBL </w:t>
      </w:r>
      <w:r w:rsidR="006E4AD7">
        <w:t xml:space="preserve">and Mr R.E. </w:t>
      </w:r>
      <w:proofErr w:type="spellStart"/>
      <w:r w:rsidR="006E4AD7">
        <w:t>Strating</w:t>
      </w:r>
      <w:proofErr w:type="spellEnd"/>
      <w:r w:rsidR="006E4AD7">
        <w:t xml:space="preserve"> </w:t>
      </w:r>
      <w:r w:rsidR="00C948E3">
        <w:t xml:space="preserve">(via </w:t>
      </w:r>
      <w:proofErr w:type="spellStart"/>
      <w:r w:rsidR="00C948E3" w:rsidRPr="00C948E3">
        <w:t>Gestion</w:t>
      </w:r>
      <w:proofErr w:type="spellEnd"/>
      <w:r w:rsidR="00C948E3" w:rsidRPr="00C948E3">
        <w:t xml:space="preserve"> </w:t>
      </w:r>
      <w:r w:rsidR="008D4243">
        <w:t>and GABF</w:t>
      </w:r>
      <w:r w:rsidR="00C948E3">
        <w:t xml:space="preserve">) </w:t>
      </w:r>
      <w:r w:rsidR="006976BB" w:rsidRPr="006976BB">
        <w:t xml:space="preserve">prior to today, the </w:t>
      </w:r>
      <w:proofErr w:type="spellStart"/>
      <w:r w:rsidR="006976BB" w:rsidRPr="006976BB">
        <w:t>Offeror</w:t>
      </w:r>
      <w:proofErr w:type="spellEnd"/>
      <w:r w:rsidR="006E4AD7">
        <w:t>,</w:t>
      </w:r>
      <w:r w:rsidR="007E3075">
        <w:t xml:space="preserve"> </w:t>
      </w:r>
      <w:r w:rsidR="006976BB" w:rsidRPr="006976BB">
        <w:t>TBL</w:t>
      </w:r>
      <w:r w:rsidR="006E4AD7">
        <w:t xml:space="preserve"> and Mr R.E. </w:t>
      </w:r>
      <w:proofErr w:type="spellStart"/>
      <w:r w:rsidR="006E4AD7">
        <w:t>Strating</w:t>
      </w:r>
      <w:proofErr w:type="spellEnd"/>
      <w:r w:rsidR="00C948E3">
        <w:t xml:space="preserve"> (via</w:t>
      </w:r>
      <w:r w:rsidR="00C948E3" w:rsidRPr="00C948E3">
        <w:t xml:space="preserve"> </w:t>
      </w:r>
      <w:proofErr w:type="spellStart"/>
      <w:r w:rsidR="008D4243">
        <w:t>Gestion</w:t>
      </w:r>
      <w:proofErr w:type="spellEnd"/>
      <w:r w:rsidR="008D4243">
        <w:t xml:space="preserve"> and GABF</w:t>
      </w:r>
      <w:r w:rsidR="00C948E3">
        <w:t>)</w:t>
      </w:r>
      <w:r w:rsidR="006976BB" w:rsidRPr="006976BB">
        <w:t xml:space="preserve"> </w:t>
      </w:r>
      <w:r w:rsidR="006976BB">
        <w:t xml:space="preserve">now </w:t>
      </w:r>
      <w:r w:rsidR="006976BB" w:rsidRPr="006976BB">
        <w:t>join</w:t>
      </w:r>
      <w:r w:rsidR="006976BB">
        <w:t>t</w:t>
      </w:r>
      <w:r w:rsidR="006976BB" w:rsidRPr="006976BB">
        <w:t xml:space="preserve">ly hold </w:t>
      </w:r>
      <w:r w:rsidR="00C948E3" w:rsidRPr="00015398">
        <w:t>10,</w:t>
      </w:r>
      <w:r w:rsidR="00BC48B2">
        <w:t>8</w:t>
      </w:r>
      <w:r w:rsidR="002C27B3">
        <w:t>57</w:t>
      </w:r>
      <w:r w:rsidR="00C948E3" w:rsidRPr="00015398">
        <w:t>,</w:t>
      </w:r>
      <w:r w:rsidR="002C27B3">
        <w:t>048</w:t>
      </w:r>
      <w:r w:rsidR="003773A6">
        <w:t xml:space="preserve"> </w:t>
      </w:r>
      <w:r w:rsidR="003F1B56">
        <w:t>Shares</w:t>
      </w:r>
      <w:r w:rsidR="00723D75">
        <w:t xml:space="preserve">, representing </w:t>
      </w:r>
      <w:r w:rsidR="00723D75" w:rsidRPr="003C79CF">
        <w:t xml:space="preserve">approximately </w:t>
      </w:r>
      <w:r w:rsidR="00C948E3" w:rsidRPr="00015398">
        <w:t>2</w:t>
      </w:r>
      <w:r w:rsidR="00BC48B2">
        <w:t>3.</w:t>
      </w:r>
      <w:r w:rsidR="00C46BBB">
        <w:t>1</w:t>
      </w:r>
      <w:r w:rsidR="00723D75" w:rsidRPr="003C79CF">
        <w:t>%</w:t>
      </w:r>
      <w:r w:rsidR="00723D75">
        <w:t xml:space="preserve"> of the issued and outstanding share capital of </w:t>
      </w:r>
      <w:r w:rsidR="003F1B56">
        <w:t xml:space="preserve">DPA </w:t>
      </w:r>
      <w:r w:rsidR="00723D75">
        <w:t>on the date hereof.</w:t>
      </w:r>
    </w:p>
    <w:p w14:paraId="3712F5D2" w14:textId="77777777" w:rsidR="00723D75" w:rsidRPr="00723D75" w:rsidRDefault="00723D75" w:rsidP="00335D7F">
      <w:pPr>
        <w:autoSpaceDE w:val="0"/>
        <w:autoSpaceDN w:val="0"/>
        <w:adjustRightInd w:val="0"/>
        <w:spacing w:line="280" w:lineRule="exact"/>
        <w:rPr>
          <w:b/>
          <w:bCs/>
          <w:u w:val="single"/>
        </w:rPr>
      </w:pPr>
      <w:r w:rsidRPr="00723D75">
        <w:rPr>
          <w:b/>
          <w:bCs/>
          <w:u w:val="single"/>
        </w:rPr>
        <w:t xml:space="preserve">Other </w:t>
      </w:r>
    </w:p>
    <w:p w14:paraId="48AF8845" w14:textId="5889AB68" w:rsidR="00723D75" w:rsidRDefault="00723D75" w:rsidP="00335D7F">
      <w:pPr>
        <w:autoSpaceDE w:val="0"/>
        <w:autoSpaceDN w:val="0"/>
        <w:adjustRightInd w:val="0"/>
        <w:spacing w:line="280" w:lineRule="exact"/>
        <w:rPr>
          <w:rFonts w:cs="Arial"/>
        </w:rPr>
      </w:pPr>
      <w:r>
        <w:t xml:space="preserve">To the extent permissible under applicable law or regulation, </w:t>
      </w:r>
      <w:r w:rsidR="003F1B56">
        <w:t xml:space="preserve">the </w:t>
      </w:r>
      <w:proofErr w:type="spellStart"/>
      <w:r w:rsidR="003F1B56">
        <w:t>Offeror</w:t>
      </w:r>
      <w:proofErr w:type="spellEnd"/>
      <w:r>
        <w:t xml:space="preserve"> and its affiliates may from time to time after the date hereof, and other than pursuant to the intended offer, directly or indirectly purchase, or arrange to purchase, shares in the capital of </w:t>
      </w:r>
      <w:r w:rsidR="003F1B56">
        <w:t>DPA</w:t>
      </w:r>
      <w:r>
        <w:t xml:space="preserve">, that are the subject of the Offer. To the extent information about such purchases or arrangements to purchase is made public in the Netherlands, such information will be disclosed by means of a press release to inform shareholders of such information, which will be made available on the website of </w:t>
      </w:r>
      <w:proofErr w:type="spellStart"/>
      <w:r w:rsidR="003F1B56">
        <w:t>Gilde</w:t>
      </w:r>
      <w:proofErr w:type="spellEnd"/>
      <w:r>
        <w:t xml:space="preserve">. In addition, financial advisors to </w:t>
      </w:r>
      <w:proofErr w:type="spellStart"/>
      <w:r w:rsidR="003F1B56">
        <w:t>Gilde</w:t>
      </w:r>
      <w:proofErr w:type="spellEnd"/>
      <w:r>
        <w:t xml:space="preserve"> may also engage in ordinary course trading activities in securities of </w:t>
      </w:r>
      <w:r w:rsidR="003F1B56">
        <w:t>DPA</w:t>
      </w:r>
      <w:r>
        <w:t>, which may include purchases or arrangements to purchase such securities.</w:t>
      </w:r>
    </w:p>
    <w:p w14:paraId="75E34CC8" w14:textId="77777777" w:rsidR="00A20C3E" w:rsidRPr="0008762A" w:rsidRDefault="00A20C3E" w:rsidP="0008762A">
      <w:pPr>
        <w:tabs>
          <w:tab w:val="left" w:pos="1701"/>
          <w:tab w:val="left" w:pos="2268"/>
          <w:tab w:val="left" w:pos="2977"/>
          <w:tab w:val="left" w:pos="6096"/>
        </w:tabs>
        <w:spacing w:after="60" w:line="280" w:lineRule="exact"/>
        <w:rPr>
          <w:rFonts w:cs="Arial"/>
          <w:b/>
          <w:bCs/>
        </w:rPr>
      </w:pPr>
      <w:r w:rsidRPr="0008762A">
        <w:rPr>
          <w:rFonts w:cs="Arial"/>
          <w:b/>
          <w:bCs/>
        </w:rPr>
        <w:t xml:space="preserve">For </w:t>
      </w:r>
      <w:r w:rsidR="006D33E5" w:rsidRPr="0008762A">
        <w:rPr>
          <w:rFonts w:cs="Arial"/>
          <w:b/>
          <w:bCs/>
        </w:rPr>
        <w:t>m</w:t>
      </w:r>
      <w:r w:rsidRPr="0008762A">
        <w:rPr>
          <w:rFonts w:cs="Arial"/>
          <w:b/>
          <w:bCs/>
        </w:rPr>
        <w:t xml:space="preserve">ore </w:t>
      </w:r>
      <w:r w:rsidR="006D33E5" w:rsidRPr="0008762A">
        <w:rPr>
          <w:rFonts w:cs="Arial"/>
          <w:b/>
          <w:bCs/>
        </w:rPr>
        <w:t>i</w:t>
      </w:r>
      <w:r w:rsidRPr="0008762A">
        <w:rPr>
          <w:rFonts w:cs="Arial"/>
          <w:b/>
          <w:bCs/>
        </w:rPr>
        <w:t>nformation</w:t>
      </w:r>
      <w:r w:rsidR="006D33E5" w:rsidRPr="0008762A">
        <w:rPr>
          <w:rFonts w:cs="Arial"/>
          <w:b/>
          <w:bCs/>
        </w:rPr>
        <w:t>:</w:t>
      </w:r>
    </w:p>
    <w:p w14:paraId="2C0583C7" w14:textId="77777777" w:rsidR="0066337D" w:rsidRPr="0066337D" w:rsidRDefault="0066337D" w:rsidP="0066337D">
      <w:pPr>
        <w:tabs>
          <w:tab w:val="left" w:pos="1701"/>
          <w:tab w:val="left" w:pos="2268"/>
          <w:tab w:val="left" w:pos="2977"/>
          <w:tab w:val="left" w:pos="6096"/>
        </w:tabs>
        <w:spacing w:after="60" w:line="280" w:lineRule="exact"/>
        <w:rPr>
          <w:rFonts w:cs="Arial"/>
        </w:rPr>
      </w:pPr>
      <w:r w:rsidRPr="0066337D">
        <w:rPr>
          <w:rFonts w:cs="Arial"/>
        </w:rPr>
        <w:t>CFF Communications</w:t>
      </w:r>
    </w:p>
    <w:p w14:paraId="6A9D2B27" w14:textId="77777777" w:rsidR="0066337D" w:rsidRPr="0066337D" w:rsidRDefault="0066337D" w:rsidP="0066337D">
      <w:pPr>
        <w:tabs>
          <w:tab w:val="left" w:pos="1701"/>
          <w:tab w:val="left" w:pos="2268"/>
          <w:tab w:val="left" w:pos="2977"/>
          <w:tab w:val="left" w:pos="6096"/>
        </w:tabs>
        <w:spacing w:after="60" w:line="280" w:lineRule="exact"/>
        <w:rPr>
          <w:rFonts w:cs="Arial"/>
        </w:rPr>
      </w:pPr>
      <w:r w:rsidRPr="0066337D">
        <w:rPr>
          <w:rFonts w:cs="Arial"/>
        </w:rPr>
        <w:t xml:space="preserve">Geert </w:t>
      </w:r>
      <w:proofErr w:type="spellStart"/>
      <w:r w:rsidRPr="0066337D">
        <w:rPr>
          <w:rFonts w:cs="Arial"/>
        </w:rPr>
        <w:t>Pielage</w:t>
      </w:r>
      <w:proofErr w:type="spellEnd"/>
    </w:p>
    <w:p w14:paraId="2A8D6A69" w14:textId="3481901F" w:rsidR="0066337D" w:rsidRDefault="0066337D" w:rsidP="0066337D">
      <w:pPr>
        <w:tabs>
          <w:tab w:val="left" w:pos="1701"/>
          <w:tab w:val="left" w:pos="2268"/>
          <w:tab w:val="left" w:pos="2977"/>
          <w:tab w:val="left" w:pos="6096"/>
        </w:tabs>
        <w:spacing w:after="60" w:line="280" w:lineRule="exact"/>
        <w:rPr>
          <w:rFonts w:cs="Arial"/>
        </w:rPr>
      </w:pPr>
      <w:r w:rsidRPr="0066337D">
        <w:rPr>
          <w:rFonts w:cs="Arial"/>
        </w:rPr>
        <w:t>+31 (0)6 50 99 93 43</w:t>
      </w:r>
    </w:p>
    <w:p w14:paraId="6982B8D8" w14:textId="77777777" w:rsidR="003F1B56" w:rsidRPr="0066337D" w:rsidRDefault="003F1B56" w:rsidP="0066337D">
      <w:pPr>
        <w:tabs>
          <w:tab w:val="left" w:pos="1701"/>
          <w:tab w:val="left" w:pos="2268"/>
          <w:tab w:val="left" w:pos="2977"/>
          <w:tab w:val="left" w:pos="6096"/>
        </w:tabs>
        <w:spacing w:after="60" w:line="280" w:lineRule="exact"/>
        <w:rPr>
          <w:rFonts w:cs="Arial"/>
        </w:rPr>
      </w:pPr>
    </w:p>
    <w:p w14:paraId="17FAB426" w14:textId="031D43A6" w:rsidR="0066337D" w:rsidRPr="0066337D" w:rsidRDefault="0066337D" w:rsidP="0066337D">
      <w:pPr>
        <w:tabs>
          <w:tab w:val="left" w:pos="1701"/>
          <w:tab w:val="left" w:pos="2268"/>
          <w:tab w:val="left" w:pos="2977"/>
          <w:tab w:val="left" w:pos="6096"/>
        </w:tabs>
        <w:spacing w:after="60" w:line="280" w:lineRule="exact"/>
        <w:rPr>
          <w:rFonts w:cs="Arial"/>
          <w:b/>
          <w:bCs/>
        </w:rPr>
      </w:pPr>
      <w:r w:rsidRPr="0066337D">
        <w:rPr>
          <w:rFonts w:cs="Arial"/>
          <w:b/>
          <w:bCs/>
        </w:rPr>
        <w:t xml:space="preserve">About </w:t>
      </w:r>
      <w:proofErr w:type="spellStart"/>
      <w:r w:rsidRPr="0066337D">
        <w:rPr>
          <w:rFonts w:cs="Arial"/>
          <w:b/>
          <w:bCs/>
        </w:rPr>
        <w:t>Gilde</w:t>
      </w:r>
      <w:proofErr w:type="spellEnd"/>
      <w:r w:rsidRPr="0066337D">
        <w:rPr>
          <w:rFonts w:cs="Arial"/>
          <w:b/>
          <w:bCs/>
        </w:rPr>
        <w:t xml:space="preserve"> Equity Management</w:t>
      </w:r>
    </w:p>
    <w:p w14:paraId="07DDD7D2" w14:textId="08EC8A00" w:rsidR="0066337D" w:rsidRDefault="0066337D" w:rsidP="0066337D">
      <w:pPr>
        <w:tabs>
          <w:tab w:val="left" w:pos="1701"/>
          <w:tab w:val="left" w:pos="2268"/>
          <w:tab w:val="left" w:pos="2977"/>
          <w:tab w:val="left" w:pos="6096"/>
        </w:tabs>
        <w:spacing w:after="60" w:line="280" w:lineRule="exact"/>
        <w:rPr>
          <w:rFonts w:cs="Arial"/>
        </w:rPr>
      </w:pPr>
      <w:proofErr w:type="spellStart"/>
      <w:r w:rsidRPr="0066337D">
        <w:rPr>
          <w:rFonts w:cs="Arial"/>
        </w:rPr>
        <w:t>Gilde</w:t>
      </w:r>
      <w:proofErr w:type="spellEnd"/>
      <w:r w:rsidRPr="0066337D">
        <w:rPr>
          <w:rFonts w:cs="Arial"/>
        </w:rPr>
        <w:t xml:space="preserve"> is one of the most prominent independent private equity firms in the Benelux with c. EUR 1.5 billion under management, entrusted by blue chip institutional investors through funds with a long-term investment horizon. </w:t>
      </w:r>
      <w:proofErr w:type="spellStart"/>
      <w:r w:rsidRPr="0066337D">
        <w:rPr>
          <w:rFonts w:cs="Arial"/>
        </w:rPr>
        <w:t>Gilde</w:t>
      </w:r>
      <w:proofErr w:type="spellEnd"/>
      <w:r w:rsidRPr="0066337D">
        <w:rPr>
          <w:rFonts w:cs="Arial"/>
        </w:rPr>
        <w:t xml:space="preserve"> participates in companies run by entrepreneurial management teams with strong growth ambitions. Over the years, </w:t>
      </w:r>
      <w:proofErr w:type="spellStart"/>
      <w:r w:rsidRPr="0066337D">
        <w:rPr>
          <w:rFonts w:cs="Arial"/>
        </w:rPr>
        <w:t>Gilde</w:t>
      </w:r>
      <w:proofErr w:type="spellEnd"/>
      <w:r w:rsidRPr="0066337D">
        <w:rPr>
          <w:rFonts w:cs="Arial"/>
        </w:rPr>
        <w:t xml:space="preserve"> has invested in a large number of companies with activities in a wide range of sectors, including in particular the consulting and staffing industry (examples being </w:t>
      </w:r>
      <w:proofErr w:type="spellStart"/>
      <w:r w:rsidRPr="0066337D">
        <w:rPr>
          <w:rFonts w:cs="Arial"/>
        </w:rPr>
        <w:t>Actief</w:t>
      </w:r>
      <w:proofErr w:type="spellEnd"/>
      <w:r w:rsidRPr="0066337D">
        <w:rPr>
          <w:rFonts w:cs="Arial"/>
        </w:rPr>
        <w:t xml:space="preserve"> Interim, Conclusion, Eiffel, EV-Box, Famed, Future </w:t>
      </w:r>
      <w:proofErr w:type="spellStart"/>
      <w:r w:rsidRPr="0066337D">
        <w:rPr>
          <w:rFonts w:cs="Arial"/>
        </w:rPr>
        <w:t>Groep</w:t>
      </w:r>
      <w:proofErr w:type="spellEnd"/>
      <w:r w:rsidRPr="0066337D">
        <w:rPr>
          <w:rFonts w:cs="Arial"/>
        </w:rPr>
        <w:t xml:space="preserve"> and </w:t>
      </w:r>
      <w:proofErr w:type="spellStart"/>
      <w:r w:rsidRPr="0066337D">
        <w:rPr>
          <w:rFonts w:cs="Arial"/>
        </w:rPr>
        <w:t>Nspyre</w:t>
      </w:r>
      <w:proofErr w:type="spellEnd"/>
      <w:r w:rsidRPr="0066337D">
        <w:rPr>
          <w:rFonts w:cs="Arial"/>
        </w:rPr>
        <w:t xml:space="preserve">). </w:t>
      </w:r>
      <w:proofErr w:type="spellStart"/>
      <w:r w:rsidRPr="0066337D">
        <w:rPr>
          <w:rFonts w:cs="Arial"/>
        </w:rPr>
        <w:t>Gilde</w:t>
      </w:r>
      <w:proofErr w:type="spellEnd"/>
      <w:r w:rsidRPr="0066337D">
        <w:rPr>
          <w:rFonts w:cs="Arial"/>
        </w:rPr>
        <w:t xml:space="preserve"> actively supports its portfolio companies in the pursuit of its ambitious growth plans, including organic and buy-and-build opportunities. Further information is available at </w:t>
      </w:r>
      <w:hyperlink r:id="rId8" w:history="1">
        <w:r w:rsidR="00A938CE" w:rsidRPr="00167A18">
          <w:rPr>
            <w:rStyle w:val="Hyperlink"/>
            <w:rFonts w:cs="Arial"/>
          </w:rPr>
          <w:t>www.gembenelux.com</w:t>
        </w:r>
      </w:hyperlink>
      <w:r w:rsidR="002C15A4">
        <w:rPr>
          <w:rFonts w:cs="Arial"/>
        </w:rPr>
        <w:t>.</w:t>
      </w:r>
    </w:p>
    <w:p w14:paraId="347192BB" w14:textId="7576D998" w:rsidR="00A938CE" w:rsidRDefault="00A938CE" w:rsidP="0066337D">
      <w:pPr>
        <w:tabs>
          <w:tab w:val="left" w:pos="1701"/>
          <w:tab w:val="left" w:pos="2268"/>
          <w:tab w:val="left" w:pos="2977"/>
          <w:tab w:val="left" w:pos="6096"/>
        </w:tabs>
        <w:spacing w:after="60" w:line="280" w:lineRule="exact"/>
        <w:rPr>
          <w:rFonts w:cs="Arial"/>
        </w:rPr>
      </w:pPr>
    </w:p>
    <w:p w14:paraId="6B8693E0" w14:textId="0AB9BAB5" w:rsidR="00A938CE" w:rsidRPr="0057688B" w:rsidRDefault="00A938CE" w:rsidP="0066337D">
      <w:pPr>
        <w:tabs>
          <w:tab w:val="left" w:pos="1701"/>
          <w:tab w:val="left" w:pos="2268"/>
          <w:tab w:val="left" w:pos="2977"/>
          <w:tab w:val="left" w:pos="6096"/>
        </w:tabs>
        <w:spacing w:after="60" w:line="280" w:lineRule="exact"/>
        <w:rPr>
          <w:rFonts w:cs="Arial"/>
          <w:b/>
          <w:bCs/>
        </w:rPr>
      </w:pPr>
      <w:r w:rsidRPr="0057688B">
        <w:rPr>
          <w:rFonts w:cs="Arial"/>
          <w:b/>
          <w:bCs/>
        </w:rPr>
        <w:t xml:space="preserve">About TBL Investments </w:t>
      </w:r>
    </w:p>
    <w:p w14:paraId="123C6A67" w14:textId="5C398356" w:rsidR="00A938CE" w:rsidRPr="0066337D" w:rsidRDefault="00A938CE" w:rsidP="0066337D">
      <w:pPr>
        <w:tabs>
          <w:tab w:val="left" w:pos="1701"/>
          <w:tab w:val="left" w:pos="2268"/>
          <w:tab w:val="left" w:pos="2977"/>
          <w:tab w:val="left" w:pos="6096"/>
        </w:tabs>
        <w:spacing w:after="60" w:line="280" w:lineRule="exact"/>
        <w:rPr>
          <w:rFonts w:cs="Arial"/>
        </w:rPr>
      </w:pPr>
      <w:r>
        <w:rPr>
          <w:rFonts w:cs="Arial"/>
        </w:rPr>
        <w:t xml:space="preserve">TBL is a privately owned investment company focused on investing in small and medium sized companies. TBL’s investment strategy is abed on creating long-term value by participating in companies with a </w:t>
      </w:r>
      <w:r w:rsidR="0057688B">
        <w:rPr>
          <w:rFonts w:cs="Arial"/>
        </w:rPr>
        <w:t xml:space="preserve">strong growth potential. </w:t>
      </w:r>
    </w:p>
    <w:p w14:paraId="64AD47BD" w14:textId="77777777" w:rsidR="0066337D" w:rsidRPr="0066337D" w:rsidRDefault="0066337D" w:rsidP="0066337D">
      <w:pPr>
        <w:tabs>
          <w:tab w:val="left" w:pos="1701"/>
          <w:tab w:val="left" w:pos="2268"/>
          <w:tab w:val="left" w:pos="2977"/>
          <w:tab w:val="left" w:pos="6096"/>
        </w:tabs>
        <w:spacing w:after="60" w:line="280" w:lineRule="exact"/>
        <w:rPr>
          <w:rFonts w:cs="Arial"/>
        </w:rPr>
      </w:pPr>
    </w:p>
    <w:p w14:paraId="66A5FD31" w14:textId="77777777" w:rsidR="0066337D" w:rsidRPr="00723D75" w:rsidRDefault="0066337D" w:rsidP="0066337D">
      <w:pPr>
        <w:tabs>
          <w:tab w:val="left" w:pos="1701"/>
          <w:tab w:val="left" w:pos="2268"/>
          <w:tab w:val="left" w:pos="2977"/>
          <w:tab w:val="left" w:pos="6096"/>
        </w:tabs>
        <w:spacing w:after="60" w:line="280" w:lineRule="exact"/>
        <w:rPr>
          <w:rFonts w:cs="Arial"/>
          <w:b/>
          <w:bCs/>
          <w:i/>
          <w:iCs/>
        </w:rPr>
      </w:pPr>
      <w:r w:rsidRPr="00723D75">
        <w:rPr>
          <w:rFonts w:cs="Arial"/>
          <w:b/>
          <w:bCs/>
          <w:i/>
          <w:iCs/>
        </w:rPr>
        <w:t>Disclaimer</w:t>
      </w:r>
    </w:p>
    <w:p w14:paraId="08EF3159" w14:textId="30F5C031" w:rsidR="0066337D" w:rsidRPr="00723D75" w:rsidRDefault="0066337D" w:rsidP="0066337D">
      <w:pPr>
        <w:tabs>
          <w:tab w:val="left" w:pos="1701"/>
          <w:tab w:val="left" w:pos="2268"/>
          <w:tab w:val="left" w:pos="2977"/>
          <w:tab w:val="left" w:pos="6096"/>
        </w:tabs>
        <w:spacing w:after="60" w:line="280" w:lineRule="exact"/>
        <w:rPr>
          <w:rFonts w:cs="Arial"/>
          <w:i/>
          <w:iCs/>
        </w:rPr>
      </w:pPr>
      <w:r w:rsidRPr="00723D75">
        <w:rPr>
          <w:rFonts w:cs="Arial"/>
          <w:i/>
          <w:iC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DPA, the </w:t>
      </w:r>
      <w:proofErr w:type="spellStart"/>
      <w:r w:rsidRPr="00723D75">
        <w:rPr>
          <w:rFonts w:cs="Arial"/>
          <w:i/>
          <w:iCs/>
        </w:rPr>
        <w:t>Offeror</w:t>
      </w:r>
      <w:proofErr w:type="spellEnd"/>
      <w:r w:rsidR="00505D07">
        <w:rPr>
          <w:rFonts w:cs="Arial"/>
          <w:i/>
          <w:iCs/>
        </w:rPr>
        <w:t>,</w:t>
      </w:r>
      <w:r w:rsidRPr="00723D75">
        <w:rPr>
          <w:rFonts w:cs="Arial"/>
          <w:i/>
          <w:iCs/>
        </w:rPr>
        <w:t xml:space="preserve"> </w:t>
      </w:r>
      <w:proofErr w:type="spellStart"/>
      <w:r w:rsidRPr="00723D75">
        <w:rPr>
          <w:rFonts w:cs="Arial"/>
          <w:i/>
          <w:iCs/>
        </w:rPr>
        <w:t>Gilde</w:t>
      </w:r>
      <w:proofErr w:type="spellEnd"/>
      <w:r w:rsidRPr="00723D75">
        <w:rPr>
          <w:rFonts w:cs="Arial"/>
          <w:i/>
          <w:iCs/>
        </w:rPr>
        <w:t xml:space="preserve"> </w:t>
      </w:r>
      <w:r w:rsidR="00505D07">
        <w:rPr>
          <w:rFonts w:cs="Arial"/>
          <w:i/>
          <w:iCs/>
        </w:rPr>
        <w:t xml:space="preserve">and TBL </w:t>
      </w:r>
      <w:r w:rsidRPr="00723D75">
        <w:rPr>
          <w:rFonts w:cs="Arial"/>
          <w:i/>
          <w:iCs/>
        </w:rPr>
        <w:t xml:space="preserve">disclaim any responsibility or liability for the violation of any such restrictions by any person. Any failure to comply with these restrictions may constitute a violation of the securities laws of that jurisdiction. Neither DPA, nor the </w:t>
      </w:r>
      <w:proofErr w:type="spellStart"/>
      <w:r w:rsidRPr="00723D75">
        <w:rPr>
          <w:rFonts w:cs="Arial"/>
          <w:i/>
          <w:iCs/>
        </w:rPr>
        <w:t>Offeror</w:t>
      </w:r>
      <w:proofErr w:type="spellEnd"/>
      <w:r w:rsidRPr="00723D75">
        <w:rPr>
          <w:rFonts w:cs="Arial"/>
          <w:i/>
          <w:iCs/>
        </w:rPr>
        <w:t xml:space="preserve"> nor </w:t>
      </w:r>
      <w:proofErr w:type="spellStart"/>
      <w:r w:rsidRPr="00723D75">
        <w:rPr>
          <w:rFonts w:cs="Arial"/>
          <w:i/>
          <w:iCs/>
        </w:rPr>
        <w:t>Gilde</w:t>
      </w:r>
      <w:proofErr w:type="spellEnd"/>
      <w:r w:rsidR="00505D07">
        <w:rPr>
          <w:rFonts w:cs="Arial"/>
          <w:i/>
          <w:iCs/>
        </w:rPr>
        <w:t xml:space="preserve"> nor TBL</w:t>
      </w:r>
      <w:r w:rsidRPr="00723D75">
        <w:rPr>
          <w:rFonts w:cs="Arial"/>
          <w:i/>
          <w:iCs/>
        </w:rPr>
        <w:t xml:space="preserve">, nor any of their advisors, assumes any responsibility for any violation of any of these restrictions. Any DPA shareholder who is in any doubt as </w:t>
      </w:r>
      <w:r w:rsidRPr="00723D75">
        <w:rPr>
          <w:rFonts w:cs="Arial"/>
          <w:i/>
          <w:iCs/>
        </w:rPr>
        <w:lastRenderedPageBreak/>
        <w:t xml:space="preserve">to his or her position should consult an appropriate professional advisor without delay. This announcement is not to be published or distributed in or to the United States, Canada or Japan. </w:t>
      </w:r>
    </w:p>
    <w:p w14:paraId="5B44D010" w14:textId="77777777" w:rsidR="0066337D" w:rsidRPr="00723D75" w:rsidRDefault="0066337D" w:rsidP="0066337D">
      <w:pPr>
        <w:tabs>
          <w:tab w:val="left" w:pos="1701"/>
          <w:tab w:val="left" w:pos="2268"/>
          <w:tab w:val="left" w:pos="2977"/>
          <w:tab w:val="left" w:pos="6096"/>
        </w:tabs>
        <w:spacing w:after="60" w:line="280" w:lineRule="exact"/>
        <w:rPr>
          <w:rFonts w:cs="Arial"/>
          <w:i/>
          <w:iCs/>
        </w:rPr>
      </w:pPr>
      <w:r w:rsidRPr="00723D75">
        <w:rPr>
          <w:rFonts w:cs="Arial"/>
          <w:i/>
          <w:iCs/>
        </w:rPr>
        <w:t>The information in the press release is not intended to be complete. This announcement is for information purposes only and does not constitute an offer or an invitation to acquire or dispose of any securities or investment advice or an inducement to enter into investment activity. This announcement does not constitute an offer to sell or the solicitation of an offer to buy or acquire the securities of DPA in any jurisdiction.</w:t>
      </w:r>
    </w:p>
    <w:p w14:paraId="79EEE082" w14:textId="77777777" w:rsidR="0066337D" w:rsidRPr="00723D75" w:rsidRDefault="0066337D" w:rsidP="0066337D">
      <w:pPr>
        <w:tabs>
          <w:tab w:val="left" w:pos="1701"/>
          <w:tab w:val="left" w:pos="2268"/>
          <w:tab w:val="left" w:pos="2977"/>
          <w:tab w:val="left" w:pos="6096"/>
        </w:tabs>
        <w:spacing w:after="60" w:line="280" w:lineRule="exact"/>
        <w:rPr>
          <w:rFonts w:cs="Arial"/>
          <w:i/>
          <w:iCs/>
        </w:rPr>
      </w:pPr>
    </w:p>
    <w:p w14:paraId="5C27CE3D" w14:textId="77777777" w:rsidR="0066337D" w:rsidRPr="00723D75" w:rsidRDefault="0066337D" w:rsidP="0066337D">
      <w:pPr>
        <w:tabs>
          <w:tab w:val="left" w:pos="1701"/>
          <w:tab w:val="left" w:pos="2268"/>
          <w:tab w:val="left" w:pos="2977"/>
          <w:tab w:val="left" w:pos="6096"/>
        </w:tabs>
        <w:spacing w:after="60" w:line="280" w:lineRule="exact"/>
        <w:rPr>
          <w:rFonts w:cs="Arial"/>
          <w:b/>
          <w:bCs/>
          <w:i/>
          <w:iCs/>
        </w:rPr>
      </w:pPr>
      <w:r w:rsidRPr="00723D75">
        <w:rPr>
          <w:rFonts w:cs="Arial"/>
          <w:b/>
          <w:bCs/>
          <w:i/>
          <w:iCs/>
        </w:rPr>
        <w:t>Forward Looking Statements</w:t>
      </w:r>
    </w:p>
    <w:p w14:paraId="7E1FF377" w14:textId="5EDAE114" w:rsidR="0066337D" w:rsidRPr="00723D75" w:rsidRDefault="0066337D" w:rsidP="0066337D">
      <w:pPr>
        <w:tabs>
          <w:tab w:val="left" w:pos="1701"/>
          <w:tab w:val="left" w:pos="2268"/>
          <w:tab w:val="left" w:pos="2977"/>
          <w:tab w:val="left" w:pos="6096"/>
        </w:tabs>
        <w:spacing w:after="60" w:line="280" w:lineRule="exact"/>
        <w:rPr>
          <w:rFonts w:cs="Arial"/>
          <w:i/>
          <w:iCs/>
        </w:rPr>
      </w:pPr>
      <w:r w:rsidRPr="00723D75">
        <w:rPr>
          <w:rFonts w:cs="Arial"/>
          <w:i/>
          <w:iCs/>
        </w:rPr>
        <w:t xml:space="preserve">Certain statements in this press release may be considered “forward-looking statements,” such as statements relating to the targeted timeline for the Offer. Forward-looking statements include those preceded by, followed by or that include the words “anticipated,” “expected” or similar expressions. These forward-looking statements speak only as of the date of this release. Although DPA, the </w:t>
      </w:r>
      <w:proofErr w:type="spellStart"/>
      <w:r w:rsidRPr="00723D75">
        <w:rPr>
          <w:rFonts w:cs="Arial"/>
          <w:i/>
          <w:iCs/>
        </w:rPr>
        <w:t>Offeror</w:t>
      </w:r>
      <w:proofErr w:type="spellEnd"/>
      <w:r w:rsidR="00505D07">
        <w:rPr>
          <w:rFonts w:cs="Arial"/>
          <w:i/>
          <w:iCs/>
        </w:rPr>
        <w:t>,</w:t>
      </w:r>
      <w:r w:rsidRPr="00723D75">
        <w:rPr>
          <w:rFonts w:cs="Arial"/>
          <w:i/>
          <w:iCs/>
        </w:rPr>
        <w:t xml:space="preserve"> </w:t>
      </w:r>
      <w:r w:rsidR="00505D07">
        <w:rPr>
          <w:rFonts w:cs="Arial"/>
          <w:i/>
          <w:iCs/>
        </w:rPr>
        <w:t xml:space="preserve"> </w:t>
      </w:r>
      <w:proofErr w:type="spellStart"/>
      <w:r w:rsidRPr="00723D75">
        <w:rPr>
          <w:rFonts w:cs="Arial"/>
          <w:i/>
          <w:iCs/>
        </w:rPr>
        <w:t>Gilde</w:t>
      </w:r>
      <w:proofErr w:type="spellEnd"/>
      <w:r w:rsidR="00505D07">
        <w:rPr>
          <w:rFonts w:cs="Arial"/>
          <w:i/>
          <w:iCs/>
        </w:rPr>
        <w:t xml:space="preserve"> and TBL</w:t>
      </w:r>
      <w:r w:rsidRPr="00723D75">
        <w:rPr>
          <w:rFonts w:cs="Arial"/>
          <w:i/>
          <w:iCs/>
        </w:rPr>
        <w:t xml:space="preserve"> believe that the assumptions upon which their respective financial information and their respective forward-looking statements are based are reasonable, they can give no assurance that these forward-looking statements will prove to be correct. Forward-looking statements are subject to risks, uncertainties and other factors that could cause actual results to differ materially from historical experience or from future results expressed or implied by such forward-looking statements. Potential risks and uncertainties include, but are not limited to, receipt of regulatory approvals without unexpected delays or conditions, the </w:t>
      </w:r>
      <w:proofErr w:type="spellStart"/>
      <w:r w:rsidRPr="00723D75">
        <w:rPr>
          <w:rFonts w:cs="Arial"/>
          <w:i/>
          <w:iCs/>
        </w:rPr>
        <w:t>Offeror’s</w:t>
      </w:r>
      <w:proofErr w:type="spellEnd"/>
      <w:r w:rsidRPr="00723D75">
        <w:rPr>
          <w:rFonts w:cs="Arial"/>
          <w:i/>
          <w:iCs/>
        </w:rPr>
        <w:t xml:space="preserve"> ability to successfully operate DPA without disruption to its other business activities, the </w:t>
      </w:r>
      <w:proofErr w:type="spellStart"/>
      <w:r w:rsidRPr="00723D75">
        <w:rPr>
          <w:rFonts w:cs="Arial"/>
          <w:i/>
          <w:iCs/>
        </w:rPr>
        <w:t>Offeror’s</w:t>
      </w:r>
      <w:proofErr w:type="spellEnd"/>
      <w:r w:rsidRPr="00723D75">
        <w:rPr>
          <w:rFonts w:cs="Arial"/>
          <w:i/>
          <w:iCs/>
        </w:rPr>
        <w:t xml:space="preserve"> ability to achieve the anticipated results from the acquisition of DPA, the effects of competition, economic conditions in the global markets in which DPA operate, and other factors that can be found in DPA’s, the </w:t>
      </w:r>
      <w:proofErr w:type="spellStart"/>
      <w:r w:rsidRPr="00723D75">
        <w:rPr>
          <w:rFonts w:cs="Arial"/>
          <w:i/>
          <w:iCs/>
        </w:rPr>
        <w:t>Offeror's</w:t>
      </w:r>
      <w:proofErr w:type="spellEnd"/>
      <w:r w:rsidR="00505D07">
        <w:rPr>
          <w:rFonts w:cs="Arial"/>
          <w:i/>
          <w:iCs/>
        </w:rPr>
        <w:t>, TBL’s</w:t>
      </w:r>
      <w:r w:rsidRPr="00723D75">
        <w:rPr>
          <w:rFonts w:cs="Arial"/>
          <w:i/>
          <w:iCs/>
        </w:rPr>
        <w:t xml:space="preserve"> and/or </w:t>
      </w:r>
      <w:proofErr w:type="spellStart"/>
      <w:r w:rsidRPr="00723D75">
        <w:rPr>
          <w:rFonts w:cs="Arial"/>
          <w:i/>
          <w:iCs/>
        </w:rPr>
        <w:t>Gilde’s</w:t>
      </w:r>
      <w:proofErr w:type="spellEnd"/>
      <w:r w:rsidRPr="00723D75">
        <w:rPr>
          <w:rFonts w:cs="Arial"/>
          <w:i/>
          <w:iCs/>
        </w:rPr>
        <w:t xml:space="preserve"> press releases and public filings.</w:t>
      </w:r>
    </w:p>
    <w:p w14:paraId="2ACC1F5B" w14:textId="1B847433" w:rsidR="00CB6CCB" w:rsidRPr="00723D75" w:rsidRDefault="0066337D" w:rsidP="0066337D">
      <w:pPr>
        <w:tabs>
          <w:tab w:val="left" w:pos="1701"/>
          <w:tab w:val="left" w:pos="2268"/>
          <w:tab w:val="left" w:pos="2977"/>
          <w:tab w:val="left" w:pos="6096"/>
        </w:tabs>
        <w:spacing w:after="60" w:line="280" w:lineRule="exact"/>
        <w:rPr>
          <w:rFonts w:cs="Arial"/>
          <w:i/>
          <w:iCs/>
        </w:rPr>
      </w:pPr>
      <w:r w:rsidRPr="00723D75">
        <w:rPr>
          <w:rFonts w:cs="Arial"/>
          <w:i/>
          <w:iCs/>
        </w:rPr>
        <w:t xml:space="preserve">Neither DPA, nor the </w:t>
      </w:r>
      <w:proofErr w:type="spellStart"/>
      <w:r w:rsidRPr="00723D75">
        <w:rPr>
          <w:rFonts w:cs="Arial"/>
          <w:i/>
          <w:iCs/>
        </w:rPr>
        <w:t>Offeror</w:t>
      </w:r>
      <w:proofErr w:type="spellEnd"/>
      <w:r w:rsidRPr="00723D75">
        <w:rPr>
          <w:rFonts w:cs="Arial"/>
          <w:i/>
          <w:iCs/>
        </w:rPr>
        <w:t xml:space="preserve"> nor </w:t>
      </w:r>
      <w:proofErr w:type="spellStart"/>
      <w:r w:rsidRPr="00723D75">
        <w:rPr>
          <w:rFonts w:cs="Arial"/>
          <w:i/>
          <w:iCs/>
        </w:rPr>
        <w:t>Gilde</w:t>
      </w:r>
      <w:proofErr w:type="spellEnd"/>
      <w:r w:rsidRPr="00723D75">
        <w:rPr>
          <w:rFonts w:cs="Arial"/>
          <w:i/>
          <w:iCs/>
        </w:rPr>
        <w:t>,</w:t>
      </w:r>
      <w:r w:rsidR="00505D07">
        <w:rPr>
          <w:rFonts w:cs="Arial"/>
          <w:i/>
          <w:iCs/>
        </w:rPr>
        <w:t xml:space="preserve"> nor TBL</w:t>
      </w:r>
      <w:r w:rsidRPr="00723D75">
        <w:rPr>
          <w:rFonts w:cs="Arial"/>
          <w:i/>
          <w:iCs/>
        </w:rPr>
        <w:t xml:space="preserve"> nor any of their advisors, accepts any responsibility for any financial information contained in this press release relating to the business, results of operations or financial condition of the other or their respective groups. Each of DPA, the </w:t>
      </w:r>
      <w:proofErr w:type="spellStart"/>
      <w:r w:rsidRPr="00723D75">
        <w:rPr>
          <w:rFonts w:cs="Arial"/>
          <w:i/>
          <w:iCs/>
        </w:rPr>
        <w:t>Offeror</w:t>
      </w:r>
      <w:proofErr w:type="spellEnd"/>
      <w:r w:rsidR="00505D07">
        <w:rPr>
          <w:rFonts w:cs="Arial"/>
          <w:i/>
          <w:iCs/>
        </w:rPr>
        <w:t>, TBL</w:t>
      </w:r>
      <w:r w:rsidRPr="00723D75">
        <w:rPr>
          <w:rFonts w:cs="Arial"/>
          <w:i/>
          <w:iCs/>
        </w:rPr>
        <w:t xml:space="preserve"> and </w:t>
      </w:r>
      <w:proofErr w:type="spellStart"/>
      <w:r w:rsidRPr="00723D75">
        <w:rPr>
          <w:rFonts w:cs="Arial"/>
          <w:i/>
          <w:iCs/>
        </w:rPr>
        <w:t>Gilde</w:t>
      </w:r>
      <w:proofErr w:type="spellEnd"/>
      <w:r w:rsidRPr="00723D75">
        <w:rPr>
          <w:rFonts w:cs="Arial"/>
          <w:i/>
          <w:iCs/>
        </w:rPr>
        <w:t xml:space="preserve"> expressly disclaims any obligation or undertaking to disseminate any updates or revisions to any forward-looking statements contained herein to reflect any change in the expectations with regard thereto or any change in events, conditions or circumstances on which any such statement is based.</w:t>
      </w:r>
    </w:p>
    <w:sectPr w:rsidR="00CB6CCB" w:rsidRPr="00723D75" w:rsidSect="007C21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AB5D1" w14:textId="77777777" w:rsidR="00E814D1" w:rsidRDefault="00E814D1" w:rsidP="00486C72">
      <w:pPr>
        <w:spacing w:after="0" w:line="240" w:lineRule="auto"/>
      </w:pPr>
      <w:r>
        <w:separator/>
      </w:r>
    </w:p>
  </w:endnote>
  <w:endnote w:type="continuationSeparator" w:id="0">
    <w:p w14:paraId="076724BF" w14:textId="77777777" w:rsidR="00E814D1" w:rsidRDefault="00E814D1" w:rsidP="0048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79C3" w14:textId="77777777" w:rsidR="00E814D1" w:rsidRDefault="00E814D1" w:rsidP="00486C72">
      <w:pPr>
        <w:spacing w:after="0" w:line="240" w:lineRule="auto"/>
      </w:pPr>
      <w:r>
        <w:separator/>
      </w:r>
    </w:p>
  </w:footnote>
  <w:footnote w:type="continuationSeparator" w:id="0">
    <w:p w14:paraId="3FA87626" w14:textId="77777777" w:rsidR="00E814D1" w:rsidRDefault="00E814D1" w:rsidP="00486C72">
      <w:pPr>
        <w:spacing w:after="0" w:line="240" w:lineRule="auto"/>
      </w:pPr>
      <w:r>
        <w:continuationSeparator/>
      </w:r>
    </w:p>
  </w:footnote>
  <w:footnote w:id="1">
    <w:p w14:paraId="57376A68" w14:textId="2D534D14" w:rsidR="00687AD6" w:rsidRPr="00687AD6" w:rsidRDefault="00687AD6">
      <w:pPr>
        <w:pStyle w:val="FootnoteText"/>
        <w:rPr>
          <w:lang w:val="en-US"/>
        </w:rPr>
      </w:pPr>
      <w:r w:rsidRPr="00687AD6">
        <w:rPr>
          <w:rStyle w:val="FootnoteReference"/>
          <w:sz w:val="16"/>
          <w:szCs w:val="16"/>
        </w:rPr>
        <w:footnoteRef/>
      </w:r>
      <w:r w:rsidRPr="00687AD6">
        <w:rPr>
          <w:sz w:val="16"/>
          <w:szCs w:val="16"/>
          <w:lang w:val="en-US"/>
        </w:rPr>
        <w:t xml:space="preserve">  </w:t>
      </w:r>
      <w:r>
        <w:rPr>
          <w:sz w:val="16"/>
          <w:szCs w:val="16"/>
          <w:lang w:val="en-US"/>
        </w:rPr>
        <w:t>GABF</w:t>
      </w:r>
      <w:r w:rsidRPr="00687AD6">
        <w:rPr>
          <w:sz w:val="16"/>
          <w:szCs w:val="16"/>
          <w:lang w:val="en-US"/>
        </w:rPr>
        <w:t xml:space="preserve"> holds 2,063,369 Shares in its capacity as custodian of </w:t>
      </w:r>
      <w:proofErr w:type="spellStart"/>
      <w:r w:rsidRPr="00687AD6">
        <w:rPr>
          <w:sz w:val="16"/>
          <w:szCs w:val="16"/>
          <w:lang w:val="en-US"/>
        </w:rPr>
        <w:t>Gestion</w:t>
      </w:r>
      <w:proofErr w:type="spellEnd"/>
      <w:r w:rsidRPr="00687AD6">
        <w:rPr>
          <w:sz w:val="16"/>
          <w:szCs w:val="16"/>
          <w:lang w:val="en-US"/>
        </w:rPr>
        <w:t xml:space="preserve"> </w:t>
      </w:r>
      <w:proofErr w:type="spellStart"/>
      <w:r w:rsidRPr="00687AD6">
        <w:rPr>
          <w:sz w:val="16"/>
          <w:szCs w:val="16"/>
          <w:lang w:val="en-US"/>
        </w:rPr>
        <w:t>Actief</w:t>
      </w:r>
      <w:proofErr w:type="spellEnd"/>
      <w:r w:rsidRPr="00687AD6">
        <w:rPr>
          <w:sz w:val="16"/>
          <w:szCs w:val="16"/>
          <w:lang w:val="en-US"/>
        </w:rPr>
        <w:t xml:space="preserve"> </w:t>
      </w:r>
      <w:proofErr w:type="spellStart"/>
      <w:r w:rsidRPr="00687AD6">
        <w:rPr>
          <w:sz w:val="16"/>
          <w:szCs w:val="16"/>
          <w:lang w:val="en-US"/>
        </w:rPr>
        <w:t>Beheer</w:t>
      </w:r>
      <w:proofErr w:type="spellEnd"/>
      <w:r w:rsidRPr="00687AD6">
        <w:rPr>
          <w:sz w:val="16"/>
          <w:szCs w:val="16"/>
          <w:lang w:val="en-US"/>
        </w:rPr>
        <w:t xml:space="preserve"> </w:t>
      </w:r>
      <w:proofErr w:type="spellStart"/>
      <w:r w:rsidRPr="00687AD6">
        <w:rPr>
          <w:sz w:val="16"/>
          <w:szCs w:val="16"/>
          <w:lang w:val="en-US"/>
        </w:rPr>
        <w:t>Fonds</w:t>
      </w:r>
      <w:proofErr w:type="spellEnd"/>
      <w:r w:rsidRPr="00687AD6">
        <w:rPr>
          <w:sz w:val="16"/>
          <w:szCs w:val="16"/>
          <w:lang w:val="en-US"/>
        </w:rPr>
        <w:t>. Pursuant to Section 5:45 paragraph 7 of the Dutch Financial Supervision Act (</w:t>
      </w:r>
      <w:r w:rsidRPr="00687AD6">
        <w:rPr>
          <w:i/>
          <w:iCs/>
          <w:sz w:val="16"/>
          <w:szCs w:val="16"/>
          <w:lang w:val="en-US"/>
        </w:rPr>
        <w:t xml:space="preserve">Wet op het </w:t>
      </w:r>
      <w:proofErr w:type="spellStart"/>
      <w:r w:rsidRPr="00687AD6">
        <w:rPr>
          <w:i/>
          <w:iCs/>
          <w:sz w:val="16"/>
          <w:szCs w:val="16"/>
          <w:lang w:val="en-US"/>
        </w:rPr>
        <w:t>financieel</w:t>
      </w:r>
      <w:proofErr w:type="spellEnd"/>
      <w:r w:rsidRPr="00687AD6">
        <w:rPr>
          <w:i/>
          <w:iCs/>
          <w:sz w:val="16"/>
          <w:szCs w:val="16"/>
          <w:lang w:val="en-US"/>
        </w:rPr>
        <w:t xml:space="preserve"> </w:t>
      </w:r>
      <w:proofErr w:type="spellStart"/>
      <w:r w:rsidRPr="00687AD6">
        <w:rPr>
          <w:i/>
          <w:iCs/>
          <w:sz w:val="16"/>
          <w:szCs w:val="16"/>
          <w:lang w:val="en-US"/>
        </w:rPr>
        <w:t>toezicht</w:t>
      </w:r>
      <w:proofErr w:type="spellEnd"/>
      <w:r w:rsidRPr="00687AD6">
        <w:rPr>
          <w:sz w:val="16"/>
          <w:szCs w:val="16"/>
          <w:lang w:val="en-US"/>
        </w:rPr>
        <w:t>), any securities (</w:t>
      </w:r>
      <w:proofErr w:type="spellStart"/>
      <w:r w:rsidRPr="00687AD6">
        <w:rPr>
          <w:i/>
          <w:iCs/>
          <w:sz w:val="16"/>
          <w:szCs w:val="16"/>
          <w:lang w:val="en-US"/>
        </w:rPr>
        <w:t>effecten</w:t>
      </w:r>
      <w:proofErr w:type="spellEnd"/>
      <w:r w:rsidRPr="00687AD6">
        <w:rPr>
          <w:sz w:val="16"/>
          <w:szCs w:val="16"/>
          <w:lang w:val="en-US"/>
        </w:rPr>
        <w:t>) owned by a custodian (</w:t>
      </w:r>
      <w:proofErr w:type="spellStart"/>
      <w:r w:rsidRPr="00687AD6">
        <w:rPr>
          <w:i/>
          <w:iCs/>
          <w:sz w:val="16"/>
          <w:szCs w:val="16"/>
          <w:lang w:val="en-US"/>
        </w:rPr>
        <w:t>bewaarder</w:t>
      </w:r>
      <w:proofErr w:type="spellEnd"/>
      <w:r w:rsidRPr="00687AD6">
        <w:rPr>
          <w:sz w:val="16"/>
          <w:szCs w:val="16"/>
          <w:lang w:val="en-US"/>
        </w:rPr>
        <w:t xml:space="preserve">) of a fund as well as the voting rights attached to such securities are deemed to be held by the investment manager of the fund. Consequently, the Shares owned by </w:t>
      </w:r>
      <w:proofErr w:type="spellStart"/>
      <w:r w:rsidRPr="00687AD6">
        <w:rPr>
          <w:sz w:val="16"/>
          <w:szCs w:val="16"/>
          <w:lang w:val="en-US"/>
        </w:rPr>
        <w:t>Gestion</w:t>
      </w:r>
      <w:proofErr w:type="spellEnd"/>
      <w:r w:rsidRPr="00687AD6">
        <w:rPr>
          <w:sz w:val="16"/>
          <w:szCs w:val="16"/>
          <w:lang w:val="en-US"/>
        </w:rPr>
        <w:t xml:space="preserve"> </w:t>
      </w:r>
      <w:proofErr w:type="spellStart"/>
      <w:r w:rsidRPr="00687AD6">
        <w:rPr>
          <w:sz w:val="16"/>
          <w:szCs w:val="16"/>
          <w:lang w:val="en-US"/>
        </w:rPr>
        <w:t>Actief</w:t>
      </w:r>
      <w:proofErr w:type="spellEnd"/>
      <w:r w:rsidRPr="00687AD6">
        <w:rPr>
          <w:sz w:val="16"/>
          <w:szCs w:val="16"/>
          <w:lang w:val="en-US"/>
        </w:rPr>
        <w:t xml:space="preserve"> </w:t>
      </w:r>
      <w:proofErr w:type="spellStart"/>
      <w:r w:rsidRPr="00687AD6">
        <w:rPr>
          <w:sz w:val="16"/>
          <w:szCs w:val="16"/>
          <w:lang w:val="en-US"/>
        </w:rPr>
        <w:t>Beheer</w:t>
      </w:r>
      <w:proofErr w:type="spellEnd"/>
      <w:r w:rsidRPr="00687AD6">
        <w:rPr>
          <w:sz w:val="16"/>
          <w:szCs w:val="16"/>
          <w:lang w:val="en-US"/>
        </w:rPr>
        <w:t xml:space="preserve"> </w:t>
      </w:r>
      <w:proofErr w:type="spellStart"/>
      <w:r w:rsidRPr="00687AD6">
        <w:rPr>
          <w:sz w:val="16"/>
          <w:szCs w:val="16"/>
          <w:lang w:val="en-US"/>
        </w:rPr>
        <w:t>Fonds</w:t>
      </w:r>
      <w:proofErr w:type="spellEnd"/>
      <w:r w:rsidRPr="00687AD6">
        <w:rPr>
          <w:sz w:val="16"/>
          <w:szCs w:val="16"/>
          <w:lang w:val="en-US"/>
        </w:rPr>
        <w:t xml:space="preserve"> as well as the voting rights attached to the Shares are deemed to be held by its investment manager </w:t>
      </w:r>
      <w:proofErr w:type="spellStart"/>
      <w:r w:rsidRPr="00687AD6">
        <w:rPr>
          <w:sz w:val="16"/>
          <w:szCs w:val="16"/>
          <w:lang w:val="en-US"/>
        </w:rPr>
        <w:t>Gestion</w:t>
      </w:r>
      <w:proofErr w:type="spellEnd"/>
      <w:r w:rsidRPr="00687AD6">
        <w:rPr>
          <w:sz w:val="16"/>
          <w:szCs w:val="16"/>
          <w:lang w:val="en-US"/>
        </w:rPr>
        <w:t xml:space="preserve">. </w:t>
      </w:r>
      <w:proofErr w:type="spellStart"/>
      <w:r w:rsidRPr="00687AD6">
        <w:rPr>
          <w:sz w:val="16"/>
          <w:szCs w:val="16"/>
          <w:lang w:val="en-US"/>
        </w:rPr>
        <w:t>Gestion</w:t>
      </w:r>
      <w:proofErr w:type="spellEnd"/>
      <w:r w:rsidRPr="00687AD6">
        <w:rPr>
          <w:sz w:val="16"/>
          <w:szCs w:val="16"/>
          <w:lang w:val="en-US"/>
        </w:rPr>
        <w:t xml:space="preserve"> is indirectly wholly owned by Mr. R.E. </w:t>
      </w:r>
      <w:proofErr w:type="spellStart"/>
      <w:r w:rsidRPr="00687AD6">
        <w:rPr>
          <w:sz w:val="16"/>
          <w:szCs w:val="16"/>
          <w:lang w:val="en-US"/>
        </w:rPr>
        <w:t>Strating</w:t>
      </w:r>
      <w:proofErr w:type="spellEnd"/>
      <w:r w:rsidRPr="00687AD6">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D367" w14:textId="77777777" w:rsidR="00125F3B" w:rsidRPr="00200FB0" w:rsidRDefault="00125F3B" w:rsidP="00DE6AF1">
    <w:pPr>
      <w:pStyle w:val="Header"/>
      <w:ind w:right="300"/>
      <w:jc w:val="right"/>
      <w:rPr>
        <w:bCs/>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242"/>
    <w:multiLevelType w:val="hybridMultilevel"/>
    <w:tmpl w:val="46EAE908"/>
    <w:lvl w:ilvl="0" w:tplc="C45EF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22365"/>
    <w:multiLevelType w:val="hybridMultilevel"/>
    <w:tmpl w:val="3C02A00E"/>
    <w:lvl w:ilvl="0" w:tplc="C0785084">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C21AD"/>
    <w:multiLevelType w:val="hybridMultilevel"/>
    <w:tmpl w:val="3E047A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AD1B0D"/>
    <w:multiLevelType w:val="hybridMultilevel"/>
    <w:tmpl w:val="13CA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E5E6A"/>
    <w:multiLevelType w:val="hybridMultilevel"/>
    <w:tmpl w:val="A9F6D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3D13CF"/>
    <w:multiLevelType w:val="hybridMultilevel"/>
    <w:tmpl w:val="494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81482"/>
    <w:multiLevelType w:val="multilevel"/>
    <w:tmpl w:val="4B682484"/>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doNotTrackMoves/>
  <w:doNotTrackFormatting/>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86C72"/>
    <w:rsid w:val="00003521"/>
    <w:rsid w:val="00015398"/>
    <w:rsid w:val="00015AC1"/>
    <w:rsid w:val="00016D30"/>
    <w:rsid w:val="00020A14"/>
    <w:rsid w:val="00020C35"/>
    <w:rsid w:val="000227FC"/>
    <w:rsid w:val="00024F15"/>
    <w:rsid w:val="00025289"/>
    <w:rsid w:val="000265A1"/>
    <w:rsid w:val="000277B4"/>
    <w:rsid w:val="00034E88"/>
    <w:rsid w:val="00042180"/>
    <w:rsid w:val="0004592D"/>
    <w:rsid w:val="00051081"/>
    <w:rsid w:val="0005660D"/>
    <w:rsid w:val="00062203"/>
    <w:rsid w:val="00066917"/>
    <w:rsid w:val="00072199"/>
    <w:rsid w:val="00077044"/>
    <w:rsid w:val="00080DD1"/>
    <w:rsid w:val="0008239B"/>
    <w:rsid w:val="00085B9B"/>
    <w:rsid w:val="0008762A"/>
    <w:rsid w:val="00092521"/>
    <w:rsid w:val="00093116"/>
    <w:rsid w:val="0009475D"/>
    <w:rsid w:val="000A4DC9"/>
    <w:rsid w:val="000B00B5"/>
    <w:rsid w:val="000B60F4"/>
    <w:rsid w:val="000B72D6"/>
    <w:rsid w:val="000C15F6"/>
    <w:rsid w:val="000C1BE0"/>
    <w:rsid w:val="000C661A"/>
    <w:rsid w:val="000C68E3"/>
    <w:rsid w:val="000D55DF"/>
    <w:rsid w:val="000E092E"/>
    <w:rsid w:val="000E2DD0"/>
    <w:rsid w:val="000E6319"/>
    <w:rsid w:val="000E6D55"/>
    <w:rsid w:val="000E7586"/>
    <w:rsid w:val="000E7E05"/>
    <w:rsid w:val="000F5E13"/>
    <w:rsid w:val="00112C78"/>
    <w:rsid w:val="00114135"/>
    <w:rsid w:val="00115694"/>
    <w:rsid w:val="001166D4"/>
    <w:rsid w:val="001224A7"/>
    <w:rsid w:val="00125F3B"/>
    <w:rsid w:val="0013053C"/>
    <w:rsid w:val="00133DDB"/>
    <w:rsid w:val="00136CE1"/>
    <w:rsid w:val="00136E65"/>
    <w:rsid w:val="001400F9"/>
    <w:rsid w:val="00142E56"/>
    <w:rsid w:val="00147BB8"/>
    <w:rsid w:val="00152F42"/>
    <w:rsid w:val="001537F5"/>
    <w:rsid w:val="0015750A"/>
    <w:rsid w:val="0016147D"/>
    <w:rsid w:val="00163120"/>
    <w:rsid w:val="00163AF2"/>
    <w:rsid w:val="001642A1"/>
    <w:rsid w:val="0017026F"/>
    <w:rsid w:val="00170545"/>
    <w:rsid w:val="001709D4"/>
    <w:rsid w:val="00181846"/>
    <w:rsid w:val="00181D0D"/>
    <w:rsid w:val="001843C1"/>
    <w:rsid w:val="0018453B"/>
    <w:rsid w:val="00185E06"/>
    <w:rsid w:val="00194AA8"/>
    <w:rsid w:val="001A54B8"/>
    <w:rsid w:val="001B0E0D"/>
    <w:rsid w:val="001B7B64"/>
    <w:rsid w:val="001C3FB0"/>
    <w:rsid w:val="001C513C"/>
    <w:rsid w:val="001C66AB"/>
    <w:rsid w:val="001C756A"/>
    <w:rsid w:val="001D575F"/>
    <w:rsid w:val="001D6B3C"/>
    <w:rsid w:val="001E71E5"/>
    <w:rsid w:val="00200FB0"/>
    <w:rsid w:val="002032B7"/>
    <w:rsid w:val="00203EE5"/>
    <w:rsid w:val="002064CB"/>
    <w:rsid w:val="00210981"/>
    <w:rsid w:val="00216A33"/>
    <w:rsid w:val="00217F66"/>
    <w:rsid w:val="002215CE"/>
    <w:rsid w:val="00221CF2"/>
    <w:rsid w:val="00233F1E"/>
    <w:rsid w:val="00246D0E"/>
    <w:rsid w:val="00252D00"/>
    <w:rsid w:val="002540B1"/>
    <w:rsid w:val="00255506"/>
    <w:rsid w:val="0026286F"/>
    <w:rsid w:val="00272876"/>
    <w:rsid w:val="00274F88"/>
    <w:rsid w:val="0027515B"/>
    <w:rsid w:val="002762F2"/>
    <w:rsid w:val="002770F1"/>
    <w:rsid w:val="0028480C"/>
    <w:rsid w:val="002856DE"/>
    <w:rsid w:val="002908B2"/>
    <w:rsid w:val="00291084"/>
    <w:rsid w:val="002920D7"/>
    <w:rsid w:val="00296420"/>
    <w:rsid w:val="002B21DF"/>
    <w:rsid w:val="002B38FC"/>
    <w:rsid w:val="002B3B41"/>
    <w:rsid w:val="002C15A4"/>
    <w:rsid w:val="002C27B3"/>
    <w:rsid w:val="002C2E46"/>
    <w:rsid w:val="002C3A31"/>
    <w:rsid w:val="002F261D"/>
    <w:rsid w:val="002F2AB6"/>
    <w:rsid w:val="00305B85"/>
    <w:rsid w:val="00317250"/>
    <w:rsid w:val="00332561"/>
    <w:rsid w:val="003329E7"/>
    <w:rsid w:val="00335D7F"/>
    <w:rsid w:val="00337728"/>
    <w:rsid w:val="00342B29"/>
    <w:rsid w:val="00352261"/>
    <w:rsid w:val="00360ED5"/>
    <w:rsid w:val="003618A8"/>
    <w:rsid w:val="00364AB6"/>
    <w:rsid w:val="0036558F"/>
    <w:rsid w:val="0037348F"/>
    <w:rsid w:val="00373B9D"/>
    <w:rsid w:val="00376387"/>
    <w:rsid w:val="003773A6"/>
    <w:rsid w:val="0038664F"/>
    <w:rsid w:val="003902E4"/>
    <w:rsid w:val="0039121D"/>
    <w:rsid w:val="0039540B"/>
    <w:rsid w:val="003968A2"/>
    <w:rsid w:val="00397F39"/>
    <w:rsid w:val="003A27A3"/>
    <w:rsid w:val="003A6DEE"/>
    <w:rsid w:val="003B35FA"/>
    <w:rsid w:val="003C0EE1"/>
    <w:rsid w:val="003C2E31"/>
    <w:rsid w:val="003C79CF"/>
    <w:rsid w:val="003D139D"/>
    <w:rsid w:val="003D3E81"/>
    <w:rsid w:val="003D454F"/>
    <w:rsid w:val="003F1B56"/>
    <w:rsid w:val="003F5325"/>
    <w:rsid w:val="003F5484"/>
    <w:rsid w:val="003F5A7B"/>
    <w:rsid w:val="003F6DF5"/>
    <w:rsid w:val="003F745D"/>
    <w:rsid w:val="004020C1"/>
    <w:rsid w:val="00402343"/>
    <w:rsid w:val="00402866"/>
    <w:rsid w:val="004033ED"/>
    <w:rsid w:val="00405181"/>
    <w:rsid w:val="00410D32"/>
    <w:rsid w:val="00412ADF"/>
    <w:rsid w:val="004154D7"/>
    <w:rsid w:val="00415802"/>
    <w:rsid w:val="00427FF8"/>
    <w:rsid w:val="00432ABB"/>
    <w:rsid w:val="0043570C"/>
    <w:rsid w:val="00435823"/>
    <w:rsid w:val="00436D06"/>
    <w:rsid w:val="004401D2"/>
    <w:rsid w:val="00444827"/>
    <w:rsid w:val="00450181"/>
    <w:rsid w:val="00460BBD"/>
    <w:rsid w:val="00463974"/>
    <w:rsid w:val="00473B70"/>
    <w:rsid w:val="004757B9"/>
    <w:rsid w:val="00481280"/>
    <w:rsid w:val="004846B9"/>
    <w:rsid w:val="00486C72"/>
    <w:rsid w:val="00487439"/>
    <w:rsid w:val="00491D36"/>
    <w:rsid w:val="0049626C"/>
    <w:rsid w:val="004A0C46"/>
    <w:rsid w:val="004A124A"/>
    <w:rsid w:val="004A1494"/>
    <w:rsid w:val="004A1BEF"/>
    <w:rsid w:val="004B1C1E"/>
    <w:rsid w:val="004B5B72"/>
    <w:rsid w:val="004C32DC"/>
    <w:rsid w:val="004C6520"/>
    <w:rsid w:val="004C734D"/>
    <w:rsid w:val="004D02AD"/>
    <w:rsid w:val="004D12F9"/>
    <w:rsid w:val="004D1F74"/>
    <w:rsid w:val="004D21E4"/>
    <w:rsid w:val="004D36EF"/>
    <w:rsid w:val="004D5B84"/>
    <w:rsid w:val="004F2E0B"/>
    <w:rsid w:val="004F71D7"/>
    <w:rsid w:val="004F78E0"/>
    <w:rsid w:val="00502CB3"/>
    <w:rsid w:val="00502E83"/>
    <w:rsid w:val="00504764"/>
    <w:rsid w:val="00505436"/>
    <w:rsid w:val="00505D07"/>
    <w:rsid w:val="00505FA3"/>
    <w:rsid w:val="00506406"/>
    <w:rsid w:val="00507784"/>
    <w:rsid w:val="00514C76"/>
    <w:rsid w:val="00523CCB"/>
    <w:rsid w:val="00524DB6"/>
    <w:rsid w:val="00527E90"/>
    <w:rsid w:val="00535586"/>
    <w:rsid w:val="00535BDF"/>
    <w:rsid w:val="0054357C"/>
    <w:rsid w:val="00555158"/>
    <w:rsid w:val="00557C62"/>
    <w:rsid w:val="00564DB5"/>
    <w:rsid w:val="005656AA"/>
    <w:rsid w:val="005667BD"/>
    <w:rsid w:val="00566A04"/>
    <w:rsid w:val="00570BAB"/>
    <w:rsid w:val="00571BFD"/>
    <w:rsid w:val="00571F7D"/>
    <w:rsid w:val="0057249B"/>
    <w:rsid w:val="00574606"/>
    <w:rsid w:val="00574FE5"/>
    <w:rsid w:val="00575D36"/>
    <w:rsid w:val="0057688B"/>
    <w:rsid w:val="0058199C"/>
    <w:rsid w:val="00582F5C"/>
    <w:rsid w:val="00582F98"/>
    <w:rsid w:val="005940A7"/>
    <w:rsid w:val="005A499C"/>
    <w:rsid w:val="005B290B"/>
    <w:rsid w:val="005B5484"/>
    <w:rsid w:val="005C0227"/>
    <w:rsid w:val="005C186A"/>
    <w:rsid w:val="005C3B8A"/>
    <w:rsid w:val="005C6BF5"/>
    <w:rsid w:val="005D19A4"/>
    <w:rsid w:val="005D37DE"/>
    <w:rsid w:val="005D4CF9"/>
    <w:rsid w:val="005D582E"/>
    <w:rsid w:val="005D76C5"/>
    <w:rsid w:val="005E1062"/>
    <w:rsid w:val="005E1A63"/>
    <w:rsid w:val="005F0B26"/>
    <w:rsid w:val="005F2B14"/>
    <w:rsid w:val="005F4D53"/>
    <w:rsid w:val="005F6457"/>
    <w:rsid w:val="00601505"/>
    <w:rsid w:val="006174EC"/>
    <w:rsid w:val="006230F0"/>
    <w:rsid w:val="006244A8"/>
    <w:rsid w:val="00624CF8"/>
    <w:rsid w:val="0062797F"/>
    <w:rsid w:val="00627A3B"/>
    <w:rsid w:val="00633440"/>
    <w:rsid w:val="00634B21"/>
    <w:rsid w:val="00635E15"/>
    <w:rsid w:val="00635E1C"/>
    <w:rsid w:val="00637DC5"/>
    <w:rsid w:val="00645670"/>
    <w:rsid w:val="00646D91"/>
    <w:rsid w:val="0065337B"/>
    <w:rsid w:val="0065572E"/>
    <w:rsid w:val="00655994"/>
    <w:rsid w:val="00656F93"/>
    <w:rsid w:val="0066337D"/>
    <w:rsid w:val="00672A84"/>
    <w:rsid w:val="00681F6B"/>
    <w:rsid w:val="00684C72"/>
    <w:rsid w:val="00687AD6"/>
    <w:rsid w:val="00692ECF"/>
    <w:rsid w:val="00696A30"/>
    <w:rsid w:val="006976BB"/>
    <w:rsid w:val="006A02CC"/>
    <w:rsid w:val="006A14D9"/>
    <w:rsid w:val="006A23D5"/>
    <w:rsid w:val="006B064E"/>
    <w:rsid w:val="006B3F75"/>
    <w:rsid w:val="006C207C"/>
    <w:rsid w:val="006C57CC"/>
    <w:rsid w:val="006C62B5"/>
    <w:rsid w:val="006D2ED4"/>
    <w:rsid w:val="006D33E5"/>
    <w:rsid w:val="006D6A79"/>
    <w:rsid w:val="006E0E7E"/>
    <w:rsid w:val="006E21D2"/>
    <w:rsid w:val="006E3778"/>
    <w:rsid w:val="006E4AD7"/>
    <w:rsid w:val="006E5E91"/>
    <w:rsid w:val="006E604A"/>
    <w:rsid w:val="006F29AD"/>
    <w:rsid w:val="00701184"/>
    <w:rsid w:val="00702685"/>
    <w:rsid w:val="00702ADF"/>
    <w:rsid w:val="00703A98"/>
    <w:rsid w:val="007047C0"/>
    <w:rsid w:val="00711C24"/>
    <w:rsid w:val="00717CA4"/>
    <w:rsid w:val="00723D75"/>
    <w:rsid w:val="00724AE1"/>
    <w:rsid w:val="00735532"/>
    <w:rsid w:val="00736F73"/>
    <w:rsid w:val="007374CA"/>
    <w:rsid w:val="00740770"/>
    <w:rsid w:val="00741C31"/>
    <w:rsid w:val="00741DBA"/>
    <w:rsid w:val="0074360C"/>
    <w:rsid w:val="00744FE6"/>
    <w:rsid w:val="00744FEE"/>
    <w:rsid w:val="00756F61"/>
    <w:rsid w:val="00757CAB"/>
    <w:rsid w:val="007620D4"/>
    <w:rsid w:val="007640CD"/>
    <w:rsid w:val="007644AC"/>
    <w:rsid w:val="0076788F"/>
    <w:rsid w:val="00767E29"/>
    <w:rsid w:val="007774C4"/>
    <w:rsid w:val="00777CA0"/>
    <w:rsid w:val="00777DB7"/>
    <w:rsid w:val="007803CC"/>
    <w:rsid w:val="007849D7"/>
    <w:rsid w:val="007A10D8"/>
    <w:rsid w:val="007A1431"/>
    <w:rsid w:val="007A1D68"/>
    <w:rsid w:val="007A4B7E"/>
    <w:rsid w:val="007B454E"/>
    <w:rsid w:val="007B608D"/>
    <w:rsid w:val="007C21E5"/>
    <w:rsid w:val="007D1E13"/>
    <w:rsid w:val="007D310D"/>
    <w:rsid w:val="007D41CC"/>
    <w:rsid w:val="007D6A64"/>
    <w:rsid w:val="007E02B3"/>
    <w:rsid w:val="007E0FEF"/>
    <w:rsid w:val="007E3075"/>
    <w:rsid w:val="007E313F"/>
    <w:rsid w:val="007E38DE"/>
    <w:rsid w:val="007F477D"/>
    <w:rsid w:val="00802A89"/>
    <w:rsid w:val="00811215"/>
    <w:rsid w:val="00815B1D"/>
    <w:rsid w:val="00821E11"/>
    <w:rsid w:val="00825293"/>
    <w:rsid w:val="00825EEF"/>
    <w:rsid w:val="0082709A"/>
    <w:rsid w:val="00833666"/>
    <w:rsid w:val="0083597D"/>
    <w:rsid w:val="008407FA"/>
    <w:rsid w:val="008538C9"/>
    <w:rsid w:val="00853A61"/>
    <w:rsid w:val="00853F1B"/>
    <w:rsid w:val="008564EF"/>
    <w:rsid w:val="00880C8A"/>
    <w:rsid w:val="00891027"/>
    <w:rsid w:val="00891297"/>
    <w:rsid w:val="0089147D"/>
    <w:rsid w:val="008951A5"/>
    <w:rsid w:val="00897EA2"/>
    <w:rsid w:val="008A2E1B"/>
    <w:rsid w:val="008A5688"/>
    <w:rsid w:val="008A7020"/>
    <w:rsid w:val="008B1AB7"/>
    <w:rsid w:val="008B3507"/>
    <w:rsid w:val="008B351A"/>
    <w:rsid w:val="008B481D"/>
    <w:rsid w:val="008B4FB6"/>
    <w:rsid w:val="008B7293"/>
    <w:rsid w:val="008C28FA"/>
    <w:rsid w:val="008C3AEF"/>
    <w:rsid w:val="008D0CB8"/>
    <w:rsid w:val="008D2B8C"/>
    <w:rsid w:val="008D4243"/>
    <w:rsid w:val="008D562B"/>
    <w:rsid w:val="008D68B6"/>
    <w:rsid w:val="008E0769"/>
    <w:rsid w:val="008E4C65"/>
    <w:rsid w:val="008F2B6E"/>
    <w:rsid w:val="009006BE"/>
    <w:rsid w:val="00904A3B"/>
    <w:rsid w:val="009074D4"/>
    <w:rsid w:val="00907FB8"/>
    <w:rsid w:val="00910040"/>
    <w:rsid w:val="00911BDE"/>
    <w:rsid w:val="00922818"/>
    <w:rsid w:val="0092287B"/>
    <w:rsid w:val="00923758"/>
    <w:rsid w:val="009260CA"/>
    <w:rsid w:val="0093616D"/>
    <w:rsid w:val="00953DC6"/>
    <w:rsid w:val="00955EA3"/>
    <w:rsid w:val="00956F6B"/>
    <w:rsid w:val="00961851"/>
    <w:rsid w:val="0096677B"/>
    <w:rsid w:val="009719AF"/>
    <w:rsid w:val="00971EB4"/>
    <w:rsid w:val="00973405"/>
    <w:rsid w:val="00974751"/>
    <w:rsid w:val="00986644"/>
    <w:rsid w:val="009A6536"/>
    <w:rsid w:val="009A7929"/>
    <w:rsid w:val="009B52E4"/>
    <w:rsid w:val="009B6426"/>
    <w:rsid w:val="009C77BF"/>
    <w:rsid w:val="009D1D7A"/>
    <w:rsid w:val="009D1DDB"/>
    <w:rsid w:val="009D4CAD"/>
    <w:rsid w:val="009D5413"/>
    <w:rsid w:val="009D7E6D"/>
    <w:rsid w:val="009E0022"/>
    <w:rsid w:val="009E05E5"/>
    <w:rsid w:val="009E1A90"/>
    <w:rsid w:val="009E34D3"/>
    <w:rsid w:val="009E6983"/>
    <w:rsid w:val="009F031B"/>
    <w:rsid w:val="009F03B9"/>
    <w:rsid w:val="009F236E"/>
    <w:rsid w:val="009F58FC"/>
    <w:rsid w:val="009F7AFB"/>
    <w:rsid w:val="009F7C13"/>
    <w:rsid w:val="00A00223"/>
    <w:rsid w:val="00A02300"/>
    <w:rsid w:val="00A05B5C"/>
    <w:rsid w:val="00A10C37"/>
    <w:rsid w:val="00A1489B"/>
    <w:rsid w:val="00A15E31"/>
    <w:rsid w:val="00A17606"/>
    <w:rsid w:val="00A20C3E"/>
    <w:rsid w:val="00A2151F"/>
    <w:rsid w:val="00A234B5"/>
    <w:rsid w:val="00A251CD"/>
    <w:rsid w:val="00A25FE8"/>
    <w:rsid w:val="00A307B2"/>
    <w:rsid w:val="00A3270C"/>
    <w:rsid w:val="00A35299"/>
    <w:rsid w:val="00A35569"/>
    <w:rsid w:val="00A42D38"/>
    <w:rsid w:val="00A454CA"/>
    <w:rsid w:val="00A52AD5"/>
    <w:rsid w:val="00A55219"/>
    <w:rsid w:val="00A571D8"/>
    <w:rsid w:val="00A61028"/>
    <w:rsid w:val="00A67D8A"/>
    <w:rsid w:val="00A86C79"/>
    <w:rsid w:val="00A926E0"/>
    <w:rsid w:val="00A938CE"/>
    <w:rsid w:val="00A96736"/>
    <w:rsid w:val="00A97553"/>
    <w:rsid w:val="00AA1009"/>
    <w:rsid w:val="00AA7395"/>
    <w:rsid w:val="00AB2AD5"/>
    <w:rsid w:val="00AB420C"/>
    <w:rsid w:val="00AB45D6"/>
    <w:rsid w:val="00AB6956"/>
    <w:rsid w:val="00AB788E"/>
    <w:rsid w:val="00AC069C"/>
    <w:rsid w:val="00AC37A8"/>
    <w:rsid w:val="00AC67E4"/>
    <w:rsid w:val="00AC7E37"/>
    <w:rsid w:val="00AD5262"/>
    <w:rsid w:val="00AD71FB"/>
    <w:rsid w:val="00AD7959"/>
    <w:rsid w:val="00AD7AF1"/>
    <w:rsid w:val="00AE5434"/>
    <w:rsid w:val="00AE63CC"/>
    <w:rsid w:val="00AF0C4B"/>
    <w:rsid w:val="00AF32D1"/>
    <w:rsid w:val="00AF4ACB"/>
    <w:rsid w:val="00AF5914"/>
    <w:rsid w:val="00AF5F6B"/>
    <w:rsid w:val="00B00632"/>
    <w:rsid w:val="00B02C78"/>
    <w:rsid w:val="00B04711"/>
    <w:rsid w:val="00B13E8D"/>
    <w:rsid w:val="00B15241"/>
    <w:rsid w:val="00B16050"/>
    <w:rsid w:val="00B23220"/>
    <w:rsid w:val="00B32607"/>
    <w:rsid w:val="00B32EEC"/>
    <w:rsid w:val="00B37312"/>
    <w:rsid w:val="00B410DB"/>
    <w:rsid w:val="00B44CB2"/>
    <w:rsid w:val="00B526A4"/>
    <w:rsid w:val="00B53E7E"/>
    <w:rsid w:val="00B62F0E"/>
    <w:rsid w:val="00B64432"/>
    <w:rsid w:val="00B649EA"/>
    <w:rsid w:val="00B65519"/>
    <w:rsid w:val="00B7220E"/>
    <w:rsid w:val="00B72EB4"/>
    <w:rsid w:val="00B76905"/>
    <w:rsid w:val="00B804F5"/>
    <w:rsid w:val="00B86DDA"/>
    <w:rsid w:val="00B9086E"/>
    <w:rsid w:val="00B90C21"/>
    <w:rsid w:val="00B919F0"/>
    <w:rsid w:val="00B92075"/>
    <w:rsid w:val="00B9532A"/>
    <w:rsid w:val="00B96C16"/>
    <w:rsid w:val="00BA16DA"/>
    <w:rsid w:val="00BA213D"/>
    <w:rsid w:val="00BB6B0B"/>
    <w:rsid w:val="00BC2E9E"/>
    <w:rsid w:val="00BC48B2"/>
    <w:rsid w:val="00BC5207"/>
    <w:rsid w:val="00BC643A"/>
    <w:rsid w:val="00BD14EF"/>
    <w:rsid w:val="00BE289D"/>
    <w:rsid w:val="00BE6EF1"/>
    <w:rsid w:val="00BF0189"/>
    <w:rsid w:val="00BF4C12"/>
    <w:rsid w:val="00BF4F6C"/>
    <w:rsid w:val="00BF7FAD"/>
    <w:rsid w:val="00C0682B"/>
    <w:rsid w:val="00C0738F"/>
    <w:rsid w:val="00C075B4"/>
    <w:rsid w:val="00C07B9B"/>
    <w:rsid w:val="00C12549"/>
    <w:rsid w:val="00C20511"/>
    <w:rsid w:val="00C25D48"/>
    <w:rsid w:val="00C25F36"/>
    <w:rsid w:val="00C26D07"/>
    <w:rsid w:val="00C27871"/>
    <w:rsid w:val="00C32A96"/>
    <w:rsid w:val="00C35786"/>
    <w:rsid w:val="00C46BBB"/>
    <w:rsid w:val="00C61198"/>
    <w:rsid w:val="00C65024"/>
    <w:rsid w:val="00C65DB0"/>
    <w:rsid w:val="00C75783"/>
    <w:rsid w:val="00C812B2"/>
    <w:rsid w:val="00C81EFA"/>
    <w:rsid w:val="00C86033"/>
    <w:rsid w:val="00C860B5"/>
    <w:rsid w:val="00C90236"/>
    <w:rsid w:val="00C927B2"/>
    <w:rsid w:val="00C947EE"/>
    <w:rsid w:val="00C948E3"/>
    <w:rsid w:val="00CA7297"/>
    <w:rsid w:val="00CA761C"/>
    <w:rsid w:val="00CB09D6"/>
    <w:rsid w:val="00CB2024"/>
    <w:rsid w:val="00CB6CCB"/>
    <w:rsid w:val="00CB7F91"/>
    <w:rsid w:val="00CC170F"/>
    <w:rsid w:val="00CC2BAE"/>
    <w:rsid w:val="00CD2A2A"/>
    <w:rsid w:val="00CD2FBB"/>
    <w:rsid w:val="00CD79EA"/>
    <w:rsid w:val="00CE41FA"/>
    <w:rsid w:val="00D15607"/>
    <w:rsid w:val="00D24328"/>
    <w:rsid w:val="00D25ABB"/>
    <w:rsid w:val="00D316D6"/>
    <w:rsid w:val="00D3294D"/>
    <w:rsid w:val="00D3473C"/>
    <w:rsid w:val="00D34D05"/>
    <w:rsid w:val="00D43843"/>
    <w:rsid w:val="00D45651"/>
    <w:rsid w:val="00D467E9"/>
    <w:rsid w:val="00D4764F"/>
    <w:rsid w:val="00D47BB5"/>
    <w:rsid w:val="00D51A6C"/>
    <w:rsid w:val="00D537CE"/>
    <w:rsid w:val="00D538B1"/>
    <w:rsid w:val="00D56BE9"/>
    <w:rsid w:val="00D61F54"/>
    <w:rsid w:val="00D64A79"/>
    <w:rsid w:val="00D66931"/>
    <w:rsid w:val="00D71B06"/>
    <w:rsid w:val="00D73E40"/>
    <w:rsid w:val="00D76497"/>
    <w:rsid w:val="00D8522D"/>
    <w:rsid w:val="00D87F6E"/>
    <w:rsid w:val="00D93C64"/>
    <w:rsid w:val="00DB0517"/>
    <w:rsid w:val="00DB680F"/>
    <w:rsid w:val="00DB6EA5"/>
    <w:rsid w:val="00DB71A3"/>
    <w:rsid w:val="00DC0356"/>
    <w:rsid w:val="00DC0BFA"/>
    <w:rsid w:val="00DC1782"/>
    <w:rsid w:val="00DC76EA"/>
    <w:rsid w:val="00DC7B54"/>
    <w:rsid w:val="00DE1D02"/>
    <w:rsid w:val="00DE4274"/>
    <w:rsid w:val="00DE6AF1"/>
    <w:rsid w:val="00DF2A83"/>
    <w:rsid w:val="00DF5A5E"/>
    <w:rsid w:val="00E125AC"/>
    <w:rsid w:val="00E13D80"/>
    <w:rsid w:val="00E211E3"/>
    <w:rsid w:val="00E25B63"/>
    <w:rsid w:val="00E3181D"/>
    <w:rsid w:val="00E358DE"/>
    <w:rsid w:val="00E47C44"/>
    <w:rsid w:val="00E53E75"/>
    <w:rsid w:val="00E53F97"/>
    <w:rsid w:val="00E54041"/>
    <w:rsid w:val="00E608C5"/>
    <w:rsid w:val="00E62E50"/>
    <w:rsid w:val="00E75F04"/>
    <w:rsid w:val="00E81488"/>
    <w:rsid w:val="00E814D1"/>
    <w:rsid w:val="00E86045"/>
    <w:rsid w:val="00E90871"/>
    <w:rsid w:val="00E90C8B"/>
    <w:rsid w:val="00E963A8"/>
    <w:rsid w:val="00EA4AAD"/>
    <w:rsid w:val="00EA4C85"/>
    <w:rsid w:val="00EA520C"/>
    <w:rsid w:val="00EB2AEA"/>
    <w:rsid w:val="00EB6ED8"/>
    <w:rsid w:val="00EC049E"/>
    <w:rsid w:val="00EC1AD9"/>
    <w:rsid w:val="00EC5981"/>
    <w:rsid w:val="00EC6638"/>
    <w:rsid w:val="00ED6719"/>
    <w:rsid w:val="00ED6CC9"/>
    <w:rsid w:val="00ED76C9"/>
    <w:rsid w:val="00ED7BDA"/>
    <w:rsid w:val="00EE471A"/>
    <w:rsid w:val="00EE6B8A"/>
    <w:rsid w:val="00EE7D41"/>
    <w:rsid w:val="00EF0A29"/>
    <w:rsid w:val="00EF65CA"/>
    <w:rsid w:val="00F002EC"/>
    <w:rsid w:val="00F015BF"/>
    <w:rsid w:val="00F074C7"/>
    <w:rsid w:val="00F10C73"/>
    <w:rsid w:val="00F1141E"/>
    <w:rsid w:val="00F16282"/>
    <w:rsid w:val="00F166CF"/>
    <w:rsid w:val="00F214F3"/>
    <w:rsid w:val="00F23B6D"/>
    <w:rsid w:val="00F25333"/>
    <w:rsid w:val="00F30096"/>
    <w:rsid w:val="00F32004"/>
    <w:rsid w:val="00F33047"/>
    <w:rsid w:val="00F34A3C"/>
    <w:rsid w:val="00F36458"/>
    <w:rsid w:val="00F37C44"/>
    <w:rsid w:val="00F41ABE"/>
    <w:rsid w:val="00F42F7F"/>
    <w:rsid w:val="00F4564B"/>
    <w:rsid w:val="00F469C5"/>
    <w:rsid w:val="00F50A9E"/>
    <w:rsid w:val="00F5147A"/>
    <w:rsid w:val="00F54724"/>
    <w:rsid w:val="00F617A2"/>
    <w:rsid w:val="00F6210D"/>
    <w:rsid w:val="00F665E2"/>
    <w:rsid w:val="00F70D67"/>
    <w:rsid w:val="00F82360"/>
    <w:rsid w:val="00F85111"/>
    <w:rsid w:val="00F90744"/>
    <w:rsid w:val="00F9337E"/>
    <w:rsid w:val="00F9505D"/>
    <w:rsid w:val="00F9541B"/>
    <w:rsid w:val="00F97D69"/>
    <w:rsid w:val="00FA014D"/>
    <w:rsid w:val="00FA1F01"/>
    <w:rsid w:val="00FA42BB"/>
    <w:rsid w:val="00FB314D"/>
    <w:rsid w:val="00FB6D6B"/>
    <w:rsid w:val="00FB6EE7"/>
    <w:rsid w:val="00FC7DCD"/>
    <w:rsid w:val="00FD3D7E"/>
    <w:rsid w:val="00FE18C7"/>
    <w:rsid w:val="00FE50BC"/>
    <w:rsid w:val="00FE7BEC"/>
    <w:rsid w:val="00FF37AB"/>
    <w:rsid w:val="00FF743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E0789DE"/>
  <w15:docId w15:val="{12D1AEFB-A70C-46E5-9528-D3AB4A85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70"/>
    <w:pPr>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86C72"/>
    <w:pPr>
      <w:spacing w:after="0" w:line="240" w:lineRule="atLeast"/>
    </w:pPr>
    <w:rPr>
      <w:rFonts w:eastAsia="Times New Roman" w:cs="Times New Roman"/>
      <w:color w:val="000000"/>
      <w:szCs w:val="20"/>
      <w:lang w:val="nl-NL"/>
    </w:rPr>
  </w:style>
  <w:style w:type="character" w:customStyle="1" w:styleId="FootnoteTextChar">
    <w:name w:val="Footnote Text Char"/>
    <w:basedOn w:val="DefaultParagraphFont"/>
    <w:link w:val="FootnoteText"/>
    <w:semiHidden/>
    <w:rsid w:val="00486C72"/>
    <w:rPr>
      <w:rFonts w:ascii="Arial" w:eastAsia="Times New Roman" w:hAnsi="Arial" w:cs="Times New Roman"/>
      <w:color w:val="000000"/>
      <w:sz w:val="20"/>
      <w:szCs w:val="20"/>
      <w:lang w:val="nl-NL"/>
    </w:rPr>
  </w:style>
  <w:style w:type="character" w:styleId="FootnoteReference">
    <w:name w:val="footnote reference"/>
    <w:semiHidden/>
    <w:rsid w:val="00486C72"/>
    <w:rPr>
      <w:rFonts w:ascii="Arial" w:hAnsi="Arial" w:cs="Times New Roman"/>
      <w:vertAlign w:val="superscript"/>
    </w:rPr>
  </w:style>
  <w:style w:type="paragraph" w:customStyle="1" w:styleId="Default">
    <w:name w:val="Default"/>
    <w:rsid w:val="00486C7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86C72"/>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3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8D"/>
    <w:rPr>
      <w:rFonts w:ascii="Segoe UI" w:hAnsi="Segoe UI" w:cs="Segoe UI"/>
      <w:sz w:val="18"/>
      <w:szCs w:val="18"/>
    </w:rPr>
  </w:style>
  <w:style w:type="character" w:styleId="CommentReference">
    <w:name w:val="annotation reference"/>
    <w:basedOn w:val="DefaultParagraphFont"/>
    <w:uiPriority w:val="99"/>
    <w:semiHidden/>
    <w:unhideWhenUsed/>
    <w:rsid w:val="00B64432"/>
    <w:rPr>
      <w:sz w:val="16"/>
      <w:szCs w:val="16"/>
    </w:rPr>
  </w:style>
  <w:style w:type="paragraph" w:styleId="CommentText">
    <w:name w:val="annotation text"/>
    <w:basedOn w:val="Normal"/>
    <w:link w:val="CommentTextChar"/>
    <w:uiPriority w:val="99"/>
    <w:semiHidden/>
    <w:unhideWhenUsed/>
    <w:rsid w:val="00B64432"/>
    <w:pPr>
      <w:spacing w:line="240" w:lineRule="auto"/>
    </w:pPr>
    <w:rPr>
      <w:szCs w:val="20"/>
    </w:rPr>
  </w:style>
  <w:style w:type="character" w:customStyle="1" w:styleId="CommentTextChar">
    <w:name w:val="Comment Text Char"/>
    <w:basedOn w:val="DefaultParagraphFont"/>
    <w:link w:val="CommentText"/>
    <w:uiPriority w:val="99"/>
    <w:semiHidden/>
    <w:rsid w:val="00B644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4432"/>
    <w:rPr>
      <w:b/>
      <w:bCs/>
    </w:rPr>
  </w:style>
  <w:style w:type="character" w:customStyle="1" w:styleId="CommentSubjectChar">
    <w:name w:val="Comment Subject Char"/>
    <w:basedOn w:val="CommentTextChar"/>
    <w:link w:val="CommentSubject"/>
    <w:uiPriority w:val="99"/>
    <w:semiHidden/>
    <w:rsid w:val="00B64432"/>
    <w:rPr>
      <w:rFonts w:ascii="Arial" w:hAnsi="Arial"/>
      <w:b/>
      <w:bCs/>
      <w:sz w:val="20"/>
      <w:szCs w:val="20"/>
    </w:rPr>
  </w:style>
  <w:style w:type="paragraph" w:styleId="Header">
    <w:name w:val="header"/>
    <w:basedOn w:val="Normal"/>
    <w:link w:val="HeaderChar"/>
    <w:uiPriority w:val="99"/>
    <w:unhideWhenUsed/>
    <w:rsid w:val="00C2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F36"/>
    <w:rPr>
      <w:rFonts w:ascii="Arial" w:hAnsi="Arial"/>
      <w:sz w:val="20"/>
    </w:rPr>
  </w:style>
  <w:style w:type="paragraph" w:styleId="Footer">
    <w:name w:val="footer"/>
    <w:basedOn w:val="Normal"/>
    <w:link w:val="FooterChar"/>
    <w:uiPriority w:val="99"/>
    <w:unhideWhenUsed/>
    <w:rsid w:val="00C2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F36"/>
    <w:rPr>
      <w:rFonts w:ascii="Arial" w:hAnsi="Arial"/>
      <w:sz w:val="20"/>
    </w:rPr>
  </w:style>
  <w:style w:type="paragraph" w:customStyle="1" w:styleId="AOGenNum1">
    <w:name w:val="AOGenNum1"/>
    <w:basedOn w:val="Normal"/>
    <w:rsid w:val="00450181"/>
    <w:pPr>
      <w:numPr>
        <w:numId w:val="7"/>
      </w:numPr>
      <w:spacing w:after="0" w:line="240" w:lineRule="auto"/>
    </w:pPr>
    <w:rPr>
      <w:rFonts w:eastAsia="Times New Roman" w:cs="Times New Roman"/>
      <w:szCs w:val="24"/>
      <w:lang w:val="en-US"/>
    </w:rPr>
  </w:style>
  <w:style w:type="paragraph" w:customStyle="1" w:styleId="AOGenNum1Para">
    <w:name w:val="AOGenNum1Para"/>
    <w:basedOn w:val="Normal"/>
    <w:rsid w:val="00450181"/>
    <w:pPr>
      <w:numPr>
        <w:ilvl w:val="1"/>
        <w:numId w:val="7"/>
      </w:numPr>
      <w:spacing w:after="0" w:line="240" w:lineRule="auto"/>
    </w:pPr>
    <w:rPr>
      <w:rFonts w:eastAsia="Times New Roman" w:cs="Times New Roman"/>
      <w:szCs w:val="24"/>
      <w:lang w:val="en-US"/>
    </w:rPr>
  </w:style>
  <w:style w:type="paragraph" w:customStyle="1" w:styleId="AOGenNum1List">
    <w:name w:val="AOGenNum1List"/>
    <w:basedOn w:val="Normal"/>
    <w:rsid w:val="00450181"/>
    <w:pPr>
      <w:numPr>
        <w:ilvl w:val="2"/>
        <w:numId w:val="7"/>
      </w:numPr>
      <w:spacing w:after="0" w:line="240" w:lineRule="auto"/>
    </w:pPr>
    <w:rPr>
      <w:rFonts w:eastAsia="Times New Roman" w:cs="Times New Roman"/>
      <w:szCs w:val="24"/>
      <w:lang w:val="en-US"/>
    </w:rPr>
  </w:style>
  <w:style w:type="paragraph" w:styleId="Revision">
    <w:name w:val="Revision"/>
    <w:hidden/>
    <w:uiPriority w:val="99"/>
    <w:semiHidden/>
    <w:rsid w:val="00432ABB"/>
    <w:pPr>
      <w:spacing w:after="0" w:line="240" w:lineRule="auto"/>
    </w:pPr>
    <w:rPr>
      <w:rFonts w:ascii="Arial" w:hAnsi="Arial"/>
      <w:sz w:val="20"/>
    </w:rPr>
  </w:style>
  <w:style w:type="table" w:styleId="TableGrid">
    <w:name w:val="Table Grid"/>
    <w:basedOn w:val="TableNormal"/>
    <w:uiPriority w:val="59"/>
    <w:rsid w:val="006D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723D7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A938CE"/>
    <w:rPr>
      <w:color w:val="0000FF" w:themeColor="hyperlink"/>
      <w:u w:val="single"/>
    </w:rPr>
  </w:style>
  <w:style w:type="character" w:customStyle="1" w:styleId="UnresolvedMention">
    <w:name w:val="Unresolved Mention"/>
    <w:basedOn w:val="DefaultParagraphFont"/>
    <w:uiPriority w:val="99"/>
    <w:semiHidden/>
    <w:unhideWhenUsed/>
    <w:rsid w:val="00A9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73">
      <w:bodyDiv w:val="1"/>
      <w:marLeft w:val="0"/>
      <w:marRight w:val="0"/>
      <w:marTop w:val="0"/>
      <w:marBottom w:val="0"/>
      <w:divBdr>
        <w:top w:val="none" w:sz="0" w:space="0" w:color="auto"/>
        <w:left w:val="none" w:sz="0" w:space="0" w:color="auto"/>
        <w:bottom w:val="none" w:sz="0" w:space="0" w:color="auto"/>
        <w:right w:val="none" w:sz="0" w:space="0" w:color="auto"/>
      </w:divBdr>
    </w:div>
    <w:div w:id="103306280">
      <w:bodyDiv w:val="1"/>
      <w:marLeft w:val="0"/>
      <w:marRight w:val="0"/>
      <w:marTop w:val="0"/>
      <w:marBottom w:val="0"/>
      <w:divBdr>
        <w:top w:val="none" w:sz="0" w:space="0" w:color="auto"/>
        <w:left w:val="none" w:sz="0" w:space="0" w:color="auto"/>
        <w:bottom w:val="none" w:sz="0" w:space="0" w:color="auto"/>
        <w:right w:val="none" w:sz="0" w:space="0" w:color="auto"/>
      </w:divBdr>
    </w:div>
    <w:div w:id="461115032">
      <w:bodyDiv w:val="1"/>
      <w:marLeft w:val="0"/>
      <w:marRight w:val="0"/>
      <w:marTop w:val="0"/>
      <w:marBottom w:val="0"/>
      <w:divBdr>
        <w:top w:val="none" w:sz="0" w:space="0" w:color="auto"/>
        <w:left w:val="none" w:sz="0" w:space="0" w:color="auto"/>
        <w:bottom w:val="none" w:sz="0" w:space="0" w:color="auto"/>
        <w:right w:val="none" w:sz="0" w:space="0" w:color="auto"/>
      </w:divBdr>
    </w:div>
    <w:div w:id="651255054">
      <w:bodyDiv w:val="1"/>
      <w:marLeft w:val="0"/>
      <w:marRight w:val="0"/>
      <w:marTop w:val="0"/>
      <w:marBottom w:val="0"/>
      <w:divBdr>
        <w:top w:val="none" w:sz="0" w:space="0" w:color="auto"/>
        <w:left w:val="none" w:sz="0" w:space="0" w:color="auto"/>
        <w:bottom w:val="none" w:sz="0" w:space="0" w:color="auto"/>
        <w:right w:val="none" w:sz="0" w:space="0" w:color="auto"/>
      </w:divBdr>
    </w:div>
    <w:div w:id="982193916">
      <w:bodyDiv w:val="1"/>
      <w:marLeft w:val="0"/>
      <w:marRight w:val="0"/>
      <w:marTop w:val="0"/>
      <w:marBottom w:val="0"/>
      <w:divBdr>
        <w:top w:val="none" w:sz="0" w:space="0" w:color="auto"/>
        <w:left w:val="none" w:sz="0" w:space="0" w:color="auto"/>
        <w:bottom w:val="none" w:sz="0" w:space="0" w:color="auto"/>
        <w:right w:val="none" w:sz="0" w:space="0" w:color="auto"/>
      </w:divBdr>
    </w:div>
    <w:div w:id="1065951184">
      <w:bodyDiv w:val="1"/>
      <w:marLeft w:val="0"/>
      <w:marRight w:val="0"/>
      <w:marTop w:val="0"/>
      <w:marBottom w:val="0"/>
      <w:divBdr>
        <w:top w:val="none" w:sz="0" w:space="0" w:color="auto"/>
        <w:left w:val="none" w:sz="0" w:space="0" w:color="auto"/>
        <w:bottom w:val="none" w:sz="0" w:space="0" w:color="auto"/>
        <w:right w:val="none" w:sz="0" w:space="0" w:color="auto"/>
      </w:divBdr>
    </w:div>
    <w:div w:id="1314144307">
      <w:bodyDiv w:val="1"/>
      <w:marLeft w:val="0"/>
      <w:marRight w:val="0"/>
      <w:marTop w:val="0"/>
      <w:marBottom w:val="0"/>
      <w:divBdr>
        <w:top w:val="none" w:sz="0" w:space="0" w:color="auto"/>
        <w:left w:val="none" w:sz="0" w:space="0" w:color="auto"/>
        <w:bottom w:val="none" w:sz="0" w:space="0" w:color="auto"/>
        <w:right w:val="none" w:sz="0" w:space="0" w:color="auto"/>
      </w:divBdr>
    </w:div>
    <w:div w:id="1347445012">
      <w:bodyDiv w:val="1"/>
      <w:marLeft w:val="0"/>
      <w:marRight w:val="0"/>
      <w:marTop w:val="0"/>
      <w:marBottom w:val="0"/>
      <w:divBdr>
        <w:top w:val="none" w:sz="0" w:space="0" w:color="auto"/>
        <w:left w:val="none" w:sz="0" w:space="0" w:color="auto"/>
        <w:bottom w:val="none" w:sz="0" w:space="0" w:color="auto"/>
        <w:right w:val="none" w:sz="0" w:space="0" w:color="auto"/>
      </w:divBdr>
    </w:div>
    <w:div w:id="1359085694">
      <w:bodyDiv w:val="1"/>
      <w:marLeft w:val="0"/>
      <w:marRight w:val="0"/>
      <w:marTop w:val="0"/>
      <w:marBottom w:val="0"/>
      <w:divBdr>
        <w:top w:val="none" w:sz="0" w:space="0" w:color="auto"/>
        <w:left w:val="none" w:sz="0" w:space="0" w:color="auto"/>
        <w:bottom w:val="none" w:sz="0" w:space="0" w:color="auto"/>
        <w:right w:val="none" w:sz="0" w:space="0" w:color="auto"/>
      </w:divBdr>
    </w:div>
    <w:div w:id="15977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mbenelux.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2539BDA78BF8E458ABD1F295BE7E793" ma:contentTypeVersion="276" ma:contentTypeDescription="Een nieuw document maken." ma:contentTypeScope="" ma:versionID="0925b5fdfe89b026d73833296f4a4b55">
  <xsd:schema xmlns:xsd="http://www.w3.org/2001/XMLSchema" xmlns:xs="http://www.w3.org/2001/XMLSchema" xmlns:p="http://schemas.microsoft.com/office/2006/metadata/properties" xmlns:ns1="http://schemas.microsoft.com/sharepoint/v3" xmlns:ns3="936c9f6d-703f-4492-b10b-5967c53212d1" xmlns:ns4="5680f38a-f2f3-41c0-822a-0f9d59293dd1" targetNamespace="http://schemas.microsoft.com/office/2006/metadata/properties" ma:root="true" ma:fieldsID="31568dcdf898140cb404981d98f1de0c" ns1:_="" ns3:_="" ns4:_="">
    <xsd:import namespace="http://schemas.microsoft.com/sharepoint/v3"/>
    <xsd:import namespace="936c9f6d-703f-4492-b10b-5967c53212d1"/>
    <xsd:import namespace="5680f38a-f2f3-41c0-822a-0f9d59293dd1"/>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ea8b9fb8-0a93-4c8d-8d55-760da22dee5b}" ma:internalName="TaxCatchAllLabel" ma:readOnly="true" ma:showField="CatchAllDataLabel" ma:web="5680f38a-f2f3-41c0-822a-0f9d59293dd1">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ea8b9fb8-0a93-4c8d-8d55-760da22dee5b}" ma:internalName="TaxCatchAll" ma:showField="CatchAllData" ma:web="5680f38a-f2f3-41c0-822a-0f9d59293dd1">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80f38a-f2f3-41c0-822a-0f9d59293dd1"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100122606</OrigineleLLObjectId>
    <Relatienummer xmlns="936c9f6d-703f-4492-b10b-5967c53212d1">BHL881</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5680f38a-f2f3-41c0-822a-0f9d59293dd1">BHL881-2-1112</_dlc_DocId>
    <_dlc_DocIdUrl xmlns="5680f38a-f2f3-41c0-822a-0f9d59293dd1">
      <Url>https://dms1.stelan.nl/instellingen/BHL881/_layouts/15/DocIdRedir.aspx?ID=BHL881-2-1112</Url>
      <Description>BHL881-2-1112</Description>
    </_dlc_DocIdUrl>
    <Scandatum xmlns="936c9f6d-703f-4492-b10b-5967c53212d1">2021-05-17T08:15:32+00:00</Scandatum>
    <Afzender xmlns="936c9f6d-703f-4492-b10b-5967c53212d1">DPA Group N.V.</Afzender>
    <Registratienummer xmlns="936c9f6d-703f-4492-b10b-5967c53212d1">68044</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116A4450-51CA-4868-8722-8B28E15B1572}">
  <ds:schemaRefs>
    <ds:schemaRef ds:uri="http://schemas.openxmlformats.org/officeDocument/2006/bibliography"/>
  </ds:schemaRefs>
</ds:datastoreItem>
</file>

<file path=customXml/itemProps2.xml><?xml version="1.0" encoding="utf-8"?>
<ds:datastoreItem xmlns:ds="http://schemas.openxmlformats.org/officeDocument/2006/customXml" ds:itemID="{AF048092-6F1A-4F1C-9A48-FE7F5473D3BE}"/>
</file>

<file path=customXml/itemProps3.xml><?xml version="1.0" encoding="utf-8"?>
<ds:datastoreItem xmlns:ds="http://schemas.openxmlformats.org/officeDocument/2006/customXml" ds:itemID="{9A93B53F-1DE9-458F-9FB7-FAD66B6AEB61}"/>
</file>

<file path=customXml/itemProps4.xml><?xml version="1.0" encoding="utf-8"?>
<ds:datastoreItem xmlns:ds="http://schemas.openxmlformats.org/officeDocument/2006/customXml" ds:itemID="{58909895-D321-4B13-B5F9-08591638A96C}"/>
</file>

<file path=customXml/itemProps5.xml><?xml version="1.0" encoding="utf-8"?>
<ds:datastoreItem xmlns:ds="http://schemas.openxmlformats.org/officeDocument/2006/customXml" ds:itemID="{41E6FE16-E67D-49ED-9C8D-4D574F75B8B0}"/>
</file>

<file path=customXml/itemProps6.xml><?xml version="1.0" encoding="utf-8"?>
<ds:datastoreItem xmlns:ds="http://schemas.openxmlformats.org/officeDocument/2006/customXml" ds:itemID="{D373EEC2-EE8F-435E-B266-BA34E7AE2B44}"/>
</file>

<file path=customXml/itemProps7.xml><?xml version="1.0" encoding="utf-8"?>
<ds:datastoreItem xmlns:ds="http://schemas.openxmlformats.org/officeDocument/2006/customXml" ds:itemID="{193E44C2-BABC-456C-A859-11D2826FC43C}"/>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7504</Characters>
  <Application>Microsoft Office Word</Application>
  <DocSecurity>4</DocSecurity>
  <Lines>62</Lines>
  <Paragraphs>17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Bank of America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68044_210514_Project People_Offeror acquires shares in DPA.docx</dc:title>
  <dc:creator>Jurre Alberts</dc:creator>
  <cp:lastModifiedBy>Lurvink, Jacqueline</cp:lastModifiedBy>
  <cp:revision>2</cp:revision>
  <cp:lastPrinted>2021-05-13T16:37:00Z</cp:lastPrinted>
  <dcterms:created xsi:type="dcterms:W3CDTF">2021-05-17T08:14:00Z</dcterms:created>
  <dcterms:modified xsi:type="dcterms:W3CDTF">2021-05-17T08:14:00Z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ient">
    <vt:lpwstr>0049162</vt:lpwstr>
  </property>
  <property fmtid="{D5CDD505-2E9C-101B-9397-08002B2CF9AE}" pid="4" name="Matter">
    <vt:lpwstr>0000500</vt:lpwstr>
  </property>
  <property fmtid="{D5CDD505-2E9C-101B-9397-08002B2CF9AE}" pid="5" name="cpClientMatter">
    <vt:lpwstr>0049162-0000500</vt:lpwstr>
  </property>
  <property fmtid="{D5CDD505-2E9C-101B-9397-08002B2CF9AE}" pid="6" name="cpDocRef">
    <vt:lpwstr>AMCO:7931840.2</vt:lpwstr>
  </property>
  <property fmtid="{D5CDD505-2E9C-101B-9397-08002B2CF9AE}" pid="7" name="cpCombinedRef">
    <vt:lpwstr>0049162-0000500 AMCO:7931840.2</vt:lpwstr>
  </property>
  <property fmtid="{D5CDD505-2E9C-101B-9397-08002B2CF9AE}" pid="8" name="Client Code">
    <vt:lpwstr>10527077</vt:lpwstr>
  </property>
  <property fmtid="{D5CDD505-2E9C-101B-9397-08002B2CF9AE}" pid="9" name="DEDocumentLocation">
    <vt:lpwstr>C:\Users\jgeleijn\AppData\Local\Linklaters\DocExplorer\Attachments\210326_Project People_Offeror acquires shares in DPA.docx</vt:lpwstr>
  </property>
  <property fmtid="{D5CDD505-2E9C-101B-9397-08002B2CF9AE}" pid="10" name="Document Number">
    <vt:lpwstr>A44130303</vt:lpwstr>
  </property>
  <property fmtid="{D5CDD505-2E9C-101B-9397-08002B2CF9AE}" pid="11" name="Last Modified">
    <vt:lpwstr>26 Mar 2021</vt:lpwstr>
  </property>
  <property fmtid="{D5CDD505-2E9C-101B-9397-08002B2CF9AE}" pid="12" name="Matter Number">
    <vt:lpwstr>L-307297</vt:lpwstr>
  </property>
  <property fmtid="{D5CDD505-2E9C-101B-9397-08002B2CF9AE}" pid="13" name="Mode">
    <vt:lpwstr>SendAs</vt:lpwstr>
  </property>
  <property fmtid="{D5CDD505-2E9C-101B-9397-08002B2CF9AE}" pid="14" name="Version">
    <vt:lpwstr>0.5</vt:lpwstr>
  </property>
  <property fmtid="{D5CDD505-2E9C-101B-9397-08002B2CF9AE}" pid="15" name="ObjectID">
    <vt:lpwstr>09001dc8958e69fc</vt:lpwstr>
  </property>
  <property fmtid="{D5CDD505-2E9C-101B-9397-08002B2CF9AE}" pid="16" name="ContentTypeId">
    <vt:lpwstr>0x010100AF3C3E63A8E348D0B83574E1B1F453E5003929ED3A8D04456685ACF4C22313EE1B003179F0876C424676AC6F62DFF7F73A170042539BDA78BF8E458ABD1F295BE7E793</vt:lpwstr>
  </property>
  <property fmtid="{D5CDD505-2E9C-101B-9397-08002B2CF9AE}" pid="17" name="VertrouwelijkheidTaxHTField0">
    <vt:lpwstr>B - AFM intern|7b7ff21d-0bb8-4cab-b8de-f0e80c0220e6</vt:lpwstr>
  </property>
  <property fmtid="{D5CDD505-2E9C-101B-9397-08002B2CF9AE}" pid="18" name="TaxKeyword">
    <vt:lpwstr/>
  </property>
  <property fmtid="{D5CDD505-2E9C-101B-9397-08002B2CF9AE}" pid="19" name="Kanaal">
    <vt:lpwstr>7;#Loket|2d658804-9364-49db-8388-b19b0f75bc5e</vt:lpwstr>
  </property>
  <property fmtid="{D5CDD505-2E9C-101B-9397-08002B2CF9AE}" pid="20" name="Toezichtstaak">
    <vt:lpwstr/>
  </property>
  <property fmtid="{D5CDD505-2E9C-101B-9397-08002B2CF9AE}" pid="21" name="Documenttype">
    <vt:lpwstr/>
  </property>
  <property fmtid="{D5CDD505-2E9C-101B-9397-08002B2CF9AE}" pid="22" name="Organisatieonderdeel">
    <vt:lpwstr>6;#DIV|60ad375a-4acb-46c1-99e9-7f617816c991</vt:lpwstr>
  </property>
  <property fmtid="{D5CDD505-2E9C-101B-9397-08002B2CF9AE}" pid="23" name="Proces">
    <vt:lpwstr/>
  </property>
  <property fmtid="{D5CDD505-2E9C-101B-9397-08002B2CF9AE}" pid="24" name="Vertrouwelijkheid">
    <vt:lpwstr>1;#B - AFM intern|7b7ff21d-0bb8-4cab-b8de-f0e80c0220e6</vt:lpwstr>
  </property>
  <property fmtid="{D5CDD505-2E9C-101B-9397-08002B2CF9AE}" pid="25" name="_dlc_DocIdItemGuid">
    <vt:lpwstr>e125c760-3de5-4a26-a88a-cbb68a75093c</vt:lpwstr>
  </property>
</Properties>
</file>