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E4613" w:rsidR="00906DD3" w:rsidP="00C33FD0" w:rsidRDefault="00906DD3" w14:paraId="77843FE3" w14:textId="77777777">
      <w:pPr>
        <w:spacing w:line="240" w:lineRule="auto"/>
        <w:jc w:val="both"/>
        <w:rPr>
          <w:rFonts w:eastAsia="Calibri" w:cs="Arial"/>
          <w:i/>
          <w:szCs w:val="19"/>
          <w:lang w:val="en-GB"/>
        </w:rPr>
      </w:pPr>
    </w:p>
    <w:p w:rsidRPr="009E4613" w:rsidR="004D4091" w:rsidP="00C33FD0" w:rsidRDefault="004D4091" w14:paraId="2793E44C" w14:textId="50FB8763">
      <w:pPr>
        <w:spacing w:line="240" w:lineRule="auto"/>
        <w:jc w:val="both"/>
        <w:rPr>
          <w:rFonts w:eastAsia="Calibri" w:cs="Arial"/>
          <w:i/>
          <w:szCs w:val="19"/>
          <w:lang w:val="en-GB"/>
        </w:rPr>
      </w:pPr>
      <w:r w:rsidRPr="009E4613">
        <w:rPr>
          <w:rFonts w:eastAsia="Calibri" w:cs="Arial"/>
          <w:i/>
          <w:szCs w:val="19"/>
          <w:lang w:val="en-GB"/>
        </w:rPr>
        <w:t xml:space="preserve">This is a joint press release by </w:t>
      </w:r>
      <w:r w:rsidR="00954AA2">
        <w:rPr>
          <w:rFonts w:eastAsia="Calibri" w:cs="Arial"/>
          <w:i/>
          <w:szCs w:val="19"/>
          <w:lang w:val="en-GB"/>
        </w:rPr>
        <w:t>Neways Electronics International</w:t>
      </w:r>
      <w:r w:rsidRPr="009E4613" w:rsidR="00680C03">
        <w:rPr>
          <w:rFonts w:eastAsia="Calibri" w:cs="Arial"/>
          <w:i/>
          <w:szCs w:val="19"/>
          <w:lang w:val="en-GB"/>
        </w:rPr>
        <w:t xml:space="preserve"> </w:t>
      </w:r>
      <w:r w:rsidRPr="009E4613">
        <w:rPr>
          <w:rFonts w:eastAsia="Calibri" w:cs="Arial"/>
          <w:i/>
          <w:szCs w:val="19"/>
          <w:lang w:val="en-GB"/>
        </w:rPr>
        <w:t>N.V.</w:t>
      </w:r>
      <w:r w:rsidRPr="009E4613" w:rsidR="00771945">
        <w:rPr>
          <w:rFonts w:eastAsia="Calibri" w:cs="Arial"/>
          <w:i/>
          <w:szCs w:val="19"/>
          <w:lang w:val="en-GB"/>
        </w:rPr>
        <w:t xml:space="preserve"> </w:t>
      </w:r>
      <w:r w:rsidRPr="00A44EED" w:rsidR="00771945">
        <w:rPr>
          <w:rFonts w:eastAsia="Calibri" w:cs="Arial"/>
          <w:i/>
          <w:szCs w:val="19"/>
          <w:lang w:val="en-GB"/>
        </w:rPr>
        <w:t>(</w:t>
      </w:r>
      <w:r w:rsidRPr="009E4613" w:rsidR="00771945">
        <w:rPr>
          <w:rFonts w:eastAsia="Calibri" w:cs="Arial"/>
          <w:i/>
          <w:szCs w:val="19"/>
          <w:lang w:val="en-GB"/>
        </w:rPr>
        <w:t>"</w:t>
      </w:r>
      <w:r w:rsidR="00954AA2">
        <w:rPr>
          <w:rFonts w:eastAsia="Calibri" w:cs="Arial"/>
          <w:b/>
          <w:i/>
          <w:szCs w:val="19"/>
          <w:lang w:val="en-GB"/>
        </w:rPr>
        <w:t>Neways</w:t>
      </w:r>
      <w:r w:rsidRPr="00A44EED" w:rsidR="00771945">
        <w:rPr>
          <w:rFonts w:eastAsia="Calibri" w:cs="Arial"/>
          <w:i/>
          <w:szCs w:val="19"/>
          <w:lang w:val="en-GB"/>
        </w:rPr>
        <w:t>")</w:t>
      </w:r>
      <w:r w:rsidRPr="009E4613" w:rsidR="000E7AB1">
        <w:rPr>
          <w:rFonts w:eastAsia="Calibri" w:cs="Arial"/>
          <w:i/>
          <w:szCs w:val="19"/>
          <w:lang w:val="en-GB"/>
        </w:rPr>
        <w:t>,</w:t>
      </w:r>
      <w:r w:rsidRPr="009E4613" w:rsidR="00771945">
        <w:rPr>
          <w:rFonts w:eastAsia="Calibri" w:cs="Arial"/>
          <w:i/>
          <w:szCs w:val="19"/>
          <w:lang w:val="en-GB"/>
        </w:rPr>
        <w:t xml:space="preserve"> </w:t>
      </w:r>
      <w:r w:rsidRPr="009E4613" w:rsidR="000E7AB1">
        <w:rPr>
          <w:rFonts w:eastAsia="Calibri" w:cs="Arial"/>
          <w:i/>
          <w:szCs w:val="19"/>
          <w:lang w:val="en-GB"/>
        </w:rPr>
        <w:t xml:space="preserve">and </w:t>
      </w:r>
      <w:r w:rsidRPr="00954AA2" w:rsidR="00954AA2">
        <w:rPr>
          <w:rFonts w:eastAsia="Calibri" w:cs="Arial"/>
          <w:i/>
          <w:szCs w:val="19"/>
          <w:lang w:val="en-GB"/>
        </w:rPr>
        <w:t>Infestos Sustainable Solutions B.V.</w:t>
      </w:r>
      <w:r w:rsidRPr="00954AA2" w:rsidR="00954AA2">
        <w:rPr>
          <w:rFonts w:eastAsia="Calibri" w:cs="Arial"/>
          <w:b/>
          <w:i/>
          <w:szCs w:val="19"/>
          <w:lang w:val="en-GB"/>
        </w:rPr>
        <w:t xml:space="preserve"> </w:t>
      </w:r>
      <w:r w:rsidRPr="00954AA2" w:rsidR="00954AA2">
        <w:rPr>
          <w:rFonts w:eastAsia="Calibri" w:cs="Arial"/>
          <w:i/>
          <w:szCs w:val="19"/>
          <w:lang w:val="en-GB"/>
        </w:rPr>
        <w:t xml:space="preserve">(the </w:t>
      </w:r>
      <w:r w:rsidRPr="0069596A" w:rsidR="00954AA2">
        <w:rPr>
          <w:rFonts w:eastAsia="Calibri" w:cs="Arial"/>
          <w:i/>
          <w:szCs w:val="19"/>
          <w:lang w:val="en-GB"/>
        </w:rPr>
        <w:t>“</w:t>
      </w:r>
      <w:r w:rsidRPr="00954AA2" w:rsidR="00954AA2">
        <w:rPr>
          <w:rFonts w:eastAsia="Calibri" w:cs="Arial"/>
          <w:b/>
          <w:i/>
          <w:szCs w:val="19"/>
          <w:lang w:val="en-GB"/>
        </w:rPr>
        <w:t>Offeror</w:t>
      </w:r>
      <w:r w:rsidRPr="0069596A" w:rsidR="00954AA2">
        <w:rPr>
          <w:rFonts w:eastAsia="Calibri" w:cs="Arial"/>
          <w:i/>
          <w:szCs w:val="19"/>
          <w:lang w:val="en-GB"/>
        </w:rPr>
        <w:t>”</w:t>
      </w:r>
      <w:r w:rsidRPr="00954AA2" w:rsidR="00954AA2">
        <w:rPr>
          <w:rFonts w:eastAsia="Calibri" w:cs="Arial"/>
          <w:i/>
          <w:szCs w:val="19"/>
          <w:lang w:val="en-GB"/>
        </w:rPr>
        <w:t>), a direct wholly-owned subsidiary of Infestos Sustainability B.V. (</w:t>
      </w:r>
      <w:r w:rsidR="0069596A">
        <w:rPr>
          <w:rFonts w:eastAsia="Calibri" w:cs="Arial"/>
          <w:i/>
          <w:szCs w:val="19"/>
          <w:lang w:val="en-GB"/>
        </w:rPr>
        <w:t>“</w:t>
      </w:r>
      <w:r w:rsidRPr="00954AA2" w:rsidR="00954AA2">
        <w:rPr>
          <w:rFonts w:eastAsia="Calibri" w:cs="Arial"/>
          <w:b/>
          <w:i/>
          <w:szCs w:val="19"/>
          <w:lang w:val="en-GB"/>
        </w:rPr>
        <w:t>Infestos Sustainability</w:t>
      </w:r>
      <w:r w:rsidR="0069596A">
        <w:rPr>
          <w:rFonts w:eastAsia="Calibri" w:cs="Arial"/>
          <w:i/>
          <w:szCs w:val="19"/>
          <w:lang w:val="en-GB"/>
        </w:rPr>
        <w:t>”</w:t>
      </w:r>
      <w:r w:rsidRPr="00954AA2" w:rsidR="00954AA2">
        <w:rPr>
          <w:rFonts w:eastAsia="Calibri" w:cs="Arial"/>
          <w:i/>
          <w:szCs w:val="19"/>
          <w:lang w:val="en-GB"/>
        </w:rPr>
        <w:t>)</w:t>
      </w:r>
      <w:r w:rsidR="00954AA2">
        <w:rPr>
          <w:rFonts w:eastAsia="Calibri" w:cs="Arial"/>
          <w:i/>
          <w:szCs w:val="19"/>
          <w:lang w:val="en-GB"/>
        </w:rPr>
        <w:t>,</w:t>
      </w:r>
      <w:r w:rsidRPr="009E4613" w:rsidR="000E7AB1">
        <w:rPr>
          <w:rFonts w:eastAsia="Calibri" w:cs="Arial"/>
          <w:i/>
          <w:szCs w:val="19"/>
          <w:lang w:val="en-GB"/>
        </w:rPr>
        <w:t xml:space="preserve"> </w:t>
      </w:r>
      <w:r w:rsidRPr="009E4613">
        <w:rPr>
          <w:rFonts w:eastAsia="Calibri" w:cs="Arial"/>
          <w:i/>
          <w:szCs w:val="19"/>
          <w:lang w:val="en-GB"/>
        </w:rPr>
        <w:t>pursuant to the provisions of Section 4, paragraph</w:t>
      </w:r>
      <w:r w:rsidR="00E07D95">
        <w:rPr>
          <w:rFonts w:eastAsia="Calibri" w:cs="Arial"/>
          <w:i/>
          <w:szCs w:val="19"/>
          <w:lang w:val="en-GB"/>
        </w:rPr>
        <w:t>s 1</w:t>
      </w:r>
      <w:r w:rsidR="00DB730A">
        <w:rPr>
          <w:rFonts w:eastAsia="Calibri" w:cs="Arial"/>
          <w:i/>
          <w:szCs w:val="19"/>
          <w:lang w:val="en-GB"/>
        </w:rPr>
        <w:t xml:space="preserve"> and 3</w:t>
      </w:r>
      <w:r w:rsidR="00B579AB">
        <w:rPr>
          <w:rFonts w:eastAsia="Calibri" w:cs="Arial"/>
          <w:i/>
          <w:szCs w:val="19"/>
          <w:lang w:val="en-GB"/>
        </w:rPr>
        <w:t>,</w:t>
      </w:r>
      <w:r w:rsidRPr="009E4613">
        <w:rPr>
          <w:rFonts w:eastAsia="Calibri" w:cs="Arial"/>
          <w:i/>
          <w:szCs w:val="19"/>
          <w:lang w:val="en-GB"/>
        </w:rPr>
        <w:t xml:space="preserve"> Section </w:t>
      </w:r>
      <w:r w:rsidR="00E54279">
        <w:rPr>
          <w:rFonts w:eastAsia="Calibri" w:cs="Arial"/>
          <w:i/>
          <w:szCs w:val="19"/>
          <w:lang w:val="en-GB"/>
        </w:rPr>
        <w:t>10</w:t>
      </w:r>
      <w:r w:rsidRPr="009E4613">
        <w:rPr>
          <w:rFonts w:eastAsia="Calibri" w:cs="Arial"/>
          <w:i/>
          <w:szCs w:val="19"/>
          <w:lang w:val="en-GB"/>
        </w:rPr>
        <w:t>, paragraph</w:t>
      </w:r>
      <w:r w:rsidR="00E54279">
        <w:rPr>
          <w:rFonts w:eastAsia="Calibri" w:cs="Arial"/>
          <w:i/>
          <w:szCs w:val="19"/>
          <w:lang w:val="en-GB"/>
        </w:rPr>
        <w:t>s</w:t>
      </w:r>
      <w:r w:rsidRPr="009E4613">
        <w:rPr>
          <w:rFonts w:eastAsia="Calibri" w:cs="Arial"/>
          <w:i/>
          <w:szCs w:val="19"/>
          <w:lang w:val="en-GB"/>
        </w:rPr>
        <w:t xml:space="preserve"> 1 </w:t>
      </w:r>
      <w:r w:rsidR="00E54279">
        <w:rPr>
          <w:rFonts w:eastAsia="Calibri" w:cs="Arial"/>
          <w:i/>
          <w:szCs w:val="19"/>
          <w:lang w:val="en-GB"/>
        </w:rPr>
        <w:t xml:space="preserve">and 3 </w:t>
      </w:r>
      <w:r w:rsidRPr="009E4613">
        <w:rPr>
          <w:rFonts w:eastAsia="Calibri" w:cs="Arial"/>
          <w:i/>
          <w:szCs w:val="19"/>
          <w:lang w:val="en-GB"/>
        </w:rPr>
        <w:t xml:space="preserve">and Section </w:t>
      </w:r>
      <w:r w:rsidR="00E54279">
        <w:rPr>
          <w:rFonts w:eastAsia="Calibri" w:cs="Arial"/>
          <w:i/>
          <w:szCs w:val="19"/>
          <w:lang w:val="en-GB"/>
        </w:rPr>
        <w:t>18</w:t>
      </w:r>
      <w:r w:rsidRPr="009E4613">
        <w:rPr>
          <w:rFonts w:eastAsia="Calibri" w:cs="Arial"/>
          <w:i/>
          <w:szCs w:val="19"/>
          <w:lang w:val="en-GB"/>
        </w:rPr>
        <w:t xml:space="preserve">, paragraph </w:t>
      </w:r>
      <w:r w:rsidR="00E54279">
        <w:rPr>
          <w:rFonts w:eastAsia="Calibri" w:cs="Arial"/>
          <w:i/>
          <w:szCs w:val="19"/>
          <w:lang w:val="en-GB"/>
        </w:rPr>
        <w:t>3</w:t>
      </w:r>
      <w:r w:rsidRPr="009E4613">
        <w:rPr>
          <w:rFonts w:eastAsia="Calibri" w:cs="Arial"/>
          <w:i/>
          <w:szCs w:val="19"/>
          <w:lang w:val="en-GB"/>
        </w:rPr>
        <w:t xml:space="preserve"> of the Netherlands Decree </w:t>
      </w:r>
      <w:r w:rsidR="001259D4">
        <w:rPr>
          <w:rFonts w:eastAsia="Calibri" w:cs="Arial"/>
          <w:i/>
          <w:szCs w:val="19"/>
          <w:lang w:val="en-GB"/>
        </w:rPr>
        <w:t>on</w:t>
      </w:r>
      <w:r w:rsidRPr="009E4613">
        <w:rPr>
          <w:rFonts w:eastAsia="Calibri" w:cs="Arial"/>
          <w:i/>
          <w:szCs w:val="19"/>
          <w:lang w:val="en-GB"/>
        </w:rPr>
        <w:t xml:space="preserve"> Public Takeover Bids (</w:t>
      </w:r>
      <w:proofErr w:type="spellStart"/>
      <w:r w:rsidRPr="009E4613">
        <w:rPr>
          <w:rFonts w:eastAsia="Calibri" w:cs="Arial"/>
          <w:i/>
          <w:szCs w:val="19"/>
          <w:lang w:val="en-GB"/>
        </w:rPr>
        <w:t>Besluit</w:t>
      </w:r>
      <w:proofErr w:type="spellEnd"/>
      <w:r w:rsidRPr="009E4613">
        <w:rPr>
          <w:rFonts w:eastAsia="Calibri" w:cs="Arial"/>
          <w:i/>
          <w:szCs w:val="19"/>
          <w:lang w:val="en-GB"/>
        </w:rPr>
        <w:t xml:space="preserve"> </w:t>
      </w:r>
      <w:proofErr w:type="spellStart"/>
      <w:r w:rsidRPr="009E4613">
        <w:rPr>
          <w:rFonts w:eastAsia="Calibri" w:cs="Arial"/>
          <w:i/>
          <w:szCs w:val="19"/>
          <w:lang w:val="en-GB"/>
        </w:rPr>
        <w:t>openbare</w:t>
      </w:r>
      <w:proofErr w:type="spellEnd"/>
      <w:r w:rsidRPr="009E4613">
        <w:rPr>
          <w:rFonts w:eastAsia="Calibri" w:cs="Arial"/>
          <w:i/>
          <w:szCs w:val="19"/>
          <w:lang w:val="en-GB"/>
        </w:rPr>
        <w:t xml:space="preserve"> </w:t>
      </w:r>
      <w:proofErr w:type="spellStart"/>
      <w:r w:rsidRPr="009E4613">
        <w:rPr>
          <w:rFonts w:eastAsia="Calibri" w:cs="Arial"/>
          <w:i/>
          <w:szCs w:val="19"/>
          <w:lang w:val="en-GB"/>
        </w:rPr>
        <w:t>biedingen</w:t>
      </w:r>
      <w:proofErr w:type="spellEnd"/>
      <w:r w:rsidRPr="009E4613">
        <w:rPr>
          <w:rFonts w:eastAsia="Calibri" w:cs="Arial"/>
          <w:i/>
          <w:szCs w:val="19"/>
          <w:lang w:val="en-GB"/>
        </w:rPr>
        <w:t xml:space="preserve"> Wft, the "</w:t>
      </w:r>
      <w:r w:rsidRPr="009E4613">
        <w:rPr>
          <w:rFonts w:eastAsia="Calibri" w:cs="Arial"/>
          <w:b/>
          <w:bCs/>
          <w:i/>
          <w:szCs w:val="19"/>
          <w:lang w:val="en-GB"/>
        </w:rPr>
        <w:t>Decree</w:t>
      </w:r>
      <w:r w:rsidRPr="009E4613">
        <w:rPr>
          <w:rFonts w:eastAsia="Calibri" w:cs="Arial"/>
          <w:i/>
          <w:szCs w:val="19"/>
          <w:lang w:val="en-GB"/>
        </w:rPr>
        <w:t xml:space="preserve">") in connection with </w:t>
      </w:r>
      <w:r w:rsidR="001259D4">
        <w:rPr>
          <w:rFonts w:eastAsia="Calibri" w:cs="Arial"/>
          <w:i/>
          <w:szCs w:val="19"/>
          <w:lang w:val="en-GB"/>
        </w:rPr>
        <w:t xml:space="preserve">the </w:t>
      </w:r>
      <w:r w:rsidRPr="009E4613" w:rsidR="00404C6D">
        <w:rPr>
          <w:rFonts w:eastAsia="Calibri" w:cs="Arial"/>
          <w:i/>
          <w:szCs w:val="19"/>
          <w:lang w:val="en-GB"/>
        </w:rPr>
        <w:t xml:space="preserve">recommended </w:t>
      </w:r>
      <w:r w:rsidRPr="009E4613">
        <w:rPr>
          <w:rFonts w:eastAsia="Calibri" w:cs="Arial"/>
          <w:i/>
          <w:szCs w:val="19"/>
          <w:lang w:val="en-GB"/>
        </w:rPr>
        <w:t>public offer</w:t>
      </w:r>
      <w:r w:rsidRPr="009E4613" w:rsidR="00BE6BDF">
        <w:rPr>
          <w:rFonts w:eastAsia="Calibri" w:cs="Arial"/>
          <w:i/>
          <w:szCs w:val="19"/>
          <w:lang w:val="en-GB"/>
        </w:rPr>
        <w:t xml:space="preserve"> by the Offeror </w:t>
      </w:r>
      <w:r w:rsidRPr="009E4613">
        <w:rPr>
          <w:rFonts w:eastAsia="Calibri" w:cs="Arial"/>
          <w:i/>
          <w:szCs w:val="19"/>
          <w:lang w:val="en-GB"/>
        </w:rPr>
        <w:t xml:space="preserve">for all the issued and outstanding ordinary shares in the capital of </w:t>
      </w:r>
      <w:r w:rsidR="00954AA2">
        <w:rPr>
          <w:rFonts w:eastAsia="Calibri" w:cs="Arial"/>
          <w:i/>
          <w:szCs w:val="19"/>
          <w:lang w:val="en-GB"/>
        </w:rPr>
        <w:t>Neways</w:t>
      </w:r>
      <w:r w:rsidR="0069596A">
        <w:rPr>
          <w:rFonts w:eastAsia="Calibri" w:cs="Arial"/>
          <w:i/>
          <w:szCs w:val="19"/>
          <w:lang w:val="en-GB"/>
        </w:rPr>
        <w:t xml:space="preserve"> (the “</w:t>
      </w:r>
      <w:r w:rsidRPr="0069596A" w:rsidR="0069596A">
        <w:rPr>
          <w:rFonts w:eastAsia="Calibri" w:cs="Arial"/>
          <w:b/>
          <w:i/>
          <w:szCs w:val="19"/>
          <w:lang w:val="en-GB"/>
        </w:rPr>
        <w:t>Shares</w:t>
      </w:r>
      <w:r w:rsidR="00E07D95">
        <w:rPr>
          <w:rFonts w:eastAsia="Calibri" w:cs="Arial"/>
          <w:i/>
          <w:szCs w:val="19"/>
          <w:lang w:val="en-GB"/>
        </w:rPr>
        <w:t xml:space="preserve">”). </w:t>
      </w:r>
      <w:r w:rsidRPr="009E4613">
        <w:rPr>
          <w:rFonts w:eastAsia="Calibri" w:cs="Arial"/>
          <w:i/>
          <w:szCs w:val="19"/>
          <w:lang w:val="en-GB"/>
        </w:rPr>
        <w:t xml:space="preserve">This </w:t>
      </w:r>
      <w:r w:rsidR="00630869">
        <w:rPr>
          <w:rFonts w:eastAsia="Calibri" w:cs="Arial"/>
          <w:i/>
          <w:szCs w:val="19"/>
          <w:lang w:val="en-GB"/>
        </w:rPr>
        <w:t>announcement</w:t>
      </w:r>
      <w:r w:rsidRPr="009E4613">
        <w:rPr>
          <w:rFonts w:eastAsia="Calibri" w:cs="Arial"/>
          <w:i/>
          <w:szCs w:val="19"/>
          <w:lang w:val="en-GB"/>
        </w:rPr>
        <w:t xml:space="preserve"> does not constitute an offer, or any solicitation of any offer, to buy or subscribe for any securities in </w:t>
      </w:r>
      <w:r w:rsidR="00954AA2">
        <w:rPr>
          <w:rFonts w:eastAsia="Calibri" w:cs="Arial"/>
          <w:i/>
          <w:szCs w:val="19"/>
          <w:lang w:val="en-GB"/>
        </w:rPr>
        <w:t>Neways</w:t>
      </w:r>
      <w:r w:rsidRPr="009E4613">
        <w:rPr>
          <w:rFonts w:eastAsia="Calibri" w:cs="Arial"/>
          <w:i/>
          <w:szCs w:val="19"/>
          <w:lang w:val="en-GB"/>
        </w:rPr>
        <w:t>.</w:t>
      </w:r>
      <w:r w:rsidRPr="009E4613" w:rsidR="00404C6D">
        <w:rPr>
          <w:rFonts w:eastAsia="Calibri" w:cs="Arial"/>
          <w:i/>
          <w:szCs w:val="19"/>
          <w:lang w:val="en-GB"/>
        </w:rPr>
        <w:t xml:space="preserve"> </w:t>
      </w:r>
      <w:r w:rsidR="00DB730A">
        <w:rPr>
          <w:rFonts w:eastAsia="Calibri" w:cs="Arial"/>
          <w:i/>
          <w:szCs w:val="19"/>
          <w:lang w:val="en-GB"/>
        </w:rPr>
        <w:t>The</w:t>
      </w:r>
      <w:r w:rsidR="00B579AB">
        <w:rPr>
          <w:rFonts w:eastAsia="Calibri" w:cs="Arial"/>
          <w:i/>
          <w:szCs w:val="19"/>
          <w:lang w:val="en-GB"/>
        </w:rPr>
        <w:t xml:space="preserve"> </w:t>
      </w:r>
      <w:r w:rsidRPr="009E4613">
        <w:rPr>
          <w:rFonts w:eastAsia="Calibri" w:cs="Arial"/>
          <w:i/>
          <w:szCs w:val="19"/>
          <w:lang w:val="en-GB"/>
        </w:rPr>
        <w:t xml:space="preserve">offer </w:t>
      </w:r>
      <w:r w:rsidR="00DB730A">
        <w:rPr>
          <w:rFonts w:eastAsia="Calibri" w:cs="Arial"/>
          <w:i/>
          <w:szCs w:val="19"/>
          <w:lang w:val="en-GB"/>
        </w:rPr>
        <w:t xml:space="preserve">is </w:t>
      </w:r>
      <w:r w:rsidRPr="009E4613">
        <w:rPr>
          <w:rFonts w:eastAsia="Calibri" w:cs="Arial"/>
          <w:i/>
          <w:szCs w:val="19"/>
          <w:lang w:val="en-GB"/>
        </w:rPr>
        <w:t xml:space="preserve">made only by means of </w:t>
      </w:r>
      <w:r w:rsidR="00E54279">
        <w:rPr>
          <w:rFonts w:eastAsia="Calibri" w:cs="Arial"/>
          <w:i/>
          <w:szCs w:val="19"/>
          <w:lang w:val="en-GB"/>
        </w:rPr>
        <w:t>the</w:t>
      </w:r>
      <w:r w:rsidRPr="009E4613">
        <w:rPr>
          <w:rFonts w:eastAsia="Calibri" w:cs="Arial"/>
          <w:i/>
          <w:szCs w:val="19"/>
          <w:lang w:val="en-GB"/>
        </w:rPr>
        <w:t xml:space="preserve"> offer memorandum (the "</w:t>
      </w:r>
      <w:r w:rsidRPr="009E4613">
        <w:rPr>
          <w:rFonts w:eastAsia="Calibri" w:cs="Arial"/>
          <w:b/>
          <w:bCs/>
          <w:i/>
          <w:szCs w:val="19"/>
          <w:lang w:val="en-GB"/>
        </w:rPr>
        <w:t>Offer Memorandum</w:t>
      </w:r>
      <w:r w:rsidRPr="009E4613">
        <w:rPr>
          <w:rFonts w:eastAsia="Calibri" w:cs="Arial"/>
          <w:i/>
          <w:szCs w:val="19"/>
          <w:lang w:val="en-GB"/>
        </w:rPr>
        <w:t xml:space="preserve">") approved by the </w:t>
      </w:r>
      <w:r w:rsidR="00E54279">
        <w:rPr>
          <w:rFonts w:eastAsia="Calibri" w:cs="Arial"/>
          <w:i/>
          <w:szCs w:val="19"/>
          <w:lang w:val="en-GB"/>
        </w:rPr>
        <w:t>Dutch Authority for Financial Markets (</w:t>
      </w:r>
      <w:r w:rsidRPr="00E54279" w:rsidR="00E54279">
        <w:rPr>
          <w:rFonts w:eastAsia="Calibri" w:cs="Arial"/>
          <w:i/>
          <w:szCs w:val="19"/>
          <w:lang w:val="en-GB"/>
        </w:rPr>
        <w:t xml:space="preserve">Stichting </w:t>
      </w:r>
      <w:proofErr w:type="spellStart"/>
      <w:r w:rsidRPr="00E54279" w:rsidR="00E54279">
        <w:rPr>
          <w:rFonts w:eastAsia="Calibri" w:cs="Arial"/>
          <w:i/>
          <w:szCs w:val="19"/>
          <w:lang w:val="en-GB"/>
        </w:rPr>
        <w:t>Autoriteit</w:t>
      </w:r>
      <w:proofErr w:type="spellEnd"/>
      <w:r w:rsidRPr="00E54279" w:rsidR="00E54279">
        <w:rPr>
          <w:rFonts w:eastAsia="Calibri" w:cs="Arial"/>
          <w:i/>
          <w:szCs w:val="19"/>
          <w:lang w:val="en-GB"/>
        </w:rPr>
        <w:t xml:space="preserve"> </w:t>
      </w:r>
      <w:proofErr w:type="spellStart"/>
      <w:r w:rsidRPr="00E54279" w:rsidR="00E54279">
        <w:rPr>
          <w:rFonts w:eastAsia="Calibri" w:cs="Arial"/>
          <w:i/>
          <w:szCs w:val="19"/>
          <w:lang w:val="en-GB"/>
        </w:rPr>
        <w:t>Financiële</w:t>
      </w:r>
      <w:proofErr w:type="spellEnd"/>
      <w:r w:rsidRPr="00E54279" w:rsidR="00E54279">
        <w:rPr>
          <w:rFonts w:eastAsia="Calibri" w:cs="Arial"/>
          <w:i/>
          <w:szCs w:val="19"/>
          <w:lang w:val="en-GB"/>
        </w:rPr>
        <w:t xml:space="preserve"> </w:t>
      </w:r>
      <w:proofErr w:type="spellStart"/>
      <w:r w:rsidRPr="00E54279" w:rsidR="00E54279">
        <w:rPr>
          <w:rFonts w:eastAsia="Calibri" w:cs="Arial"/>
          <w:i/>
          <w:szCs w:val="19"/>
          <w:lang w:val="en-GB"/>
        </w:rPr>
        <w:t>Markten</w:t>
      </w:r>
      <w:proofErr w:type="spellEnd"/>
      <w:r w:rsidR="00E54279">
        <w:rPr>
          <w:rFonts w:eastAsia="Calibri" w:cs="Arial"/>
          <w:i/>
          <w:szCs w:val="19"/>
          <w:lang w:val="en-GB"/>
        </w:rPr>
        <w:t xml:space="preserve"> (the “</w:t>
      </w:r>
      <w:r w:rsidRPr="00E54279">
        <w:rPr>
          <w:rFonts w:eastAsia="Calibri" w:cs="Arial"/>
          <w:b/>
          <w:i/>
          <w:szCs w:val="19"/>
          <w:lang w:val="en-GB"/>
        </w:rPr>
        <w:t>AFM</w:t>
      </w:r>
      <w:r w:rsidR="00E54279">
        <w:rPr>
          <w:rFonts w:eastAsia="Calibri" w:cs="Arial"/>
          <w:i/>
          <w:szCs w:val="19"/>
          <w:lang w:val="en-GB"/>
        </w:rPr>
        <w:t>”)</w:t>
      </w:r>
      <w:r w:rsidR="000B20BC">
        <w:rPr>
          <w:rFonts w:eastAsia="Calibri" w:cs="Arial"/>
          <w:i/>
          <w:szCs w:val="19"/>
          <w:lang w:val="en-GB"/>
        </w:rPr>
        <w:t>)</w:t>
      </w:r>
      <w:r w:rsidR="00E54279">
        <w:rPr>
          <w:rFonts w:eastAsia="Calibri" w:cs="Arial"/>
          <w:i/>
          <w:szCs w:val="19"/>
          <w:lang w:val="en-GB"/>
        </w:rPr>
        <w:t xml:space="preserve"> which is available as of today, and subject to the restrictions set forth therein</w:t>
      </w:r>
      <w:r w:rsidRPr="009E4613">
        <w:rPr>
          <w:rFonts w:eastAsia="Calibri" w:cs="Arial"/>
          <w:i/>
          <w:szCs w:val="19"/>
          <w:lang w:val="en-GB"/>
        </w:rPr>
        <w:t xml:space="preserve">. </w:t>
      </w:r>
      <w:bookmarkStart w:name="_Hlk64729295" w:id="0"/>
      <w:r w:rsidRPr="009E4613">
        <w:rPr>
          <w:rFonts w:eastAsia="Calibri" w:cs="Arial"/>
          <w:i/>
          <w:szCs w:val="19"/>
          <w:lang w:val="en-GB"/>
        </w:rPr>
        <w:t xml:space="preserve">This </w:t>
      </w:r>
      <w:r w:rsidR="00630869">
        <w:rPr>
          <w:rFonts w:eastAsia="Calibri" w:cs="Arial"/>
          <w:i/>
          <w:szCs w:val="19"/>
          <w:lang w:val="en-GB"/>
        </w:rPr>
        <w:t>announcement</w:t>
      </w:r>
      <w:r w:rsidR="005C02CC">
        <w:rPr>
          <w:rFonts w:eastAsia="Calibri" w:cs="Arial"/>
          <w:i/>
          <w:szCs w:val="19"/>
          <w:lang w:val="en-GB"/>
        </w:rPr>
        <w:t xml:space="preserve"> </w:t>
      </w:r>
      <w:r w:rsidRPr="009E4613">
        <w:rPr>
          <w:rFonts w:eastAsia="Calibri" w:cs="Arial"/>
          <w:i/>
          <w:szCs w:val="19"/>
          <w:lang w:val="en-GB"/>
        </w:rPr>
        <w:t>is not for release, publication or distribution, in whole or in part, in or i</w:t>
      </w:r>
      <w:r w:rsidR="00E54279">
        <w:rPr>
          <w:rFonts w:eastAsia="Calibri" w:cs="Arial"/>
          <w:i/>
          <w:szCs w:val="19"/>
          <w:lang w:val="en-GB"/>
        </w:rPr>
        <w:t>nto, directly or indirectly,</w:t>
      </w:r>
      <w:r w:rsidR="00E31C62">
        <w:rPr>
          <w:rFonts w:eastAsia="Calibri" w:cs="Arial"/>
          <w:i/>
          <w:szCs w:val="19"/>
          <w:lang w:val="en-GB"/>
        </w:rPr>
        <w:t xml:space="preserve"> </w:t>
      </w:r>
      <w:r w:rsidR="00E54279">
        <w:rPr>
          <w:rFonts w:eastAsia="Calibri" w:cs="Arial"/>
          <w:i/>
          <w:szCs w:val="19"/>
          <w:lang w:val="en-GB"/>
        </w:rPr>
        <w:t>in any jurisdiction in which such release, publication or distribution would be unlawful</w:t>
      </w:r>
      <w:r w:rsidRPr="009E4613">
        <w:rPr>
          <w:rFonts w:eastAsia="Calibri" w:cs="Arial"/>
          <w:i/>
          <w:szCs w:val="19"/>
          <w:lang w:val="en-GB"/>
        </w:rPr>
        <w:t xml:space="preserve">. </w:t>
      </w:r>
      <w:bookmarkEnd w:id="0"/>
    </w:p>
    <w:p w:rsidRPr="009E4613" w:rsidR="00906DD3" w:rsidP="00C33FD0" w:rsidRDefault="00906DD3" w14:paraId="6FAA02C3" w14:textId="77777777">
      <w:pPr>
        <w:jc w:val="both"/>
        <w:rPr>
          <w:rFonts w:cs="Arial"/>
          <w:szCs w:val="19"/>
          <w:lang w:val="en-GB"/>
        </w:rPr>
      </w:pPr>
    </w:p>
    <w:p w:rsidRPr="009E4613" w:rsidR="00D07081" w:rsidP="00515697" w:rsidRDefault="00954AA2" w14:paraId="6838D3CC" w14:textId="77777777">
      <w:pPr>
        <w:spacing w:line="276" w:lineRule="auto"/>
        <w:jc w:val="center"/>
        <w:rPr>
          <w:rFonts w:cs="Arial"/>
          <w:szCs w:val="19"/>
          <w:lang w:val="en-GB"/>
        </w:rPr>
      </w:pPr>
      <w:r>
        <w:rPr>
          <w:rFonts w:cs="Arial"/>
          <w:b/>
          <w:sz w:val="26"/>
          <w:szCs w:val="26"/>
          <w:lang w:val="en-GB"/>
        </w:rPr>
        <w:t>INFESTOS</w:t>
      </w:r>
      <w:r w:rsidRPr="00F45579" w:rsidR="00515537">
        <w:rPr>
          <w:rFonts w:cs="Arial"/>
          <w:b/>
          <w:sz w:val="26"/>
          <w:szCs w:val="26"/>
          <w:lang w:val="en-GB"/>
        </w:rPr>
        <w:t xml:space="preserve"> </w:t>
      </w:r>
      <w:r w:rsidR="00913A83">
        <w:rPr>
          <w:rFonts w:cs="Arial"/>
          <w:b/>
          <w:sz w:val="26"/>
          <w:szCs w:val="26"/>
          <w:lang w:val="en-GB"/>
        </w:rPr>
        <w:t xml:space="preserve">LAUNCHES </w:t>
      </w:r>
      <w:r w:rsidRPr="00F45579" w:rsidR="00515537">
        <w:rPr>
          <w:rFonts w:cs="Arial"/>
          <w:b/>
          <w:sz w:val="26"/>
          <w:szCs w:val="26"/>
          <w:lang w:val="en-GB"/>
        </w:rPr>
        <w:t>RECOMMENDED ALL-CASH OFFER</w:t>
      </w:r>
      <w:r w:rsidRPr="00F45579" w:rsidR="001339C7">
        <w:rPr>
          <w:rFonts w:cs="Arial"/>
          <w:b/>
          <w:sz w:val="26"/>
          <w:szCs w:val="26"/>
          <w:lang w:val="en-GB"/>
        </w:rPr>
        <w:t xml:space="preserve"> </w:t>
      </w:r>
      <w:r w:rsidR="00E54279">
        <w:rPr>
          <w:rFonts w:cs="Arial"/>
          <w:b/>
          <w:sz w:val="26"/>
          <w:szCs w:val="26"/>
          <w:lang w:val="en-GB"/>
        </w:rPr>
        <w:t xml:space="preserve">FOR </w:t>
      </w:r>
      <w:r>
        <w:rPr>
          <w:rFonts w:cs="Arial"/>
          <w:b/>
          <w:sz w:val="26"/>
          <w:szCs w:val="26"/>
          <w:lang w:val="en-GB"/>
        </w:rPr>
        <w:t>NEWAYS</w:t>
      </w:r>
      <w:r w:rsidR="00E54279">
        <w:rPr>
          <w:rFonts w:cs="Arial"/>
          <w:b/>
          <w:sz w:val="26"/>
          <w:szCs w:val="26"/>
          <w:lang w:val="en-GB"/>
        </w:rPr>
        <w:t xml:space="preserve"> SHARES</w:t>
      </w:r>
      <w:r w:rsidRPr="009E4613" w:rsidR="00624E94">
        <w:rPr>
          <w:rFonts w:cs="Arial"/>
          <w:b/>
          <w:szCs w:val="19"/>
          <w:lang w:val="en-GB"/>
        </w:rPr>
        <w:br/>
      </w:r>
    </w:p>
    <w:p w:rsidR="00493FBC" w:rsidP="00493FBC" w:rsidRDefault="00954AA2" w14:paraId="672214BF" w14:textId="6DF38E9B">
      <w:pPr>
        <w:pStyle w:val="ListParagraph"/>
        <w:ind w:left="0"/>
        <w:jc w:val="both"/>
        <w:rPr>
          <w:rFonts w:cs="Arial"/>
          <w:b/>
          <w:bCs/>
          <w:szCs w:val="19"/>
          <w:lang w:val="en-GB"/>
        </w:rPr>
      </w:pPr>
      <w:r>
        <w:rPr>
          <w:rFonts w:cs="Arial"/>
          <w:b/>
          <w:bCs/>
          <w:szCs w:val="19"/>
          <w:lang w:val="en-GB"/>
        </w:rPr>
        <w:t>Son</w:t>
      </w:r>
      <w:r w:rsidRPr="009E4613" w:rsidR="00493FBC">
        <w:rPr>
          <w:rFonts w:cs="Arial"/>
          <w:b/>
          <w:bCs/>
          <w:szCs w:val="19"/>
          <w:lang w:val="en-GB"/>
        </w:rPr>
        <w:t>/</w:t>
      </w:r>
      <w:proofErr w:type="spellStart"/>
      <w:r>
        <w:rPr>
          <w:rFonts w:cs="Arial"/>
          <w:b/>
          <w:bCs/>
          <w:szCs w:val="19"/>
          <w:lang w:val="en-GB"/>
        </w:rPr>
        <w:t>Enschede</w:t>
      </w:r>
      <w:proofErr w:type="spellEnd"/>
      <w:r w:rsidRPr="009E4613" w:rsidR="00493FBC">
        <w:rPr>
          <w:rFonts w:cs="Arial"/>
          <w:b/>
          <w:bCs/>
          <w:szCs w:val="19"/>
          <w:lang w:val="en-GB"/>
        </w:rPr>
        <w:t xml:space="preserve">, the Netherlands, </w:t>
      </w:r>
      <w:r w:rsidR="007E2EDF">
        <w:rPr>
          <w:rFonts w:cs="Arial"/>
          <w:b/>
          <w:bCs/>
          <w:szCs w:val="19"/>
          <w:lang w:val="en-GB"/>
        </w:rPr>
        <w:t xml:space="preserve">31 August </w:t>
      </w:r>
      <w:r w:rsidRPr="009E4613" w:rsidR="00493FBC">
        <w:rPr>
          <w:rFonts w:cs="Arial"/>
          <w:b/>
          <w:bCs/>
          <w:szCs w:val="19"/>
          <w:lang w:val="en-GB"/>
        </w:rPr>
        <w:t xml:space="preserve">2021 – </w:t>
      </w:r>
      <w:r w:rsidR="00493FBC">
        <w:rPr>
          <w:rFonts w:cs="Arial"/>
          <w:b/>
          <w:bCs/>
          <w:szCs w:val="19"/>
          <w:lang w:val="en-GB"/>
        </w:rPr>
        <w:t xml:space="preserve">Publication of the Offer Memorandum </w:t>
      </w:r>
      <w:r w:rsidRPr="009E4613" w:rsidR="00D926FE">
        <w:rPr>
          <w:rFonts w:cs="Arial"/>
          <w:b/>
          <w:bCs/>
          <w:szCs w:val="19"/>
          <w:lang w:val="en-GB"/>
        </w:rPr>
        <w:t>–</w:t>
      </w:r>
      <w:r w:rsidR="00493FBC">
        <w:rPr>
          <w:rFonts w:cs="Arial"/>
          <w:b/>
          <w:bCs/>
          <w:szCs w:val="19"/>
          <w:lang w:val="en-GB"/>
        </w:rPr>
        <w:t xml:space="preserve"> </w:t>
      </w:r>
      <w:r w:rsidR="005E6156">
        <w:rPr>
          <w:rFonts w:cs="Arial"/>
          <w:b/>
          <w:bCs/>
          <w:szCs w:val="19"/>
          <w:lang w:val="en-GB"/>
        </w:rPr>
        <w:t>Acceptance</w:t>
      </w:r>
      <w:r w:rsidR="00493FBC">
        <w:rPr>
          <w:rFonts w:cs="Arial"/>
          <w:b/>
          <w:bCs/>
          <w:szCs w:val="19"/>
          <w:lang w:val="en-GB"/>
        </w:rPr>
        <w:t xml:space="preserve"> Period ends </w:t>
      </w:r>
      <w:r w:rsidR="00E859C8">
        <w:rPr>
          <w:rFonts w:cs="Arial"/>
          <w:b/>
          <w:bCs/>
          <w:szCs w:val="19"/>
          <w:lang w:val="en-GB"/>
        </w:rPr>
        <w:t xml:space="preserve">on </w:t>
      </w:r>
      <w:r w:rsidR="007E2EDF">
        <w:rPr>
          <w:rFonts w:cs="Arial"/>
          <w:b/>
          <w:bCs/>
          <w:szCs w:val="19"/>
          <w:lang w:val="en-GB"/>
        </w:rPr>
        <w:t xml:space="preserve">27 October </w:t>
      </w:r>
      <w:r w:rsidR="00493FBC">
        <w:rPr>
          <w:rFonts w:cs="Arial"/>
          <w:b/>
          <w:bCs/>
          <w:szCs w:val="19"/>
          <w:lang w:val="en-GB"/>
        </w:rPr>
        <w:t>2021</w:t>
      </w:r>
      <w:r w:rsidR="006B17D3">
        <w:rPr>
          <w:rFonts w:cs="Arial"/>
          <w:b/>
          <w:bCs/>
          <w:szCs w:val="19"/>
          <w:lang w:val="en-GB"/>
        </w:rPr>
        <w:t xml:space="preserve"> at 17:40 hours CET</w:t>
      </w:r>
      <w:r w:rsidR="00493FBC">
        <w:rPr>
          <w:rFonts w:cs="Arial"/>
          <w:b/>
          <w:bCs/>
          <w:szCs w:val="19"/>
          <w:lang w:val="en-GB"/>
        </w:rPr>
        <w:t>, unless extended</w:t>
      </w:r>
    </w:p>
    <w:p w:rsidR="006B17D3" w:rsidP="00493FBC" w:rsidRDefault="006B17D3" w14:paraId="73F694DB" w14:textId="55B987F9">
      <w:pPr>
        <w:pStyle w:val="ListParagraph"/>
        <w:ind w:left="0"/>
        <w:jc w:val="both"/>
        <w:rPr>
          <w:rFonts w:cs="Arial"/>
          <w:b/>
          <w:bCs/>
          <w:szCs w:val="19"/>
          <w:lang w:val="en-GB"/>
        </w:rPr>
      </w:pPr>
    </w:p>
    <w:p w:rsidRPr="006B17D3" w:rsidR="006B17D3" w:rsidP="006B17D3" w:rsidRDefault="006B17D3" w14:paraId="49A24362" w14:textId="1D6C4FE5">
      <w:pPr>
        <w:jc w:val="both"/>
        <w:rPr>
          <w:rFonts w:cs="Arial"/>
          <w:szCs w:val="19"/>
          <w:lang w:val="en-GB"/>
        </w:rPr>
      </w:pPr>
      <w:r>
        <w:rPr>
          <w:rFonts w:cs="Arial"/>
          <w:szCs w:val="19"/>
          <w:lang w:val="en-GB"/>
        </w:rPr>
        <w:t xml:space="preserve">With reference to the publication of the Offer Memorandum today, the Offeror and Neways jointly announce that the Offeror is making a recommended public cash offer to all holders of </w:t>
      </w:r>
      <w:r w:rsidR="002008CC">
        <w:rPr>
          <w:rFonts w:cs="Arial"/>
          <w:szCs w:val="19"/>
          <w:lang w:val="en-GB"/>
        </w:rPr>
        <w:t>Shares</w:t>
      </w:r>
      <w:r w:rsidR="00E07D95">
        <w:rPr>
          <w:rFonts w:cs="Arial"/>
          <w:szCs w:val="19"/>
          <w:lang w:val="en-GB"/>
        </w:rPr>
        <w:t xml:space="preserve"> (each a “</w:t>
      </w:r>
      <w:r w:rsidRPr="00E07D95" w:rsidR="00E07D95">
        <w:rPr>
          <w:rFonts w:cs="Arial"/>
          <w:b/>
          <w:szCs w:val="19"/>
          <w:lang w:val="en-GB"/>
        </w:rPr>
        <w:t>Shareholder</w:t>
      </w:r>
      <w:r w:rsidR="00E07D95">
        <w:rPr>
          <w:rFonts w:cs="Arial"/>
          <w:szCs w:val="19"/>
          <w:lang w:val="en-GB"/>
        </w:rPr>
        <w:t>”)</w:t>
      </w:r>
      <w:r>
        <w:rPr>
          <w:rFonts w:cs="Arial"/>
          <w:szCs w:val="19"/>
          <w:lang w:val="en-GB"/>
        </w:rPr>
        <w:t xml:space="preserve"> at an offer price of EUR 14.55 in cash (</w:t>
      </w:r>
      <w:r w:rsidRPr="00480BF1">
        <w:rPr>
          <w:rFonts w:cs="Arial"/>
          <w:i/>
          <w:szCs w:val="19"/>
          <w:lang w:val="en-GB"/>
        </w:rPr>
        <w:t>cum dividend</w:t>
      </w:r>
      <w:r>
        <w:rPr>
          <w:rFonts w:cs="Arial"/>
          <w:szCs w:val="19"/>
          <w:lang w:val="en-GB"/>
        </w:rPr>
        <w:t>) per Share</w:t>
      </w:r>
      <w:r w:rsidRPr="00C549C8">
        <w:rPr>
          <w:rFonts w:cs="Arial"/>
          <w:szCs w:val="19"/>
          <w:lang w:val="en-GB"/>
        </w:rPr>
        <w:t xml:space="preserve"> </w:t>
      </w:r>
      <w:r>
        <w:rPr>
          <w:rFonts w:cs="Arial"/>
          <w:szCs w:val="19"/>
          <w:lang w:val="en-GB"/>
        </w:rPr>
        <w:t>(the “</w:t>
      </w:r>
      <w:r w:rsidRPr="000C7DAB">
        <w:rPr>
          <w:rFonts w:cs="Arial"/>
          <w:b/>
          <w:szCs w:val="19"/>
          <w:lang w:val="en-GB"/>
        </w:rPr>
        <w:t>Offer</w:t>
      </w:r>
      <w:r>
        <w:rPr>
          <w:rFonts w:cs="Arial"/>
          <w:szCs w:val="19"/>
          <w:lang w:val="en-GB"/>
        </w:rPr>
        <w:t>”</w:t>
      </w:r>
      <w:r w:rsidR="00FC6F9E">
        <w:rPr>
          <w:rFonts w:cs="Arial"/>
          <w:szCs w:val="19"/>
          <w:lang w:val="en-GB"/>
        </w:rPr>
        <w:t xml:space="preserve"> and together with the transactions contemplated in connection therewith including, to the extent applicable, the Squeeze-Out or the Post-Closing Merger Restructuring, the “</w:t>
      </w:r>
      <w:r w:rsidR="00FC6F9E">
        <w:rPr>
          <w:rFonts w:cs="Arial"/>
          <w:b/>
          <w:szCs w:val="19"/>
          <w:lang w:val="en-GB"/>
        </w:rPr>
        <w:t>Transaction</w:t>
      </w:r>
      <w:r w:rsidR="00FC6F9E">
        <w:rPr>
          <w:rFonts w:cs="Arial"/>
          <w:szCs w:val="19"/>
          <w:lang w:val="en-GB"/>
        </w:rPr>
        <w:t>”</w:t>
      </w:r>
      <w:r>
        <w:rPr>
          <w:rFonts w:cs="Arial"/>
          <w:szCs w:val="19"/>
          <w:lang w:val="en-GB"/>
        </w:rPr>
        <w:t>).</w:t>
      </w:r>
      <w:r w:rsidRPr="00904217">
        <w:rPr>
          <w:rFonts w:cs="Arial"/>
          <w:szCs w:val="19"/>
          <w:lang w:val="en-GB"/>
        </w:rPr>
        <w:t xml:space="preserve"> </w:t>
      </w:r>
      <w:r w:rsidRPr="000A64E2">
        <w:rPr>
          <w:rFonts w:cs="Arial"/>
          <w:szCs w:val="19"/>
          <w:lang w:val="en-GB"/>
        </w:rPr>
        <w:t>Terms not defined in this press release will have the meaning as set forth in the Offer Memorandum.</w:t>
      </w:r>
    </w:p>
    <w:p w:rsidR="00493FBC" w:rsidP="00C33FD0" w:rsidRDefault="00493FBC" w14:paraId="2182C2D9" w14:textId="77777777">
      <w:pPr>
        <w:jc w:val="both"/>
        <w:rPr>
          <w:rFonts w:cs="Arial"/>
          <w:b/>
          <w:bCs/>
          <w:szCs w:val="19"/>
          <w:lang w:val="en-GB"/>
        </w:rPr>
      </w:pPr>
    </w:p>
    <w:p w:rsidRPr="009E4613" w:rsidR="00D4324C" w:rsidP="00C33FD0" w:rsidRDefault="00D4324C" w14:paraId="3079C20B" w14:textId="77777777">
      <w:pPr>
        <w:jc w:val="both"/>
        <w:rPr>
          <w:rFonts w:cs="Arial"/>
          <w:b/>
          <w:bCs/>
          <w:szCs w:val="19"/>
          <w:lang w:val="en-GB"/>
        </w:rPr>
      </w:pPr>
      <w:r w:rsidRPr="009E4613">
        <w:rPr>
          <w:rFonts w:cs="Arial"/>
          <w:b/>
          <w:bCs/>
          <w:szCs w:val="19"/>
          <w:lang w:val="en-GB"/>
        </w:rPr>
        <w:t>Transaction highlights</w:t>
      </w:r>
      <w:r w:rsidRPr="009E4613" w:rsidR="00E56766">
        <w:rPr>
          <w:rFonts w:cs="Arial"/>
          <w:b/>
          <w:bCs/>
          <w:szCs w:val="19"/>
          <w:lang w:val="en-GB"/>
        </w:rPr>
        <w:t xml:space="preserve"> </w:t>
      </w:r>
    </w:p>
    <w:p w:rsidRPr="009E4613" w:rsidR="00581353" w:rsidP="008E376A" w:rsidRDefault="00065C4A" w14:paraId="4A15F736" w14:textId="4EBE134B">
      <w:pPr>
        <w:pStyle w:val="ListParagraph"/>
        <w:numPr>
          <w:ilvl w:val="0"/>
          <w:numId w:val="1"/>
        </w:numPr>
        <w:spacing w:after="120"/>
        <w:ind w:left="283" w:hanging="357"/>
        <w:jc w:val="both"/>
        <w:rPr>
          <w:rFonts w:cs="Arial"/>
          <w:szCs w:val="19"/>
          <w:lang w:val="en-GB"/>
        </w:rPr>
      </w:pPr>
      <w:r>
        <w:rPr>
          <w:rFonts w:cs="Arial"/>
          <w:szCs w:val="19"/>
          <w:lang w:val="en-GB"/>
        </w:rPr>
        <w:t xml:space="preserve">Recommended all-cash public offer by the Offeror </w:t>
      </w:r>
      <w:r w:rsidRPr="008A5DEC" w:rsidR="008A5DEC">
        <w:rPr>
          <w:rFonts w:cs="Arial"/>
          <w:szCs w:val="19"/>
          <w:lang w:val="en-GB"/>
        </w:rPr>
        <w:t xml:space="preserve">for all the issued and outstanding ordinary shares </w:t>
      </w:r>
      <w:r w:rsidR="00FD5651">
        <w:rPr>
          <w:rFonts w:cs="Arial"/>
          <w:szCs w:val="19"/>
          <w:lang w:val="en-GB"/>
        </w:rPr>
        <w:t>in</w:t>
      </w:r>
      <w:r w:rsidRPr="008A5DEC" w:rsidR="008A5DEC">
        <w:rPr>
          <w:rFonts w:cs="Arial"/>
          <w:szCs w:val="19"/>
          <w:lang w:val="en-GB"/>
        </w:rPr>
        <w:t xml:space="preserve"> </w:t>
      </w:r>
      <w:r w:rsidR="009159C9">
        <w:rPr>
          <w:rFonts w:cs="Arial"/>
          <w:szCs w:val="19"/>
          <w:lang w:val="en-GB"/>
        </w:rPr>
        <w:t>Neways</w:t>
      </w:r>
      <w:r w:rsidR="008A5DEC">
        <w:rPr>
          <w:rFonts w:cs="Arial"/>
          <w:szCs w:val="19"/>
          <w:lang w:val="en-GB"/>
        </w:rPr>
        <w:t xml:space="preserve"> of</w:t>
      </w:r>
      <w:r w:rsidR="00907240">
        <w:rPr>
          <w:rFonts w:cs="Arial"/>
          <w:szCs w:val="19"/>
          <w:lang w:val="en-GB"/>
        </w:rPr>
        <w:t xml:space="preserve"> </w:t>
      </w:r>
      <w:r w:rsidRPr="009E4613" w:rsidR="008569D9">
        <w:rPr>
          <w:rFonts w:cs="Arial"/>
          <w:szCs w:val="19"/>
          <w:lang w:val="en-GB"/>
        </w:rPr>
        <w:t xml:space="preserve">EUR </w:t>
      </w:r>
      <w:r w:rsidR="009159C9">
        <w:rPr>
          <w:rFonts w:cs="Arial"/>
          <w:szCs w:val="19"/>
          <w:lang w:val="en-GB"/>
        </w:rPr>
        <w:t>14.55</w:t>
      </w:r>
      <w:r w:rsidR="008A5DEC">
        <w:rPr>
          <w:rFonts w:cs="Arial"/>
          <w:szCs w:val="19"/>
          <w:lang w:val="en-GB"/>
        </w:rPr>
        <w:t xml:space="preserve"> </w:t>
      </w:r>
      <w:r w:rsidR="007D1FD8">
        <w:rPr>
          <w:rFonts w:cs="Arial"/>
          <w:szCs w:val="19"/>
          <w:lang w:val="en-GB"/>
        </w:rPr>
        <w:t xml:space="preserve">in cash </w:t>
      </w:r>
      <w:r w:rsidR="008A5DEC">
        <w:rPr>
          <w:rFonts w:cs="Arial"/>
          <w:szCs w:val="19"/>
          <w:lang w:val="en-GB"/>
        </w:rPr>
        <w:t>(</w:t>
      </w:r>
      <w:r w:rsidRPr="007D1FD8" w:rsidR="008A5DEC">
        <w:rPr>
          <w:rFonts w:cs="Arial"/>
          <w:i/>
          <w:szCs w:val="19"/>
          <w:lang w:val="en-GB"/>
        </w:rPr>
        <w:t>cum dividend</w:t>
      </w:r>
      <w:r w:rsidR="008A5DEC">
        <w:rPr>
          <w:rFonts w:cs="Arial"/>
          <w:szCs w:val="19"/>
          <w:lang w:val="en-GB"/>
        </w:rPr>
        <w:t>) per share</w:t>
      </w:r>
    </w:p>
    <w:p w:rsidR="00C549C8" w:rsidP="00C549C8" w:rsidRDefault="006B17D3" w14:paraId="3B9239BA" w14:textId="47C113DE">
      <w:pPr>
        <w:pStyle w:val="ListParagraph"/>
        <w:numPr>
          <w:ilvl w:val="0"/>
          <w:numId w:val="1"/>
        </w:numPr>
        <w:spacing w:after="120"/>
        <w:jc w:val="both"/>
        <w:rPr>
          <w:rFonts w:cs="Arial"/>
          <w:szCs w:val="19"/>
          <w:lang w:val="en-GB"/>
        </w:rPr>
      </w:pPr>
      <w:r>
        <w:rPr>
          <w:rFonts w:cs="Arial"/>
          <w:szCs w:val="19"/>
          <w:lang w:val="en-GB"/>
        </w:rPr>
        <w:t xml:space="preserve">The Offer delivers immediate, certain and attractive value to the Shareholders. </w:t>
      </w:r>
      <w:r w:rsidRPr="00C549C8" w:rsidR="00C549C8">
        <w:rPr>
          <w:rFonts w:cs="Arial"/>
          <w:szCs w:val="19"/>
          <w:lang w:val="en-GB"/>
        </w:rPr>
        <w:t>The Offer Price re</w:t>
      </w:r>
      <w:r w:rsidR="009159C9">
        <w:rPr>
          <w:rFonts w:cs="Arial"/>
          <w:szCs w:val="19"/>
          <w:lang w:val="en-GB"/>
        </w:rPr>
        <w:t>presents a premium of approx. 33.5</w:t>
      </w:r>
      <w:r w:rsidRPr="00C549C8" w:rsidR="00C549C8">
        <w:rPr>
          <w:rFonts w:cs="Arial"/>
          <w:szCs w:val="19"/>
          <w:lang w:val="en-GB"/>
        </w:rPr>
        <w:t xml:space="preserve">% to the </w:t>
      </w:r>
      <w:r w:rsidR="009159C9">
        <w:rPr>
          <w:rFonts w:cs="Arial"/>
          <w:szCs w:val="19"/>
          <w:lang w:val="en-GB"/>
        </w:rPr>
        <w:t>Neways</w:t>
      </w:r>
      <w:r w:rsidRPr="00C549C8" w:rsidR="00C549C8">
        <w:rPr>
          <w:rFonts w:cs="Arial"/>
          <w:szCs w:val="19"/>
          <w:lang w:val="en-GB"/>
        </w:rPr>
        <w:t xml:space="preserve"> c</w:t>
      </w:r>
      <w:r w:rsidR="009159C9">
        <w:rPr>
          <w:rFonts w:cs="Arial"/>
          <w:szCs w:val="19"/>
          <w:lang w:val="en-GB"/>
        </w:rPr>
        <w:t>losing</w:t>
      </w:r>
      <w:r w:rsidR="007D1FD8">
        <w:rPr>
          <w:rFonts w:cs="Arial"/>
          <w:szCs w:val="19"/>
          <w:lang w:val="en-GB"/>
        </w:rPr>
        <w:t xml:space="preserve"> price per S</w:t>
      </w:r>
      <w:r w:rsidR="009159C9">
        <w:rPr>
          <w:rFonts w:cs="Arial"/>
          <w:szCs w:val="19"/>
          <w:lang w:val="en-GB"/>
        </w:rPr>
        <w:t>hare on Thursday 29</w:t>
      </w:r>
      <w:r w:rsidRPr="00C549C8" w:rsidR="00C549C8">
        <w:rPr>
          <w:rFonts w:cs="Arial"/>
          <w:szCs w:val="19"/>
          <w:lang w:val="en-GB"/>
        </w:rPr>
        <w:t xml:space="preserve"> </w:t>
      </w:r>
      <w:r w:rsidR="009159C9">
        <w:rPr>
          <w:rFonts w:cs="Arial"/>
          <w:szCs w:val="19"/>
          <w:lang w:val="en-GB"/>
        </w:rPr>
        <w:t>April</w:t>
      </w:r>
      <w:r w:rsidRPr="00C549C8" w:rsidR="00C549C8">
        <w:rPr>
          <w:rFonts w:cs="Arial"/>
          <w:szCs w:val="19"/>
          <w:lang w:val="en-GB"/>
        </w:rPr>
        <w:t xml:space="preserve"> 2021 and a </w:t>
      </w:r>
      <w:r w:rsidR="009159C9">
        <w:rPr>
          <w:rFonts w:cs="Arial"/>
          <w:szCs w:val="19"/>
          <w:lang w:val="en-GB"/>
        </w:rPr>
        <w:t xml:space="preserve">premium of approx. </w:t>
      </w:r>
      <w:r>
        <w:rPr>
          <w:rFonts w:cs="Arial"/>
          <w:szCs w:val="19"/>
          <w:lang w:val="en-GB"/>
        </w:rPr>
        <w:t>65.3</w:t>
      </w:r>
      <w:r w:rsidRPr="00C549C8" w:rsidR="00C549C8">
        <w:rPr>
          <w:rFonts w:cs="Arial"/>
          <w:szCs w:val="19"/>
          <w:lang w:val="en-GB"/>
        </w:rPr>
        <w:t xml:space="preserve">% to the </w:t>
      </w:r>
      <w:r w:rsidR="007D1FD8">
        <w:rPr>
          <w:rFonts w:cs="Arial"/>
          <w:szCs w:val="19"/>
          <w:lang w:val="en-GB"/>
        </w:rPr>
        <w:t xml:space="preserve">average daily volume weighted </w:t>
      </w:r>
      <w:r>
        <w:rPr>
          <w:rFonts w:cs="Arial"/>
          <w:szCs w:val="19"/>
          <w:lang w:val="en-GB"/>
        </w:rPr>
        <w:t>price per Share for the six months prior to and including 29 April 2021</w:t>
      </w:r>
      <w:r w:rsidR="00231ED2">
        <w:rPr>
          <w:rFonts w:cs="Arial"/>
          <w:szCs w:val="19"/>
          <w:lang w:val="en-GB"/>
        </w:rPr>
        <w:t xml:space="preserve"> (</w:t>
      </w:r>
      <w:r w:rsidRPr="00C2444F" w:rsidR="00231ED2">
        <w:rPr>
          <w:lang w:val="en-GB"/>
        </w:rPr>
        <w:t xml:space="preserve">being the </w:t>
      </w:r>
      <w:r w:rsidR="00093F78">
        <w:rPr>
          <w:lang w:val="en-GB"/>
        </w:rPr>
        <w:t>un</w:t>
      </w:r>
      <w:r w:rsidRPr="00C2444F" w:rsidR="00231ED2">
        <w:rPr>
          <w:lang w:val="en-GB"/>
        </w:rPr>
        <w:t>disturbed share price)</w:t>
      </w:r>
    </w:p>
    <w:p w:rsidRPr="009E4613" w:rsidR="00456B23" w:rsidP="00C549C8" w:rsidRDefault="00456B23" w14:paraId="73BD55AE" w14:textId="6B928950">
      <w:pPr>
        <w:pStyle w:val="ListParagraph"/>
        <w:numPr>
          <w:ilvl w:val="0"/>
          <w:numId w:val="1"/>
        </w:numPr>
        <w:spacing w:after="120"/>
        <w:jc w:val="both"/>
        <w:rPr>
          <w:rFonts w:cs="Arial"/>
          <w:szCs w:val="19"/>
          <w:lang w:val="en-GB"/>
        </w:rPr>
      </w:pPr>
      <w:r w:rsidRPr="009E4613">
        <w:rPr>
          <w:rFonts w:cs="Arial"/>
          <w:szCs w:val="19"/>
          <w:lang w:val="en-GB"/>
        </w:rPr>
        <w:t xml:space="preserve">The </w:t>
      </w:r>
      <w:r w:rsidR="000F1D93">
        <w:rPr>
          <w:rFonts w:cs="Arial"/>
          <w:szCs w:val="19"/>
          <w:lang w:val="en-GB"/>
        </w:rPr>
        <w:t>Management</w:t>
      </w:r>
      <w:r w:rsidRPr="009E4613">
        <w:rPr>
          <w:rFonts w:cs="Arial"/>
          <w:szCs w:val="19"/>
          <w:lang w:val="en-GB"/>
        </w:rPr>
        <w:t xml:space="preserve"> Board and Supervisory Board </w:t>
      </w:r>
      <w:r w:rsidRPr="009E4613" w:rsidR="00392FE0">
        <w:rPr>
          <w:rFonts w:cs="Arial"/>
          <w:szCs w:val="19"/>
          <w:lang w:val="en-GB"/>
        </w:rPr>
        <w:t xml:space="preserve">of </w:t>
      </w:r>
      <w:r w:rsidR="009159C9">
        <w:rPr>
          <w:rFonts w:cs="Arial"/>
          <w:szCs w:val="19"/>
          <w:lang w:val="en-GB"/>
        </w:rPr>
        <w:t>Neways</w:t>
      </w:r>
      <w:r w:rsidRPr="009E4613" w:rsidR="00392FE0">
        <w:rPr>
          <w:rFonts w:cs="Arial"/>
          <w:szCs w:val="19"/>
          <w:lang w:val="en-GB"/>
        </w:rPr>
        <w:t xml:space="preserve"> </w:t>
      </w:r>
      <w:r w:rsidRPr="009E4613" w:rsidR="00B64F90">
        <w:rPr>
          <w:rFonts w:cs="Arial"/>
          <w:szCs w:val="19"/>
          <w:lang w:val="en-GB"/>
        </w:rPr>
        <w:t xml:space="preserve">fully </w:t>
      </w:r>
      <w:r w:rsidRPr="009E4613" w:rsidR="0006114E">
        <w:rPr>
          <w:rFonts w:cs="Arial"/>
          <w:szCs w:val="19"/>
          <w:lang w:val="en-GB"/>
        </w:rPr>
        <w:t xml:space="preserve">support the Transaction and </w:t>
      </w:r>
      <w:r w:rsidRPr="009E4613" w:rsidR="00B64F90">
        <w:rPr>
          <w:rFonts w:cs="Arial"/>
          <w:szCs w:val="19"/>
          <w:lang w:val="en-GB"/>
        </w:rPr>
        <w:t xml:space="preserve">unanimously </w:t>
      </w:r>
      <w:r w:rsidRPr="009E4613" w:rsidR="0006114E">
        <w:rPr>
          <w:rFonts w:cs="Arial"/>
          <w:szCs w:val="19"/>
          <w:lang w:val="en-GB"/>
        </w:rPr>
        <w:t>recommend</w:t>
      </w:r>
      <w:r w:rsidR="00065C4A">
        <w:rPr>
          <w:rFonts w:cs="Arial"/>
          <w:szCs w:val="19"/>
          <w:lang w:val="en-GB"/>
        </w:rPr>
        <w:t xml:space="preserve"> shareholders to accept</w:t>
      </w:r>
      <w:r w:rsidRPr="009E4613" w:rsidR="0006114E">
        <w:rPr>
          <w:rFonts w:cs="Arial"/>
          <w:szCs w:val="19"/>
          <w:lang w:val="en-GB"/>
        </w:rPr>
        <w:t xml:space="preserve"> the Offer</w:t>
      </w:r>
      <w:r w:rsidR="00065C4A">
        <w:rPr>
          <w:rFonts w:cs="Arial"/>
          <w:szCs w:val="19"/>
          <w:lang w:val="en-GB"/>
        </w:rPr>
        <w:t xml:space="preserve"> and vote in favour of the resolutions to be proposed at the extraordinary general meeting of shareholders</w:t>
      </w:r>
      <w:r w:rsidR="006B17D3">
        <w:rPr>
          <w:rFonts w:cs="Arial"/>
          <w:szCs w:val="19"/>
          <w:lang w:val="en-GB"/>
        </w:rPr>
        <w:t xml:space="preserve"> (‘</w:t>
      </w:r>
      <w:r w:rsidRPr="006B17D3" w:rsidR="006B17D3">
        <w:rPr>
          <w:rFonts w:cs="Arial"/>
          <w:szCs w:val="19"/>
          <w:lang w:val="en-GB"/>
        </w:rPr>
        <w:t>’</w:t>
      </w:r>
      <w:r w:rsidRPr="006B17D3" w:rsidR="006B17D3">
        <w:rPr>
          <w:rFonts w:cs="Arial"/>
          <w:b/>
          <w:szCs w:val="19"/>
          <w:lang w:val="en-GB"/>
        </w:rPr>
        <w:t>EGM</w:t>
      </w:r>
      <w:r w:rsidR="006B17D3">
        <w:rPr>
          <w:rFonts w:cs="Arial"/>
          <w:szCs w:val="19"/>
          <w:lang w:val="en-GB"/>
        </w:rPr>
        <w:t>’’)</w:t>
      </w:r>
    </w:p>
    <w:p w:rsidR="00947B67" w:rsidP="008E376A" w:rsidRDefault="009159C9" w14:paraId="418CEE7E" w14:textId="13F3BBA5">
      <w:pPr>
        <w:pStyle w:val="ListParagraph"/>
        <w:numPr>
          <w:ilvl w:val="0"/>
          <w:numId w:val="1"/>
        </w:numPr>
        <w:spacing w:after="120"/>
        <w:ind w:left="283" w:hanging="357"/>
        <w:jc w:val="both"/>
        <w:rPr>
          <w:rFonts w:cs="Arial"/>
          <w:szCs w:val="19"/>
          <w:lang w:val="en-GB"/>
        </w:rPr>
      </w:pPr>
      <w:r>
        <w:rPr>
          <w:rFonts w:cs="Arial"/>
          <w:szCs w:val="19"/>
          <w:lang w:val="en-GB"/>
        </w:rPr>
        <w:t>Neways</w:t>
      </w:r>
      <w:r w:rsidR="00947B67">
        <w:rPr>
          <w:rFonts w:cs="Arial"/>
          <w:szCs w:val="19"/>
          <w:lang w:val="en-GB"/>
        </w:rPr>
        <w:t xml:space="preserve"> will hold the EGM</w:t>
      </w:r>
      <w:r w:rsidR="00F03B94">
        <w:rPr>
          <w:rFonts w:cs="Arial"/>
          <w:szCs w:val="19"/>
          <w:lang w:val="en-GB"/>
        </w:rPr>
        <w:t xml:space="preserve"> </w:t>
      </w:r>
      <w:r w:rsidRPr="00F03B94" w:rsidR="00F03B94">
        <w:rPr>
          <w:rFonts w:cs="Arial"/>
          <w:szCs w:val="19"/>
          <w:lang w:val="en-GB"/>
        </w:rPr>
        <w:t xml:space="preserve">at </w:t>
      </w:r>
      <w:r w:rsidR="004A7C1C">
        <w:rPr>
          <w:rFonts w:cs="Arial"/>
          <w:szCs w:val="19"/>
          <w:lang w:val="en-GB"/>
        </w:rPr>
        <w:t>14:00</w:t>
      </w:r>
      <w:r w:rsidR="00F03B94">
        <w:rPr>
          <w:rFonts w:cs="Arial"/>
          <w:szCs w:val="19"/>
          <w:lang w:val="en-GB"/>
        </w:rPr>
        <w:t xml:space="preserve"> </w:t>
      </w:r>
      <w:r w:rsidR="005A003A">
        <w:rPr>
          <w:rFonts w:cs="Arial"/>
          <w:szCs w:val="19"/>
          <w:lang w:val="en-GB"/>
        </w:rPr>
        <w:t>hours CE</w:t>
      </w:r>
      <w:r w:rsidRPr="00F03B94" w:rsidR="00F03B94">
        <w:rPr>
          <w:rFonts w:cs="Arial"/>
          <w:szCs w:val="19"/>
          <w:lang w:val="en-GB"/>
        </w:rPr>
        <w:t xml:space="preserve">T on </w:t>
      </w:r>
      <w:r w:rsidR="007E2EDF">
        <w:rPr>
          <w:rFonts w:cs="Arial"/>
          <w:szCs w:val="19"/>
          <w:lang w:val="en-GB"/>
        </w:rPr>
        <w:t xml:space="preserve">19 October </w:t>
      </w:r>
      <w:r w:rsidRPr="00F03B94" w:rsidR="00F03B94">
        <w:rPr>
          <w:rFonts w:cs="Arial"/>
          <w:szCs w:val="19"/>
          <w:lang w:val="en-GB"/>
        </w:rPr>
        <w:t>2021</w:t>
      </w:r>
      <w:r w:rsidR="00947B67">
        <w:rPr>
          <w:rFonts w:cs="Arial"/>
          <w:szCs w:val="19"/>
          <w:lang w:val="en-GB"/>
        </w:rPr>
        <w:t xml:space="preserve"> </w:t>
      </w:r>
    </w:p>
    <w:p w:rsidRPr="00722573" w:rsidR="0088745C" w:rsidP="0088745C" w:rsidRDefault="0088745C" w14:paraId="69E8C9E4" w14:textId="024FED14">
      <w:pPr>
        <w:pStyle w:val="ListParagraph"/>
        <w:numPr>
          <w:ilvl w:val="0"/>
          <w:numId w:val="1"/>
        </w:numPr>
        <w:spacing w:after="120"/>
        <w:ind w:left="283" w:hanging="357"/>
        <w:jc w:val="both"/>
        <w:rPr>
          <w:rFonts w:cs="Arial"/>
          <w:b/>
          <w:bCs/>
          <w:szCs w:val="19"/>
          <w:lang w:val="en-GB"/>
        </w:rPr>
      </w:pPr>
      <w:r w:rsidRPr="00722573">
        <w:rPr>
          <w:rFonts w:cs="Arial"/>
          <w:szCs w:val="19"/>
          <w:lang w:val="en-GB"/>
        </w:rPr>
        <w:t>The Offer is subject to certain conditions, including a minimum acceptance level of 60% of the Shares, or such lower amount as determined by the Offeror in consultation with the Boards but with a minimum of 50.01% of the Shares</w:t>
      </w:r>
    </w:p>
    <w:p w:rsidR="0088745C" w:rsidP="0088745C" w:rsidRDefault="004A7C1C" w14:paraId="6E260260" w14:textId="510CBBC8">
      <w:pPr>
        <w:pStyle w:val="ListParagraph"/>
        <w:numPr>
          <w:ilvl w:val="0"/>
          <w:numId w:val="1"/>
        </w:numPr>
        <w:spacing w:after="120"/>
        <w:jc w:val="both"/>
        <w:rPr>
          <w:rFonts w:cs="Arial"/>
          <w:szCs w:val="19"/>
          <w:lang w:val="en-GB"/>
        </w:rPr>
      </w:pPr>
      <w:bookmarkStart w:name="_Hlk81222579" w:id="1"/>
      <w:r>
        <w:rPr>
          <w:rFonts w:cs="Arial"/>
          <w:szCs w:val="19"/>
          <w:lang w:val="en-GB"/>
        </w:rPr>
        <w:t>A</w:t>
      </w:r>
      <w:r w:rsidRPr="004A7C1C">
        <w:rPr>
          <w:rFonts w:cs="Arial"/>
          <w:szCs w:val="19"/>
          <w:lang w:val="en-GB"/>
        </w:rPr>
        <w:t xml:space="preserve"> total of 50.17% of the Shares (on a fully diluted basis) </w:t>
      </w:r>
      <w:r w:rsidR="009560E5">
        <w:rPr>
          <w:rFonts w:cs="Arial"/>
          <w:szCs w:val="19"/>
          <w:lang w:val="en-GB"/>
        </w:rPr>
        <w:t>is</w:t>
      </w:r>
      <w:r w:rsidR="0071213A">
        <w:rPr>
          <w:rFonts w:cs="Arial"/>
          <w:szCs w:val="19"/>
          <w:lang w:val="en-GB"/>
        </w:rPr>
        <w:t xml:space="preserve"> </w:t>
      </w:r>
      <w:r w:rsidR="0023421E">
        <w:rPr>
          <w:rFonts w:cs="Arial"/>
          <w:szCs w:val="19"/>
          <w:lang w:val="en-GB"/>
        </w:rPr>
        <w:t>held</w:t>
      </w:r>
      <w:r w:rsidR="0071213A">
        <w:rPr>
          <w:rFonts w:cs="Arial"/>
          <w:szCs w:val="19"/>
          <w:lang w:val="en-GB"/>
        </w:rPr>
        <w:t xml:space="preserve"> or</w:t>
      </w:r>
      <w:r w:rsidR="009560E5">
        <w:rPr>
          <w:rFonts w:cs="Arial"/>
          <w:szCs w:val="19"/>
          <w:lang w:val="en-GB"/>
        </w:rPr>
        <w:t xml:space="preserve"> committed to be tendered under the Offer, consisting of </w:t>
      </w:r>
      <w:r w:rsidRPr="004A7C1C">
        <w:rPr>
          <w:rFonts w:cs="Arial"/>
          <w:szCs w:val="19"/>
          <w:lang w:val="en-GB"/>
        </w:rPr>
        <w:t>8.42%</w:t>
      </w:r>
      <w:r w:rsidR="009560E5">
        <w:rPr>
          <w:rFonts w:cs="Arial"/>
          <w:szCs w:val="19"/>
          <w:lang w:val="en-GB"/>
        </w:rPr>
        <w:t xml:space="preserve"> of the Shares held by the Offeror</w:t>
      </w:r>
      <w:r w:rsidRPr="004A7C1C">
        <w:rPr>
          <w:rFonts w:cs="Arial"/>
          <w:szCs w:val="19"/>
          <w:lang w:val="en-GB"/>
        </w:rPr>
        <w:t xml:space="preserve"> </w:t>
      </w:r>
      <w:r w:rsidR="009560E5">
        <w:rPr>
          <w:rFonts w:cs="Arial"/>
          <w:szCs w:val="19"/>
          <w:lang w:val="en-GB"/>
        </w:rPr>
        <w:t>(</w:t>
      </w:r>
      <w:r w:rsidRPr="004A7C1C">
        <w:rPr>
          <w:rFonts w:cs="Arial"/>
          <w:szCs w:val="19"/>
          <w:lang w:val="en-GB"/>
        </w:rPr>
        <w:t xml:space="preserve">on a fully diluted basis) </w:t>
      </w:r>
      <w:r w:rsidR="009560E5">
        <w:rPr>
          <w:rFonts w:cs="Arial"/>
          <w:szCs w:val="19"/>
          <w:lang w:val="en-GB"/>
        </w:rPr>
        <w:t xml:space="preserve">and </w:t>
      </w:r>
      <w:r w:rsidRPr="004A7C1C">
        <w:rPr>
          <w:rFonts w:cs="Arial"/>
          <w:szCs w:val="19"/>
          <w:lang w:val="en-GB"/>
        </w:rPr>
        <w:t xml:space="preserve">commitments by </w:t>
      </w:r>
      <w:proofErr w:type="spellStart"/>
      <w:r w:rsidRPr="004A7C1C">
        <w:rPr>
          <w:rFonts w:cs="Arial"/>
          <w:szCs w:val="19"/>
          <w:lang w:val="en-GB"/>
        </w:rPr>
        <w:t>Z.B.G</w:t>
      </w:r>
      <w:proofErr w:type="spellEnd"/>
      <w:r w:rsidRPr="004A7C1C">
        <w:rPr>
          <w:rFonts w:cs="Arial"/>
          <w:szCs w:val="19"/>
          <w:lang w:val="en-GB"/>
        </w:rPr>
        <w:t xml:space="preserve">. Capital N.V., </w:t>
      </w:r>
      <w:proofErr w:type="spellStart"/>
      <w:r w:rsidRPr="004A7C1C">
        <w:rPr>
          <w:rFonts w:cs="Arial"/>
          <w:szCs w:val="19"/>
          <w:lang w:val="en-GB"/>
        </w:rPr>
        <w:t>OtterBrabant</w:t>
      </w:r>
      <w:proofErr w:type="spellEnd"/>
      <w:r w:rsidRPr="004A7C1C">
        <w:rPr>
          <w:rFonts w:cs="Arial"/>
          <w:szCs w:val="19"/>
          <w:lang w:val="en-GB"/>
        </w:rPr>
        <w:t xml:space="preserve"> </w:t>
      </w:r>
      <w:proofErr w:type="spellStart"/>
      <w:r w:rsidRPr="004A7C1C">
        <w:rPr>
          <w:rFonts w:cs="Arial"/>
          <w:szCs w:val="19"/>
          <w:lang w:val="en-GB"/>
        </w:rPr>
        <w:t>Beheer</w:t>
      </w:r>
      <w:proofErr w:type="spellEnd"/>
      <w:r w:rsidRPr="004A7C1C">
        <w:rPr>
          <w:rFonts w:cs="Arial"/>
          <w:szCs w:val="19"/>
          <w:lang w:val="en-GB"/>
        </w:rPr>
        <w:t xml:space="preserve"> B.V., </w:t>
      </w:r>
      <w:proofErr w:type="spellStart"/>
      <w:r w:rsidRPr="004A7C1C">
        <w:rPr>
          <w:rFonts w:cs="Arial"/>
          <w:szCs w:val="19"/>
          <w:lang w:val="en-GB"/>
        </w:rPr>
        <w:t>Menor</w:t>
      </w:r>
      <w:proofErr w:type="spellEnd"/>
      <w:r w:rsidRPr="004A7C1C">
        <w:rPr>
          <w:rFonts w:cs="Arial"/>
          <w:szCs w:val="19"/>
          <w:lang w:val="en-GB"/>
        </w:rPr>
        <w:t xml:space="preserve"> Investments B.V., members of the Management Board and certain Neways (ex-)employees</w:t>
      </w:r>
      <w:r w:rsidR="009560E5">
        <w:rPr>
          <w:rFonts w:cs="Arial"/>
          <w:szCs w:val="19"/>
          <w:lang w:val="en-GB"/>
        </w:rPr>
        <w:t xml:space="preserve"> (in aggregate 41.75% on a fully diluted basis)</w:t>
      </w:r>
      <w:bookmarkEnd w:id="1"/>
      <w:r w:rsidRPr="004A7C1C">
        <w:rPr>
          <w:rFonts w:cs="Arial"/>
          <w:szCs w:val="19"/>
          <w:lang w:val="en-GB"/>
        </w:rPr>
        <w:t xml:space="preserve"> </w:t>
      </w:r>
    </w:p>
    <w:p w:rsidRPr="00722573" w:rsidR="004E6041" w:rsidP="0088745C" w:rsidRDefault="008106D8" w14:paraId="56A64265" w14:textId="1D43A939">
      <w:pPr>
        <w:pStyle w:val="ListParagraph"/>
        <w:numPr>
          <w:ilvl w:val="0"/>
          <w:numId w:val="1"/>
        </w:numPr>
        <w:spacing w:after="120"/>
        <w:jc w:val="both"/>
        <w:rPr>
          <w:rFonts w:cs="Arial"/>
          <w:szCs w:val="19"/>
          <w:lang w:val="en-GB"/>
        </w:rPr>
      </w:pPr>
      <w:r>
        <w:rPr>
          <w:rFonts w:cs="Arial"/>
          <w:szCs w:val="19"/>
          <w:lang w:val="en-GB"/>
        </w:rPr>
        <w:t xml:space="preserve">The </w:t>
      </w:r>
      <w:r w:rsidR="0088745C">
        <w:rPr>
          <w:rFonts w:cs="Arial"/>
          <w:szCs w:val="19"/>
          <w:lang w:val="en-GB"/>
        </w:rPr>
        <w:t xml:space="preserve">Offeror, as per today, holds </w:t>
      </w:r>
      <w:r w:rsidR="007E2EDF">
        <w:rPr>
          <w:rFonts w:cs="Arial"/>
          <w:szCs w:val="19"/>
          <w:lang w:val="en-GB"/>
        </w:rPr>
        <w:t>8.4</w:t>
      </w:r>
      <w:r w:rsidR="004A7C1C">
        <w:rPr>
          <w:rFonts w:cs="Arial"/>
          <w:szCs w:val="19"/>
          <w:lang w:val="en-GB"/>
        </w:rPr>
        <w:t>5</w:t>
      </w:r>
      <w:r w:rsidR="007E2EDF">
        <w:rPr>
          <w:rFonts w:cs="Arial"/>
          <w:szCs w:val="19"/>
          <w:lang w:val="en-GB"/>
        </w:rPr>
        <w:t>%</w:t>
      </w:r>
      <w:r w:rsidRPr="00722573" w:rsidR="007E2EDF">
        <w:rPr>
          <w:rFonts w:cs="Arial"/>
          <w:szCs w:val="19"/>
          <w:lang w:val="en-GB"/>
        </w:rPr>
        <w:t xml:space="preserve"> </w:t>
      </w:r>
      <w:r w:rsidR="0088745C">
        <w:rPr>
          <w:rFonts w:cs="Arial"/>
          <w:szCs w:val="19"/>
          <w:lang w:val="en-GB"/>
        </w:rPr>
        <w:t>of the Shares</w:t>
      </w:r>
      <w:r w:rsidR="007E2EDF">
        <w:rPr>
          <w:rFonts w:cs="Arial"/>
          <w:szCs w:val="19"/>
          <w:lang w:val="en-GB"/>
        </w:rPr>
        <w:t xml:space="preserve"> (</w:t>
      </w:r>
      <w:r w:rsidR="004A7C1C">
        <w:rPr>
          <w:rFonts w:cs="Arial"/>
          <w:szCs w:val="19"/>
          <w:lang w:val="en-GB"/>
        </w:rPr>
        <w:t xml:space="preserve">8.42% </w:t>
      </w:r>
      <w:r w:rsidR="007E2EDF">
        <w:rPr>
          <w:rFonts w:cs="Arial"/>
          <w:szCs w:val="19"/>
          <w:lang w:val="en-GB"/>
        </w:rPr>
        <w:t>on a fully diluted basis)</w:t>
      </w:r>
    </w:p>
    <w:p w:rsidRPr="00722573" w:rsidR="00947B67" w:rsidP="00926A0F" w:rsidRDefault="008A5DEC" w14:paraId="23B211A7" w14:textId="0D46620E">
      <w:pPr>
        <w:pStyle w:val="ListParagraph"/>
        <w:numPr>
          <w:ilvl w:val="0"/>
          <w:numId w:val="1"/>
        </w:numPr>
        <w:spacing w:after="120"/>
        <w:jc w:val="both"/>
        <w:rPr>
          <w:rFonts w:cs="Arial"/>
          <w:b/>
          <w:bCs/>
          <w:szCs w:val="19"/>
          <w:lang w:val="en-GB"/>
        </w:rPr>
      </w:pPr>
      <w:r w:rsidRPr="00722573">
        <w:rPr>
          <w:rFonts w:cs="Arial"/>
          <w:szCs w:val="19"/>
          <w:lang w:val="en-GB"/>
        </w:rPr>
        <w:t xml:space="preserve">If the Offeror obtains 95% or more of the Shares it </w:t>
      </w:r>
      <w:r w:rsidRPr="00722573" w:rsidR="001913A9">
        <w:rPr>
          <w:rFonts w:cs="Arial"/>
          <w:szCs w:val="19"/>
          <w:lang w:val="en-GB"/>
        </w:rPr>
        <w:t xml:space="preserve">may decide to </w:t>
      </w:r>
      <w:r w:rsidRPr="00722573">
        <w:rPr>
          <w:rFonts w:cs="Arial"/>
          <w:szCs w:val="19"/>
          <w:lang w:val="en-GB"/>
        </w:rPr>
        <w:t xml:space="preserve">initiate the </w:t>
      </w:r>
      <w:r w:rsidRPr="00722573" w:rsidR="00B260F4">
        <w:rPr>
          <w:rFonts w:cs="Arial"/>
          <w:szCs w:val="19"/>
          <w:lang w:val="en-GB"/>
        </w:rPr>
        <w:t xml:space="preserve">Squeeze-Out </w:t>
      </w:r>
      <w:r w:rsidRPr="00722573">
        <w:rPr>
          <w:rFonts w:cs="Arial"/>
          <w:szCs w:val="19"/>
          <w:lang w:val="en-GB"/>
        </w:rPr>
        <w:t xml:space="preserve">and if </w:t>
      </w:r>
      <w:r w:rsidRPr="00722573" w:rsidR="000737F5">
        <w:rPr>
          <w:rFonts w:cs="Arial"/>
          <w:szCs w:val="19"/>
          <w:lang w:val="en-GB"/>
        </w:rPr>
        <w:t xml:space="preserve">the </w:t>
      </w:r>
      <w:r w:rsidRPr="00722573" w:rsidR="000737F5">
        <w:rPr>
          <w:lang w:val="en-GB"/>
        </w:rPr>
        <w:t>Post-Closing Restructuring Threshold</w:t>
      </w:r>
      <w:r w:rsidRPr="00722573" w:rsidR="00F86A1E">
        <w:rPr>
          <w:lang w:val="en-GB"/>
        </w:rPr>
        <w:t xml:space="preserve">, </w:t>
      </w:r>
      <w:r w:rsidRPr="00722573" w:rsidR="0073250C">
        <w:rPr>
          <w:lang w:val="en-GB"/>
        </w:rPr>
        <w:t xml:space="preserve">being at least 85%, </w:t>
      </w:r>
      <w:r w:rsidRPr="00722573" w:rsidR="000737F5">
        <w:rPr>
          <w:lang w:val="en-GB"/>
        </w:rPr>
        <w:t>is reached</w:t>
      </w:r>
      <w:r w:rsidRPr="00722573" w:rsidR="001913A9">
        <w:rPr>
          <w:rFonts w:cs="Arial"/>
          <w:szCs w:val="19"/>
          <w:lang w:val="en-GB"/>
        </w:rPr>
        <w:t xml:space="preserve">, </w:t>
      </w:r>
      <w:r w:rsidRPr="00722573">
        <w:rPr>
          <w:rFonts w:cs="Arial"/>
          <w:szCs w:val="19"/>
          <w:lang w:val="en-GB"/>
        </w:rPr>
        <w:t xml:space="preserve">it </w:t>
      </w:r>
      <w:r w:rsidRPr="00722573" w:rsidR="001913A9">
        <w:rPr>
          <w:rFonts w:cs="Arial"/>
          <w:szCs w:val="19"/>
          <w:lang w:val="en-GB"/>
        </w:rPr>
        <w:t>may decide to</w:t>
      </w:r>
      <w:r w:rsidRPr="00722573">
        <w:rPr>
          <w:rFonts w:cs="Arial"/>
          <w:szCs w:val="19"/>
          <w:lang w:val="en-GB"/>
        </w:rPr>
        <w:t xml:space="preserve"> implement the </w:t>
      </w:r>
      <w:r w:rsidRPr="00722573" w:rsidR="00F425AC">
        <w:rPr>
          <w:rFonts w:cs="Arial"/>
          <w:szCs w:val="19"/>
          <w:lang w:val="en-GB"/>
        </w:rPr>
        <w:t>Post-Closing Merger Restructuring</w:t>
      </w:r>
      <w:r w:rsidRPr="00722573">
        <w:rPr>
          <w:rFonts w:cs="Arial"/>
          <w:szCs w:val="19"/>
          <w:lang w:val="en-GB"/>
        </w:rPr>
        <w:t>, if approved by the Shareholders</w:t>
      </w:r>
      <w:r w:rsidRPr="00722573" w:rsidR="00FD45F1">
        <w:rPr>
          <w:rFonts w:cs="Arial"/>
          <w:szCs w:val="19"/>
          <w:lang w:val="en-GB"/>
        </w:rPr>
        <w:t xml:space="preserve"> at the EGM</w:t>
      </w:r>
      <w:r w:rsidRPr="00722573" w:rsidR="00926A0F">
        <w:rPr>
          <w:rFonts w:cs="Arial"/>
          <w:szCs w:val="19"/>
          <w:lang w:val="en-GB"/>
        </w:rPr>
        <w:t xml:space="preserve"> </w:t>
      </w:r>
    </w:p>
    <w:p w:rsidRPr="00722573" w:rsidR="00FD45F1" w:rsidP="00FD45F1" w:rsidRDefault="00FD45F1" w14:paraId="16968A4D" w14:textId="35940762">
      <w:pPr>
        <w:pStyle w:val="ListParagraph"/>
        <w:numPr>
          <w:ilvl w:val="0"/>
          <w:numId w:val="1"/>
        </w:numPr>
        <w:spacing w:after="120"/>
        <w:ind w:left="283" w:hanging="357"/>
        <w:jc w:val="both"/>
        <w:rPr>
          <w:rFonts w:cs="Arial"/>
          <w:bCs/>
          <w:szCs w:val="19"/>
          <w:lang w:val="en-GB"/>
        </w:rPr>
      </w:pPr>
      <w:r w:rsidRPr="00722573">
        <w:rPr>
          <w:rFonts w:cs="Arial"/>
          <w:bCs/>
          <w:szCs w:val="19"/>
          <w:lang w:val="en-GB"/>
        </w:rPr>
        <w:lastRenderedPageBreak/>
        <w:t xml:space="preserve">The </w:t>
      </w:r>
      <w:r w:rsidRPr="00722573" w:rsidR="00801C12">
        <w:rPr>
          <w:rFonts w:cs="Arial"/>
          <w:bCs/>
          <w:szCs w:val="19"/>
          <w:lang w:val="en-GB"/>
        </w:rPr>
        <w:t xml:space="preserve">central </w:t>
      </w:r>
      <w:r w:rsidRPr="00722573">
        <w:rPr>
          <w:rFonts w:cs="Arial"/>
          <w:bCs/>
          <w:szCs w:val="19"/>
          <w:lang w:val="en-GB"/>
        </w:rPr>
        <w:t xml:space="preserve">works council </w:t>
      </w:r>
      <w:r w:rsidRPr="00722573" w:rsidR="006C6E32">
        <w:rPr>
          <w:rFonts w:cs="Arial"/>
          <w:bCs/>
          <w:szCs w:val="19"/>
          <w:lang w:val="en-GB"/>
        </w:rPr>
        <w:t>(</w:t>
      </w:r>
      <w:proofErr w:type="spellStart"/>
      <w:r w:rsidRPr="00722573" w:rsidR="006C6E32">
        <w:rPr>
          <w:rFonts w:cs="Arial"/>
          <w:bCs/>
          <w:i/>
          <w:szCs w:val="19"/>
          <w:lang w:val="en-GB"/>
        </w:rPr>
        <w:t>centrale</w:t>
      </w:r>
      <w:proofErr w:type="spellEnd"/>
      <w:r w:rsidRPr="00722573" w:rsidR="006C6E32">
        <w:rPr>
          <w:rFonts w:cs="Arial"/>
          <w:bCs/>
          <w:i/>
          <w:szCs w:val="19"/>
          <w:lang w:val="en-GB"/>
        </w:rPr>
        <w:t xml:space="preserve"> </w:t>
      </w:r>
      <w:proofErr w:type="spellStart"/>
      <w:r w:rsidRPr="00722573" w:rsidR="006C6E32">
        <w:rPr>
          <w:rFonts w:cs="Arial"/>
          <w:bCs/>
          <w:i/>
          <w:szCs w:val="19"/>
          <w:lang w:val="en-GB"/>
        </w:rPr>
        <w:t>ondernemingsraad</w:t>
      </w:r>
      <w:proofErr w:type="spellEnd"/>
      <w:r w:rsidRPr="00722573" w:rsidR="006C6E32">
        <w:rPr>
          <w:rFonts w:cs="Arial"/>
          <w:bCs/>
          <w:szCs w:val="19"/>
          <w:lang w:val="en-GB"/>
        </w:rPr>
        <w:t xml:space="preserve">) </w:t>
      </w:r>
      <w:r w:rsidRPr="00722573">
        <w:rPr>
          <w:rFonts w:cs="Arial"/>
          <w:bCs/>
          <w:szCs w:val="19"/>
          <w:lang w:val="en-GB"/>
        </w:rPr>
        <w:t>of Neways has provided its positive advice in respect of the Transaction</w:t>
      </w:r>
    </w:p>
    <w:p w:rsidRPr="00727483" w:rsidR="005B4DCA" w:rsidP="005875C7" w:rsidRDefault="00FD45F1" w14:paraId="5C812582" w14:textId="1D9FFB01">
      <w:pPr>
        <w:pStyle w:val="ListParagraph"/>
        <w:numPr>
          <w:ilvl w:val="0"/>
          <w:numId w:val="1"/>
        </w:numPr>
        <w:spacing w:after="120"/>
        <w:ind w:left="283" w:hanging="357"/>
        <w:jc w:val="both"/>
        <w:rPr>
          <w:rFonts w:cs="Arial"/>
          <w:b/>
          <w:bCs/>
          <w:szCs w:val="19"/>
          <w:lang w:val="en-GB"/>
        </w:rPr>
      </w:pPr>
      <w:r>
        <w:rPr>
          <w:rFonts w:cs="Arial"/>
          <w:szCs w:val="19"/>
          <w:lang w:val="en-GB"/>
        </w:rPr>
        <w:t xml:space="preserve">The Acceptance </w:t>
      </w:r>
      <w:r w:rsidRPr="000A64E2">
        <w:rPr>
          <w:rFonts w:cs="Arial"/>
          <w:szCs w:val="19"/>
          <w:lang w:val="en-GB"/>
        </w:rPr>
        <w:t xml:space="preserve">Period </w:t>
      </w:r>
      <w:r>
        <w:rPr>
          <w:rFonts w:cs="Arial"/>
          <w:szCs w:val="19"/>
          <w:lang w:val="en-GB"/>
        </w:rPr>
        <w:t xml:space="preserve">will commence at 09:00 hours CET on </w:t>
      </w:r>
      <w:r w:rsidR="00251064">
        <w:rPr>
          <w:rFonts w:cs="Arial"/>
          <w:szCs w:val="19"/>
          <w:lang w:val="en-GB"/>
        </w:rPr>
        <w:t xml:space="preserve">1 September </w:t>
      </w:r>
      <w:r>
        <w:rPr>
          <w:rFonts w:cs="Arial"/>
          <w:szCs w:val="19"/>
          <w:lang w:val="en-GB"/>
        </w:rPr>
        <w:t xml:space="preserve">2021 and ends at 17:40 hours CET on </w:t>
      </w:r>
      <w:r w:rsidR="00251064">
        <w:rPr>
          <w:rFonts w:cs="Arial"/>
          <w:szCs w:val="19"/>
          <w:lang w:val="en-GB"/>
        </w:rPr>
        <w:t xml:space="preserve">27 October </w:t>
      </w:r>
      <w:r>
        <w:rPr>
          <w:rFonts w:cs="Arial"/>
          <w:szCs w:val="19"/>
          <w:lang w:val="en-GB"/>
        </w:rPr>
        <w:t>2021</w:t>
      </w:r>
      <w:r w:rsidR="00B558A3">
        <w:rPr>
          <w:rFonts w:cs="Arial"/>
          <w:szCs w:val="19"/>
          <w:lang w:val="en-GB"/>
        </w:rPr>
        <w:t>. Completion of the Offer is expected in the second half of 2021</w:t>
      </w:r>
    </w:p>
    <w:p w:rsidRPr="00727483" w:rsidR="00727483" w:rsidP="00727483" w:rsidRDefault="00727483" w14:paraId="156A663E" w14:textId="77777777">
      <w:pPr>
        <w:pStyle w:val="ListParagraph"/>
        <w:spacing w:after="120"/>
        <w:ind w:left="283"/>
        <w:jc w:val="both"/>
        <w:rPr>
          <w:rFonts w:cs="Arial"/>
          <w:b/>
          <w:bCs/>
          <w:szCs w:val="19"/>
          <w:lang w:val="en-GB"/>
        </w:rPr>
      </w:pPr>
    </w:p>
    <w:p w:rsidRPr="00783BA7" w:rsidR="00783BA7" w:rsidP="005875C7" w:rsidRDefault="00783BA7" w14:paraId="3F169EA4" w14:textId="7496E94D">
      <w:pPr>
        <w:rPr>
          <w:b/>
          <w:bCs/>
          <w:lang w:val="en-GB"/>
        </w:rPr>
      </w:pPr>
      <w:r w:rsidRPr="00783BA7">
        <w:rPr>
          <w:b/>
          <w:bCs/>
          <w:lang w:val="en-GB"/>
        </w:rPr>
        <w:t>The Offer</w:t>
      </w:r>
    </w:p>
    <w:p w:rsidR="00783BA7" w:rsidP="007C4277" w:rsidRDefault="00783BA7" w14:paraId="61D0CD45" w14:textId="6D8F5DA1">
      <w:pPr>
        <w:jc w:val="both"/>
        <w:rPr>
          <w:bCs/>
          <w:lang w:val="en-GB"/>
        </w:rPr>
      </w:pPr>
      <w:r>
        <w:rPr>
          <w:bCs/>
          <w:lang w:val="en-GB"/>
        </w:rPr>
        <w:t>The Offeror</w:t>
      </w:r>
      <w:r w:rsidRPr="005875C7">
        <w:rPr>
          <w:bCs/>
          <w:lang w:val="en-GB"/>
        </w:rPr>
        <w:t xml:space="preserve"> is making the Offer on the terms and subject to the conditions and restrictions contained in the Offer Memorandum. Shareholders tendering their Shares under the Offer will be paid </w:t>
      </w:r>
      <w:r w:rsidR="00E05D9F">
        <w:rPr>
          <w:bCs/>
          <w:lang w:val="en-GB"/>
        </w:rPr>
        <w:t>a cash amount of EUR 14.55</w:t>
      </w:r>
      <w:r w:rsidR="00C71355">
        <w:rPr>
          <w:bCs/>
          <w:lang w:val="en-GB"/>
        </w:rPr>
        <w:t xml:space="preserve"> </w:t>
      </w:r>
      <w:r w:rsidR="00BC4B1E">
        <w:rPr>
          <w:bCs/>
          <w:lang w:val="en-GB"/>
        </w:rPr>
        <w:t xml:space="preserve">in cash </w:t>
      </w:r>
      <w:r w:rsidR="00C71355">
        <w:rPr>
          <w:bCs/>
          <w:lang w:val="en-GB"/>
        </w:rPr>
        <w:t>(</w:t>
      </w:r>
      <w:r w:rsidRPr="00BC4B1E" w:rsidR="00C71355">
        <w:rPr>
          <w:bCs/>
          <w:i/>
          <w:lang w:val="en-GB"/>
        </w:rPr>
        <w:t>cum dividend</w:t>
      </w:r>
      <w:r w:rsidR="00C71355">
        <w:rPr>
          <w:bCs/>
          <w:lang w:val="en-GB"/>
        </w:rPr>
        <w:t>)</w:t>
      </w:r>
      <w:r w:rsidRPr="00E05D9F" w:rsidR="00E05D9F">
        <w:rPr>
          <w:bCs/>
          <w:lang w:val="en-GB"/>
        </w:rPr>
        <w:t xml:space="preserve"> </w:t>
      </w:r>
      <w:r w:rsidR="00E05D9F">
        <w:rPr>
          <w:bCs/>
          <w:lang w:val="en-GB"/>
        </w:rPr>
        <w:t>(the “</w:t>
      </w:r>
      <w:r w:rsidRPr="00904217" w:rsidR="00E05D9F">
        <w:rPr>
          <w:b/>
          <w:bCs/>
          <w:lang w:val="en-GB"/>
        </w:rPr>
        <w:t>Offer Price</w:t>
      </w:r>
      <w:r w:rsidR="00E05D9F">
        <w:rPr>
          <w:bCs/>
          <w:lang w:val="en-GB"/>
        </w:rPr>
        <w:t>”)</w:t>
      </w:r>
      <w:r w:rsidR="00C71355">
        <w:rPr>
          <w:bCs/>
          <w:lang w:val="en-GB"/>
        </w:rPr>
        <w:t xml:space="preserve"> per Share</w:t>
      </w:r>
      <w:r w:rsidRPr="005875C7">
        <w:rPr>
          <w:bCs/>
          <w:lang w:val="en-GB"/>
        </w:rPr>
        <w:t xml:space="preserve"> in consideration for each Share validly tendered (or defectively tendered provided that such defect has been waived by the Offeror) for acceptance pursuant to the Offer prior to or on the Closing Date (each such Share, a “</w:t>
      </w:r>
      <w:r w:rsidRPr="005875C7">
        <w:rPr>
          <w:b/>
          <w:bCs/>
          <w:lang w:val="en-GB"/>
        </w:rPr>
        <w:t>Tendered Share</w:t>
      </w:r>
      <w:r w:rsidRPr="005875C7">
        <w:rPr>
          <w:bCs/>
          <w:lang w:val="en-GB"/>
        </w:rPr>
        <w:t>”).</w:t>
      </w:r>
    </w:p>
    <w:p w:rsidR="000A64E2" w:rsidP="007C4277" w:rsidRDefault="000A64E2" w14:paraId="225FCC26" w14:textId="77777777">
      <w:pPr>
        <w:jc w:val="both"/>
        <w:rPr>
          <w:bCs/>
          <w:lang w:val="en-GB"/>
        </w:rPr>
      </w:pPr>
    </w:p>
    <w:p w:rsidR="004D3A90" w:rsidP="00904217" w:rsidRDefault="00783BA7" w14:paraId="50279FDA" w14:textId="5D09ABC5">
      <w:pPr>
        <w:jc w:val="both"/>
        <w:rPr>
          <w:rFonts w:cs="Arial"/>
          <w:bCs/>
          <w:szCs w:val="19"/>
          <w:lang w:val="en-GB"/>
        </w:rPr>
      </w:pPr>
      <w:r w:rsidRPr="005875C7">
        <w:rPr>
          <w:rFonts w:cs="Arial"/>
          <w:bCs/>
          <w:szCs w:val="19"/>
          <w:lang w:val="en-GB"/>
        </w:rPr>
        <w:t xml:space="preserve">The Offer Price </w:t>
      </w:r>
      <w:r w:rsidR="00F33C19">
        <w:rPr>
          <w:rFonts w:cs="Arial"/>
          <w:bCs/>
          <w:szCs w:val="19"/>
          <w:lang w:val="en-GB"/>
        </w:rPr>
        <w:t xml:space="preserve">is ‘cum dividend’. </w:t>
      </w:r>
      <w:r w:rsidRPr="00F33C19" w:rsidR="00F33C19">
        <w:rPr>
          <w:rFonts w:cs="Arial"/>
          <w:bCs/>
          <w:szCs w:val="19"/>
          <w:lang w:val="en-GB"/>
        </w:rPr>
        <w:t xml:space="preserve">Consequently, if any distribution on the Shares is declared by </w:t>
      </w:r>
      <w:r w:rsidR="00E05D9F">
        <w:rPr>
          <w:rFonts w:cs="Arial"/>
          <w:bCs/>
          <w:szCs w:val="19"/>
          <w:lang w:val="en-GB"/>
        </w:rPr>
        <w:t>Neways</w:t>
      </w:r>
      <w:r w:rsidRPr="00F33C19" w:rsidR="00F33C19">
        <w:rPr>
          <w:rFonts w:cs="Arial"/>
          <w:bCs/>
          <w:szCs w:val="19"/>
          <w:lang w:val="en-GB"/>
        </w:rPr>
        <w:t xml:space="preserve"> whereby the reco</w:t>
      </w:r>
      <w:r w:rsidR="00F33C19">
        <w:rPr>
          <w:rFonts w:cs="Arial"/>
          <w:bCs/>
          <w:szCs w:val="19"/>
          <w:lang w:val="en-GB"/>
        </w:rPr>
        <w:t>rd date for entitlement to such</w:t>
      </w:r>
      <w:r w:rsidR="00844760">
        <w:rPr>
          <w:rFonts w:cs="Arial"/>
          <w:bCs/>
          <w:szCs w:val="19"/>
          <w:lang w:val="en-GB"/>
        </w:rPr>
        <w:t xml:space="preserve"> </w:t>
      </w:r>
      <w:r w:rsidRPr="00F33C19" w:rsidR="00F33C19">
        <w:rPr>
          <w:rFonts w:cs="Arial"/>
          <w:bCs/>
          <w:szCs w:val="19"/>
          <w:lang w:val="en-GB"/>
        </w:rPr>
        <w:t xml:space="preserve">distribution is on or prior to the Settlement Date, then the Offer Price will be decreased by the full amount of any such distribution (before </w:t>
      </w:r>
      <w:r w:rsidR="005F7E9F">
        <w:rPr>
          <w:rFonts w:cs="Arial"/>
          <w:bCs/>
          <w:szCs w:val="19"/>
          <w:lang w:val="en-GB"/>
        </w:rPr>
        <w:t>any applicable withholding tax)</w:t>
      </w:r>
      <w:r w:rsidR="00904217">
        <w:rPr>
          <w:rFonts w:cs="Arial"/>
          <w:bCs/>
          <w:szCs w:val="19"/>
          <w:lang w:val="en-GB"/>
        </w:rPr>
        <w:t>.</w:t>
      </w:r>
    </w:p>
    <w:p w:rsidR="004D3A90" w:rsidP="00904217" w:rsidRDefault="004D3A90" w14:paraId="1B2C4411" w14:textId="77777777">
      <w:pPr>
        <w:jc w:val="both"/>
        <w:rPr>
          <w:bCs/>
          <w:lang w:val="en-GB"/>
        </w:rPr>
      </w:pPr>
    </w:p>
    <w:p w:rsidRPr="00593B1F" w:rsidR="00593B1F" w:rsidP="00904217" w:rsidRDefault="00996AFC" w14:paraId="0C3BF9CD" w14:textId="2B1BA816">
      <w:pPr>
        <w:jc w:val="both"/>
        <w:rPr>
          <w:rFonts w:cs="Arial"/>
          <w:szCs w:val="19"/>
          <w:lang w:val="en-GB"/>
        </w:rPr>
      </w:pPr>
      <w:r>
        <w:rPr>
          <w:bCs/>
          <w:lang w:val="en-GB"/>
        </w:rPr>
        <w:t>T</w:t>
      </w:r>
      <w:r w:rsidRPr="005875C7" w:rsidR="00593B1F">
        <w:rPr>
          <w:lang w:val="en-GB"/>
        </w:rPr>
        <w:t>he Offer values 100% of the</w:t>
      </w:r>
      <w:r w:rsidR="00E05D9F">
        <w:rPr>
          <w:lang w:val="en-GB"/>
        </w:rPr>
        <w:t xml:space="preserve"> Shares at approximately EUR 177.</w:t>
      </w:r>
      <w:r>
        <w:rPr>
          <w:lang w:val="en-GB"/>
        </w:rPr>
        <w:t>8</w:t>
      </w:r>
      <w:r w:rsidRPr="005875C7" w:rsidR="00593B1F">
        <w:rPr>
          <w:lang w:val="en-GB"/>
        </w:rPr>
        <w:t xml:space="preserve"> million. </w:t>
      </w:r>
      <w:r w:rsidR="00C71355">
        <w:rPr>
          <w:rFonts w:cs="Arial"/>
          <w:bCs/>
          <w:szCs w:val="19"/>
          <w:lang w:val="en-GB"/>
        </w:rPr>
        <w:t>In</w:t>
      </w:r>
      <w:r w:rsidR="00E05D9F">
        <w:rPr>
          <w:rFonts w:cs="Arial"/>
          <w:bCs/>
          <w:szCs w:val="19"/>
          <w:lang w:val="en-GB"/>
        </w:rPr>
        <w:t xml:space="preserve"> the press release</w:t>
      </w:r>
      <w:r w:rsidR="00351FB6">
        <w:rPr>
          <w:rFonts w:cs="Arial"/>
          <w:bCs/>
          <w:szCs w:val="19"/>
          <w:lang w:val="en-GB"/>
        </w:rPr>
        <w:t xml:space="preserve"> of the Offeror and Neways</w:t>
      </w:r>
      <w:r w:rsidR="00E05D9F">
        <w:rPr>
          <w:rFonts w:cs="Arial"/>
          <w:bCs/>
          <w:szCs w:val="19"/>
          <w:lang w:val="en-GB"/>
        </w:rPr>
        <w:t xml:space="preserve"> dated </w:t>
      </w:r>
      <w:r>
        <w:rPr>
          <w:rFonts w:cs="Arial"/>
          <w:bCs/>
          <w:szCs w:val="19"/>
          <w:lang w:val="en-GB"/>
        </w:rPr>
        <w:t xml:space="preserve">14 </w:t>
      </w:r>
      <w:r w:rsidR="00E05D9F">
        <w:rPr>
          <w:rFonts w:cs="Arial"/>
          <w:bCs/>
          <w:szCs w:val="19"/>
          <w:lang w:val="en-GB"/>
        </w:rPr>
        <w:t>Ju</w:t>
      </w:r>
      <w:r>
        <w:rPr>
          <w:rFonts w:cs="Arial"/>
          <w:bCs/>
          <w:szCs w:val="19"/>
          <w:lang w:val="en-GB"/>
        </w:rPr>
        <w:t>ly</w:t>
      </w:r>
      <w:r w:rsidR="00C71355">
        <w:rPr>
          <w:rFonts w:cs="Arial"/>
          <w:bCs/>
          <w:szCs w:val="19"/>
          <w:lang w:val="en-GB"/>
        </w:rPr>
        <w:t xml:space="preserve"> 2021, t</w:t>
      </w:r>
      <w:r w:rsidRPr="005875C7" w:rsidR="005F7E9F">
        <w:rPr>
          <w:rFonts w:cs="Arial"/>
          <w:bCs/>
          <w:szCs w:val="19"/>
          <w:lang w:val="en-GB"/>
        </w:rPr>
        <w:t>he Offeror</w:t>
      </w:r>
      <w:r w:rsidR="00C71355">
        <w:rPr>
          <w:rFonts w:cs="Arial"/>
          <w:bCs/>
          <w:szCs w:val="19"/>
          <w:lang w:val="en-GB"/>
        </w:rPr>
        <w:t xml:space="preserve"> confirmed that </w:t>
      </w:r>
      <w:r w:rsidRPr="00BC4B1E">
        <w:rPr>
          <w:rFonts w:cs="Arial"/>
          <w:bCs/>
          <w:szCs w:val="19"/>
          <w:lang w:val="en-US"/>
        </w:rPr>
        <w:t>it is able to fund the aggregate consideration of the Offer fully through readily available liquid assets and cash</w:t>
      </w:r>
      <w:r w:rsidRPr="005875C7" w:rsidR="005875C7">
        <w:rPr>
          <w:rFonts w:cs="Arial"/>
          <w:bCs/>
          <w:szCs w:val="19"/>
          <w:lang w:val="en-GB"/>
        </w:rPr>
        <w:t>.</w:t>
      </w:r>
    </w:p>
    <w:p w:rsidRPr="005875C7" w:rsidR="005875C7" w:rsidP="007C4277" w:rsidRDefault="005875C7" w14:paraId="73EAD4BB" w14:textId="77777777">
      <w:pPr>
        <w:jc w:val="both"/>
        <w:rPr>
          <w:rFonts w:cs="Arial"/>
          <w:szCs w:val="19"/>
          <w:lang w:val="en-GB"/>
        </w:rPr>
      </w:pPr>
    </w:p>
    <w:p w:rsidRPr="007C4277" w:rsidR="00F33C19" w:rsidP="007C4277" w:rsidRDefault="00F33C19" w14:paraId="12F01108" w14:textId="77777777">
      <w:pPr>
        <w:rPr>
          <w:b/>
          <w:lang w:val="en-GB"/>
        </w:rPr>
      </w:pPr>
      <w:r w:rsidRPr="007C4277">
        <w:rPr>
          <w:b/>
          <w:lang w:val="en-GB"/>
        </w:rPr>
        <w:t>Rationale for the Offer</w:t>
      </w:r>
    </w:p>
    <w:p w:rsidRPr="00CF594F" w:rsidR="00CF594F" w:rsidP="008B0450" w:rsidRDefault="00CF594F" w14:paraId="459CFA38" w14:textId="519DA9B0">
      <w:pPr>
        <w:jc w:val="both"/>
        <w:rPr>
          <w:lang w:val="en-GB"/>
        </w:rPr>
      </w:pPr>
      <w:r w:rsidRPr="00CF594F">
        <w:rPr>
          <w:lang w:val="en-GB"/>
        </w:rPr>
        <w:t xml:space="preserve">The </w:t>
      </w:r>
      <w:r w:rsidR="00E0242F">
        <w:rPr>
          <w:lang w:val="en-GB"/>
        </w:rPr>
        <w:t>Offeror</w:t>
      </w:r>
      <w:r w:rsidRPr="00CF594F">
        <w:rPr>
          <w:lang w:val="en-GB"/>
        </w:rPr>
        <w:t xml:space="preserve"> and Neways believe that the Transaction is in the best interest of Neways and the Neways Group, the continued and sustainable success and long-term value of its business, taking into account the interest of all its stakeholders, and that the Offeror becoming the majority shareholder of Neways will provide strategic and other benefits to Neways and the Neways Group and its business.</w:t>
      </w:r>
    </w:p>
    <w:p w:rsidR="00CF594F" w:rsidP="008B0450" w:rsidRDefault="00CF594F" w14:paraId="25E0F2EE" w14:textId="77777777">
      <w:pPr>
        <w:jc w:val="both"/>
        <w:rPr>
          <w:lang w:val="en-US"/>
        </w:rPr>
      </w:pPr>
    </w:p>
    <w:p w:rsidRPr="00CF594F" w:rsidR="00CF594F" w:rsidP="008B0450" w:rsidRDefault="00CF594F" w14:paraId="32380060" w14:textId="289881A3">
      <w:pPr>
        <w:jc w:val="both"/>
        <w:rPr>
          <w:lang w:val="en-US"/>
        </w:rPr>
      </w:pPr>
      <w:r w:rsidRPr="00CF594F">
        <w:rPr>
          <w:lang w:val="en-US"/>
        </w:rPr>
        <w:t>Neways' ambition is to outperform the core EMS competition, focusing on sustainable and profitable growth. Key to this is to transform into and act as a '</w:t>
      </w:r>
      <w:r w:rsidRPr="00CF594F">
        <w:rPr>
          <w:iCs/>
          <w:lang w:val="en-US"/>
        </w:rPr>
        <w:t>System Innovator</w:t>
      </w:r>
      <w:r w:rsidRPr="00CF594F">
        <w:rPr>
          <w:lang w:val="en-US"/>
        </w:rPr>
        <w:t xml:space="preserve">' which enables Neways to become and remain a top-player in its industry, a life cycle partner to its customers and to lead with pride. </w:t>
      </w:r>
      <w:r w:rsidR="000E2FF3">
        <w:rPr>
          <w:lang w:val="en-US"/>
        </w:rPr>
        <w:t>Furthermore</w:t>
      </w:r>
      <w:r w:rsidRPr="00CF594F">
        <w:rPr>
          <w:lang w:val="en-US"/>
        </w:rPr>
        <w:t>, the accelerated roll-out of Neways' '</w:t>
      </w:r>
      <w:r w:rsidRPr="00CF594F">
        <w:rPr>
          <w:iCs/>
          <w:lang w:val="en-US"/>
        </w:rPr>
        <w:t>One Neways</w:t>
      </w:r>
      <w:r w:rsidRPr="00CF594F">
        <w:rPr>
          <w:lang w:val="en-US"/>
        </w:rPr>
        <w:t>' strategy is key to its future success.</w:t>
      </w:r>
      <w:r w:rsidR="000E2FF3">
        <w:rPr>
          <w:lang w:val="en-US"/>
        </w:rPr>
        <w:t xml:space="preserve"> </w:t>
      </w:r>
    </w:p>
    <w:p w:rsidRPr="00727483" w:rsidR="00CF594F" w:rsidP="008B0450" w:rsidRDefault="00CF594F" w14:paraId="40055E40" w14:textId="77777777">
      <w:pPr>
        <w:jc w:val="both"/>
        <w:rPr>
          <w:lang w:val="en-GB"/>
        </w:rPr>
      </w:pPr>
    </w:p>
    <w:p w:rsidRPr="00CF594F" w:rsidR="00CF594F" w:rsidP="000B23FF" w:rsidRDefault="00CF594F" w14:paraId="29732809" w14:textId="6E8215D4">
      <w:pPr>
        <w:widowControl w:val="0"/>
        <w:jc w:val="both"/>
        <w:rPr>
          <w:lang w:val="en-GB"/>
        </w:rPr>
      </w:pPr>
      <w:r w:rsidRPr="00CF594F">
        <w:rPr>
          <w:lang w:val="en-GB"/>
        </w:rPr>
        <w:t xml:space="preserve">The </w:t>
      </w:r>
      <w:r w:rsidR="00E0242F">
        <w:rPr>
          <w:lang w:val="en-GB"/>
        </w:rPr>
        <w:t>Offeror</w:t>
      </w:r>
      <w:r w:rsidRPr="00CF594F">
        <w:rPr>
          <w:lang w:val="en-GB"/>
        </w:rPr>
        <w:t xml:space="preserve">, with its expertise, fully supports Neways in accelerating the </w:t>
      </w:r>
      <w:r w:rsidRPr="00CF594F">
        <w:rPr>
          <w:lang w:val="en-US"/>
        </w:rPr>
        <w:t>'</w:t>
      </w:r>
      <w:r w:rsidRPr="00CF594F">
        <w:rPr>
          <w:iCs/>
          <w:lang w:val="en-GB"/>
        </w:rPr>
        <w:t>One Neways</w:t>
      </w:r>
      <w:r w:rsidRPr="00CF594F">
        <w:rPr>
          <w:lang w:val="en-US"/>
        </w:rPr>
        <w:t>'</w:t>
      </w:r>
      <w:r w:rsidRPr="00CF594F">
        <w:rPr>
          <w:lang w:val="en-GB"/>
        </w:rPr>
        <w:t xml:space="preserve"> and </w:t>
      </w:r>
      <w:r w:rsidRPr="00CF594F">
        <w:rPr>
          <w:lang w:val="en-US"/>
        </w:rPr>
        <w:t>'</w:t>
      </w:r>
      <w:r w:rsidRPr="00CF594F">
        <w:rPr>
          <w:iCs/>
          <w:lang w:val="en-GB"/>
        </w:rPr>
        <w:t>System Innovator</w:t>
      </w:r>
      <w:r w:rsidRPr="00CF594F">
        <w:rPr>
          <w:lang w:val="en-US"/>
        </w:rPr>
        <w:t>'</w:t>
      </w:r>
      <w:r w:rsidRPr="00CF594F">
        <w:rPr>
          <w:i/>
          <w:iCs/>
          <w:lang w:val="en-GB"/>
        </w:rPr>
        <w:t xml:space="preserve"> </w:t>
      </w:r>
      <w:r w:rsidRPr="00CF594F">
        <w:rPr>
          <w:lang w:val="en-GB"/>
        </w:rPr>
        <w:t xml:space="preserve">strategy and transitioning into a best in class EMS enterprise. The </w:t>
      </w:r>
      <w:r w:rsidR="00E0242F">
        <w:rPr>
          <w:lang w:val="en-GB"/>
        </w:rPr>
        <w:t>Offeror</w:t>
      </w:r>
      <w:r w:rsidRPr="00CF594F">
        <w:rPr>
          <w:lang w:val="en-GB"/>
        </w:rPr>
        <w:t xml:space="preserve"> supports the Neways Group's strategic objectives in order to upgrade and grow its operations, to the extent possible on an accelerated basis. The </w:t>
      </w:r>
      <w:r w:rsidR="00E0242F">
        <w:rPr>
          <w:lang w:val="en-GB"/>
        </w:rPr>
        <w:t>Offeror</w:t>
      </w:r>
      <w:r w:rsidRPr="00CF594F">
        <w:rPr>
          <w:lang w:val="en-GB"/>
        </w:rPr>
        <w:t xml:space="preserve"> intends to support Neways in the further development of leadership, craftsmanship and entrepreneurship in its operating companies. The </w:t>
      </w:r>
      <w:r w:rsidR="00E0242F">
        <w:rPr>
          <w:lang w:val="en-GB"/>
        </w:rPr>
        <w:t>Offeror</w:t>
      </w:r>
      <w:r w:rsidRPr="00CF594F">
        <w:rPr>
          <w:lang w:val="en-GB"/>
        </w:rPr>
        <w:t xml:space="preserve"> further acknowledges the importance of the continuing development of talent and technological expertise among employees.</w:t>
      </w:r>
    </w:p>
    <w:p w:rsidR="000B23FF" w:rsidP="000B23FF" w:rsidRDefault="000B23FF" w14:paraId="701DAA91" w14:textId="77777777">
      <w:pPr>
        <w:jc w:val="both"/>
        <w:rPr>
          <w:lang w:val="en-GB"/>
        </w:rPr>
      </w:pPr>
    </w:p>
    <w:p w:rsidRPr="00CF594F" w:rsidR="00CF594F" w:rsidP="000B23FF" w:rsidRDefault="00CF594F" w14:paraId="41D3ADD9" w14:textId="61B1768B">
      <w:pPr>
        <w:widowControl w:val="0"/>
        <w:spacing w:after="200" w:line="276" w:lineRule="auto"/>
        <w:jc w:val="both"/>
        <w:rPr>
          <w:lang w:val="en-GB"/>
        </w:rPr>
      </w:pPr>
      <w:r w:rsidRPr="00CF594F">
        <w:rPr>
          <w:lang w:val="en-GB"/>
        </w:rPr>
        <w:t xml:space="preserve">The </w:t>
      </w:r>
      <w:r w:rsidR="00E0242F">
        <w:rPr>
          <w:lang w:val="en-GB"/>
        </w:rPr>
        <w:t>Offeror</w:t>
      </w:r>
      <w:r w:rsidRPr="00CF594F">
        <w:rPr>
          <w:lang w:val="en-GB"/>
        </w:rPr>
        <w:t xml:space="preserve"> believes it can add long-term value through its track record, experience and expertise by supporting Neways on strategic, organisational, and operational matters through the Consultancy Agreement that will be entered into by the Offeror and Neways on arm's length terms, as soon as reasonably practicable after the Settlement Date.</w:t>
      </w:r>
    </w:p>
    <w:p w:rsidRPr="005875C7" w:rsidR="007C4277" w:rsidP="007C4277" w:rsidRDefault="007C4277" w14:paraId="2F31AE81" w14:textId="77777777">
      <w:pPr>
        <w:rPr>
          <w:rFonts w:cs="Arial"/>
          <w:bCs/>
          <w:szCs w:val="19"/>
          <w:lang w:val="en-GB"/>
        </w:rPr>
      </w:pPr>
    </w:p>
    <w:p w:rsidRPr="00E321DD" w:rsidR="00F33C19" w:rsidP="00C974A6" w:rsidRDefault="00F33C19" w14:paraId="20004516" w14:textId="77777777">
      <w:pPr>
        <w:keepNext/>
        <w:jc w:val="both"/>
        <w:rPr>
          <w:rFonts w:cs="Arial"/>
          <w:b/>
          <w:bCs/>
          <w:szCs w:val="19"/>
          <w:lang w:val="en-GB"/>
        </w:rPr>
      </w:pPr>
      <w:r w:rsidRPr="009E4613">
        <w:rPr>
          <w:rFonts w:cs="Arial"/>
          <w:b/>
          <w:bCs/>
          <w:szCs w:val="19"/>
          <w:lang w:val="en-GB"/>
        </w:rPr>
        <w:lastRenderedPageBreak/>
        <w:t>Non-financial covenants</w:t>
      </w:r>
    </w:p>
    <w:p w:rsidR="00F33C19" w:rsidP="00F33C19" w:rsidRDefault="00231ED2" w14:paraId="1EB5F458" w14:textId="30EE7C9A">
      <w:pPr>
        <w:jc w:val="both"/>
        <w:rPr>
          <w:rFonts w:cs="Arial"/>
          <w:szCs w:val="19"/>
          <w:lang w:val="en-US"/>
        </w:rPr>
      </w:pPr>
      <w:r>
        <w:rPr>
          <w:rFonts w:cs="Arial"/>
          <w:szCs w:val="19"/>
          <w:lang w:val="en-US"/>
        </w:rPr>
        <w:t>The Offeror</w:t>
      </w:r>
      <w:r w:rsidRPr="00EB6B96">
        <w:rPr>
          <w:rFonts w:cs="Arial"/>
          <w:szCs w:val="19"/>
          <w:lang w:val="en-US"/>
        </w:rPr>
        <w:t xml:space="preserve"> </w:t>
      </w:r>
      <w:r w:rsidRPr="00EB6B96" w:rsidR="00EB6B96">
        <w:rPr>
          <w:rFonts w:cs="Arial"/>
          <w:szCs w:val="19"/>
          <w:lang w:val="en-US"/>
        </w:rPr>
        <w:t xml:space="preserve">and Neways have agreed to certain non-financial covenants in respect of, amongst others, corporate governance, strategy, employees and financing for a duration of three years after </w:t>
      </w:r>
      <w:r w:rsidR="00EB6B96">
        <w:rPr>
          <w:rFonts w:cs="Arial"/>
          <w:szCs w:val="19"/>
          <w:lang w:val="en-US"/>
        </w:rPr>
        <w:t>Settlement</w:t>
      </w:r>
      <w:r w:rsidRPr="00EB6B96" w:rsidR="00EB6B96">
        <w:rPr>
          <w:rFonts w:cs="Arial"/>
          <w:szCs w:val="19"/>
          <w:lang w:val="en-US"/>
        </w:rPr>
        <w:t xml:space="preserve">, including the covenants </w:t>
      </w:r>
      <w:proofErr w:type="spellStart"/>
      <w:r w:rsidRPr="00EB6B96" w:rsidR="00EB6B96">
        <w:rPr>
          <w:rFonts w:cs="Arial"/>
          <w:szCs w:val="19"/>
          <w:lang w:val="en-US"/>
        </w:rPr>
        <w:t>summarised</w:t>
      </w:r>
      <w:proofErr w:type="spellEnd"/>
      <w:r w:rsidRPr="00EB6B96" w:rsidR="00EB6B96">
        <w:rPr>
          <w:rFonts w:cs="Arial"/>
          <w:szCs w:val="19"/>
          <w:lang w:val="en-US"/>
        </w:rPr>
        <w:t xml:space="preserve"> below</w:t>
      </w:r>
      <w:r w:rsidR="00EB6B96">
        <w:rPr>
          <w:rFonts w:cs="Arial"/>
          <w:szCs w:val="19"/>
          <w:lang w:val="en-US"/>
        </w:rPr>
        <w:t>.</w:t>
      </w:r>
    </w:p>
    <w:p w:rsidRPr="00EB6B96" w:rsidR="00EB6B96" w:rsidP="00F33C19" w:rsidRDefault="00EB6B96" w14:paraId="10395B4D" w14:textId="77777777">
      <w:pPr>
        <w:jc w:val="both"/>
        <w:rPr>
          <w:rFonts w:cs="Arial"/>
          <w:szCs w:val="19"/>
          <w:lang w:val="en-US"/>
        </w:rPr>
      </w:pPr>
    </w:p>
    <w:p w:rsidRPr="005875C7" w:rsidR="00F33C19" w:rsidP="00F33C19" w:rsidRDefault="00941862" w14:paraId="456B9D8C" w14:textId="77777777">
      <w:pPr>
        <w:jc w:val="both"/>
        <w:rPr>
          <w:rFonts w:cs="Arial"/>
          <w:i/>
          <w:szCs w:val="19"/>
          <w:lang w:val="en-GB"/>
        </w:rPr>
      </w:pPr>
      <w:r>
        <w:rPr>
          <w:rFonts w:cs="Arial"/>
          <w:i/>
          <w:szCs w:val="19"/>
          <w:lang w:val="en-GB"/>
        </w:rPr>
        <w:t>Strategy</w:t>
      </w:r>
    </w:p>
    <w:p w:rsidRPr="00941862" w:rsidR="00F33C19" w:rsidP="00F33C19" w:rsidRDefault="001B0C1D" w14:paraId="4C87EBEF" w14:textId="3499F71E">
      <w:pPr>
        <w:jc w:val="both"/>
        <w:rPr>
          <w:rFonts w:cs="Arial"/>
          <w:szCs w:val="19"/>
          <w:lang w:val="en-GB"/>
        </w:rPr>
      </w:pPr>
      <w:r w:rsidRPr="001B0C1D">
        <w:rPr>
          <w:rFonts w:cs="Arial"/>
          <w:szCs w:val="19"/>
          <w:lang w:val="en-GB"/>
        </w:rPr>
        <w:t xml:space="preserve">The Offeror shall support and respect Neways' current business and investment strategy </w:t>
      </w:r>
      <w:r w:rsidRPr="001B0C1D">
        <w:rPr>
          <w:rFonts w:cs="Arial"/>
          <w:szCs w:val="19"/>
          <w:lang w:val="en-US"/>
        </w:rPr>
        <w:t>'</w:t>
      </w:r>
      <w:r w:rsidRPr="001B0C1D">
        <w:rPr>
          <w:rFonts w:cs="Arial"/>
          <w:szCs w:val="19"/>
          <w:lang w:val="en-GB"/>
        </w:rPr>
        <w:t>One Neways</w:t>
      </w:r>
      <w:r w:rsidRPr="001B0C1D">
        <w:rPr>
          <w:rFonts w:cs="Arial"/>
          <w:szCs w:val="19"/>
          <w:lang w:val="en-US"/>
        </w:rPr>
        <w:t>'</w:t>
      </w:r>
      <w:r w:rsidRPr="001B0C1D">
        <w:rPr>
          <w:rFonts w:cs="Arial"/>
          <w:szCs w:val="19"/>
          <w:lang w:val="en-GB"/>
        </w:rPr>
        <w:t xml:space="preserve"> as described in Neways' 2020 annual report and the positioning of Neways as </w:t>
      </w:r>
      <w:r w:rsidRPr="001B0C1D">
        <w:rPr>
          <w:rFonts w:cs="Arial"/>
          <w:szCs w:val="19"/>
          <w:lang w:val="en-US"/>
        </w:rPr>
        <w:t>'</w:t>
      </w:r>
      <w:r w:rsidRPr="001B0C1D">
        <w:rPr>
          <w:rFonts w:cs="Arial"/>
          <w:szCs w:val="19"/>
          <w:lang w:val="en-GB"/>
        </w:rPr>
        <w:t>System Innovator</w:t>
      </w:r>
      <w:r w:rsidRPr="001B0C1D">
        <w:rPr>
          <w:rFonts w:cs="Arial"/>
          <w:szCs w:val="19"/>
          <w:lang w:val="en-US"/>
        </w:rPr>
        <w:t>'</w:t>
      </w:r>
      <w:r w:rsidRPr="00941862" w:rsidR="00941862">
        <w:rPr>
          <w:rFonts w:cs="Arial"/>
          <w:szCs w:val="19"/>
          <w:lang w:val="en-GB"/>
        </w:rPr>
        <w:t xml:space="preserve">. Following </w:t>
      </w:r>
      <w:r>
        <w:rPr>
          <w:rFonts w:cs="Arial"/>
          <w:szCs w:val="19"/>
          <w:lang w:val="en-GB"/>
        </w:rPr>
        <w:t>Settlement</w:t>
      </w:r>
      <w:r w:rsidRPr="00941862" w:rsidR="00941862">
        <w:rPr>
          <w:rFonts w:cs="Arial"/>
          <w:szCs w:val="19"/>
          <w:lang w:val="en-GB"/>
        </w:rPr>
        <w:t xml:space="preserve">, </w:t>
      </w:r>
      <w:r w:rsidR="00941862">
        <w:rPr>
          <w:rFonts w:cs="Arial"/>
          <w:szCs w:val="19"/>
          <w:lang w:val="en-GB"/>
        </w:rPr>
        <w:t>the Offeror</w:t>
      </w:r>
      <w:r w:rsidRPr="00941862" w:rsidR="00941862">
        <w:rPr>
          <w:rFonts w:cs="Arial"/>
          <w:szCs w:val="19"/>
          <w:lang w:val="en-GB"/>
        </w:rPr>
        <w:t xml:space="preserve"> shall work with Neways to grow the business in a manner that reflects the Strategy of Neways.</w:t>
      </w:r>
    </w:p>
    <w:p w:rsidRPr="009E4613" w:rsidR="00F33C19" w:rsidP="00F33C19" w:rsidRDefault="00F33C19" w14:paraId="15731521" w14:textId="77777777">
      <w:pPr>
        <w:jc w:val="both"/>
        <w:rPr>
          <w:rFonts w:cs="Arial"/>
          <w:szCs w:val="19"/>
          <w:lang w:val="en-GB"/>
        </w:rPr>
      </w:pPr>
    </w:p>
    <w:p w:rsidRPr="001B0C1D" w:rsidR="00941862" w:rsidP="00F33C19" w:rsidRDefault="00941862" w14:paraId="0B34EEA0" w14:textId="26086674">
      <w:pPr>
        <w:jc w:val="both"/>
        <w:rPr>
          <w:rFonts w:cs="Arial"/>
          <w:i/>
          <w:szCs w:val="19"/>
          <w:lang w:val="en-GB"/>
        </w:rPr>
      </w:pPr>
      <w:r>
        <w:rPr>
          <w:rFonts w:cs="Arial"/>
          <w:i/>
          <w:szCs w:val="19"/>
          <w:lang w:val="en-GB"/>
        </w:rPr>
        <w:t>Governance</w:t>
      </w:r>
      <w:r w:rsidR="00EB6B96">
        <w:rPr>
          <w:rFonts w:cs="Arial"/>
          <w:i/>
          <w:szCs w:val="19"/>
          <w:lang w:val="en-GB"/>
        </w:rPr>
        <w:t xml:space="preserve"> and legal structure</w:t>
      </w:r>
    </w:p>
    <w:p w:rsidR="00F33C19" w:rsidP="00F33C19" w:rsidRDefault="00941862" w14:paraId="08B32B19" w14:textId="77777777">
      <w:pPr>
        <w:jc w:val="both"/>
        <w:rPr>
          <w:rFonts w:cs="Arial"/>
          <w:szCs w:val="19"/>
          <w:lang w:val="en-GB"/>
        </w:rPr>
      </w:pPr>
      <w:r>
        <w:rPr>
          <w:rFonts w:cs="Arial"/>
          <w:szCs w:val="19"/>
          <w:lang w:val="en-GB"/>
        </w:rPr>
        <w:t>The Offeror</w:t>
      </w:r>
      <w:r w:rsidRPr="00941862">
        <w:rPr>
          <w:rFonts w:cs="Arial"/>
          <w:szCs w:val="19"/>
          <w:lang w:val="en-GB"/>
        </w:rPr>
        <w:t xml:space="preserve"> and Neways agree that Neways shall continue to apply the full large company regime (</w:t>
      </w:r>
      <w:proofErr w:type="spellStart"/>
      <w:r w:rsidRPr="00941862">
        <w:rPr>
          <w:rFonts w:cs="Arial"/>
          <w:i/>
          <w:szCs w:val="19"/>
          <w:lang w:val="en-GB"/>
        </w:rPr>
        <w:t>volledig</w:t>
      </w:r>
      <w:proofErr w:type="spellEnd"/>
      <w:r w:rsidRPr="00941862">
        <w:rPr>
          <w:rFonts w:cs="Arial"/>
          <w:i/>
          <w:szCs w:val="19"/>
          <w:lang w:val="en-GB"/>
        </w:rPr>
        <w:t xml:space="preserve"> </w:t>
      </w:r>
      <w:proofErr w:type="spellStart"/>
      <w:r w:rsidRPr="00941862">
        <w:rPr>
          <w:rFonts w:cs="Arial"/>
          <w:i/>
          <w:szCs w:val="19"/>
          <w:lang w:val="en-GB"/>
        </w:rPr>
        <w:t>structuurregime</w:t>
      </w:r>
      <w:proofErr w:type="spellEnd"/>
      <w:r w:rsidRPr="00941862">
        <w:rPr>
          <w:rFonts w:cs="Arial"/>
          <w:szCs w:val="19"/>
          <w:lang w:val="en-GB"/>
        </w:rPr>
        <w:t>).</w:t>
      </w:r>
    </w:p>
    <w:p w:rsidR="00E721E4" w:rsidP="00F33C19" w:rsidRDefault="00E721E4" w14:paraId="5C890FAF" w14:textId="77777777">
      <w:pPr>
        <w:jc w:val="both"/>
        <w:rPr>
          <w:rFonts w:cs="Arial"/>
          <w:szCs w:val="19"/>
          <w:lang w:val="en-GB"/>
        </w:rPr>
      </w:pPr>
    </w:p>
    <w:p w:rsidR="00E721E4" w:rsidP="00F33C19" w:rsidRDefault="00E721E4" w14:paraId="112B8FDB" w14:textId="4DE95D6A">
      <w:pPr>
        <w:jc w:val="both"/>
        <w:rPr>
          <w:lang w:val="en-GB"/>
        </w:rPr>
      </w:pPr>
      <w:r w:rsidRPr="00E721E4">
        <w:rPr>
          <w:lang w:val="en-GB"/>
        </w:rPr>
        <w:t xml:space="preserve">As long as </w:t>
      </w:r>
      <w:r w:rsidR="00EC04D2">
        <w:rPr>
          <w:lang w:val="en-GB"/>
        </w:rPr>
        <w:t>the</w:t>
      </w:r>
      <w:r w:rsidRPr="00E721E4">
        <w:rPr>
          <w:lang w:val="en-GB"/>
        </w:rPr>
        <w:t xml:space="preserve"> Shares remain listed on Euronext Amsterdam, the Offeror shall procure that Neways shall continue to comply with the current Dutch Corporate Governance Code, except for (i) current deviations and (ii) deviatio</w:t>
      </w:r>
      <w:r w:rsidR="00EC04D2">
        <w:rPr>
          <w:lang w:val="en-GB"/>
        </w:rPr>
        <w:t xml:space="preserve">ns </w:t>
      </w:r>
      <w:r w:rsidRPr="00E721E4">
        <w:rPr>
          <w:lang w:val="en-GB"/>
        </w:rPr>
        <w:t>that find their basis in the Merger Protocol</w:t>
      </w:r>
      <w:r w:rsidR="00B579AB">
        <w:rPr>
          <w:lang w:val="en-GB"/>
        </w:rPr>
        <w:t xml:space="preserve"> (as described in the Offer Memorandum)</w:t>
      </w:r>
      <w:r w:rsidR="00351FB6">
        <w:rPr>
          <w:lang w:val="en-GB"/>
        </w:rPr>
        <w:t>.</w:t>
      </w:r>
    </w:p>
    <w:p w:rsidR="00EB6B96" w:rsidP="00F33C19" w:rsidRDefault="00EB6B96" w14:paraId="52FA82EA" w14:textId="1AA20FAF">
      <w:pPr>
        <w:jc w:val="both"/>
        <w:rPr>
          <w:lang w:val="en-GB"/>
        </w:rPr>
      </w:pPr>
    </w:p>
    <w:p w:rsidR="0079793E" w:rsidP="00EB6B96" w:rsidRDefault="00EB6B96" w14:paraId="5ADA5E13" w14:textId="77777777">
      <w:pPr>
        <w:jc w:val="both"/>
        <w:rPr>
          <w:rFonts w:cs="Arial"/>
          <w:szCs w:val="19"/>
          <w:lang w:val="en-GB"/>
        </w:rPr>
      </w:pPr>
      <w:r w:rsidRPr="00EB6B96">
        <w:rPr>
          <w:rFonts w:cs="Arial"/>
          <w:szCs w:val="19"/>
          <w:lang w:val="en-GB"/>
        </w:rPr>
        <w:t>The Offeror shall not break up the Neways Group or its business units, unless proposed by the Management Board. The Offeror does not intend to pursue any divestments of business units.</w:t>
      </w:r>
      <w:r w:rsidR="0079793E">
        <w:rPr>
          <w:rFonts w:cs="Arial"/>
          <w:szCs w:val="19"/>
          <w:lang w:val="en-GB"/>
        </w:rPr>
        <w:t xml:space="preserve"> </w:t>
      </w:r>
    </w:p>
    <w:p w:rsidR="0079793E" w:rsidP="00EB6B96" w:rsidRDefault="0079793E" w14:paraId="26533829" w14:textId="77777777">
      <w:pPr>
        <w:jc w:val="both"/>
        <w:rPr>
          <w:rFonts w:cs="Arial"/>
          <w:szCs w:val="19"/>
          <w:lang w:val="en-GB"/>
        </w:rPr>
      </w:pPr>
    </w:p>
    <w:p w:rsidR="00EB6B96" w:rsidP="00EB6B96" w:rsidRDefault="0079793E" w14:paraId="3012EFEB" w14:textId="7850585F">
      <w:pPr>
        <w:jc w:val="both"/>
        <w:rPr>
          <w:rFonts w:cs="Arial"/>
          <w:szCs w:val="19"/>
          <w:lang w:val="en-GB"/>
        </w:rPr>
      </w:pPr>
      <w:r>
        <w:rPr>
          <w:rFonts w:cs="Arial"/>
          <w:szCs w:val="19"/>
          <w:lang w:val="en-GB"/>
        </w:rPr>
        <w:t xml:space="preserve">The Offeror shall procure that Neways will </w:t>
      </w:r>
      <w:r w:rsidRPr="0079793E">
        <w:rPr>
          <w:rFonts w:cs="Arial"/>
          <w:szCs w:val="19"/>
          <w:lang w:val="en-GB"/>
        </w:rPr>
        <w:t>remain a separate legal entity and will not be integrated or combined with portfolio companies of Infestos. The Offeror will remain the main holding company of Neways' current and future subsidiaries and operations.</w:t>
      </w:r>
    </w:p>
    <w:p w:rsidR="0079793E" w:rsidP="00EB6B96" w:rsidRDefault="0079793E" w14:paraId="3D5B3769" w14:textId="33D73BB5">
      <w:pPr>
        <w:jc w:val="both"/>
        <w:rPr>
          <w:rFonts w:cs="Arial"/>
          <w:szCs w:val="19"/>
          <w:lang w:val="en-GB"/>
        </w:rPr>
      </w:pPr>
    </w:p>
    <w:p w:rsidRPr="00EB6B96" w:rsidR="0079793E" w:rsidP="00EB6B96" w:rsidRDefault="0079793E" w14:paraId="631A6944" w14:textId="5160CE14">
      <w:pPr>
        <w:jc w:val="both"/>
        <w:rPr>
          <w:rFonts w:cs="Arial"/>
          <w:szCs w:val="19"/>
          <w:lang w:val="en-GB"/>
        </w:rPr>
      </w:pPr>
      <w:r w:rsidRPr="0079793E">
        <w:rPr>
          <w:rFonts w:cs="Arial"/>
          <w:szCs w:val="19"/>
          <w:lang w:val="en-GB"/>
        </w:rPr>
        <w:t>Neways' headquarters, central management and its key support functions, from time to time, will remain at its current headquarters at Science Park Eindhoven in Son, the Netherlands.</w:t>
      </w:r>
    </w:p>
    <w:p w:rsidRPr="00E721E4" w:rsidR="00EB6B96" w:rsidP="00F33C19" w:rsidRDefault="00EB6B96" w14:paraId="56406D89" w14:textId="77777777">
      <w:pPr>
        <w:jc w:val="both"/>
        <w:rPr>
          <w:rFonts w:cs="Arial"/>
          <w:szCs w:val="19"/>
          <w:lang w:val="en-GB"/>
        </w:rPr>
      </w:pPr>
    </w:p>
    <w:p w:rsidR="00F33C19" w:rsidP="001B0C1D" w:rsidRDefault="00EB6B96" w14:paraId="4F3A91E2" w14:textId="6BDE9948">
      <w:pPr>
        <w:jc w:val="both"/>
        <w:rPr>
          <w:rFonts w:cs="Arial"/>
          <w:szCs w:val="19"/>
          <w:lang w:val="en-GB"/>
        </w:rPr>
      </w:pPr>
      <w:r w:rsidRPr="00EB6B96">
        <w:rPr>
          <w:rFonts w:cs="Arial"/>
          <w:szCs w:val="19"/>
          <w:lang w:val="en-GB"/>
        </w:rPr>
        <w:t>The Offeror shall support and respect that the Neways Group shall maintain its corporate identity, values and culture.</w:t>
      </w:r>
    </w:p>
    <w:p w:rsidRPr="009E4613" w:rsidR="00EB6B96" w:rsidP="001B0C1D" w:rsidRDefault="00EB6B96" w14:paraId="66AD021C" w14:textId="77777777">
      <w:pPr>
        <w:jc w:val="both"/>
        <w:rPr>
          <w:rFonts w:cs="Arial"/>
          <w:szCs w:val="19"/>
          <w:lang w:val="en-GB"/>
        </w:rPr>
      </w:pPr>
    </w:p>
    <w:p w:rsidRPr="005875C7" w:rsidR="00F33C19" w:rsidP="00F33C19" w:rsidRDefault="00941862" w14:paraId="14FB7654" w14:textId="77777777">
      <w:pPr>
        <w:jc w:val="both"/>
        <w:rPr>
          <w:rFonts w:cs="Arial"/>
          <w:i/>
          <w:szCs w:val="19"/>
          <w:lang w:val="en-GB"/>
        </w:rPr>
      </w:pPr>
      <w:r>
        <w:rPr>
          <w:rFonts w:cs="Arial"/>
          <w:i/>
          <w:szCs w:val="19"/>
          <w:lang w:val="en-GB"/>
        </w:rPr>
        <w:t>Employees</w:t>
      </w:r>
    </w:p>
    <w:p w:rsidRPr="009E4613" w:rsidR="00F33C19" w:rsidP="00F33C19" w:rsidRDefault="00941862" w14:paraId="0DF72539" w14:textId="77777777">
      <w:pPr>
        <w:jc w:val="both"/>
        <w:rPr>
          <w:rFonts w:cs="Arial"/>
          <w:szCs w:val="19"/>
          <w:lang w:val="en-GB"/>
        </w:rPr>
      </w:pPr>
      <w:r w:rsidRPr="00941862">
        <w:rPr>
          <w:rFonts w:cs="Arial"/>
          <w:szCs w:val="19"/>
          <w:lang w:val="en-GB"/>
        </w:rPr>
        <w:t xml:space="preserve">The existing rights and benefits of Neways Group’s employees shall be respected by </w:t>
      </w:r>
      <w:r>
        <w:rPr>
          <w:rFonts w:cs="Arial"/>
          <w:szCs w:val="19"/>
          <w:lang w:val="en-GB"/>
        </w:rPr>
        <w:t>the Offeror</w:t>
      </w:r>
      <w:r w:rsidRPr="00941862">
        <w:rPr>
          <w:rFonts w:cs="Arial"/>
          <w:szCs w:val="19"/>
          <w:lang w:val="en-GB"/>
        </w:rPr>
        <w:t>, including existing rights and benefits under their individual employment agreements, social plans, and including existing rights and benefits under existing covenants made to the works councils.</w:t>
      </w:r>
      <w:r w:rsidRPr="009E4613" w:rsidR="00F33C19">
        <w:rPr>
          <w:rFonts w:cs="Arial"/>
          <w:szCs w:val="19"/>
          <w:lang w:val="en-GB"/>
        </w:rPr>
        <w:t xml:space="preserve"> </w:t>
      </w:r>
    </w:p>
    <w:p w:rsidRPr="009E4613" w:rsidR="00F33C19" w:rsidP="00F33C19" w:rsidRDefault="00F33C19" w14:paraId="5D5BB1BB" w14:textId="77777777">
      <w:pPr>
        <w:jc w:val="both"/>
        <w:rPr>
          <w:rFonts w:cs="Arial"/>
          <w:szCs w:val="19"/>
          <w:lang w:val="en-GB"/>
        </w:rPr>
      </w:pPr>
    </w:p>
    <w:p w:rsidR="00941862" w:rsidP="00F33C19" w:rsidRDefault="00941862" w14:paraId="21BE2B5A" w14:textId="77777777">
      <w:pPr>
        <w:jc w:val="both"/>
        <w:rPr>
          <w:rFonts w:cs="Arial"/>
          <w:szCs w:val="19"/>
          <w:lang w:val="en-GB"/>
        </w:rPr>
      </w:pPr>
      <w:r w:rsidRPr="00941862">
        <w:rPr>
          <w:rFonts w:cs="Arial"/>
          <w:szCs w:val="19"/>
          <w:lang w:val="en-GB"/>
        </w:rPr>
        <w:t>There will be no material reorganisations or restructuring plans resulting in material redundancies with respect to Neways’ employees as a d</w:t>
      </w:r>
      <w:r>
        <w:rPr>
          <w:rFonts w:cs="Arial"/>
          <w:szCs w:val="19"/>
          <w:lang w:val="en-GB"/>
        </w:rPr>
        <w:t>irect consequence of the Offer.</w:t>
      </w:r>
      <w:r w:rsidRPr="00941862">
        <w:rPr>
          <w:rFonts w:cs="Arial"/>
          <w:szCs w:val="19"/>
          <w:lang w:val="en-GB"/>
        </w:rPr>
        <w:t xml:space="preserve"> </w:t>
      </w:r>
    </w:p>
    <w:p w:rsidR="00941862" w:rsidP="00F33C19" w:rsidRDefault="00941862" w14:paraId="1791DC10" w14:textId="77777777">
      <w:pPr>
        <w:jc w:val="both"/>
        <w:rPr>
          <w:rFonts w:cs="Arial"/>
          <w:szCs w:val="19"/>
          <w:lang w:val="en-GB"/>
        </w:rPr>
      </w:pPr>
    </w:p>
    <w:p w:rsidR="00941862" w:rsidP="00F33C19" w:rsidRDefault="00E721E4" w14:paraId="51B40669" w14:textId="77777777">
      <w:pPr>
        <w:jc w:val="both"/>
        <w:rPr>
          <w:rFonts w:cs="Arial"/>
          <w:szCs w:val="19"/>
          <w:lang w:val="en-GB"/>
        </w:rPr>
      </w:pPr>
      <w:r>
        <w:rPr>
          <w:rFonts w:cs="Arial"/>
          <w:szCs w:val="19"/>
          <w:lang w:val="en-GB"/>
        </w:rPr>
        <w:t>The Offeror</w:t>
      </w:r>
      <w:r w:rsidRPr="00941862" w:rsidR="00941862">
        <w:rPr>
          <w:rFonts w:cs="Arial"/>
          <w:szCs w:val="19"/>
          <w:lang w:val="en-GB"/>
        </w:rPr>
        <w:t xml:space="preserve"> shall procure that the existing pension arrangements and the pension rights of Neways Group’s current and former employees shall be respected by </w:t>
      </w:r>
      <w:r>
        <w:rPr>
          <w:rFonts w:cs="Arial"/>
          <w:szCs w:val="19"/>
          <w:lang w:val="en-GB"/>
        </w:rPr>
        <w:t>the Offeror</w:t>
      </w:r>
      <w:r w:rsidRPr="00941862" w:rsidR="00941862">
        <w:rPr>
          <w:rFonts w:cs="Arial"/>
          <w:szCs w:val="19"/>
          <w:lang w:val="en-GB"/>
        </w:rPr>
        <w:t xml:space="preserve">. </w:t>
      </w:r>
    </w:p>
    <w:p w:rsidR="00941862" w:rsidP="00F33C19" w:rsidRDefault="00941862" w14:paraId="0266D79E" w14:textId="77777777">
      <w:pPr>
        <w:jc w:val="both"/>
        <w:rPr>
          <w:rFonts w:cs="Arial"/>
          <w:szCs w:val="19"/>
          <w:lang w:val="en-GB"/>
        </w:rPr>
      </w:pPr>
    </w:p>
    <w:p w:rsidR="00941862" w:rsidP="00F33C19" w:rsidRDefault="00E721E4" w14:paraId="3E6A8A56" w14:textId="77777777">
      <w:pPr>
        <w:jc w:val="both"/>
        <w:rPr>
          <w:rFonts w:cs="Arial"/>
          <w:szCs w:val="19"/>
          <w:lang w:val="en-GB"/>
        </w:rPr>
      </w:pPr>
      <w:r>
        <w:rPr>
          <w:rFonts w:cs="Arial"/>
          <w:szCs w:val="19"/>
          <w:lang w:val="en-GB"/>
        </w:rPr>
        <w:t>The Offeror</w:t>
      </w:r>
      <w:r w:rsidRPr="00941862" w:rsidR="00941862">
        <w:rPr>
          <w:rFonts w:cs="Arial"/>
          <w:szCs w:val="19"/>
          <w:lang w:val="en-GB"/>
        </w:rPr>
        <w:t xml:space="preserve"> recognises the existing rights of and arrangements with the relevant works councils and trade unions of Neways Group under the Dutch Civil Code, the Dutch Works Council Act, the Articles of Association and the covenants with the relevant works councils and Neways, and shall respect these rights. </w:t>
      </w:r>
    </w:p>
    <w:p w:rsidR="00941862" w:rsidP="00F33C19" w:rsidRDefault="00941862" w14:paraId="1849D918" w14:textId="77777777">
      <w:pPr>
        <w:jc w:val="both"/>
        <w:rPr>
          <w:rFonts w:cs="Arial"/>
          <w:szCs w:val="19"/>
          <w:lang w:val="en-GB"/>
        </w:rPr>
      </w:pPr>
    </w:p>
    <w:p w:rsidR="00F33C19" w:rsidP="00F33C19" w:rsidRDefault="00E721E4" w14:paraId="641A1BA6" w14:textId="0781D105">
      <w:pPr>
        <w:jc w:val="both"/>
        <w:rPr>
          <w:rFonts w:cs="Arial"/>
          <w:szCs w:val="19"/>
          <w:lang w:val="en-GB"/>
        </w:rPr>
      </w:pPr>
      <w:r>
        <w:rPr>
          <w:rFonts w:cs="Arial"/>
          <w:szCs w:val="19"/>
          <w:lang w:val="en-GB"/>
        </w:rPr>
        <w:t>The Offeror</w:t>
      </w:r>
      <w:r w:rsidRPr="00941862" w:rsidR="00941862">
        <w:rPr>
          <w:rFonts w:cs="Arial"/>
          <w:szCs w:val="19"/>
          <w:lang w:val="en-GB"/>
        </w:rPr>
        <w:t xml:space="preserve"> respects and supports a culture of excellence at Neways Group, where qualified employees are offered attractive training and career progression.</w:t>
      </w:r>
    </w:p>
    <w:p w:rsidR="00EB6B96" w:rsidP="00F33C19" w:rsidRDefault="00EB6B96" w14:paraId="1A3C73B4" w14:textId="7F967377">
      <w:pPr>
        <w:jc w:val="both"/>
        <w:rPr>
          <w:rFonts w:cs="Arial"/>
          <w:szCs w:val="19"/>
          <w:lang w:val="en-GB"/>
        </w:rPr>
      </w:pPr>
    </w:p>
    <w:p w:rsidR="00EB6B96" w:rsidP="00F33C19" w:rsidRDefault="00EB6B96" w14:paraId="49D88F52" w14:textId="4476AB57">
      <w:pPr>
        <w:jc w:val="both"/>
        <w:rPr>
          <w:rFonts w:cs="Arial"/>
          <w:szCs w:val="19"/>
          <w:lang w:val="en-GB"/>
        </w:rPr>
      </w:pPr>
      <w:r>
        <w:rPr>
          <w:rFonts w:cs="Arial"/>
          <w:i/>
          <w:szCs w:val="19"/>
          <w:lang w:val="en-GB"/>
        </w:rPr>
        <w:t>Financing</w:t>
      </w:r>
    </w:p>
    <w:p w:rsidRPr="00EB6B96" w:rsidR="00EB6B96" w:rsidP="00EB6B96" w:rsidRDefault="00EB6B96" w14:paraId="25981BB6" w14:textId="77777777">
      <w:pPr>
        <w:rPr>
          <w:lang w:val="en-GB"/>
        </w:rPr>
      </w:pPr>
      <w:r w:rsidRPr="00EB6B96">
        <w:rPr>
          <w:lang w:val="en-GB"/>
        </w:rPr>
        <w:t>The Offeror confirms its intention that Neways will remain prudently financed to safeguard the continuity of the business and the execution of its current strategy.</w:t>
      </w:r>
    </w:p>
    <w:p w:rsidRPr="0001315D" w:rsidR="00EB6B96" w:rsidP="007C4277" w:rsidRDefault="00EB6B96" w14:paraId="6D7F209B" w14:textId="77777777">
      <w:pPr>
        <w:rPr>
          <w:b/>
          <w:lang w:val="en-GB"/>
        </w:rPr>
      </w:pPr>
    </w:p>
    <w:p w:rsidRPr="00C258A5" w:rsidR="00705434" w:rsidP="007C4277" w:rsidRDefault="00A14997" w14:paraId="16CDEB3A" w14:textId="77777777">
      <w:pPr>
        <w:jc w:val="both"/>
        <w:rPr>
          <w:lang w:val="en-GB"/>
        </w:rPr>
      </w:pPr>
      <w:r w:rsidRPr="007C4277">
        <w:rPr>
          <w:b/>
          <w:lang w:val="en-GB"/>
        </w:rPr>
        <w:t xml:space="preserve">Governance of </w:t>
      </w:r>
      <w:r w:rsidR="00E721E4">
        <w:rPr>
          <w:b/>
          <w:lang w:val="en-GB"/>
        </w:rPr>
        <w:t>Neways</w:t>
      </w:r>
      <w:r w:rsidR="0095178F">
        <w:rPr>
          <w:b/>
          <w:lang w:val="en-GB"/>
        </w:rPr>
        <w:t xml:space="preserve"> post completion</w:t>
      </w:r>
    </w:p>
    <w:p w:rsidR="00E721E4" w:rsidP="00E721E4" w:rsidRDefault="00AE55C1" w14:paraId="74C5C292" w14:textId="1865EEC7">
      <w:pPr>
        <w:jc w:val="both"/>
        <w:rPr>
          <w:rFonts w:cs="Arial"/>
          <w:szCs w:val="19"/>
          <w:lang w:val="en-GB"/>
        </w:rPr>
      </w:pPr>
      <w:r>
        <w:rPr>
          <w:rFonts w:cs="Arial"/>
          <w:szCs w:val="19"/>
          <w:lang w:val="en-GB"/>
        </w:rPr>
        <w:t>At S</w:t>
      </w:r>
      <w:r w:rsidRPr="00941862" w:rsidR="00E721E4">
        <w:rPr>
          <w:rFonts w:cs="Arial"/>
          <w:szCs w:val="19"/>
          <w:lang w:val="en-GB"/>
        </w:rPr>
        <w:t xml:space="preserve">ettlement, the Management Board will consist of the current members of the Management Board, being </w:t>
      </w:r>
      <w:r w:rsidR="006F5B2B">
        <w:rPr>
          <w:rFonts w:cs="Arial"/>
          <w:szCs w:val="19"/>
          <w:lang w:val="en-GB"/>
        </w:rPr>
        <w:t>Mr</w:t>
      </w:r>
      <w:r w:rsidRPr="00941862" w:rsidR="00E721E4">
        <w:rPr>
          <w:rFonts w:cs="Arial"/>
          <w:szCs w:val="19"/>
          <w:lang w:val="en-GB"/>
        </w:rPr>
        <w:t xml:space="preserve"> Stodel, </w:t>
      </w:r>
      <w:r w:rsidR="006F5B2B">
        <w:rPr>
          <w:rFonts w:cs="Arial"/>
          <w:szCs w:val="19"/>
          <w:lang w:val="en-GB"/>
        </w:rPr>
        <w:t>Mr</w:t>
      </w:r>
      <w:r w:rsidRPr="00941862" w:rsidR="00E721E4">
        <w:rPr>
          <w:rFonts w:cs="Arial"/>
          <w:szCs w:val="19"/>
          <w:lang w:val="en-GB"/>
        </w:rPr>
        <w:t xml:space="preserve"> S</w:t>
      </w:r>
      <w:r>
        <w:rPr>
          <w:rFonts w:cs="Arial"/>
          <w:szCs w:val="19"/>
          <w:lang w:val="en-GB"/>
        </w:rPr>
        <w:t xml:space="preserve">oederhuizen and </w:t>
      </w:r>
      <w:r w:rsidR="006F5B2B">
        <w:rPr>
          <w:rFonts w:cs="Arial"/>
          <w:szCs w:val="19"/>
          <w:lang w:val="en-GB"/>
        </w:rPr>
        <w:t>Mr D</w:t>
      </w:r>
      <w:r>
        <w:rPr>
          <w:rFonts w:cs="Arial"/>
          <w:szCs w:val="19"/>
          <w:lang w:val="en-GB"/>
        </w:rPr>
        <w:t>e Koning.</w:t>
      </w:r>
    </w:p>
    <w:p w:rsidR="00BC544D" w:rsidP="00E721E4" w:rsidRDefault="00BC544D" w14:paraId="0F6F545F" w14:textId="35782FB9">
      <w:pPr>
        <w:jc w:val="both"/>
        <w:rPr>
          <w:rFonts w:cs="Arial"/>
          <w:szCs w:val="19"/>
          <w:lang w:val="en-GB"/>
        </w:rPr>
      </w:pPr>
    </w:p>
    <w:p w:rsidRPr="00BC544D" w:rsidR="00BC544D" w:rsidP="00BC544D" w:rsidRDefault="00BC544D" w14:paraId="0DF86BAF" w14:textId="77777777">
      <w:pPr>
        <w:jc w:val="both"/>
        <w:rPr>
          <w:rFonts w:cs="Arial"/>
          <w:szCs w:val="19"/>
          <w:lang w:val="en-GB"/>
        </w:rPr>
      </w:pPr>
      <w:r w:rsidRPr="00BC544D">
        <w:rPr>
          <w:rFonts w:cs="Arial"/>
          <w:szCs w:val="19"/>
          <w:lang w:val="en-GB"/>
        </w:rPr>
        <w:t>Subject to the Offer being declared unconditional (</w:t>
      </w:r>
      <w:proofErr w:type="spellStart"/>
      <w:r w:rsidRPr="00BC544D">
        <w:rPr>
          <w:rFonts w:cs="Arial"/>
          <w:i/>
          <w:szCs w:val="19"/>
          <w:lang w:val="en-GB"/>
        </w:rPr>
        <w:t>gestanddoening</w:t>
      </w:r>
      <w:proofErr w:type="spellEnd"/>
      <w:r w:rsidRPr="00BC544D">
        <w:rPr>
          <w:rFonts w:cs="Arial"/>
          <w:szCs w:val="19"/>
          <w:lang w:val="en-GB"/>
        </w:rPr>
        <w:t>) and the Resolutions having been adopted at the EGM, the Supervisory Board will as of the Settlement Date consist of:</w:t>
      </w:r>
    </w:p>
    <w:p w:rsidR="00BC544D" w:rsidP="00BC544D" w:rsidRDefault="00BC544D" w14:paraId="12B0BB50" w14:textId="77777777">
      <w:pPr>
        <w:tabs>
          <w:tab w:val="num" w:pos="1440"/>
        </w:tabs>
        <w:jc w:val="both"/>
        <w:rPr>
          <w:rFonts w:cs="Arial"/>
          <w:szCs w:val="19"/>
          <w:lang w:val="en-GB"/>
        </w:rPr>
      </w:pPr>
    </w:p>
    <w:p w:rsidR="00BC544D" w:rsidP="00C2444F" w:rsidRDefault="00BC544D" w14:paraId="0E47C35D" w14:textId="7D6B79CC">
      <w:pPr>
        <w:tabs>
          <w:tab w:val="num" w:pos="993"/>
        </w:tabs>
        <w:ind w:left="990" w:hanging="990"/>
        <w:jc w:val="both"/>
        <w:rPr>
          <w:rFonts w:cs="Arial"/>
          <w:szCs w:val="19"/>
          <w:lang w:val="en-GB"/>
        </w:rPr>
      </w:pPr>
      <w:r>
        <w:rPr>
          <w:rFonts w:cs="Arial"/>
          <w:szCs w:val="19"/>
          <w:lang w:val="en-GB"/>
        </w:rPr>
        <w:t>(a)</w:t>
      </w:r>
      <w:r>
        <w:rPr>
          <w:rFonts w:cs="Arial"/>
          <w:szCs w:val="19"/>
          <w:lang w:val="en-GB"/>
        </w:rPr>
        <w:tab/>
      </w:r>
      <w:r w:rsidR="00231ED2">
        <w:rPr>
          <w:rFonts w:cs="Arial"/>
          <w:szCs w:val="19"/>
          <w:lang w:val="en-GB"/>
        </w:rPr>
        <w:t>Mr Riefel</w:t>
      </w:r>
      <w:r w:rsidRPr="00BC544D" w:rsidR="00231ED2">
        <w:rPr>
          <w:rFonts w:cs="Arial"/>
          <w:szCs w:val="19"/>
          <w:lang w:val="en-GB"/>
        </w:rPr>
        <w:t xml:space="preserve"> and </w:t>
      </w:r>
      <w:r w:rsidR="00231ED2">
        <w:rPr>
          <w:rFonts w:cs="Arial"/>
          <w:szCs w:val="19"/>
          <w:lang w:val="en-GB"/>
        </w:rPr>
        <w:t>Mr</w:t>
      </w:r>
      <w:r w:rsidR="0083799A">
        <w:rPr>
          <w:rFonts w:cs="Arial"/>
          <w:szCs w:val="19"/>
          <w:lang w:val="en-GB"/>
        </w:rPr>
        <w:t xml:space="preserve"> V</w:t>
      </w:r>
      <w:r w:rsidR="00231ED2">
        <w:rPr>
          <w:rFonts w:cs="Arial"/>
          <w:szCs w:val="19"/>
          <w:lang w:val="en-GB"/>
        </w:rPr>
        <w:t>an Roij</w:t>
      </w:r>
      <w:r w:rsidRPr="00BC544D">
        <w:rPr>
          <w:rFonts w:cs="Arial"/>
          <w:szCs w:val="19"/>
          <w:lang w:val="en-GB"/>
        </w:rPr>
        <w:t xml:space="preserve"> as new members of the Supervisory Board nominated by the Offeror; and</w:t>
      </w:r>
    </w:p>
    <w:p w:rsidRPr="00BC544D" w:rsidR="00BC544D" w:rsidP="00BC544D" w:rsidRDefault="00BC544D" w14:paraId="65509D88" w14:textId="77777777">
      <w:pPr>
        <w:tabs>
          <w:tab w:val="num" w:pos="993"/>
        </w:tabs>
        <w:jc w:val="both"/>
        <w:rPr>
          <w:rFonts w:cs="Arial"/>
          <w:szCs w:val="19"/>
          <w:lang w:val="en-GB"/>
        </w:rPr>
      </w:pPr>
    </w:p>
    <w:p w:rsidR="00BC544D" w:rsidP="00BC544D" w:rsidRDefault="00BC544D" w14:paraId="721E6F65" w14:textId="6665B189">
      <w:pPr>
        <w:tabs>
          <w:tab w:val="num" w:pos="1440"/>
        </w:tabs>
        <w:ind w:left="993" w:hanging="993"/>
        <w:jc w:val="both"/>
        <w:rPr>
          <w:rFonts w:cs="Arial"/>
          <w:szCs w:val="19"/>
          <w:lang w:val="en-GB"/>
        </w:rPr>
      </w:pPr>
      <w:r>
        <w:rPr>
          <w:rFonts w:cs="Arial"/>
          <w:szCs w:val="19"/>
          <w:lang w:val="en-GB"/>
        </w:rPr>
        <w:t>(b)</w:t>
      </w:r>
      <w:r>
        <w:rPr>
          <w:rFonts w:cs="Arial"/>
          <w:szCs w:val="19"/>
          <w:lang w:val="en-GB"/>
        </w:rPr>
        <w:tab/>
      </w:r>
      <w:r w:rsidRPr="00BC544D">
        <w:rPr>
          <w:rFonts w:cs="Arial"/>
          <w:szCs w:val="19"/>
          <w:lang w:val="en-GB"/>
        </w:rPr>
        <w:t xml:space="preserve">Mr Scheepers (Chair), Mr Büthker and Ms De Jong, each qualifying as independent within the meaning of the Dutch Corporate Governance Code, who will each continue to serve on the Supervisory Board (the </w:t>
      </w:r>
      <w:r w:rsidR="00075C5A">
        <w:rPr>
          <w:rFonts w:cs="Arial"/>
          <w:szCs w:val="19"/>
          <w:lang w:val="en-GB"/>
        </w:rPr>
        <w:t>“</w:t>
      </w:r>
      <w:r w:rsidRPr="00BC544D">
        <w:rPr>
          <w:rFonts w:cs="Arial"/>
          <w:b/>
          <w:szCs w:val="19"/>
          <w:lang w:val="en-GB"/>
        </w:rPr>
        <w:t>Independent Supervisory Board Members</w:t>
      </w:r>
      <w:r w:rsidR="00075C5A">
        <w:rPr>
          <w:rFonts w:cs="Arial"/>
          <w:szCs w:val="19"/>
          <w:lang w:val="en-GB"/>
        </w:rPr>
        <w:t>”</w:t>
      </w:r>
      <w:r w:rsidRPr="00BC544D">
        <w:rPr>
          <w:rFonts w:cs="Arial"/>
          <w:szCs w:val="19"/>
          <w:lang w:val="en-GB"/>
        </w:rPr>
        <w:t xml:space="preserve">) and the current chair shall continue to act as chair of the Supervisory Board (the </w:t>
      </w:r>
      <w:r w:rsidR="00075C5A">
        <w:rPr>
          <w:rFonts w:cs="Arial"/>
          <w:szCs w:val="19"/>
          <w:lang w:val="en-GB"/>
        </w:rPr>
        <w:t>“</w:t>
      </w:r>
      <w:r w:rsidRPr="00BC544D">
        <w:rPr>
          <w:rFonts w:cs="Arial"/>
          <w:b/>
          <w:szCs w:val="19"/>
          <w:lang w:val="en-GB"/>
        </w:rPr>
        <w:t>Chair</w:t>
      </w:r>
      <w:r w:rsidR="00075C5A">
        <w:rPr>
          <w:rFonts w:cs="Arial"/>
          <w:szCs w:val="19"/>
          <w:lang w:val="en-GB"/>
        </w:rPr>
        <w:t>”</w:t>
      </w:r>
      <w:r w:rsidRPr="00BC544D">
        <w:rPr>
          <w:rFonts w:cs="Arial"/>
          <w:szCs w:val="19"/>
          <w:lang w:val="en-GB"/>
        </w:rPr>
        <w:t>),</w:t>
      </w:r>
      <w:r w:rsidR="00075C5A">
        <w:rPr>
          <w:rFonts w:cs="Arial"/>
          <w:szCs w:val="19"/>
          <w:lang w:val="en-GB"/>
        </w:rPr>
        <w:t xml:space="preserve"> </w:t>
      </w:r>
    </w:p>
    <w:p w:rsidRPr="00BC544D" w:rsidR="00BC544D" w:rsidP="00BC544D" w:rsidRDefault="00BC544D" w14:paraId="61F24141" w14:textId="77777777">
      <w:pPr>
        <w:tabs>
          <w:tab w:val="num" w:pos="1440"/>
        </w:tabs>
        <w:jc w:val="both"/>
        <w:rPr>
          <w:rFonts w:cs="Arial"/>
          <w:szCs w:val="19"/>
          <w:lang w:val="en-GB"/>
        </w:rPr>
      </w:pPr>
    </w:p>
    <w:p w:rsidR="00BC544D" w:rsidP="00BC544D" w:rsidRDefault="00BC544D" w14:paraId="14A460C4" w14:textId="095DE3F8">
      <w:pPr>
        <w:jc w:val="both"/>
        <w:rPr>
          <w:rFonts w:cs="Arial"/>
          <w:szCs w:val="19"/>
          <w:lang w:val="en-GB"/>
        </w:rPr>
      </w:pPr>
      <w:proofErr w:type="gramStart"/>
      <w:r w:rsidRPr="00BC544D">
        <w:rPr>
          <w:rFonts w:cs="Arial"/>
          <w:szCs w:val="19"/>
          <w:lang w:val="en-GB"/>
        </w:rPr>
        <w:t>provided</w:t>
      </w:r>
      <w:proofErr w:type="gramEnd"/>
      <w:r w:rsidRPr="00BC544D">
        <w:rPr>
          <w:rFonts w:cs="Arial"/>
          <w:szCs w:val="19"/>
          <w:lang w:val="en-GB"/>
        </w:rPr>
        <w:t xml:space="preserve"> that, in the event that the Offeror holds 70% or more of the outstanding Shares after Settlement, the Supervisory Board will be composed as follows:</w:t>
      </w:r>
    </w:p>
    <w:p w:rsidRPr="00BC544D" w:rsidR="00BC544D" w:rsidP="00BC544D" w:rsidRDefault="00BC544D" w14:paraId="71FF4B77" w14:textId="77777777">
      <w:pPr>
        <w:jc w:val="both"/>
        <w:rPr>
          <w:rFonts w:cs="Arial"/>
          <w:szCs w:val="19"/>
          <w:lang w:val="en-GB"/>
        </w:rPr>
      </w:pPr>
    </w:p>
    <w:p w:rsidR="00BC544D" w:rsidP="00BC544D" w:rsidRDefault="00BC544D" w14:paraId="0121086A" w14:textId="2204AB71">
      <w:pPr>
        <w:tabs>
          <w:tab w:val="num" w:pos="993"/>
        </w:tabs>
        <w:ind w:left="993" w:hanging="993"/>
        <w:jc w:val="both"/>
        <w:rPr>
          <w:rFonts w:cs="Arial"/>
          <w:szCs w:val="19"/>
          <w:lang w:val="en-GB"/>
        </w:rPr>
      </w:pPr>
      <w:r>
        <w:rPr>
          <w:rFonts w:cs="Arial"/>
          <w:szCs w:val="19"/>
          <w:lang w:val="en-GB"/>
        </w:rPr>
        <w:t>(a)</w:t>
      </w:r>
      <w:r>
        <w:rPr>
          <w:rFonts w:cs="Arial"/>
          <w:szCs w:val="19"/>
          <w:lang w:val="en-GB"/>
        </w:rPr>
        <w:tab/>
      </w:r>
      <w:r w:rsidR="00231ED2">
        <w:rPr>
          <w:rFonts w:cs="Arial"/>
          <w:szCs w:val="19"/>
          <w:lang w:val="en-GB"/>
        </w:rPr>
        <w:t>Mr Riefel</w:t>
      </w:r>
      <w:r w:rsidR="00DB730A">
        <w:rPr>
          <w:rFonts w:cs="Arial"/>
          <w:szCs w:val="19"/>
          <w:lang w:val="en-GB"/>
        </w:rPr>
        <w:t xml:space="preserve">, </w:t>
      </w:r>
      <w:r w:rsidR="00231ED2">
        <w:rPr>
          <w:rFonts w:cs="Arial"/>
          <w:szCs w:val="19"/>
          <w:lang w:val="en-GB"/>
        </w:rPr>
        <w:t>Mr</w:t>
      </w:r>
      <w:r w:rsidR="0083799A">
        <w:rPr>
          <w:rFonts w:cs="Arial"/>
          <w:szCs w:val="19"/>
          <w:lang w:val="en-GB"/>
        </w:rPr>
        <w:t xml:space="preserve"> V</w:t>
      </w:r>
      <w:r w:rsidR="00231ED2">
        <w:rPr>
          <w:rFonts w:cs="Arial"/>
          <w:szCs w:val="19"/>
          <w:lang w:val="en-GB"/>
        </w:rPr>
        <w:t>an Roij</w:t>
      </w:r>
      <w:r w:rsidRPr="00BC544D">
        <w:rPr>
          <w:rFonts w:cs="Arial"/>
          <w:szCs w:val="19"/>
          <w:lang w:val="en-GB"/>
        </w:rPr>
        <w:t xml:space="preserve"> and Mr Scheepers (who will continue as Chair) as members of the Supervisory Board nominated by the Offeror; and</w:t>
      </w:r>
    </w:p>
    <w:p w:rsidRPr="00BC544D" w:rsidR="00BC544D" w:rsidP="00BC544D" w:rsidRDefault="00BC544D" w14:paraId="7D053323" w14:textId="77777777">
      <w:pPr>
        <w:tabs>
          <w:tab w:val="num" w:pos="993"/>
        </w:tabs>
        <w:ind w:left="993" w:hanging="993"/>
        <w:jc w:val="both"/>
        <w:rPr>
          <w:rFonts w:cs="Arial"/>
          <w:szCs w:val="19"/>
          <w:lang w:val="en-GB"/>
        </w:rPr>
      </w:pPr>
    </w:p>
    <w:p w:rsidRPr="00BC544D" w:rsidR="00BC544D" w:rsidP="00BC544D" w:rsidRDefault="00BC544D" w14:paraId="6B4C6960" w14:textId="7687EC2D">
      <w:pPr>
        <w:tabs>
          <w:tab w:val="num" w:pos="993"/>
        </w:tabs>
        <w:jc w:val="both"/>
        <w:rPr>
          <w:rFonts w:cs="Arial"/>
          <w:szCs w:val="19"/>
          <w:lang w:val="en-GB"/>
        </w:rPr>
      </w:pPr>
      <w:r>
        <w:rPr>
          <w:rFonts w:cs="Arial"/>
          <w:szCs w:val="19"/>
          <w:lang w:val="en-GB"/>
        </w:rPr>
        <w:t>(b)</w:t>
      </w:r>
      <w:r>
        <w:rPr>
          <w:rFonts w:cs="Arial"/>
          <w:szCs w:val="19"/>
          <w:lang w:val="en-GB"/>
        </w:rPr>
        <w:tab/>
      </w:r>
      <w:r w:rsidRPr="00BC544D">
        <w:rPr>
          <w:rFonts w:cs="Arial"/>
          <w:szCs w:val="19"/>
          <w:lang w:val="en-GB"/>
        </w:rPr>
        <w:t>Mr</w:t>
      </w:r>
      <w:r w:rsidR="0083799A">
        <w:rPr>
          <w:rFonts w:cs="Arial"/>
          <w:szCs w:val="19"/>
          <w:lang w:val="en-GB"/>
        </w:rPr>
        <w:t xml:space="preserve"> Büthker and Ms</w:t>
      </w:r>
      <w:r w:rsidRPr="00BC544D">
        <w:rPr>
          <w:rFonts w:cs="Arial"/>
          <w:szCs w:val="19"/>
          <w:lang w:val="en-GB"/>
        </w:rPr>
        <w:t xml:space="preserve"> De Jong as the Independent Supervisory Board Members.</w:t>
      </w:r>
    </w:p>
    <w:p w:rsidR="00E721E4" w:rsidP="00E721E4" w:rsidRDefault="00E721E4" w14:paraId="30563A92" w14:textId="506E94F2">
      <w:pPr>
        <w:jc w:val="both"/>
        <w:rPr>
          <w:rFonts w:cs="Arial"/>
          <w:szCs w:val="19"/>
          <w:lang w:val="en-GB"/>
        </w:rPr>
      </w:pPr>
    </w:p>
    <w:p w:rsidR="006C7505" w:rsidP="006C7505" w:rsidRDefault="006C7505" w14:paraId="7F4FB808" w14:textId="799F6610">
      <w:pPr>
        <w:jc w:val="both"/>
        <w:rPr>
          <w:rFonts w:cs="Arial"/>
          <w:bCs/>
          <w:szCs w:val="19"/>
          <w:lang w:val="en-US"/>
        </w:rPr>
      </w:pPr>
      <w:r w:rsidRPr="006C7505">
        <w:rPr>
          <w:rFonts w:cs="Arial"/>
          <w:b/>
          <w:bCs/>
          <w:szCs w:val="19"/>
          <w:lang w:val="en-GB"/>
        </w:rPr>
        <w:t>Unanimous support and recommendation by the Boards</w:t>
      </w:r>
      <w:r w:rsidRPr="009E4613" w:rsidR="003D6930">
        <w:rPr>
          <w:rFonts w:cs="Arial"/>
          <w:b/>
          <w:bCs/>
          <w:szCs w:val="19"/>
          <w:lang w:val="en-GB"/>
        </w:rPr>
        <w:cr/>
      </w:r>
      <w:r w:rsidRPr="00306C63" w:rsidR="00306C63">
        <w:rPr>
          <w:rFonts w:cs="Arial"/>
          <w:bCs/>
          <w:szCs w:val="19"/>
          <w:lang w:val="en-US"/>
        </w:rPr>
        <w:t xml:space="preserve">The Boards, after having received extensive legal and financial advice, and having given due and careful consideration to all aspects of the Offer, have reached the conclusion that the Offer, the Transaction and the related actions as contemplated by the Merger </w:t>
      </w:r>
      <w:r w:rsidR="000B2946">
        <w:rPr>
          <w:rFonts w:cs="Arial"/>
          <w:bCs/>
          <w:szCs w:val="19"/>
          <w:lang w:val="en-US"/>
        </w:rPr>
        <w:t>Protocol</w:t>
      </w:r>
      <w:r w:rsidRPr="00306C63" w:rsidR="00306C63">
        <w:rPr>
          <w:rFonts w:cs="Arial"/>
          <w:bCs/>
          <w:szCs w:val="19"/>
          <w:lang w:val="en-US"/>
        </w:rPr>
        <w:t xml:space="preserve">, including the execution thereof, is in the best interest of </w:t>
      </w:r>
      <w:r w:rsidR="000B2946">
        <w:rPr>
          <w:rFonts w:cs="Arial"/>
          <w:bCs/>
          <w:szCs w:val="19"/>
          <w:lang w:val="en-US"/>
        </w:rPr>
        <w:t xml:space="preserve">Neways </w:t>
      </w:r>
      <w:r w:rsidRPr="00306C63" w:rsidR="00306C63">
        <w:rPr>
          <w:rFonts w:cs="Arial"/>
          <w:bCs/>
          <w:szCs w:val="19"/>
          <w:lang w:val="en-US"/>
        </w:rPr>
        <w:t>and the</w:t>
      </w:r>
      <w:r w:rsidR="00EC04D2">
        <w:rPr>
          <w:rFonts w:cs="Arial"/>
          <w:bCs/>
          <w:szCs w:val="19"/>
          <w:lang w:val="en-US"/>
        </w:rPr>
        <w:t xml:space="preserve"> continued and</w:t>
      </w:r>
      <w:r w:rsidRPr="00306C63" w:rsidR="00306C63">
        <w:rPr>
          <w:rFonts w:cs="Arial"/>
          <w:bCs/>
          <w:szCs w:val="19"/>
          <w:lang w:val="en-US"/>
        </w:rPr>
        <w:t xml:space="preserve"> sustainable success of its business, taking into account the interests of all </w:t>
      </w:r>
      <w:r w:rsidR="000B2946">
        <w:rPr>
          <w:rFonts w:cs="Arial"/>
          <w:bCs/>
          <w:szCs w:val="19"/>
          <w:lang w:val="en-US"/>
        </w:rPr>
        <w:t>Neways</w:t>
      </w:r>
      <w:r w:rsidRPr="00306C63" w:rsidR="00306C63">
        <w:rPr>
          <w:rFonts w:cs="Arial"/>
          <w:bCs/>
          <w:szCs w:val="19"/>
          <w:lang w:val="en-US"/>
        </w:rPr>
        <w:t>' stakeholders, including the Shareholders.</w:t>
      </w:r>
    </w:p>
    <w:p w:rsidR="000B2946" w:rsidP="006C7505" w:rsidRDefault="000B2946" w14:paraId="50C0104F" w14:textId="4A356FA9">
      <w:pPr>
        <w:jc w:val="both"/>
        <w:rPr>
          <w:rFonts w:cs="Arial"/>
          <w:bCs/>
          <w:szCs w:val="19"/>
          <w:lang w:val="en-US"/>
        </w:rPr>
      </w:pPr>
    </w:p>
    <w:p w:rsidR="000B2946" w:rsidP="006C7505" w:rsidRDefault="000B2946" w14:paraId="7D1CE570" w14:textId="7D47BEBC">
      <w:pPr>
        <w:jc w:val="both"/>
        <w:rPr>
          <w:rFonts w:cs="Arial"/>
          <w:bCs/>
          <w:szCs w:val="19"/>
          <w:lang w:val="en-GB"/>
        </w:rPr>
      </w:pPr>
      <w:r w:rsidRPr="000B2946">
        <w:rPr>
          <w:rFonts w:cs="Arial"/>
          <w:bCs/>
          <w:szCs w:val="19"/>
          <w:lang w:val="en-GB"/>
        </w:rPr>
        <w:t xml:space="preserve">ABN AMRO </w:t>
      </w:r>
      <w:r>
        <w:rPr>
          <w:rFonts w:cs="Arial"/>
          <w:bCs/>
          <w:szCs w:val="19"/>
          <w:lang w:val="en-GB"/>
        </w:rPr>
        <w:t xml:space="preserve">has issued </w:t>
      </w:r>
      <w:r w:rsidRPr="000B2946">
        <w:rPr>
          <w:rFonts w:cs="Arial"/>
          <w:bCs/>
          <w:szCs w:val="19"/>
          <w:lang w:val="en-GB"/>
        </w:rPr>
        <w:t>the Fairness Opinion to the Boards, to the effect that as of such date, and based upon and subject to the factors, assumptions, qualifications and other matters set forth in the Fairness Opinion, (A) the Offer Price is fair, from a financial point of view, to the holders of Shares, and (B) the consideration to be paid and distributed under the Post-Closing Merger Restructuring is fair, from a financial point of view, to the holders of Share</w:t>
      </w:r>
      <w:r w:rsidR="00075C5A">
        <w:rPr>
          <w:rFonts w:cs="Arial"/>
          <w:bCs/>
          <w:szCs w:val="19"/>
          <w:lang w:val="en-GB"/>
        </w:rPr>
        <w:t>s</w:t>
      </w:r>
      <w:r>
        <w:rPr>
          <w:rFonts w:cs="Arial"/>
          <w:bCs/>
          <w:szCs w:val="19"/>
          <w:lang w:val="en-GB"/>
        </w:rPr>
        <w:t>.</w:t>
      </w:r>
    </w:p>
    <w:p w:rsidR="000B2946" w:rsidP="006C7505" w:rsidRDefault="000B2946" w14:paraId="04C34E4C" w14:textId="133666DA">
      <w:pPr>
        <w:jc w:val="both"/>
        <w:rPr>
          <w:rFonts w:cs="Arial"/>
          <w:bCs/>
          <w:szCs w:val="19"/>
          <w:lang w:val="en-GB"/>
        </w:rPr>
      </w:pPr>
    </w:p>
    <w:p w:rsidR="006C7505" w:rsidP="006C7505" w:rsidRDefault="000B2946" w14:paraId="74BB831D" w14:textId="498435A3">
      <w:pPr>
        <w:jc w:val="both"/>
        <w:rPr>
          <w:rFonts w:cs="Arial"/>
          <w:bCs/>
          <w:szCs w:val="19"/>
          <w:lang w:val="en-US"/>
        </w:rPr>
      </w:pPr>
      <w:r w:rsidRPr="000B2946">
        <w:rPr>
          <w:rFonts w:cs="Arial"/>
          <w:bCs/>
          <w:szCs w:val="19"/>
          <w:lang w:val="en-US"/>
        </w:rPr>
        <w:t xml:space="preserve">With reference to the above, on the terms and subject to the conditions and restrictions of the Offer Memorandum, the Boards unanimously (i) support the Transaction, (ii) recommend to the Shareholders </w:t>
      </w:r>
      <w:r w:rsidRPr="000B2946">
        <w:rPr>
          <w:rFonts w:cs="Arial"/>
          <w:bCs/>
          <w:szCs w:val="19"/>
          <w:lang w:val="en-US"/>
        </w:rPr>
        <w:lastRenderedPageBreak/>
        <w:t xml:space="preserve">to accept the Offer and to tender their Shares </w:t>
      </w:r>
      <w:r w:rsidR="0073250C">
        <w:rPr>
          <w:rFonts w:cs="Arial"/>
          <w:bCs/>
          <w:szCs w:val="19"/>
          <w:lang w:val="en-US"/>
        </w:rPr>
        <w:t>under</w:t>
      </w:r>
      <w:r w:rsidRPr="000B2946">
        <w:rPr>
          <w:rFonts w:cs="Arial"/>
          <w:bCs/>
          <w:szCs w:val="19"/>
          <w:lang w:val="en-US"/>
        </w:rPr>
        <w:t xml:space="preserve"> the Offer and (iii) recommend to the Shareholders to vote in </w:t>
      </w:r>
      <w:r w:rsidRPr="00B660C4">
        <w:rPr>
          <w:rFonts w:cs="Arial"/>
          <w:bCs/>
          <w:szCs w:val="19"/>
          <w:lang w:val="en-GB"/>
        </w:rPr>
        <w:t>favour</w:t>
      </w:r>
      <w:r w:rsidRPr="000B2946">
        <w:rPr>
          <w:rFonts w:cs="Arial"/>
          <w:bCs/>
          <w:szCs w:val="19"/>
          <w:lang w:val="en-US"/>
        </w:rPr>
        <w:t xml:space="preserve"> of all resolutions at the EGM.</w:t>
      </w:r>
    </w:p>
    <w:p w:rsidRPr="000B2946" w:rsidR="000B2946" w:rsidP="006C7505" w:rsidRDefault="000B2946" w14:paraId="28833AE1" w14:textId="77777777">
      <w:pPr>
        <w:jc w:val="both"/>
        <w:rPr>
          <w:rFonts w:cs="Arial"/>
          <w:bCs/>
          <w:szCs w:val="19"/>
          <w:lang w:val="en-US"/>
        </w:rPr>
      </w:pPr>
    </w:p>
    <w:p w:rsidRPr="00033004" w:rsidR="00033004" w:rsidP="002C5DCE" w:rsidRDefault="00033004" w14:paraId="58A1F641" w14:textId="77777777">
      <w:pPr>
        <w:jc w:val="both"/>
        <w:rPr>
          <w:rFonts w:cs="Arial"/>
          <w:b/>
          <w:bCs/>
          <w:szCs w:val="19"/>
          <w:lang w:val="en-GB"/>
        </w:rPr>
      </w:pPr>
      <w:r>
        <w:rPr>
          <w:rFonts w:cs="Arial"/>
          <w:b/>
          <w:bCs/>
          <w:szCs w:val="19"/>
          <w:lang w:val="en-GB"/>
        </w:rPr>
        <w:t xml:space="preserve">Extraordinary General Meeting of </w:t>
      </w:r>
      <w:r w:rsidR="00B25D90">
        <w:rPr>
          <w:rFonts w:cs="Arial"/>
          <w:b/>
          <w:bCs/>
          <w:szCs w:val="19"/>
          <w:lang w:val="en-GB"/>
        </w:rPr>
        <w:t>Neways</w:t>
      </w:r>
    </w:p>
    <w:p w:rsidRPr="007954C6" w:rsidR="007954C6" w:rsidP="002C5DCE" w:rsidRDefault="00B94D51" w14:paraId="58710C3B" w14:textId="6C23A159">
      <w:pPr>
        <w:jc w:val="both"/>
        <w:rPr>
          <w:rFonts w:cs="Arial"/>
          <w:bCs/>
          <w:szCs w:val="19"/>
          <w:lang w:val="en-GB"/>
        </w:rPr>
      </w:pPr>
      <w:r>
        <w:rPr>
          <w:lang w:val="en-GB"/>
        </w:rPr>
        <w:t>In accordance with A</w:t>
      </w:r>
      <w:r w:rsidRPr="00F03B94" w:rsidR="00F03B94">
        <w:rPr>
          <w:lang w:val="en-GB"/>
        </w:rPr>
        <w:t xml:space="preserve">rticle 18, paragraph 1 of the Decree, </w:t>
      </w:r>
      <w:r w:rsidR="006C7505">
        <w:rPr>
          <w:lang w:val="en-GB"/>
        </w:rPr>
        <w:t>Neways</w:t>
      </w:r>
      <w:r w:rsidRPr="00F03B94" w:rsidR="00F03B94">
        <w:rPr>
          <w:lang w:val="en-GB"/>
        </w:rPr>
        <w:t xml:space="preserve"> </w:t>
      </w:r>
      <w:r w:rsidR="00F03B94">
        <w:rPr>
          <w:lang w:val="en-GB"/>
        </w:rPr>
        <w:t>will</w:t>
      </w:r>
      <w:r w:rsidRPr="00F03B94" w:rsidR="00F03B94">
        <w:rPr>
          <w:lang w:val="en-GB"/>
        </w:rPr>
        <w:t xml:space="preserve"> </w:t>
      </w:r>
      <w:r w:rsidR="00FE535D">
        <w:rPr>
          <w:lang w:val="en-GB"/>
        </w:rPr>
        <w:t>hold</w:t>
      </w:r>
      <w:r w:rsidRPr="00F03B94" w:rsidR="00F03B94">
        <w:rPr>
          <w:lang w:val="en-GB"/>
        </w:rPr>
        <w:t xml:space="preserve"> the EGM on</w:t>
      </w:r>
      <w:r w:rsidR="00F03B94">
        <w:rPr>
          <w:lang w:val="en-GB"/>
        </w:rPr>
        <w:t xml:space="preserve"> </w:t>
      </w:r>
      <w:r w:rsidR="007E2EDF">
        <w:rPr>
          <w:lang w:val="en-GB"/>
        </w:rPr>
        <w:t xml:space="preserve">19 October </w:t>
      </w:r>
      <w:r w:rsidRPr="00F03B94" w:rsidR="00F03B94">
        <w:rPr>
          <w:lang w:val="en-GB"/>
        </w:rPr>
        <w:t xml:space="preserve">2021 at </w:t>
      </w:r>
      <w:r w:rsidR="004A7C1C">
        <w:rPr>
          <w:lang w:val="en-GB"/>
        </w:rPr>
        <w:t>14:00</w:t>
      </w:r>
      <w:r w:rsidR="00F03B94">
        <w:rPr>
          <w:lang w:val="en-GB"/>
        </w:rPr>
        <w:t xml:space="preserve"> </w:t>
      </w:r>
      <w:r w:rsidR="005A003A">
        <w:rPr>
          <w:lang w:val="en-GB"/>
        </w:rPr>
        <w:t>hours CE</w:t>
      </w:r>
      <w:r w:rsidRPr="00F03B94" w:rsidR="00F03B94">
        <w:rPr>
          <w:lang w:val="en-GB"/>
        </w:rPr>
        <w:t xml:space="preserve">T. </w:t>
      </w:r>
      <w:r w:rsidRPr="007954C6" w:rsidR="007954C6">
        <w:rPr>
          <w:lang w:val="en-GB"/>
        </w:rPr>
        <w:t>At the EGM, the Offer will be discussed and recommended to the Shareholders for acceptance and the Shareholders will be requested to vote in favour of the Resolutions</w:t>
      </w:r>
      <w:r w:rsidR="006E3117">
        <w:rPr>
          <w:lang w:val="en-GB"/>
        </w:rPr>
        <w:t xml:space="preserve">. </w:t>
      </w:r>
      <w:r w:rsidRPr="007954C6" w:rsidR="007954C6">
        <w:rPr>
          <w:lang w:val="en-GB"/>
        </w:rPr>
        <w:t xml:space="preserve">Separate convocation materials have been made available on </w:t>
      </w:r>
      <w:r w:rsidR="006C7505">
        <w:rPr>
          <w:lang w:val="en-GB"/>
        </w:rPr>
        <w:t>Neways</w:t>
      </w:r>
      <w:r w:rsidRPr="007954C6" w:rsidR="007954C6">
        <w:rPr>
          <w:lang w:val="en-GB"/>
        </w:rPr>
        <w:t xml:space="preserve"> website (</w:t>
      </w:r>
      <w:r w:rsidRPr="002C5DCE" w:rsidR="007954C6">
        <w:rPr>
          <w:lang w:val="en-GB"/>
        </w:rPr>
        <w:t>www.</w:t>
      </w:r>
      <w:r w:rsidR="006C7505">
        <w:rPr>
          <w:lang w:val="en-GB"/>
        </w:rPr>
        <w:t>newayselectronics.com</w:t>
      </w:r>
      <w:r w:rsidRPr="007954C6" w:rsidR="007954C6">
        <w:rPr>
          <w:lang w:val="en-GB"/>
        </w:rPr>
        <w:t>).</w:t>
      </w:r>
    </w:p>
    <w:p w:rsidR="007954C6" w:rsidP="002C5DCE" w:rsidRDefault="007954C6" w14:paraId="03EF0D80" w14:textId="77777777">
      <w:pPr>
        <w:jc w:val="both"/>
        <w:rPr>
          <w:rFonts w:cs="Arial"/>
          <w:bCs/>
          <w:szCs w:val="19"/>
          <w:lang w:val="en-GB"/>
        </w:rPr>
      </w:pPr>
    </w:p>
    <w:p w:rsidR="00033004" w:rsidP="002C5DCE" w:rsidRDefault="00033004" w14:paraId="04E5A7B8" w14:textId="4F98C369">
      <w:pPr>
        <w:jc w:val="both"/>
        <w:rPr>
          <w:rFonts w:cs="Arial"/>
          <w:b/>
          <w:bCs/>
          <w:szCs w:val="19"/>
          <w:lang w:val="en-GB"/>
        </w:rPr>
      </w:pPr>
      <w:r w:rsidRPr="00033004">
        <w:rPr>
          <w:rFonts w:cs="Arial"/>
          <w:bCs/>
          <w:szCs w:val="19"/>
          <w:lang w:val="en-GB"/>
        </w:rPr>
        <w:t xml:space="preserve">The information for Shareholders </w:t>
      </w:r>
      <w:r w:rsidRPr="000D5E8E">
        <w:rPr>
          <w:rFonts w:cs="Arial"/>
          <w:bCs/>
          <w:szCs w:val="19"/>
          <w:lang w:val="en-GB"/>
        </w:rPr>
        <w:t>as required pursuant to Section 18, paragraph 2 of the Decree</w:t>
      </w:r>
      <w:r>
        <w:rPr>
          <w:rFonts w:cs="Arial"/>
          <w:bCs/>
          <w:szCs w:val="19"/>
          <w:lang w:val="en-GB"/>
        </w:rPr>
        <w:t>,</w:t>
      </w:r>
      <w:r w:rsidRPr="000D5E8E">
        <w:rPr>
          <w:rFonts w:cs="Arial"/>
          <w:bCs/>
          <w:szCs w:val="19"/>
          <w:lang w:val="en-GB"/>
        </w:rPr>
        <w:t xml:space="preserve"> </w:t>
      </w:r>
      <w:r w:rsidRPr="00033004">
        <w:rPr>
          <w:rFonts w:cs="Arial"/>
          <w:bCs/>
          <w:szCs w:val="19"/>
          <w:lang w:val="en-GB"/>
        </w:rPr>
        <w:t xml:space="preserve">is included in the </w:t>
      </w:r>
      <w:r w:rsidR="00DE7D23">
        <w:rPr>
          <w:rFonts w:cs="Arial"/>
          <w:bCs/>
          <w:szCs w:val="19"/>
          <w:lang w:val="en-GB"/>
        </w:rPr>
        <w:t>P</w:t>
      </w:r>
      <w:r w:rsidRPr="00033004">
        <w:rPr>
          <w:rFonts w:cs="Arial"/>
          <w:bCs/>
          <w:szCs w:val="19"/>
          <w:lang w:val="en-GB"/>
        </w:rPr>
        <w:t xml:space="preserve">osition </w:t>
      </w:r>
      <w:r w:rsidR="00DE7D23">
        <w:rPr>
          <w:rFonts w:cs="Arial"/>
          <w:bCs/>
          <w:szCs w:val="19"/>
          <w:lang w:val="en-GB"/>
        </w:rPr>
        <w:t>S</w:t>
      </w:r>
      <w:r w:rsidR="008739AF">
        <w:rPr>
          <w:rFonts w:cs="Arial"/>
          <w:bCs/>
          <w:szCs w:val="19"/>
          <w:lang w:val="en-GB"/>
        </w:rPr>
        <w:t>tatement</w:t>
      </w:r>
      <w:r w:rsidRPr="00033004">
        <w:rPr>
          <w:rFonts w:cs="Arial"/>
          <w:bCs/>
          <w:szCs w:val="19"/>
          <w:lang w:val="en-GB"/>
        </w:rPr>
        <w:t>, which also includes the convocation</w:t>
      </w:r>
      <w:r>
        <w:rPr>
          <w:rFonts w:cs="Arial"/>
          <w:bCs/>
          <w:szCs w:val="19"/>
          <w:lang w:val="en-GB"/>
        </w:rPr>
        <w:t xml:space="preserve"> notice and agenda for the EGM, </w:t>
      </w:r>
      <w:r w:rsidRPr="00033004">
        <w:rPr>
          <w:rFonts w:cs="Arial"/>
          <w:bCs/>
          <w:szCs w:val="19"/>
          <w:lang w:val="en-GB"/>
        </w:rPr>
        <w:t xml:space="preserve">which has been made available as of today at </w:t>
      </w:r>
      <w:r w:rsidR="006C7505">
        <w:rPr>
          <w:lang w:val="en-GB"/>
        </w:rPr>
        <w:t>Neways</w:t>
      </w:r>
      <w:r w:rsidR="00075C5A">
        <w:rPr>
          <w:lang w:val="en-GB"/>
        </w:rPr>
        <w:t>’</w:t>
      </w:r>
      <w:r w:rsidRPr="007954C6" w:rsidR="006C7505">
        <w:rPr>
          <w:lang w:val="en-GB"/>
        </w:rPr>
        <w:t xml:space="preserve"> website (</w:t>
      </w:r>
      <w:r w:rsidRPr="002C5DCE" w:rsidR="006C7505">
        <w:rPr>
          <w:lang w:val="en-GB"/>
        </w:rPr>
        <w:t>www.</w:t>
      </w:r>
      <w:r w:rsidR="006C7505">
        <w:rPr>
          <w:lang w:val="en-GB"/>
        </w:rPr>
        <w:t>newayselectronics.com</w:t>
      </w:r>
      <w:r w:rsidRPr="007954C6" w:rsidR="006C7505">
        <w:rPr>
          <w:lang w:val="en-GB"/>
        </w:rPr>
        <w:t>).</w:t>
      </w:r>
    </w:p>
    <w:p w:rsidR="00033004" w:rsidRDefault="00033004" w14:paraId="795FE481" w14:textId="77777777">
      <w:pPr>
        <w:jc w:val="both"/>
        <w:rPr>
          <w:rFonts w:cs="Arial"/>
          <w:b/>
          <w:bCs/>
          <w:szCs w:val="19"/>
          <w:lang w:val="en-GB"/>
        </w:rPr>
      </w:pPr>
    </w:p>
    <w:p w:rsidR="00033004" w:rsidP="002C5DCE" w:rsidRDefault="00801C12" w14:paraId="6ECE1E93" w14:textId="2E6A233A">
      <w:pPr>
        <w:jc w:val="both"/>
        <w:rPr>
          <w:rFonts w:cs="Arial"/>
          <w:b/>
          <w:bCs/>
          <w:szCs w:val="19"/>
          <w:lang w:val="en-GB"/>
        </w:rPr>
      </w:pPr>
      <w:r>
        <w:rPr>
          <w:rFonts w:cs="Arial"/>
          <w:b/>
          <w:bCs/>
          <w:szCs w:val="19"/>
          <w:lang w:val="en-GB"/>
        </w:rPr>
        <w:t>Central w</w:t>
      </w:r>
      <w:r w:rsidR="0047683A">
        <w:rPr>
          <w:rFonts w:cs="Arial"/>
          <w:b/>
          <w:bCs/>
          <w:szCs w:val="19"/>
          <w:lang w:val="en-GB"/>
        </w:rPr>
        <w:t>orks c</w:t>
      </w:r>
      <w:r w:rsidR="00033004">
        <w:rPr>
          <w:rFonts w:cs="Arial"/>
          <w:b/>
          <w:bCs/>
          <w:szCs w:val="19"/>
          <w:lang w:val="en-GB"/>
        </w:rPr>
        <w:t xml:space="preserve">ouncil of </w:t>
      </w:r>
      <w:r w:rsidR="00B25D90">
        <w:rPr>
          <w:rFonts w:cs="Arial"/>
          <w:b/>
          <w:bCs/>
          <w:szCs w:val="19"/>
          <w:lang w:val="en-GB"/>
        </w:rPr>
        <w:t>Neways</w:t>
      </w:r>
    </w:p>
    <w:p w:rsidRPr="00C431E4" w:rsidR="008739AF" w:rsidP="00C81AA6" w:rsidRDefault="00C431E4" w14:paraId="55D9BE61" w14:textId="253EFB23">
      <w:pPr>
        <w:jc w:val="both"/>
        <w:rPr>
          <w:rFonts w:cs="Arial"/>
          <w:b/>
          <w:bCs/>
          <w:szCs w:val="19"/>
          <w:lang w:val="en-US"/>
        </w:rPr>
      </w:pPr>
      <w:r w:rsidRPr="00C431E4">
        <w:rPr>
          <w:lang w:val="en-US"/>
        </w:rPr>
        <w:t xml:space="preserve">The </w:t>
      </w:r>
      <w:r w:rsidR="00801C12">
        <w:rPr>
          <w:lang w:val="en-US"/>
        </w:rPr>
        <w:t xml:space="preserve">central </w:t>
      </w:r>
      <w:r w:rsidRPr="00C431E4">
        <w:rPr>
          <w:lang w:val="en-US"/>
        </w:rPr>
        <w:t xml:space="preserve">works council of </w:t>
      </w:r>
      <w:r>
        <w:rPr>
          <w:lang w:val="en-US"/>
        </w:rPr>
        <w:t xml:space="preserve">Neways </w:t>
      </w:r>
      <w:r w:rsidRPr="00C431E4">
        <w:rPr>
          <w:lang w:val="en-US"/>
        </w:rPr>
        <w:t>has been informed</w:t>
      </w:r>
      <w:r w:rsidR="0073250C">
        <w:rPr>
          <w:lang w:val="en-US"/>
        </w:rPr>
        <w:t xml:space="preserve"> and consulted</w:t>
      </w:r>
      <w:r w:rsidRPr="00C431E4">
        <w:rPr>
          <w:lang w:val="en-US"/>
        </w:rPr>
        <w:t xml:space="preserve"> regarding the </w:t>
      </w:r>
      <w:r w:rsidR="00572386">
        <w:rPr>
          <w:lang w:val="en-US"/>
        </w:rPr>
        <w:t xml:space="preserve">Transaction </w:t>
      </w:r>
      <w:r w:rsidRPr="00C431E4">
        <w:rPr>
          <w:lang w:val="en-US"/>
        </w:rPr>
        <w:t>and has given its positive advice.</w:t>
      </w:r>
    </w:p>
    <w:p w:rsidR="00C431E4" w:rsidP="00241828" w:rsidRDefault="00C431E4" w14:paraId="0E6A5947" w14:textId="77777777">
      <w:pPr>
        <w:keepNext/>
        <w:jc w:val="both"/>
        <w:rPr>
          <w:rFonts w:cs="Arial"/>
          <w:b/>
          <w:bCs/>
          <w:szCs w:val="19"/>
          <w:lang w:val="en-GB"/>
        </w:rPr>
      </w:pPr>
    </w:p>
    <w:p w:rsidR="00961ABC" w:rsidP="00241828" w:rsidRDefault="00961ABC" w14:paraId="1D697EE2" w14:textId="68E40395">
      <w:pPr>
        <w:keepNext/>
        <w:jc w:val="both"/>
        <w:rPr>
          <w:rFonts w:cs="Arial"/>
          <w:b/>
          <w:bCs/>
          <w:szCs w:val="19"/>
          <w:lang w:val="en-GB"/>
        </w:rPr>
      </w:pPr>
      <w:r w:rsidRPr="005875C7">
        <w:rPr>
          <w:rFonts w:cs="Arial"/>
          <w:b/>
          <w:bCs/>
          <w:szCs w:val="19"/>
          <w:lang w:val="en-GB"/>
        </w:rPr>
        <w:t>Indicative timetable</w:t>
      </w:r>
    </w:p>
    <w:p w:rsidRPr="005875C7" w:rsidR="00322AC2" w:rsidP="00FF4D29" w:rsidRDefault="00322AC2" w14:paraId="7335704D" w14:textId="77777777">
      <w:pPr>
        <w:keepNext/>
        <w:jc w:val="both"/>
        <w:rPr>
          <w:rFonts w:cs="Arial"/>
          <w:b/>
          <w:bCs/>
          <w:szCs w:val="19"/>
          <w:lang w:val="en-GB"/>
        </w:rPr>
      </w:pPr>
    </w:p>
    <w:tbl>
      <w:tblPr>
        <w:tblW w:w="498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545"/>
        <w:gridCol w:w="5498"/>
      </w:tblGrid>
      <w:tr w:rsidRPr="00B25D90" w:rsidR="00B25D90" w:rsidTr="00DB44BA" w14:paraId="21FEF468" w14:textId="77777777">
        <w:trPr>
          <w:tblHeader/>
        </w:trPr>
        <w:tc>
          <w:tcPr>
            <w:tcW w:w="1960" w:type="pct"/>
            <w:tcBorders>
              <w:top w:val="nil"/>
              <w:left w:val="nil"/>
              <w:bottom w:val="nil"/>
              <w:right w:val="nil"/>
            </w:tcBorders>
            <w:shd w:val="clear" w:color="auto" w:fill="F2F2F2" w:themeFill="background1" w:themeFillShade="F2"/>
          </w:tcPr>
          <w:p w:rsidRPr="00B25D90" w:rsidR="00B25D90" w:rsidP="00B579AB" w:rsidRDefault="00B25D90" w14:paraId="64222FC2" w14:textId="4080A1B2">
            <w:pPr>
              <w:pStyle w:val="AODocTxt"/>
              <w:spacing w:before="120" w:after="120"/>
              <w:jc w:val="left"/>
              <w:rPr>
                <w:rFonts w:ascii="Arial" w:hAnsi="Arial" w:cs="Arial"/>
                <w:sz w:val="19"/>
                <w:szCs w:val="19"/>
              </w:rPr>
            </w:pPr>
            <w:r w:rsidRPr="00DB44BA">
              <w:rPr>
                <w:rFonts w:ascii="Arial" w:hAnsi="Arial" w:cs="Arial"/>
                <w:i/>
                <w:sz w:val="19"/>
                <w:szCs w:val="19"/>
              </w:rPr>
              <w:t>Expected date and time</w:t>
            </w:r>
            <w:r w:rsidRPr="00B25D90">
              <w:rPr>
                <w:rFonts w:ascii="Arial" w:hAnsi="Arial" w:cs="Arial"/>
                <w:sz w:val="19"/>
                <w:szCs w:val="19"/>
              </w:rPr>
              <w:br/>
            </w:r>
            <w:r w:rsidRPr="00DB44BA">
              <w:rPr>
                <w:rFonts w:ascii="Arial" w:hAnsi="Arial" w:cs="Arial"/>
                <w:i/>
                <w:sz w:val="19"/>
                <w:szCs w:val="19"/>
              </w:rPr>
              <w:t xml:space="preserve">(All times are </w:t>
            </w:r>
            <w:r w:rsidR="00B579AB">
              <w:rPr>
                <w:rFonts w:ascii="Arial" w:hAnsi="Arial" w:cs="Arial"/>
                <w:i/>
                <w:sz w:val="19"/>
                <w:szCs w:val="19"/>
              </w:rPr>
              <w:t>CET</w:t>
            </w:r>
            <w:r w:rsidRPr="00DB44BA">
              <w:rPr>
                <w:rFonts w:ascii="Arial" w:hAnsi="Arial" w:cs="Arial"/>
                <w:i/>
                <w:sz w:val="19"/>
                <w:szCs w:val="19"/>
              </w:rPr>
              <w:t>)</w:t>
            </w:r>
          </w:p>
        </w:tc>
        <w:tc>
          <w:tcPr>
            <w:tcW w:w="3040" w:type="pct"/>
            <w:tcBorders>
              <w:top w:val="nil"/>
              <w:left w:val="nil"/>
              <w:bottom w:val="nil"/>
              <w:right w:val="nil"/>
            </w:tcBorders>
            <w:shd w:val="clear" w:color="auto" w:fill="F2F2F2" w:themeFill="background1" w:themeFillShade="F2"/>
          </w:tcPr>
          <w:p w:rsidRPr="00DB44BA" w:rsidR="00B25D90" w:rsidP="00D774A0" w:rsidRDefault="00B25D90" w14:paraId="0E8F1400" w14:textId="77777777">
            <w:pPr>
              <w:pStyle w:val="AODocTxt"/>
              <w:spacing w:before="120" w:after="120"/>
              <w:rPr>
                <w:rFonts w:ascii="Arial" w:hAnsi="Arial" w:cs="Arial"/>
                <w:i/>
                <w:sz w:val="19"/>
                <w:szCs w:val="19"/>
              </w:rPr>
            </w:pPr>
            <w:r w:rsidRPr="00DB44BA">
              <w:rPr>
                <w:rFonts w:ascii="Arial" w:hAnsi="Arial" w:cs="Arial"/>
                <w:i/>
                <w:sz w:val="19"/>
                <w:szCs w:val="19"/>
              </w:rPr>
              <w:t>Event</w:t>
            </w:r>
          </w:p>
        </w:tc>
      </w:tr>
      <w:tr w:rsidRPr="00580FEE" w:rsidR="00B25D90" w:rsidTr="00B25D90" w14:paraId="3ADB8CD4" w14:textId="77777777">
        <w:tc>
          <w:tcPr>
            <w:tcW w:w="1960" w:type="pct"/>
            <w:tcBorders>
              <w:top w:val="nil"/>
              <w:left w:val="nil"/>
              <w:bottom w:val="nil"/>
              <w:right w:val="nil"/>
            </w:tcBorders>
            <w:shd w:val="clear" w:color="auto" w:fill="auto"/>
          </w:tcPr>
          <w:p w:rsidRPr="00B25D90" w:rsidR="00B25D90" w:rsidP="00DB44BA" w:rsidRDefault="00B25D90" w14:paraId="038BF12D" w14:textId="6913A86B">
            <w:pPr>
              <w:pStyle w:val="AODocTxt"/>
              <w:spacing w:before="120" w:after="120"/>
              <w:rPr>
                <w:rFonts w:ascii="Arial" w:hAnsi="Arial" w:cs="Arial"/>
                <w:sz w:val="19"/>
                <w:szCs w:val="19"/>
              </w:rPr>
            </w:pPr>
            <w:r w:rsidRPr="00B25D90">
              <w:rPr>
                <w:rFonts w:ascii="Arial" w:hAnsi="Arial" w:cs="Arial"/>
                <w:sz w:val="19"/>
                <w:szCs w:val="19"/>
              </w:rPr>
              <w:t xml:space="preserve">09:00 hours, </w:t>
            </w:r>
            <w:r w:rsidR="007E2EDF">
              <w:rPr>
                <w:rFonts w:ascii="Arial" w:hAnsi="Arial" w:cs="Arial"/>
                <w:sz w:val="19"/>
                <w:szCs w:val="19"/>
              </w:rPr>
              <w:t>1 September 2021</w:t>
            </w:r>
            <w:r w:rsidRPr="00B25D90" w:rsidR="007E2EDF">
              <w:rPr>
                <w:rFonts w:ascii="Arial" w:hAnsi="Arial" w:cs="Arial"/>
                <w:sz w:val="19"/>
                <w:szCs w:val="19"/>
              </w:rPr>
              <w:t xml:space="preserve"> </w:t>
            </w:r>
          </w:p>
        </w:tc>
        <w:tc>
          <w:tcPr>
            <w:tcW w:w="3040" w:type="pct"/>
            <w:tcBorders>
              <w:top w:val="nil"/>
              <w:left w:val="nil"/>
              <w:bottom w:val="nil"/>
              <w:right w:val="nil"/>
            </w:tcBorders>
            <w:shd w:val="clear" w:color="auto" w:fill="auto"/>
          </w:tcPr>
          <w:p w:rsidRPr="00B25D90" w:rsidR="00B25D90" w:rsidP="00D774A0" w:rsidRDefault="00B25D90" w14:paraId="2AAFF1CA" w14:textId="77777777">
            <w:pPr>
              <w:pStyle w:val="AODocTxt"/>
              <w:spacing w:before="120" w:after="120"/>
              <w:rPr>
                <w:rFonts w:ascii="Arial" w:hAnsi="Arial" w:cs="Arial"/>
                <w:sz w:val="19"/>
                <w:szCs w:val="19"/>
              </w:rPr>
            </w:pPr>
            <w:r w:rsidRPr="00B25D90">
              <w:rPr>
                <w:rFonts w:ascii="Arial" w:hAnsi="Arial" w:cs="Arial"/>
                <w:sz w:val="19"/>
                <w:szCs w:val="19"/>
              </w:rPr>
              <w:t>Commencement of the Acceptance Period</w:t>
            </w:r>
          </w:p>
        </w:tc>
      </w:tr>
      <w:tr w:rsidRPr="00580FEE" w:rsidR="00B25D90" w:rsidTr="00B25D90" w14:paraId="5417DBC1" w14:textId="77777777">
        <w:tc>
          <w:tcPr>
            <w:tcW w:w="1960" w:type="pct"/>
            <w:tcBorders>
              <w:top w:val="nil"/>
              <w:left w:val="nil"/>
              <w:bottom w:val="nil"/>
              <w:right w:val="nil"/>
            </w:tcBorders>
            <w:shd w:val="clear" w:color="auto" w:fill="auto"/>
          </w:tcPr>
          <w:p w:rsidRPr="00B25D90" w:rsidR="00B25D90" w:rsidP="00D774A0" w:rsidRDefault="006F5B2B" w14:paraId="13B66E92" w14:textId="351FBBED">
            <w:pPr>
              <w:pStyle w:val="AODocTxt"/>
              <w:spacing w:before="120" w:after="120"/>
              <w:rPr>
                <w:rFonts w:ascii="Arial" w:hAnsi="Arial" w:cs="Arial"/>
                <w:sz w:val="19"/>
                <w:szCs w:val="19"/>
              </w:rPr>
            </w:pPr>
            <w:r>
              <w:rPr>
                <w:rFonts w:ascii="Arial" w:hAnsi="Arial" w:cs="Arial"/>
                <w:sz w:val="19"/>
                <w:szCs w:val="19"/>
              </w:rPr>
              <w:t xml:space="preserve">14:00 hours, </w:t>
            </w:r>
            <w:r w:rsidR="007E2EDF">
              <w:rPr>
                <w:rFonts w:ascii="Arial" w:hAnsi="Arial" w:cs="Arial"/>
                <w:sz w:val="19"/>
                <w:szCs w:val="19"/>
              </w:rPr>
              <w:t>19 October 2021</w:t>
            </w:r>
          </w:p>
        </w:tc>
        <w:tc>
          <w:tcPr>
            <w:tcW w:w="3040" w:type="pct"/>
            <w:tcBorders>
              <w:top w:val="nil"/>
              <w:left w:val="nil"/>
              <w:bottom w:val="nil"/>
              <w:right w:val="nil"/>
            </w:tcBorders>
            <w:shd w:val="clear" w:color="auto" w:fill="auto"/>
          </w:tcPr>
          <w:p w:rsidRPr="00B25D90" w:rsidR="00B25D90" w:rsidP="00D90FD4" w:rsidRDefault="00B25D90" w14:paraId="58BC8A70" w14:textId="7C217C82">
            <w:pPr>
              <w:pStyle w:val="AODocTxt"/>
              <w:spacing w:before="120" w:after="120"/>
              <w:rPr>
                <w:rFonts w:ascii="Arial" w:hAnsi="Arial" w:cs="Arial"/>
                <w:sz w:val="19"/>
                <w:szCs w:val="19"/>
              </w:rPr>
            </w:pPr>
            <w:r w:rsidRPr="00B25D90">
              <w:rPr>
                <w:rFonts w:ascii="Arial" w:hAnsi="Arial" w:cs="Arial"/>
                <w:sz w:val="19"/>
                <w:szCs w:val="19"/>
              </w:rPr>
              <w:t xml:space="preserve">EGM, at which meeting, among other matters, the </w:t>
            </w:r>
            <w:r w:rsidR="00D90FD4">
              <w:rPr>
                <w:rFonts w:ascii="Arial" w:hAnsi="Arial" w:cs="Arial"/>
                <w:sz w:val="19"/>
                <w:szCs w:val="19"/>
              </w:rPr>
              <w:t>Transaction</w:t>
            </w:r>
            <w:r w:rsidRPr="00B25D90">
              <w:rPr>
                <w:rFonts w:ascii="Arial" w:hAnsi="Arial" w:cs="Arial"/>
                <w:sz w:val="19"/>
                <w:szCs w:val="19"/>
              </w:rPr>
              <w:t xml:space="preserve"> will be discussed and the Resolutions will be voted on</w:t>
            </w:r>
          </w:p>
        </w:tc>
      </w:tr>
      <w:tr w:rsidRPr="00580FEE" w:rsidR="00B25D90" w:rsidTr="00B25D90" w14:paraId="59DBA918" w14:textId="77777777">
        <w:tc>
          <w:tcPr>
            <w:tcW w:w="1960" w:type="pct"/>
            <w:tcBorders>
              <w:top w:val="nil"/>
              <w:left w:val="nil"/>
              <w:bottom w:val="nil"/>
              <w:right w:val="nil"/>
            </w:tcBorders>
            <w:shd w:val="clear" w:color="auto" w:fill="auto"/>
          </w:tcPr>
          <w:p w:rsidRPr="00B25D90" w:rsidR="00B25D90" w:rsidP="00DB44BA" w:rsidRDefault="00B25D90" w14:paraId="325658A0" w14:textId="6AA21B89">
            <w:pPr>
              <w:pStyle w:val="AODocTxt"/>
              <w:spacing w:before="120" w:after="120"/>
              <w:rPr>
                <w:rFonts w:ascii="Arial" w:hAnsi="Arial" w:cs="Arial"/>
                <w:sz w:val="19"/>
                <w:szCs w:val="19"/>
              </w:rPr>
            </w:pPr>
            <w:r w:rsidRPr="00B25D90">
              <w:rPr>
                <w:rFonts w:ascii="Arial" w:hAnsi="Arial" w:cs="Arial"/>
                <w:sz w:val="19"/>
                <w:szCs w:val="19"/>
              </w:rPr>
              <w:t xml:space="preserve">17:40 hours, </w:t>
            </w:r>
            <w:r w:rsidR="007E2EDF">
              <w:rPr>
                <w:rFonts w:ascii="Arial" w:hAnsi="Arial" w:cs="Arial"/>
                <w:sz w:val="19"/>
                <w:szCs w:val="19"/>
              </w:rPr>
              <w:t>27 October 2021</w:t>
            </w:r>
          </w:p>
        </w:tc>
        <w:tc>
          <w:tcPr>
            <w:tcW w:w="3040" w:type="pct"/>
            <w:tcBorders>
              <w:top w:val="nil"/>
              <w:left w:val="nil"/>
              <w:bottom w:val="nil"/>
              <w:right w:val="nil"/>
            </w:tcBorders>
            <w:shd w:val="clear" w:color="auto" w:fill="auto"/>
          </w:tcPr>
          <w:p w:rsidRPr="00B25D90" w:rsidR="00B25D90" w:rsidP="00D848C9" w:rsidRDefault="00B25D90" w14:paraId="3592BFFA" w14:textId="3B016314">
            <w:pPr>
              <w:pStyle w:val="AODocTxt"/>
              <w:spacing w:before="120" w:after="120"/>
              <w:rPr>
                <w:rFonts w:ascii="Arial" w:hAnsi="Arial" w:cs="Arial"/>
                <w:sz w:val="19"/>
                <w:szCs w:val="19"/>
              </w:rPr>
            </w:pPr>
            <w:r w:rsidRPr="00DB44BA">
              <w:rPr>
                <w:rFonts w:ascii="Arial" w:hAnsi="Arial" w:cs="Arial"/>
                <w:sz w:val="19"/>
                <w:szCs w:val="19"/>
              </w:rPr>
              <w:t>Closing Date and Closing Time</w:t>
            </w:r>
            <w:r w:rsidR="00DB44BA">
              <w:rPr>
                <w:rFonts w:ascii="Arial" w:hAnsi="Arial" w:cs="Arial"/>
                <w:sz w:val="19"/>
                <w:szCs w:val="19"/>
              </w:rPr>
              <w:t xml:space="preserve">: </w:t>
            </w:r>
            <w:r w:rsidR="005A003A">
              <w:rPr>
                <w:rFonts w:ascii="Arial" w:hAnsi="Arial" w:cs="Arial"/>
                <w:sz w:val="19"/>
                <w:szCs w:val="19"/>
              </w:rPr>
              <w:t>d</w:t>
            </w:r>
            <w:r w:rsidRPr="00B25D90">
              <w:rPr>
                <w:rFonts w:ascii="Arial" w:hAnsi="Arial" w:cs="Arial"/>
                <w:sz w:val="19"/>
                <w:szCs w:val="19"/>
              </w:rPr>
              <w:t>eadline for Shareholders to tender their Shares, unless the Acceptance Period is extended in accordance with Article 15</w:t>
            </w:r>
            <w:r w:rsidR="00DB44BA">
              <w:rPr>
                <w:rFonts w:ascii="Arial" w:hAnsi="Arial" w:cs="Arial"/>
                <w:sz w:val="19"/>
                <w:szCs w:val="19"/>
              </w:rPr>
              <w:t xml:space="preserve"> of the Decree </w:t>
            </w:r>
          </w:p>
        </w:tc>
      </w:tr>
      <w:tr w:rsidRPr="00580FEE" w:rsidR="00B25D90" w:rsidTr="00B25D90" w14:paraId="6B16994F" w14:textId="77777777">
        <w:tc>
          <w:tcPr>
            <w:tcW w:w="1960" w:type="pct"/>
            <w:tcBorders>
              <w:top w:val="nil"/>
              <w:left w:val="nil"/>
              <w:bottom w:val="nil"/>
              <w:right w:val="nil"/>
            </w:tcBorders>
            <w:shd w:val="clear" w:color="auto" w:fill="auto"/>
          </w:tcPr>
          <w:p w:rsidRPr="00B25D90" w:rsidR="00B25D90" w:rsidP="00D774A0" w:rsidRDefault="00B25D90" w14:paraId="5AF2DE4D" w14:textId="77777777">
            <w:pPr>
              <w:pStyle w:val="AODocTxt"/>
              <w:spacing w:before="120" w:after="120"/>
              <w:rPr>
                <w:rFonts w:ascii="Arial" w:hAnsi="Arial" w:cs="Arial"/>
                <w:sz w:val="19"/>
                <w:szCs w:val="19"/>
              </w:rPr>
            </w:pPr>
            <w:r w:rsidRPr="00B25D90">
              <w:rPr>
                <w:rFonts w:ascii="Arial" w:hAnsi="Arial" w:cs="Arial"/>
                <w:sz w:val="19"/>
                <w:szCs w:val="19"/>
              </w:rPr>
              <w:t>No later than three (3) Business Days after the Closing Date</w:t>
            </w:r>
          </w:p>
        </w:tc>
        <w:tc>
          <w:tcPr>
            <w:tcW w:w="3040" w:type="pct"/>
            <w:tcBorders>
              <w:top w:val="nil"/>
              <w:left w:val="nil"/>
              <w:bottom w:val="nil"/>
              <w:right w:val="nil"/>
            </w:tcBorders>
            <w:shd w:val="clear" w:color="auto" w:fill="auto"/>
          </w:tcPr>
          <w:p w:rsidRPr="00B25D90" w:rsidR="00B25D90" w:rsidP="00D774A0" w:rsidRDefault="00B25D90" w14:paraId="32470EFC" w14:textId="5767E735">
            <w:pPr>
              <w:pStyle w:val="AODocTxt"/>
              <w:spacing w:before="120" w:after="120"/>
              <w:rPr>
                <w:rFonts w:ascii="Arial" w:hAnsi="Arial" w:cs="Arial"/>
                <w:sz w:val="19"/>
                <w:szCs w:val="19"/>
              </w:rPr>
            </w:pPr>
            <w:r w:rsidRPr="00DB44BA">
              <w:rPr>
                <w:rFonts w:ascii="Arial" w:hAnsi="Arial" w:cs="Arial"/>
                <w:sz w:val="19"/>
                <w:szCs w:val="19"/>
              </w:rPr>
              <w:t>Unconditional Date</w:t>
            </w:r>
            <w:r w:rsidR="00DB44BA">
              <w:rPr>
                <w:rFonts w:ascii="Arial" w:hAnsi="Arial" w:cs="Arial"/>
                <w:sz w:val="19"/>
                <w:szCs w:val="19"/>
              </w:rPr>
              <w:t xml:space="preserve">: </w:t>
            </w:r>
            <w:r w:rsidR="00075C5A">
              <w:rPr>
                <w:rFonts w:ascii="Arial" w:hAnsi="Arial" w:cs="Arial"/>
                <w:sz w:val="19"/>
                <w:szCs w:val="19"/>
              </w:rPr>
              <w:t>t</w:t>
            </w:r>
            <w:r w:rsidRPr="00B25D90">
              <w:rPr>
                <w:rFonts w:ascii="Arial" w:hAnsi="Arial" w:cs="Arial"/>
                <w:sz w:val="19"/>
                <w:szCs w:val="19"/>
              </w:rPr>
              <w:t>he date on which the Offeror will publicly announce whether the Offer is declared unconditional (</w:t>
            </w:r>
            <w:proofErr w:type="spellStart"/>
            <w:r w:rsidRPr="00B25D90">
              <w:rPr>
                <w:rFonts w:ascii="Arial" w:hAnsi="Arial" w:cs="Arial"/>
                <w:i/>
                <w:sz w:val="19"/>
                <w:szCs w:val="19"/>
              </w:rPr>
              <w:t>gestand</w:t>
            </w:r>
            <w:proofErr w:type="spellEnd"/>
            <w:r w:rsidRPr="00B25D90">
              <w:rPr>
                <w:rFonts w:ascii="Arial" w:hAnsi="Arial" w:cs="Arial"/>
                <w:i/>
                <w:sz w:val="19"/>
                <w:szCs w:val="19"/>
              </w:rPr>
              <w:t xml:space="preserve"> is </w:t>
            </w:r>
            <w:proofErr w:type="spellStart"/>
            <w:r w:rsidRPr="00B25D90">
              <w:rPr>
                <w:rFonts w:ascii="Arial" w:hAnsi="Arial" w:cs="Arial"/>
                <w:i/>
                <w:sz w:val="19"/>
                <w:szCs w:val="19"/>
              </w:rPr>
              <w:t>gedaan</w:t>
            </w:r>
            <w:proofErr w:type="spellEnd"/>
            <w:r w:rsidRPr="00B25D90">
              <w:rPr>
                <w:rFonts w:ascii="Arial" w:hAnsi="Arial" w:cs="Arial"/>
                <w:sz w:val="19"/>
                <w:szCs w:val="19"/>
              </w:rPr>
              <w:t>) in accordance with Article 16 of the Decree</w:t>
            </w:r>
          </w:p>
        </w:tc>
      </w:tr>
      <w:tr w:rsidRPr="00580FEE" w:rsidR="00B25D90" w:rsidTr="00B25D90" w14:paraId="2CA5CDB7" w14:textId="77777777">
        <w:tc>
          <w:tcPr>
            <w:tcW w:w="1960" w:type="pct"/>
            <w:tcBorders>
              <w:top w:val="nil"/>
              <w:left w:val="nil"/>
              <w:bottom w:val="nil"/>
              <w:right w:val="nil"/>
            </w:tcBorders>
            <w:shd w:val="clear" w:color="auto" w:fill="auto"/>
          </w:tcPr>
          <w:p w:rsidRPr="00B25D90" w:rsidR="00B25D90" w:rsidP="00D774A0" w:rsidRDefault="00B25D90" w14:paraId="5D045BA4" w14:textId="77777777">
            <w:pPr>
              <w:pStyle w:val="AODocTxt"/>
              <w:spacing w:before="120" w:after="120"/>
              <w:rPr>
                <w:rFonts w:ascii="Arial" w:hAnsi="Arial" w:cs="Arial"/>
                <w:sz w:val="19"/>
                <w:szCs w:val="19"/>
              </w:rPr>
            </w:pPr>
            <w:r w:rsidRPr="00B25D90">
              <w:rPr>
                <w:rFonts w:ascii="Arial" w:hAnsi="Arial" w:cs="Arial"/>
                <w:sz w:val="19"/>
                <w:szCs w:val="19"/>
              </w:rPr>
              <w:t>No later than the fifth (5th) Business Day after the Unconditional Date</w:t>
            </w:r>
          </w:p>
        </w:tc>
        <w:tc>
          <w:tcPr>
            <w:tcW w:w="3040" w:type="pct"/>
            <w:tcBorders>
              <w:top w:val="nil"/>
              <w:left w:val="nil"/>
              <w:bottom w:val="nil"/>
              <w:right w:val="nil"/>
            </w:tcBorders>
            <w:shd w:val="clear" w:color="auto" w:fill="auto"/>
          </w:tcPr>
          <w:p w:rsidRPr="00B25D90" w:rsidR="00B25D90" w:rsidP="00692BE8" w:rsidRDefault="00B25D90" w14:paraId="0B3C8ACF" w14:textId="2C9A70E9">
            <w:pPr>
              <w:pStyle w:val="AODocTxt"/>
              <w:spacing w:before="120" w:after="120"/>
              <w:rPr>
                <w:rFonts w:ascii="Arial" w:hAnsi="Arial" w:cs="Arial"/>
                <w:sz w:val="19"/>
                <w:szCs w:val="19"/>
              </w:rPr>
            </w:pPr>
            <w:r w:rsidRPr="00DB44BA">
              <w:rPr>
                <w:rFonts w:ascii="Arial" w:hAnsi="Arial" w:cs="Arial"/>
                <w:sz w:val="19"/>
                <w:szCs w:val="19"/>
              </w:rPr>
              <w:t>Settlement Date</w:t>
            </w:r>
            <w:r w:rsidR="00DB44BA">
              <w:rPr>
                <w:rFonts w:ascii="Arial" w:hAnsi="Arial" w:cs="Arial"/>
                <w:sz w:val="19"/>
                <w:szCs w:val="19"/>
              </w:rPr>
              <w:t xml:space="preserve">: </w:t>
            </w:r>
            <w:r w:rsidR="00075C5A">
              <w:rPr>
                <w:rFonts w:ascii="Arial" w:hAnsi="Arial" w:cs="Arial"/>
                <w:sz w:val="19"/>
                <w:szCs w:val="19"/>
              </w:rPr>
              <w:t>t</w:t>
            </w:r>
            <w:r w:rsidRPr="00B25D90">
              <w:rPr>
                <w:rFonts w:ascii="Arial" w:hAnsi="Arial" w:cs="Arial"/>
                <w:sz w:val="19"/>
                <w:szCs w:val="19"/>
              </w:rPr>
              <w:t>he date on which, in accordance with the terms and conditions of the Offer, the Offeror will pay the Offer Price for each Tendered Share transferred (</w:t>
            </w:r>
            <w:proofErr w:type="spellStart"/>
            <w:r w:rsidRPr="00B25D90">
              <w:rPr>
                <w:rFonts w:ascii="Arial" w:hAnsi="Arial" w:cs="Arial"/>
                <w:i/>
                <w:sz w:val="19"/>
                <w:szCs w:val="19"/>
              </w:rPr>
              <w:t>geleverd</w:t>
            </w:r>
            <w:proofErr w:type="spellEnd"/>
            <w:r w:rsidR="00AA27B6">
              <w:rPr>
                <w:rFonts w:ascii="Arial" w:hAnsi="Arial" w:cs="Arial"/>
                <w:sz w:val="19"/>
                <w:szCs w:val="19"/>
              </w:rPr>
              <w:t>) to the Offeror</w:t>
            </w:r>
          </w:p>
        </w:tc>
      </w:tr>
      <w:tr w:rsidRPr="00580FEE" w:rsidR="00B25D90" w:rsidTr="00B25D90" w14:paraId="664675E6" w14:textId="77777777">
        <w:tc>
          <w:tcPr>
            <w:tcW w:w="1960" w:type="pct"/>
            <w:tcBorders>
              <w:top w:val="nil"/>
              <w:left w:val="nil"/>
              <w:bottom w:val="nil"/>
              <w:right w:val="nil"/>
            </w:tcBorders>
            <w:shd w:val="clear" w:color="auto" w:fill="auto"/>
          </w:tcPr>
          <w:p w:rsidRPr="00B25D90" w:rsidR="00B25D90" w:rsidP="00D774A0" w:rsidRDefault="00B25D90" w14:paraId="6FD1A6E4" w14:textId="77777777">
            <w:pPr>
              <w:pStyle w:val="AODocTxt"/>
              <w:spacing w:before="120" w:after="120"/>
              <w:rPr>
                <w:rFonts w:ascii="Arial" w:hAnsi="Arial" w:cs="Arial"/>
                <w:sz w:val="19"/>
                <w:szCs w:val="19"/>
              </w:rPr>
            </w:pPr>
            <w:r w:rsidRPr="00B25D90">
              <w:rPr>
                <w:rFonts w:ascii="Arial" w:hAnsi="Arial" w:cs="Arial"/>
                <w:sz w:val="19"/>
                <w:szCs w:val="19"/>
              </w:rPr>
              <w:t>No later than the third (3rd) Business Day after the Unconditional Date</w:t>
            </w:r>
          </w:p>
        </w:tc>
        <w:tc>
          <w:tcPr>
            <w:tcW w:w="3040" w:type="pct"/>
            <w:tcBorders>
              <w:top w:val="nil"/>
              <w:left w:val="nil"/>
              <w:bottom w:val="nil"/>
              <w:right w:val="nil"/>
            </w:tcBorders>
            <w:shd w:val="clear" w:color="auto" w:fill="auto"/>
          </w:tcPr>
          <w:p w:rsidRPr="00B25D90" w:rsidR="00B25D90" w:rsidP="00DB44BA" w:rsidRDefault="00B25D90" w14:paraId="58FC689F" w14:textId="5B200A8D">
            <w:pPr>
              <w:pStyle w:val="AODocTxt"/>
              <w:spacing w:before="120" w:after="120"/>
              <w:rPr>
                <w:rFonts w:ascii="Arial" w:hAnsi="Arial" w:cs="Arial"/>
                <w:sz w:val="19"/>
                <w:szCs w:val="19"/>
              </w:rPr>
            </w:pPr>
            <w:r w:rsidRPr="00DB44BA">
              <w:rPr>
                <w:rFonts w:ascii="Arial" w:hAnsi="Arial" w:cs="Arial"/>
                <w:sz w:val="19"/>
                <w:szCs w:val="19"/>
              </w:rPr>
              <w:t>Post-Closing Acceptance Period</w:t>
            </w:r>
            <w:r w:rsidR="00DB44BA">
              <w:rPr>
                <w:rFonts w:ascii="Arial" w:hAnsi="Arial" w:cs="Arial"/>
                <w:sz w:val="19"/>
                <w:szCs w:val="19"/>
              </w:rPr>
              <w:t xml:space="preserve">: </w:t>
            </w:r>
            <w:r w:rsidR="00A70513">
              <w:rPr>
                <w:rFonts w:ascii="Arial" w:hAnsi="Arial" w:cs="Arial"/>
                <w:sz w:val="19"/>
                <w:szCs w:val="19"/>
              </w:rPr>
              <w:t>i</w:t>
            </w:r>
            <w:r w:rsidRPr="00B25D90">
              <w:rPr>
                <w:rFonts w:ascii="Arial" w:hAnsi="Arial" w:cs="Arial"/>
                <w:sz w:val="19"/>
                <w:szCs w:val="19"/>
              </w:rPr>
              <w:t>f the Offer is declared unconditional (</w:t>
            </w:r>
            <w:proofErr w:type="spellStart"/>
            <w:r w:rsidRPr="00B25D90">
              <w:rPr>
                <w:rFonts w:ascii="Arial" w:hAnsi="Arial" w:cs="Arial"/>
                <w:i/>
                <w:sz w:val="19"/>
                <w:szCs w:val="19"/>
              </w:rPr>
              <w:t>gestand</w:t>
            </w:r>
            <w:proofErr w:type="spellEnd"/>
            <w:r w:rsidRPr="00B25D90">
              <w:rPr>
                <w:rFonts w:ascii="Arial" w:hAnsi="Arial" w:cs="Arial"/>
                <w:i/>
                <w:sz w:val="19"/>
                <w:szCs w:val="19"/>
              </w:rPr>
              <w:t xml:space="preserve"> is </w:t>
            </w:r>
            <w:proofErr w:type="spellStart"/>
            <w:r w:rsidRPr="00B25D90">
              <w:rPr>
                <w:rFonts w:ascii="Arial" w:hAnsi="Arial" w:cs="Arial"/>
                <w:i/>
                <w:sz w:val="19"/>
                <w:szCs w:val="19"/>
              </w:rPr>
              <w:t>gedaan</w:t>
            </w:r>
            <w:proofErr w:type="spellEnd"/>
            <w:r w:rsidRPr="00B25D90">
              <w:rPr>
                <w:rFonts w:ascii="Arial" w:hAnsi="Arial" w:cs="Arial"/>
                <w:sz w:val="19"/>
                <w:szCs w:val="19"/>
              </w:rPr>
              <w:t>), the Offeror may decide, after consultation with Neways, to publicly announce a Post-Closing Acceptance Period for a period of two (2) weeks in accordance with Article 17 of the Decree</w:t>
            </w:r>
          </w:p>
        </w:tc>
      </w:tr>
      <w:tr w:rsidRPr="00580FEE" w:rsidR="00B25D90" w:rsidTr="00B25D90" w14:paraId="148D186C" w14:textId="77777777">
        <w:tc>
          <w:tcPr>
            <w:tcW w:w="1960" w:type="pct"/>
            <w:tcBorders>
              <w:top w:val="nil"/>
              <w:left w:val="nil"/>
              <w:bottom w:val="nil"/>
              <w:right w:val="nil"/>
            </w:tcBorders>
            <w:shd w:val="clear" w:color="auto" w:fill="auto"/>
          </w:tcPr>
          <w:p w:rsidRPr="00B25D90" w:rsidR="00B25D90" w:rsidP="00D774A0" w:rsidRDefault="00B25D90" w14:paraId="3825E61A" w14:textId="77777777">
            <w:pPr>
              <w:pStyle w:val="AODocTxt"/>
              <w:spacing w:before="120" w:after="120"/>
              <w:rPr>
                <w:rFonts w:ascii="Arial" w:hAnsi="Arial" w:cs="Arial"/>
                <w:sz w:val="19"/>
                <w:szCs w:val="19"/>
              </w:rPr>
            </w:pPr>
            <w:r w:rsidRPr="00B25D90">
              <w:rPr>
                <w:rFonts w:ascii="Arial" w:hAnsi="Arial" w:cs="Arial"/>
                <w:sz w:val="19"/>
                <w:szCs w:val="19"/>
              </w:rPr>
              <w:t>No later than the third (3rd) Business Day after the expiration of the Post-Closing Acceptance Period</w:t>
            </w:r>
          </w:p>
        </w:tc>
        <w:tc>
          <w:tcPr>
            <w:tcW w:w="3040" w:type="pct"/>
            <w:tcBorders>
              <w:top w:val="nil"/>
              <w:left w:val="nil"/>
              <w:bottom w:val="nil"/>
              <w:right w:val="nil"/>
            </w:tcBorders>
            <w:shd w:val="clear" w:color="auto" w:fill="auto"/>
          </w:tcPr>
          <w:p w:rsidRPr="00B25D90" w:rsidR="00B25D90" w:rsidP="0022257C" w:rsidRDefault="00BE2A3B" w14:paraId="20F93C5A" w14:textId="7EECC7AD">
            <w:pPr>
              <w:pStyle w:val="AODocTxt"/>
              <w:spacing w:before="120" w:after="120"/>
              <w:rPr>
                <w:rFonts w:ascii="Arial" w:hAnsi="Arial" w:cs="Arial"/>
                <w:sz w:val="19"/>
                <w:szCs w:val="19"/>
              </w:rPr>
            </w:pPr>
            <w:r>
              <w:rPr>
                <w:rFonts w:ascii="Arial" w:hAnsi="Arial" w:cs="Arial"/>
                <w:sz w:val="19"/>
                <w:szCs w:val="19"/>
              </w:rPr>
              <w:t>T</w:t>
            </w:r>
            <w:r w:rsidRPr="00B25D90" w:rsidR="00B25D90">
              <w:rPr>
                <w:rFonts w:ascii="Arial" w:hAnsi="Arial" w:cs="Arial"/>
                <w:sz w:val="19"/>
                <w:szCs w:val="19"/>
              </w:rPr>
              <w:t>he Offeror will publicly announce the results of the Post-Closing Acceptance Period</w:t>
            </w:r>
          </w:p>
        </w:tc>
      </w:tr>
      <w:tr w:rsidRPr="00580FEE" w:rsidR="00B25D90" w:rsidTr="00B25D90" w14:paraId="2596A4E8" w14:textId="77777777">
        <w:tc>
          <w:tcPr>
            <w:tcW w:w="1960" w:type="pct"/>
            <w:tcBorders>
              <w:top w:val="nil"/>
              <w:left w:val="nil"/>
              <w:bottom w:val="nil"/>
              <w:right w:val="nil"/>
            </w:tcBorders>
            <w:shd w:val="clear" w:color="auto" w:fill="auto"/>
          </w:tcPr>
          <w:p w:rsidRPr="00B25D90" w:rsidR="00B25D90" w:rsidP="00D774A0" w:rsidRDefault="00B25D90" w14:paraId="03EEA4E8" w14:textId="77777777">
            <w:pPr>
              <w:pStyle w:val="AODocTxt"/>
              <w:spacing w:before="120" w:after="120"/>
              <w:rPr>
                <w:rFonts w:ascii="Arial" w:hAnsi="Arial" w:cs="Arial"/>
                <w:sz w:val="19"/>
                <w:szCs w:val="19"/>
              </w:rPr>
            </w:pPr>
            <w:r w:rsidRPr="00B25D90">
              <w:rPr>
                <w:rFonts w:ascii="Arial" w:hAnsi="Arial" w:cs="Arial"/>
                <w:sz w:val="19"/>
                <w:szCs w:val="19"/>
              </w:rPr>
              <w:lastRenderedPageBreak/>
              <w:t>No later than on the fifth (5th) Business Day after expiration of the Post-Closing Acceptance Period</w:t>
            </w:r>
          </w:p>
        </w:tc>
        <w:tc>
          <w:tcPr>
            <w:tcW w:w="3040" w:type="pct"/>
            <w:tcBorders>
              <w:top w:val="nil"/>
              <w:left w:val="nil"/>
              <w:bottom w:val="nil"/>
              <w:right w:val="nil"/>
            </w:tcBorders>
            <w:shd w:val="clear" w:color="auto" w:fill="auto"/>
          </w:tcPr>
          <w:p w:rsidRPr="00B25D90" w:rsidR="00B25D90" w:rsidP="0022257C" w:rsidRDefault="00BE2A3B" w14:paraId="7538F833" w14:textId="4FA6B5C0">
            <w:pPr>
              <w:pStyle w:val="AODocTxt"/>
              <w:spacing w:before="120" w:after="120"/>
              <w:rPr>
                <w:rFonts w:ascii="Arial" w:hAnsi="Arial" w:cs="Arial"/>
                <w:sz w:val="19"/>
                <w:szCs w:val="19"/>
              </w:rPr>
            </w:pPr>
            <w:r>
              <w:rPr>
                <w:rFonts w:ascii="Arial" w:hAnsi="Arial" w:cs="Arial"/>
                <w:sz w:val="19"/>
                <w:szCs w:val="19"/>
              </w:rPr>
              <w:t>S</w:t>
            </w:r>
            <w:r w:rsidRPr="00B25D90" w:rsidR="00B25D90">
              <w:rPr>
                <w:rFonts w:ascii="Arial" w:hAnsi="Arial" w:cs="Arial"/>
                <w:sz w:val="19"/>
                <w:szCs w:val="19"/>
              </w:rPr>
              <w:t>ettlement of the Tendered Shares during the Post-Closing Acceptance Period: in accordance with the terms and conditions of the Offer, the Offeror will pay the Offer Price for each Tendered Share transferred (</w:t>
            </w:r>
            <w:proofErr w:type="spellStart"/>
            <w:r w:rsidRPr="00B25D90" w:rsidR="00B25D90">
              <w:rPr>
                <w:rFonts w:ascii="Arial" w:hAnsi="Arial" w:cs="Arial"/>
                <w:i/>
                <w:sz w:val="19"/>
                <w:szCs w:val="19"/>
              </w:rPr>
              <w:t>geleverd</w:t>
            </w:r>
            <w:proofErr w:type="spellEnd"/>
            <w:r w:rsidRPr="00B25D90" w:rsidR="00B25D90">
              <w:rPr>
                <w:rFonts w:ascii="Arial" w:hAnsi="Arial" w:cs="Arial"/>
                <w:sz w:val="19"/>
                <w:szCs w:val="19"/>
              </w:rPr>
              <w:t>) to the Offeror</w:t>
            </w:r>
          </w:p>
        </w:tc>
      </w:tr>
    </w:tbl>
    <w:p w:rsidR="00E809E1" w:rsidP="00B25D90" w:rsidRDefault="00E809E1" w14:paraId="1D952157" w14:textId="77777777">
      <w:pPr>
        <w:keepNext/>
        <w:jc w:val="both"/>
        <w:rPr>
          <w:rFonts w:cs="Arial"/>
          <w:b/>
          <w:bCs/>
          <w:szCs w:val="19"/>
          <w:lang w:val="en-GB"/>
        </w:rPr>
      </w:pPr>
    </w:p>
    <w:p w:rsidR="00AD2ABE" w:rsidP="00B25D90" w:rsidRDefault="00AD2ABE" w14:paraId="286F1920" w14:textId="018E2977">
      <w:pPr>
        <w:keepNext/>
        <w:jc w:val="both"/>
        <w:rPr>
          <w:rFonts w:cs="Arial"/>
          <w:b/>
          <w:bCs/>
          <w:szCs w:val="19"/>
          <w:lang w:val="en-GB"/>
        </w:rPr>
      </w:pPr>
      <w:r>
        <w:rPr>
          <w:rFonts w:cs="Arial"/>
          <w:b/>
          <w:bCs/>
          <w:szCs w:val="19"/>
          <w:lang w:val="en-GB"/>
        </w:rPr>
        <w:t xml:space="preserve">Shares </w:t>
      </w:r>
      <w:r w:rsidR="0023421E">
        <w:rPr>
          <w:rFonts w:cs="Arial"/>
          <w:b/>
          <w:bCs/>
          <w:szCs w:val="19"/>
          <w:lang w:val="en-GB"/>
        </w:rPr>
        <w:t>held</w:t>
      </w:r>
      <w:r>
        <w:rPr>
          <w:rFonts w:cs="Arial"/>
          <w:b/>
          <w:bCs/>
          <w:szCs w:val="19"/>
          <w:lang w:val="en-GB"/>
        </w:rPr>
        <w:t xml:space="preserve"> by </w:t>
      </w:r>
      <w:r w:rsidR="0023421E">
        <w:rPr>
          <w:rFonts w:cs="Arial"/>
          <w:b/>
          <w:bCs/>
          <w:szCs w:val="19"/>
          <w:lang w:val="en-GB"/>
        </w:rPr>
        <w:t xml:space="preserve">the </w:t>
      </w:r>
      <w:r>
        <w:rPr>
          <w:rFonts w:cs="Arial"/>
          <w:b/>
          <w:bCs/>
          <w:szCs w:val="19"/>
          <w:lang w:val="en-GB"/>
        </w:rPr>
        <w:t>Offeror</w:t>
      </w:r>
    </w:p>
    <w:p w:rsidRPr="00AD2ABE" w:rsidR="00AD2ABE" w:rsidP="00AD2ABE" w:rsidRDefault="00AD2ABE" w14:paraId="6EE2F292" w14:textId="650BD961">
      <w:pPr>
        <w:spacing w:after="120"/>
        <w:jc w:val="both"/>
        <w:rPr>
          <w:rFonts w:cs="Arial"/>
          <w:szCs w:val="19"/>
          <w:lang w:val="en-GB"/>
        </w:rPr>
      </w:pPr>
      <w:r w:rsidRPr="00AD2ABE">
        <w:rPr>
          <w:rFonts w:cs="Arial"/>
          <w:szCs w:val="19"/>
          <w:lang w:val="en-GB"/>
        </w:rPr>
        <w:t>The Offeror, as per today, holds 8.45% of the Shares (8.42% on a fully diluted basis)</w:t>
      </w:r>
      <w:r>
        <w:rPr>
          <w:rFonts w:cs="Arial"/>
          <w:szCs w:val="19"/>
          <w:lang w:val="en-GB"/>
        </w:rPr>
        <w:t>.</w:t>
      </w:r>
    </w:p>
    <w:p w:rsidR="00AD2ABE" w:rsidP="00B25D90" w:rsidRDefault="00AD2ABE" w14:paraId="7F41C109" w14:textId="77777777">
      <w:pPr>
        <w:keepNext/>
        <w:jc w:val="both"/>
        <w:rPr>
          <w:rFonts w:cs="Arial"/>
          <w:b/>
          <w:bCs/>
          <w:szCs w:val="19"/>
          <w:lang w:val="en-GB"/>
        </w:rPr>
      </w:pPr>
    </w:p>
    <w:p w:rsidRPr="009E4613" w:rsidR="004538BF" w:rsidP="00B25D90" w:rsidRDefault="00031BE6" w14:paraId="7D2CCCA9" w14:textId="2E7FFE0B">
      <w:pPr>
        <w:keepNext/>
        <w:jc w:val="both"/>
        <w:rPr>
          <w:rFonts w:cs="Arial"/>
          <w:b/>
          <w:bCs/>
          <w:szCs w:val="19"/>
          <w:lang w:val="en-GB"/>
        </w:rPr>
      </w:pPr>
      <w:r>
        <w:rPr>
          <w:rFonts w:cs="Arial"/>
          <w:b/>
          <w:bCs/>
          <w:szCs w:val="19"/>
          <w:lang w:val="en-GB"/>
        </w:rPr>
        <w:t>Irrevocable undertakings</w:t>
      </w:r>
    </w:p>
    <w:p w:rsidRPr="009E4613" w:rsidR="004538BF" w:rsidP="002C5DCE" w:rsidRDefault="00990C97" w14:paraId="3AB4693B" w14:textId="7ADA348F">
      <w:pPr>
        <w:jc w:val="both"/>
        <w:rPr>
          <w:rFonts w:cs="Arial"/>
          <w:szCs w:val="19"/>
          <w:lang w:val="en-GB"/>
        </w:rPr>
      </w:pPr>
      <w:proofErr w:type="spellStart"/>
      <w:r>
        <w:rPr>
          <w:rFonts w:eastAsia="Times New Roman"/>
          <w:lang w:val="en-GB"/>
        </w:rPr>
        <w:t>Z.B.G</w:t>
      </w:r>
      <w:proofErr w:type="spellEnd"/>
      <w:r>
        <w:rPr>
          <w:rFonts w:eastAsia="Times New Roman"/>
          <w:lang w:val="en-GB"/>
        </w:rPr>
        <w:t>. Capital N.V.,</w:t>
      </w:r>
      <w:r w:rsidRPr="00533CBF">
        <w:rPr>
          <w:rFonts w:cs="Arial"/>
          <w:szCs w:val="19"/>
          <w:lang w:val="en-GB"/>
        </w:rPr>
        <w:t xml:space="preserve"> </w:t>
      </w:r>
      <w:proofErr w:type="spellStart"/>
      <w:r w:rsidR="00031BE6">
        <w:rPr>
          <w:rFonts w:cs="Arial"/>
          <w:szCs w:val="19"/>
          <w:lang w:val="en-GB"/>
        </w:rPr>
        <w:t>OtterBrabant</w:t>
      </w:r>
      <w:proofErr w:type="spellEnd"/>
      <w:r w:rsidR="00031BE6">
        <w:rPr>
          <w:rFonts w:cs="Arial"/>
          <w:szCs w:val="19"/>
          <w:lang w:val="en-GB"/>
        </w:rPr>
        <w:t xml:space="preserve"> </w:t>
      </w:r>
      <w:proofErr w:type="spellStart"/>
      <w:r w:rsidR="00031BE6">
        <w:rPr>
          <w:rFonts w:cs="Arial"/>
          <w:szCs w:val="19"/>
          <w:lang w:val="en-GB"/>
        </w:rPr>
        <w:t>Beheer</w:t>
      </w:r>
      <w:proofErr w:type="spellEnd"/>
      <w:r w:rsidR="00031BE6">
        <w:rPr>
          <w:rFonts w:cs="Arial"/>
          <w:szCs w:val="19"/>
          <w:lang w:val="en-GB"/>
        </w:rPr>
        <w:t xml:space="preserve"> B.V.</w:t>
      </w:r>
      <w:r w:rsidR="0088745C">
        <w:rPr>
          <w:rFonts w:cs="Arial"/>
          <w:szCs w:val="19"/>
          <w:lang w:val="en-GB"/>
        </w:rPr>
        <w:t>,</w:t>
      </w:r>
      <w:r w:rsidR="00031BE6">
        <w:rPr>
          <w:rFonts w:cs="Arial"/>
          <w:szCs w:val="19"/>
          <w:lang w:val="en-GB"/>
        </w:rPr>
        <w:t xml:space="preserve"> </w:t>
      </w:r>
      <w:proofErr w:type="spellStart"/>
      <w:r w:rsidR="00031BE6">
        <w:rPr>
          <w:rFonts w:cs="Arial"/>
          <w:szCs w:val="19"/>
          <w:lang w:val="en-GB"/>
        </w:rPr>
        <w:t>Menor</w:t>
      </w:r>
      <w:proofErr w:type="spellEnd"/>
      <w:r w:rsidR="00031BE6">
        <w:rPr>
          <w:rFonts w:cs="Arial"/>
          <w:szCs w:val="19"/>
          <w:lang w:val="en-GB"/>
        </w:rPr>
        <w:t xml:space="preserve"> Investments B.V.,</w:t>
      </w:r>
      <w:r w:rsidR="0088745C">
        <w:rPr>
          <w:rFonts w:cs="Arial"/>
          <w:szCs w:val="19"/>
          <w:lang w:val="en-GB"/>
        </w:rPr>
        <w:t xml:space="preserve"> and the members of the Management Board holding shares,</w:t>
      </w:r>
      <w:r w:rsidR="00031BE6">
        <w:rPr>
          <w:rFonts w:cs="Arial"/>
          <w:szCs w:val="19"/>
          <w:lang w:val="en-GB"/>
        </w:rPr>
        <w:t xml:space="preserve"> together </w:t>
      </w:r>
      <w:r w:rsidRPr="00E206FE">
        <w:rPr>
          <w:rFonts w:cs="Arial"/>
          <w:szCs w:val="19"/>
          <w:lang w:val="en-GB"/>
        </w:rPr>
        <w:t>holding approx</w:t>
      </w:r>
      <w:r>
        <w:rPr>
          <w:rFonts w:cs="Arial"/>
          <w:szCs w:val="19"/>
          <w:lang w:val="en-GB"/>
        </w:rPr>
        <w:t xml:space="preserve">imately </w:t>
      </w:r>
      <w:r w:rsidRPr="004A7C1C" w:rsidR="007E61F5">
        <w:rPr>
          <w:rFonts w:cs="Arial"/>
          <w:szCs w:val="19"/>
          <w:lang w:val="en-GB"/>
        </w:rPr>
        <w:t>41.25</w:t>
      </w:r>
      <w:r w:rsidRPr="00E206FE">
        <w:rPr>
          <w:rFonts w:cs="Arial"/>
          <w:szCs w:val="19"/>
          <w:lang w:val="en-GB"/>
        </w:rPr>
        <w:t>% of the Shares</w:t>
      </w:r>
      <w:r w:rsidR="007E2EDF">
        <w:rPr>
          <w:rFonts w:cs="Arial"/>
          <w:szCs w:val="19"/>
          <w:lang w:val="en-GB"/>
        </w:rPr>
        <w:t xml:space="preserve"> (</w:t>
      </w:r>
      <w:r w:rsidR="004A7C1C">
        <w:rPr>
          <w:rFonts w:cs="Arial"/>
          <w:szCs w:val="19"/>
          <w:lang w:val="en-GB"/>
        </w:rPr>
        <w:t xml:space="preserve">41.08% </w:t>
      </w:r>
      <w:r w:rsidR="007E2EDF">
        <w:rPr>
          <w:rFonts w:cs="Arial"/>
          <w:szCs w:val="19"/>
          <w:lang w:val="en-GB"/>
        </w:rPr>
        <w:t>on a fully diluted basis)</w:t>
      </w:r>
      <w:r>
        <w:rPr>
          <w:rFonts w:cs="Arial"/>
          <w:szCs w:val="19"/>
          <w:lang w:val="en-GB"/>
        </w:rPr>
        <w:t>,</w:t>
      </w:r>
      <w:r w:rsidR="00031BE6">
        <w:rPr>
          <w:rFonts w:cs="Arial"/>
          <w:szCs w:val="19"/>
          <w:lang w:val="en-GB"/>
        </w:rPr>
        <w:t xml:space="preserve"> have</w:t>
      </w:r>
      <w:r w:rsidRPr="009E4613">
        <w:rPr>
          <w:rFonts w:cs="Arial"/>
          <w:szCs w:val="19"/>
          <w:lang w:val="en-GB"/>
        </w:rPr>
        <w:t xml:space="preserve"> irrevocably undertaken to support and accept the Offer and vote in favour of the resolutions that will be proposed at the EGM to be held in connection with the Transaction.</w:t>
      </w:r>
    </w:p>
    <w:p w:rsidR="00031BE6" w:rsidP="002C5DCE" w:rsidRDefault="00031BE6" w14:paraId="22967115" w14:textId="77777777">
      <w:pPr>
        <w:jc w:val="both"/>
        <w:rPr>
          <w:rFonts w:cs="Arial"/>
          <w:szCs w:val="19"/>
          <w:lang w:val="en-GB"/>
        </w:rPr>
      </w:pPr>
    </w:p>
    <w:p w:rsidR="0010214C" w:rsidP="0010214C" w:rsidRDefault="0010214C" w14:paraId="6828B837" w14:textId="201F50A8">
      <w:pPr>
        <w:jc w:val="both"/>
        <w:rPr>
          <w:rFonts w:cs="Arial"/>
          <w:szCs w:val="19"/>
          <w:lang w:val="en-US"/>
        </w:rPr>
      </w:pPr>
      <w:r>
        <w:rPr>
          <w:rFonts w:cs="Arial"/>
          <w:szCs w:val="19"/>
          <w:lang w:val="en-US"/>
        </w:rPr>
        <w:t>Furthermore, certain Neways (ex-</w:t>
      </w:r>
      <w:proofErr w:type="gramStart"/>
      <w:r>
        <w:rPr>
          <w:rFonts w:cs="Arial"/>
          <w:szCs w:val="19"/>
          <w:lang w:val="en-US"/>
        </w:rPr>
        <w:t>)employees</w:t>
      </w:r>
      <w:proofErr w:type="gramEnd"/>
      <w:r w:rsidRPr="00031BE6">
        <w:rPr>
          <w:rFonts w:cs="Arial"/>
          <w:szCs w:val="19"/>
          <w:lang w:val="en-US"/>
        </w:rPr>
        <w:t xml:space="preserve"> </w:t>
      </w:r>
      <w:r>
        <w:rPr>
          <w:rFonts w:cs="Arial"/>
          <w:szCs w:val="19"/>
          <w:lang w:val="en-US"/>
        </w:rPr>
        <w:t xml:space="preserve">have committed to tender the Shares to which they are entitled under the Neways Incentive Plans under the Offer, representing approximately </w:t>
      </w:r>
      <w:r w:rsidR="007E2EDF">
        <w:rPr>
          <w:rFonts w:cs="Arial"/>
          <w:szCs w:val="19"/>
          <w:lang w:val="en-US"/>
        </w:rPr>
        <w:t>0.6</w:t>
      </w:r>
      <w:r w:rsidR="004A7C1C">
        <w:rPr>
          <w:rFonts w:cs="Arial"/>
          <w:szCs w:val="19"/>
          <w:lang w:val="en-US"/>
        </w:rPr>
        <w:t>7</w:t>
      </w:r>
      <w:r w:rsidR="007E2EDF">
        <w:rPr>
          <w:rFonts w:cs="Arial"/>
          <w:szCs w:val="19"/>
          <w:lang w:val="en-US"/>
        </w:rPr>
        <w:t xml:space="preserve">% </w:t>
      </w:r>
      <w:r>
        <w:rPr>
          <w:rFonts w:cs="Arial"/>
          <w:szCs w:val="19"/>
          <w:lang w:val="en-US"/>
        </w:rPr>
        <w:t>of the Shares</w:t>
      </w:r>
      <w:r w:rsidR="007E2EDF">
        <w:rPr>
          <w:rFonts w:cs="Arial"/>
          <w:szCs w:val="19"/>
          <w:lang w:val="en-US"/>
        </w:rPr>
        <w:t xml:space="preserve"> (on a fully diluted basis)</w:t>
      </w:r>
      <w:r>
        <w:rPr>
          <w:rFonts w:cs="Arial"/>
          <w:szCs w:val="19"/>
          <w:lang w:val="en-US"/>
        </w:rPr>
        <w:t xml:space="preserve">. </w:t>
      </w:r>
    </w:p>
    <w:p w:rsidR="0010214C" w:rsidP="0010214C" w:rsidRDefault="0010214C" w14:paraId="3C22C6F2" w14:textId="77777777">
      <w:pPr>
        <w:jc w:val="both"/>
        <w:rPr>
          <w:rFonts w:cs="Arial"/>
          <w:szCs w:val="19"/>
          <w:lang w:val="en-US"/>
        </w:rPr>
      </w:pPr>
    </w:p>
    <w:p w:rsidR="004538BF" w:rsidP="002C5DCE" w:rsidRDefault="0010214C" w14:paraId="30A2A1F4" w14:textId="73AA89BC">
      <w:pPr>
        <w:jc w:val="both"/>
        <w:rPr>
          <w:rFonts w:cs="Arial"/>
          <w:szCs w:val="19"/>
          <w:lang w:val="en-GB"/>
        </w:rPr>
      </w:pPr>
      <w:r>
        <w:rPr>
          <w:rFonts w:cs="Arial"/>
          <w:szCs w:val="19"/>
          <w:lang w:val="en-US"/>
        </w:rPr>
        <w:t xml:space="preserve">Each of the aforementioned </w:t>
      </w:r>
      <w:r w:rsidRPr="00642C7C" w:rsidR="00642C7C">
        <w:rPr>
          <w:rFonts w:cs="Arial"/>
          <w:szCs w:val="19"/>
          <w:lang w:val="en-US"/>
        </w:rPr>
        <w:t>did not receive any information relevant for a Shareholder in connection with the Offer that is not included in the Offer Memorandum</w:t>
      </w:r>
      <w:r w:rsidR="000737F5">
        <w:rPr>
          <w:rFonts w:cs="Arial"/>
          <w:szCs w:val="19"/>
          <w:lang w:val="en-US"/>
        </w:rPr>
        <w:t xml:space="preserve"> and</w:t>
      </w:r>
      <w:r w:rsidRPr="00642C7C" w:rsidR="00642C7C">
        <w:rPr>
          <w:rFonts w:cs="Arial"/>
          <w:szCs w:val="19"/>
          <w:lang w:val="en-US"/>
        </w:rPr>
        <w:t xml:space="preserve"> will tender their Shares on the same terms and conditions as the other Shareholders.</w:t>
      </w:r>
    </w:p>
    <w:p w:rsidR="007E61F5" w:rsidP="007E61F5" w:rsidRDefault="007E61F5" w14:paraId="64869E81" w14:textId="77777777">
      <w:pPr>
        <w:jc w:val="both"/>
        <w:rPr>
          <w:rFonts w:cs="Arial"/>
          <w:szCs w:val="19"/>
          <w:lang w:val="en-US"/>
        </w:rPr>
      </w:pPr>
    </w:p>
    <w:p w:rsidRPr="004538BF" w:rsidR="004538BF" w:rsidP="004538BF" w:rsidRDefault="00B94D51" w14:paraId="78E5ADF2" w14:textId="28CF42F3">
      <w:pPr>
        <w:jc w:val="both"/>
        <w:rPr>
          <w:rFonts w:cs="Arial"/>
          <w:b/>
          <w:bCs/>
          <w:szCs w:val="19"/>
          <w:lang w:val="en-GB"/>
        </w:rPr>
      </w:pPr>
      <w:r>
        <w:rPr>
          <w:rFonts w:cs="Arial"/>
          <w:b/>
          <w:bCs/>
          <w:szCs w:val="19"/>
          <w:lang w:val="en-GB"/>
        </w:rPr>
        <w:t>Acceptance Period</w:t>
      </w:r>
    </w:p>
    <w:p w:rsidR="00A26AE9" w:rsidP="002C5DCE" w:rsidRDefault="00A26AE9" w14:paraId="1E4F0DAF" w14:textId="73154E19">
      <w:pPr>
        <w:jc w:val="both"/>
        <w:rPr>
          <w:rFonts w:cs="Arial"/>
          <w:bCs/>
          <w:szCs w:val="19"/>
          <w:lang w:val="en-GB"/>
        </w:rPr>
      </w:pPr>
      <w:r w:rsidRPr="00A26AE9">
        <w:rPr>
          <w:rFonts w:cs="Arial"/>
          <w:bCs/>
          <w:szCs w:val="19"/>
          <w:lang w:val="en-GB"/>
        </w:rPr>
        <w:t xml:space="preserve">The </w:t>
      </w:r>
      <w:r w:rsidR="00B94D51">
        <w:rPr>
          <w:rFonts w:cs="Arial"/>
          <w:bCs/>
          <w:szCs w:val="19"/>
          <w:lang w:val="en-GB"/>
        </w:rPr>
        <w:t xml:space="preserve">Acceptance </w:t>
      </w:r>
      <w:r w:rsidRPr="00A26AE9">
        <w:rPr>
          <w:rFonts w:cs="Arial"/>
          <w:bCs/>
          <w:szCs w:val="19"/>
          <w:lang w:val="en-GB"/>
        </w:rPr>
        <w:t xml:space="preserve">Period </w:t>
      </w:r>
      <w:r w:rsidR="005A003A">
        <w:rPr>
          <w:rFonts w:cs="Arial"/>
          <w:bCs/>
          <w:szCs w:val="19"/>
          <w:lang w:val="en-GB"/>
        </w:rPr>
        <w:t>will commence at 09:00 hours CE</w:t>
      </w:r>
      <w:r w:rsidRPr="00A26AE9">
        <w:rPr>
          <w:rFonts w:cs="Arial"/>
          <w:bCs/>
          <w:szCs w:val="19"/>
          <w:lang w:val="en-GB"/>
        </w:rPr>
        <w:t xml:space="preserve">T on </w:t>
      </w:r>
      <w:r w:rsidR="00251064">
        <w:rPr>
          <w:rFonts w:cs="Arial"/>
          <w:bCs/>
          <w:szCs w:val="19"/>
          <w:lang w:val="en-GB"/>
        </w:rPr>
        <w:t xml:space="preserve">1 September </w:t>
      </w:r>
      <w:r w:rsidR="00CC5205">
        <w:rPr>
          <w:rFonts w:cs="Arial"/>
          <w:bCs/>
          <w:szCs w:val="19"/>
          <w:lang w:val="en-GB"/>
        </w:rPr>
        <w:t>2021</w:t>
      </w:r>
      <w:r w:rsidRPr="00A26AE9" w:rsidR="00CC5205">
        <w:rPr>
          <w:rFonts w:cs="Arial"/>
          <w:bCs/>
          <w:szCs w:val="19"/>
          <w:lang w:val="en-GB"/>
        </w:rPr>
        <w:t xml:space="preserve"> </w:t>
      </w:r>
      <w:r w:rsidRPr="00A26AE9">
        <w:rPr>
          <w:rFonts w:cs="Arial"/>
          <w:bCs/>
          <w:szCs w:val="19"/>
          <w:lang w:val="en-GB"/>
        </w:rPr>
        <w:t xml:space="preserve">and will expire </w:t>
      </w:r>
      <w:r w:rsidRPr="00A26AE9" w:rsidR="00AF5B93">
        <w:rPr>
          <w:rFonts w:cs="Arial"/>
          <w:bCs/>
          <w:szCs w:val="19"/>
          <w:lang w:val="en-GB"/>
        </w:rPr>
        <w:t xml:space="preserve">at 17:40 hours </w:t>
      </w:r>
      <w:r w:rsidR="005A003A">
        <w:rPr>
          <w:rFonts w:cs="Arial"/>
          <w:bCs/>
          <w:szCs w:val="19"/>
          <w:lang w:val="en-GB"/>
        </w:rPr>
        <w:t>CE</w:t>
      </w:r>
      <w:r w:rsidR="00AF5B93">
        <w:rPr>
          <w:rFonts w:cs="Arial"/>
          <w:bCs/>
          <w:szCs w:val="19"/>
          <w:lang w:val="en-GB"/>
        </w:rPr>
        <w:t xml:space="preserve">T </w:t>
      </w:r>
      <w:r w:rsidRPr="00A26AE9">
        <w:rPr>
          <w:rFonts w:cs="Arial"/>
          <w:bCs/>
          <w:szCs w:val="19"/>
          <w:lang w:val="en-GB"/>
        </w:rPr>
        <w:t xml:space="preserve">on </w:t>
      </w:r>
      <w:r w:rsidR="00251064">
        <w:rPr>
          <w:rFonts w:cs="Arial"/>
          <w:bCs/>
          <w:szCs w:val="19"/>
          <w:lang w:val="en-GB"/>
        </w:rPr>
        <w:t xml:space="preserve">27 October </w:t>
      </w:r>
      <w:r w:rsidRPr="00A26AE9">
        <w:rPr>
          <w:rFonts w:cs="Arial"/>
          <w:bCs/>
          <w:szCs w:val="19"/>
          <w:lang w:val="en-GB"/>
        </w:rPr>
        <w:t xml:space="preserve">2021 </w:t>
      </w:r>
      <w:r w:rsidR="00AF5B93">
        <w:rPr>
          <w:rFonts w:cs="Arial"/>
          <w:bCs/>
          <w:szCs w:val="19"/>
          <w:lang w:val="en-GB"/>
        </w:rPr>
        <w:t>(</w:t>
      </w:r>
      <w:r w:rsidRPr="00A26AE9">
        <w:rPr>
          <w:rFonts w:cs="Arial"/>
          <w:bCs/>
          <w:szCs w:val="19"/>
          <w:lang w:val="en-GB"/>
        </w:rPr>
        <w:t xml:space="preserve">the </w:t>
      </w:r>
      <w:r w:rsidR="00AF5B93">
        <w:rPr>
          <w:rFonts w:cs="Arial"/>
          <w:bCs/>
          <w:szCs w:val="19"/>
          <w:lang w:val="en-GB"/>
        </w:rPr>
        <w:t>“</w:t>
      </w:r>
      <w:r w:rsidRPr="00AF5B93">
        <w:rPr>
          <w:rFonts w:cs="Arial"/>
          <w:b/>
          <w:bCs/>
          <w:szCs w:val="19"/>
          <w:lang w:val="en-GB"/>
        </w:rPr>
        <w:t>Closing Date</w:t>
      </w:r>
      <w:r w:rsidR="00AF5B93">
        <w:rPr>
          <w:rFonts w:cs="Arial"/>
          <w:bCs/>
          <w:szCs w:val="19"/>
          <w:lang w:val="en-GB"/>
        </w:rPr>
        <w:t>”)</w:t>
      </w:r>
      <w:r w:rsidRPr="00A26AE9">
        <w:rPr>
          <w:rFonts w:cs="Arial"/>
          <w:bCs/>
          <w:szCs w:val="19"/>
          <w:lang w:val="en-GB"/>
        </w:rPr>
        <w:t xml:space="preserve">, unless the </w:t>
      </w:r>
      <w:r w:rsidR="005E6156">
        <w:rPr>
          <w:rFonts w:cs="Arial"/>
          <w:bCs/>
          <w:szCs w:val="19"/>
          <w:lang w:val="en-GB"/>
        </w:rPr>
        <w:t>Acceptance</w:t>
      </w:r>
      <w:r w:rsidRPr="00A26AE9">
        <w:rPr>
          <w:rFonts w:cs="Arial"/>
          <w:bCs/>
          <w:szCs w:val="19"/>
          <w:lang w:val="en-GB"/>
        </w:rPr>
        <w:t xml:space="preserve"> Period </w:t>
      </w:r>
      <w:r w:rsidR="00B94D51">
        <w:rPr>
          <w:rFonts w:cs="Arial"/>
          <w:bCs/>
          <w:szCs w:val="19"/>
          <w:lang w:val="en-GB"/>
        </w:rPr>
        <w:t>is extended in accordance with S</w:t>
      </w:r>
      <w:r w:rsidRPr="00A26AE9">
        <w:rPr>
          <w:rFonts w:cs="Arial"/>
          <w:bCs/>
          <w:szCs w:val="19"/>
          <w:lang w:val="en-GB"/>
        </w:rPr>
        <w:t xml:space="preserve">ection </w:t>
      </w:r>
      <w:r>
        <w:rPr>
          <w:rFonts w:cs="Arial"/>
          <w:bCs/>
          <w:szCs w:val="19"/>
          <w:lang w:val="en-GB"/>
        </w:rPr>
        <w:t xml:space="preserve">5.6 </w:t>
      </w:r>
      <w:r w:rsidRPr="00A26AE9" w:rsidR="00AA7B54">
        <w:rPr>
          <w:rFonts w:cs="Arial"/>
          <w:bCs/>
          <w:szCs w:val="19"/>
          <w:lang w:val="en-GB"/>
        </w:rPr>
        <w:t>(</w:t>
      </w:r>
      <w:r w:rsidR="00AA7B54">
        <w:rPr>
          <w:rFonts w:cs="Arial"/>
          <w:bCs/>
          <w:i/>
          <w:szCs w:val="19"/>
          <w:lang w:val="en-GB"/>
        </w:rPr>
        <w:t>Extension</w:t>
      </w:r>
      <w:r w:rsidR="00AA7B54">
        <w:rPr>
          <w:rFonts w:cs="Arial"/>
          <w:bCs/>
          <w:szCs w:val="19"/>
          <w:lang w:val="en-GB"/>
        </w:rPr>
        <w:t xml:space="preserve">) </w:t>
      </w:r>
      <w:r>
        <w:rPr>
          <w:rFonts w:cs="Arial"/>
          <w:bCs/>
          <w:szCs w:val="19"/>
          <w:lang w:val="en-GB"/>
        </w:rPr>
        <w:t>of the Offer Memorandum.</w:t>
      </w:r>
    </w:p>
    <w:p w:rsidRPr="00A26AE9" w:rsidR="00A26AE9" w:rsidP="002C5DCE" w:rsidRDefault="00A26AE9" w14:paraId="59CCB449" w14:textId="77777777">
      <w:pPr>
        <w:jc w:val="both"/>
        <w:rPr>
          <w:rFonts w:cs="Arial"/>
          <w:bCs/>
          <w:szCs w:val="19"/>
          <w:lang w:val="en-GB"/>
        </w:rPr>
      </w:pPr>
    </w:p>
    <w:p w:rsidRPr="00A26AE9" w:rsidR="00A26AE9" w:rsidP="002C5DCE" w:rsidRDefault="00AF5B93" w14:paraId="1D2D39D3" w14:textId="7770ED57">
      <w:pPr>
        <w:jc w:val="both"/>
        <w:rPr>
          <w:rFonts w:cs="Arial"/>
          <w:bCs/>
          <w:szCs w:val="19"/>
          <w:lang w:val="en-GB"/>
        </w:rPr>
      </w:pPr>
      <w:r w:rsidRPr="00AF5B93">
        <w:rPr>
          <w:rFonts w:cs="Arial"/>
          <w:bCs/>
          <w:szCs w:val="19"/>
          <w:lang w:val="en-GB"/>
        </w:rPr>
        <w:t xml:space="preserve">Shares tendered on or prior to the Closing Date may not be withdrawn, subject to the right of withdrawal of any tender </w:t>
      </w:r>
      <w:r>
        <w:rPr>
          <w:rFonts w:cs="Arial"/>
          <w:bCs/>
          <w:szCs w:val="19"/>
          <w:lang w:val="en-GB"/>
        </w:rPr>
        <w:t xml:space="preserve">of Shares </w:t>
      </w:r>
      <w:r w:rsidRPr="00AF5B93">
        <w:rPr>
          <w:rFonts w:cs="Arial"/>
          <w:bCs/>
          <w:szCs w:val="19"/>
          <w:lang w:val="en-GB"/>
        </w:rPr>
        <w:t xml:space="preserve">pursuant to the provisions of Article 5b, paragraph 5 and Article 15, paragraphs 3 and 8 and Article 15a paragraph 3 of the Decree </w:t>
      </w:r>
      <w:r>
        <w:rPr>
          <w:rFonts w:cs="Arial"/>
          <w:bCs/>
          <w:szCs w:val="19"/>
          <w:lang w:val="en-GB"/>
        </w:rPr>
        <w:t xml:space="preserve">and </w:t>
      </w:r>
      <w:r w:rsidRPr="00A26AE9">
        <w:rPr>
          <w:rFonts w:cs="Arial"/>
          <w:bCs/>
          <w:szCs w:val="19"/>
          <w:lang w:val="en-GB"/>
        </w:rPr>
        <w:t>in accordance wi</w:t>
      </w:r>
      <w:r w:rsidR="00B94D51">
        <w:rPr>
          <w:rFonts w:cs="Arial"/>
          <w:bCs/>
          <w:szCs w:val="19"/>
          <w:lang w:val="en-GB"/>
        </w:rPr>
        <w:t>th the procedures set forth in S</w:t>
      </w:r>
      <w:r w:rsidRPr="00A26AE9">
        <w:rPr>
          <w:rFonts w:cs="Arial"/>
          <w:bCs/>
          <w:szCs w:val="19"/>
          <w:lang w:val="en-GB"/>
        </w:rPr>
        <w:t xml:space="preserve">ection </w:t>
      </w:r>
      <w:r>
        <w:rPr>
          <w:rFonts w:cs="Arial"/>
          <w:bCs/>
          <w:szCs w:val="19"/>
          <w:lang w:val="en-GB"/>
        </w:rPr>
        <w:t xml:space="preserve">5.3 </w:t>
      </w:r>
      <w:r w:rsidRPr="00A26AE9" w:rsidR="00AA7B54">
        <w:rPr>
          <w:rFonts w:cs="Arial"/>
          <w:bCs/>
          <w:szCs w:val="19"/>
          <w:lang w:val="en-GB"/>
        </w:rPr>
        <w:t>(</w:t>
      </w:r>
      <w:r w:rsidR="00AA7B54">
        <w:rPr>
          <w:rFonts w:cs="Arial"/>
          <w:bCs/>
          <w:i/>
          <w:szCs w:val="19"/>
          <w:lang w:val="en-GB"/>
        </w:rPr>
        <w:t>Acceptance by Shareholders</w:t>
      </w:r>
      <w:r w:rsidRPr="00A26AE9" w:rsidR="00AA7B54">
        <w:rPr>
          <w:rFonts w:cs="Arial"/>
          <w:bCs/>
          <w:szCs w:val="19"/>
          <w:lang w:val="en-GB"/>
        </w:rPr>
        <w:t>)</w:t>
      </w:r>
      <w:r w:rsidR="00AA7B54">
        <w:rPr>
          <w:rFonts w:cs="Arial"/>
          <w:bCs/>
          <w:szCs w:val="19"/>
          <w:lang w:val="en-GB"/>
        </w:rPr>
        <w:t xml:space="preserve"> </w:t>
      </w:r>
      <w:r>
        <w:rPr>
          <w:rFonts w:cs="Arial"/>
          <w:bCs/>
          <w:szCs w:val="19"/>
          <w:lang w:val="en-GB"/>
        </w:rPr>
        <w:t>of the Offer Memorandum</w:t>
      </w:r>
      <w:r w:rsidRPr="00A26AE9">
        <w:rPr>
          <w:rFonts w:cs="Arial"/>
          <w:bCs/>
          <w:szCs w:val="19"/>
          <w:lang w:val="en-GB"/>
        </w:rPr>
        <w:t>.</w:t>
      </w:r>
    </w:p>
    <w:p w:rsidR="00961ABC" w:rsidP="00C81AA6" w:rsidRDefault="00961ABC" w14:paraId="6B101D4E" w14:textId="77777777">
      <w:pPr>
        <w:jc w:val="both"/>
        <w:rPr>
          <w:rFonts w:cs="Arial"/>
          <w:b/>
          <w:bCs/>
          <w:szCs w:val="19"/>
          <w:lang w:val="en-GB"/>
        </w:rPr>
      </w:pPr>
    </w:p>
    <w:p w:rsidRPr="00CB3D94" w:rsidR="00CB3D94" w:rsidP="00CB3D94" w:rsidRDefault="00CB3D94" w14:paraId="64412861" w14:textId="77777777">
      <w:pPr>
        <w:jc w:val="both"/>
        <w:rPr>
          <w:rFonts w:cs="Arial"/>
          <w:b/>
          <w:bCs/>
          <w:szCs w:val="19"/>
          <w:lang w:val="en-GB"/>
        </w:rPr>
      </w:pPr>
      <w:r w:rsidRPr="00CB3D94">
        <w:rPr>
          <w:rFonts w:cs="Arial"/>
          <w:b/>
          <w:bCs/>
          <w:szCs w:val="19"/>
          <w:lang w:val="en-GB"/>
        </w:rPr>
        <w:t>Acceptance</w:t>
      </w:r>
    </w:p>
    <w:p w:rsidRPr="00A26AE9" w:rsidR="00A26AE9" w:rsidP="00A26AE9" w:rsidRDefault="00A26AE9" w14:paraId="32B6F292" w14:textId="1C880949">
      <w:pPr>
        <w:jc w:val="both"/>
        <w:rPr>
          <w:rFonts w:cs="Arial"/>
          <w:bCs/>
          <w:szCs w:val="19"/>
          <w:lang w:val="en-GB"/>
        </w:rPr>
      </w:pPr>
      <w:r w:rsidRPr="00A26AE9">
        <w:rPr>
          <w:rFonts w:cs="Arial"/>
          <w:bCs/>
          <w:szCs w:val="19"/>
          <w:lang w:val="en-GB"/>
        </w:rPr>
        <w:t xml:space="preserve">Shareholders who hold their Shares through an </w:t>
      </w:r>
      <w:r w:rsidRPr="00CF2D4C" w:rsidR="00CF2D4C">
        <w:rPr>
          <w:lang w:val="en-GB"/>
        </w:rPr>
        <w:t>institution admitted to Euronext Amsterdam (</w:t>
      </w:r>
      <w:proofErr w:type="spellStart"/>
      <w:r w:rsidR="00B94D51">
        <w:rPr>
          <w:i/>
          <w:lang w:val="en-GB"/>
        </w:rPr>
        <w:t>aangesloten</w:t>
      </w:r>
      <w:proofErr w:type="spellEnd"/>
      <w:r w:rsidR="00B94D51">
        <w:rPr>
          <w:i/>
          <w:lang w:val="en-GB"/>
        </w:rPr>
        <w:t xml:space="preserve"> </w:t>
      </w:r>
      <w:proofErr w:type="spellStart"/>
      <w:r w:rsidR="00B94D51">
        <w:rPr>
          <w:i/>
          <w:lang w:val="en-GB"/>
        </w:rPr>
        <w:t>instelling</w:t>
      </w:r>
      <w:proofErr w:type="spellEnd"/>
      <w:r w:rsidR="00CF2D4C">
        <w:rPr>
          <w:lang w:val="en-GB"/>
        </w:rPr>
        <w:t xml:space="preserve">) (an </w:t>
      </w:r>
      <w:r w:rsidR="00665668">
        <w:rPr>
          <w:lang w:val="en-GB"/>
        </w:rPr>
        <w:t>“</w:t>
      </w:r>
      <w:r w:rsidRPr="00CF2D4C">
        <w:rPr>
          <w:rFonts w:cs="Arial"/>
          <w:b/>
          <w:bCs/>
          <w:szCs w:val="19"/>
          <w:lang w:val="en-GB"/>
        </w:rPr>
        <w:t>Admitted Institution</w:t>
      </w:r>
      <w:r w:rsidRPr="00C258A5" w:rsidR="00665668">
        <w:rPr>
          <w:rFonts w:cs="Arial"/>
          <w:bCs/>
          <w:szCs w:val="19"/>
          <w:lang w:val="en-GB"/>
        </w:rPr>
        <w:t>”</w:t>
      </w:r>
      <w:r w:rsidRPr="00B94D51" w:rsidR="00CF2D4C">
        <w:rPr>
          <w:rFonts w:cs="Arial"/>
          <w:bCs/>
          <w:szCs w:val="19"/>
          <w:lang w:val="en-GB"/>
        </w:rPr>
        <w:t>)</w:t>
      </w:r>
      <w:r w:rsidRPr="00A26AE9">
        <w:rPr>
          <w:rFonts w:cs="Arial"/>
          <w:bCs/>
          <w:szCs w:val="19"/>
          <w:lang w:val="en-GB"/>
        </w:rPr>
        <w:t xml:space="preserve"> are requested to make their acceptance known through their bank or stockbroker no later than the Closing Time, being 17:40 hours C</w:t>
      </w:r>
      <w:r w:rsidR="005A003A">
        <w:rPr>
          <w:rFonts w:cs="Arial"/>
          <w:bCs/>
          <w:szCs w:val="19"/>
          <w:lang w:val="en-GB"/>
        </w:rPr>
        <w:t>E</w:t>
      </w:r>
      <w:r w:rsidR="00AF5B93">
        <w:rPr>
          <w:rFonts w:cs="Arial"/>
          <w:bCs/>
          <w:szCs w:val="19"/>
          <w:lang w:val="en-GB"/>
        </w:rPr>
        <w:t>T on the Closing Date</w:t>
      </w:r>
      <w:r w:rsidR="00990C97">
        <w:rPr>
          <w:rFonts w:cs="Arial"/>
          <w:bCs/>
          <w:szCs w:val="19"/>
          <w:lang w:val="en-GB"/>
        </w:rPr>
        <w:t xml:space="preserve">, </w:t>
      </w:r>
      <w:r w:rsidRPr="00990C97" w:rsidR="00990C97">
        <w:rPr>
          <w:lang w:val="en-GB"/>
        </w:rPr>
        <w:t xml:space="preserve">unless the Acceptance Period </w:t>
      </w:r>
      <w:r w:rsidR="00B94D51">
        <w:rPr>
          <w:lang w:val="en-GB"/>
        </w:rPr>
        <w:t>is extended in accordance with S</w:t>
      </w:r>
      <w:r w:rsidRPr="00990C97" w:rsidR="00990C97">
        <w:rPr>
          <w:lang w:val="en-GB"/>
        </w:rPr>
        <w:t>ection 5</w:t>
      </w:r>
      <w:r w:rsidR="00990C97">
        <w:rPr>
          <w:lang w:val="en-GB"/>
        </w:rPr>
        <w:t>.6</w:t>
      </w:r>
      <w:r w:rsidRPr="00990C97" w:rsidR="00990C97">
        <w:rPr>
          <w:lang w:val="en-GB"/>
        </w:rPr>
        <w:t xml:space="preserve"> (</w:t>
      </w:r>
      <w:r w:rsidRPr="00990C97" w:rsidR="00990C97">
        <w:rPr>
          <w:i/>
          <w:lang w:val="en-GB"/>
        </w:rPr>
        <w:t>Extension</w:t>
      </w:r>
      <w:r w:rsidRPr="00990C97" w:rsidR="00990C97">
        <w:rPr>
          <w:lang w:val="en-GB"/>
        </w:rPr>
        <w:t>)</w:t>
      </w:r>
      <w:r w:rsidR="00E95EA7">
        <w:rPr>
          <w:lang w:val="en-GB"/>
        </w:rPr>
        <w:t xml:space="preserve"> of the Offer Memorandum</w:t>
      </w:r>
      <w:r w:rsidRPr="00990C97" w:rsidR="00990C97">
        <w:rPr>
          <w:lang w:val="en-GB"/>
        </w:rPr>
        <w:t>.</w:t>
      </w:r>
      <w:r w:rsidRPr="00A26AE9">
        <w:rPr>
          <w:rFonts w:cs="Arial"/>
          <w:bCs/>
          <w:szCs w:val="19"/>
          <w:lang w:val="en-GB"/>
        </w:rPr>
        <w:t xml:space="preserve"> The custodian, bank or stockbroker may set an earlier deadline for communication by Shareholders in order to permit the custodian, bank or stockbroker to communicate its acceptances to </w:t>
      </w:r>
      <w:r w:rsidR="00990C97">
        <w:rPr>
          <w:rFonts w:cs="Arial"/>
          <w:bCs/>
          <w:szCs w:val="19"/>
          <w:lang w:val="en-GB"/>
        </w:rPr>
        <w:t xml:space="preserve">Van </w:t>
      </w:r>
      <w:proofErr w:type="spellStart"/>
      <w:r w:rsidR="00990C97">
        <w:rPr>
          <w:rFonts w:cs="Arial"/>
          <w:bCs/>
          <w:szCs w:val="19"/>
          <w:lang w:val="en-GB"/>
        </w:rPr>
        <w:t>Lanschot</w:t>
      </w:r>
      <w:proofErr w:type="spellEnd"/>
      <w:r w:rsidR="00990C97">
        <w:rPr>
          <w:rFonts w:cs="Arial"/>
          <w:bCs/>
          <w:szCs w:val="19"/>
          <w:lang w:val="en-GB"/>
        </w:rPr>
        <w:t xml:space="preserve"> Kempen N.V.</w:t>
      </w:r>
      <w:r w:rsidR="00CF2D4C">
        <w:rPr>
          <w:rFonts w:cs="Arial"/>
          <w:bCs/>
          <w:szCs w:val="19"/>
          <w:lang w:val="en-GB"/>
        </w:rPr>
        <w:t xml:space="preserve"> (</w:t>
      </w:r>
      <w:r w:rsidRPr="00A26AE9">
        <w:rPr>
          <w:rFonts w:cs="Arial"/>
          <w:bCs/>
          <w:szCs w:val="19"/>
          <w:lang w:val="en-GB"/>
        </w:rPr>
        <w:t xml:space="preserve">the </w:t>
      </w:r>
      <w:r w:rsidR="00665668">
        <w:rPr>
          <w:rFonts w:cs="Arial"/>
          <w:bCs/>
          <w:szCs w:val="19"/>
          <w:lang w:val="en-GB"/>
        </w:rPr>
        <w:t>“</w:t>
      </w:r>
      <w:r w:rsidRPr="00CF2D4C">
        <w:rPr>
          <w:rFonts w:cs="Arial"/>
          <w:b/>
          <w:bCs/>
          <w:szCs w:val="19"/>
          <w:lang w:val="en-GB"/>
        </w:rPr>
        <w:t>Settlement Agent</w:t>
      </w:r>
      <w:r w:rsidRPr="00C258A5" w:rsidR="00665668">
        <w:rPr>
          <w:rFonts w:cs="Arial"/>
          <w:bCs/>
          <w:szCs w:val="19"/>
          <w:lang w:val="en-GB"/>
        </w:rPr>
        <w:t>”</w:t>
      </w:r>
      <w:r w:rsidR="00CF2D4C">
        <w:rPr>
          <w:rFonts w:cs="Arial"/>
          <w:bCs/>
          <w:szCs w:val="19"/>
          <w:lang w:val="en-GB"/>
        </w:rPr>
        <w:t>)</w:t>
      </w:r>
      <w:r w:rsidRPr="00A26AE9">
        <w:rPr>
          <w:rFonts w:cs="Arial"/>
          <w:bCs/>
          <w:szCs w:val="19"/>
          <w:lang w:val="en-GB"/>
        </w:rPr>
        <w:t xml:space="preserve"> in a timely manner. Accordingly, Shareholders holding Shares through a financial intermediary should comply with the dates communicated by such financial intermediary, as such dates may differ from</w:t>
      </w:r>
      <w:r w:rsidR="000B23FF">
        <w:rPr>
          <w:rFonts w:cs="Arial"/>
          <w:bCs/>
          <w:szCs w:val="19"/>
          <w:lang w:val="en-GB"/>
        </w:rPr>
        <w:t>, and be earlier than,</w:t>
      </w:r>
      <w:r w:rsidRPr="00A26AE9">
        <w:rPr>
          <w:rFonts w:cs="Arial"/>
          <w:bCs/>
          <w:szCs w:val="19"/>
          <w:lang w:val="en-GB"/>
        </w:rPr>
        <w:t xml:space="preserve"> the dates and times noted in th</w:t>
      </w:r>
      <w:r w:rsidR="00483853">
        <w:rPr>
          <w:rFonts w:cs="Arial"/>
          <w:bCs/>
          <w:szCs w:val="19"/>
          <w:lang w:val="en-GB"/>
        </w:rPr>
        <w:t>e</w:t>
      </w:r>
      <w:r w:rsidRPr="00A26AE9">
        <w:rPr>
          <w:rFonts w:cs="Arial"/>
          <w:bCs/>
          <w:szCs w:val="19"/>
          <w:lang w:val="en-GB"/>
        </w:rPr>
        <w:t xml:space="preserve"> Offer Memorandum.</w:t>
      </w:r>
    </w:p>
    <w:p w:rsidR="00A26AE9" w:rsidP="00CB3D94" w:rsidRDefault="00A26AE9" w14:paraId="2F84A302" w14:textId="77777777">
      <w:pPr>
        <w:jc w:val="both"/>
        <w:rPr>
          <w:rFonts w:cs="Arial"/>
          <w:bCs/>
          <w:szCs w:val="19"/>
          <w:lang w:val="en-GB"/>
        </w:rPr>
      </w:pPr>
    </w:p>
    <w:p w:rsidR="004D012D" w:rsidP="004D012D" w:rsidRDefault="004D012D" w14:paraId="0E6E40A6" w14:textId="170D3C5D">
      <w:pPr>
        <w:jc w:val="both"/>
        <w:rPr>
          <w:rFonts w:cs="Arial"/>
          <w:bCs/>
          <w:szCs w:val="19"/>
          <w:lang w:val="en-GB"/>
        </w:rPr>
      </w:pPr>
      <w:r w:rsidRPr="004D012D">
        <w:rPr>
          <w:rFonts w:cs="Arial"/>
          <w:bCs/>
          <w:szCs w:val="19"/>
          <w:lang w:val="en-GB"/>
        </w:rPr>
        <w:lastRenderedPageBreak/>
        <w:t xml:space="preserve">Admitted Institutions may tender Shares for acceptance only to the Settlement Agent and only in writing. In submitting the acceptance, Admitted Institutions are required to declare that (i) they have the Tendered Shares in their administration, (ii) each Shareholder who accepts the Offer irrevocably represents and warrants that (A) the Tendered Shares are being tendered in compliance with the restrictions set out in Sections </w:t>
      </w:r>
      <w:r w:rsidR="009129FC">
        <w:rPr>
          <w:rFonts w:cs="Arial"/>
          <w:bCs/>
          <w:szCs w:val="19"/>
          <w:lang w:val="en-GB"/>
        </w:rPr>
        <w:t>2 (</w:t>
      </w:r>
      <w:r w:rsidR="009129FC">
        <w:rPr>
          <w:rFonts w:cs="Arial"/>
          <w:bCs/>
          <w:i/>
          <w:szCs w:val="19"/>
          <w:lang w:val="en-GB"/>
        </w:rPr>
        <w:t>Restrictions</w:t>
      </w:r>
      <w:r w:rsidR="009129FC">
        <w:rPr>
          <w:rFonts w:cs="Arial"/>
          <w:bCs/>
          <w:szCs w:val="19"/>
          <w:lang w:val="en-GB"/>
        </w:rPr>
        <w:t>) and 3 (</w:t>
      </w:r>
      <w:r w:rsidR="009129FC">
        <w:rPr>
          <w:rFonts w:cs="Arial"/>
          <w:bCs/>
          <w:i/>
          <w:szCs w:val="19"/>
          <w:lang w:val="en-GB"/>
        </w:rPr>
        <w:t>Important Information</w:t>
      </w:r>
      <w:r w:rsidR="009129FC">
        <w:rPr>
          <w:rFonts w:cs="Arial"/>
          <w:bCs/>
          <w:szCs w:val="19"/>
          <w:lang w:val="en-GB"/>
        </w:rPr>
        <w:t>) of the Offer Memorandum</w:t>
      </w:r>
      <w:r w:rsidRPr="004D012D">
        <w:rPr>
          <w:rFonts w:cs="Arial"/>
          <w:bCs/>
          <w:szCs w:val="19"/>
          <w:lang w:val="en-GB"/>
        </w:rPr>
        <w:t xml:space="preserve"> and (B) it is not the subject or target, directly or indirectly, of any economic or financial sanctions administered or enforced by any agency of the U.S. government, the European Union, any member state thereof, or the United Nations, other than solely by virtue of its inclusion in, or ownership by a person included in, the U.S. "Sectoral Sanctions Identifications (SSI) List" or Annex III, IV, V or VI of Council Regulation (EU) No. 833/2014 of 31 July 2014, as amended, and (iii) they undertake to effect the transfer (</w:t>
      </w:r>
      <w:r w:rsidRPr="004D012D">
        <w:rPr>
          <w:rFonts w:cs="Arial"/>
          <w:bCs/>
          <w:i/>
          <w:szCs w:val="19"/>
          <w:lang w:val="en-GB"/>
        </w:rPr>
        <w:t>levering</w:t>
      </w:r>
      <w:r w:rsidRPr="004D012D">
        <w:rPr>
          <w:rFonts w:cs="Arial"/>
          <w:bCs/>
          <w:szCs w:val="19"/>
          <w:lang w:val="en-GB"/>
        </w:rPr>
        <w:t>) of these Tendered Shares to the Offeror prior to or ultimately on the Settlement Date, provided that the Offer has been declared unconditional (</w:t>
      </w:r>
      <w:proofErr w:type="spellStart"/>
      <w:r w:rsidRPr="004D012D">
        <w:rPr>
          <w:rFonts w:cs="Arial"/>
          <w:bCs/>
          <w:i/>
          <w:szCs w:val="19"/>
          <w:lang w:val="en-GB"/>
        </w:rPr>
        <w:t>gestand</w:t>
      </w:r>
      <w:proofErr w:type="spellEnd"/>
      <w:r w:rsidRPr="004D012D">
        <w:rPr>
          <w:rFonts w:cs="Arial"/>
          <w:bCs/>
          <w:i/>
          <w:szCs w:val="19"/>
          <w:lang w:val="en-GB"/>
        </w:rPr>
        <w:t xml:space="preserve"> is </w:t>
      </w:r>
      <w:proofErr w:type="spellStart"/>
      <w:r w:rsidRPr="004D012D">
        <w:rPr>
          <w:rFonts w:cs="Arial"/>
          <w:bCs/>
          <w:i/>
          <w:szCs w:val="19"/>
          <w:lang w:val="en-GB"/>
        </w:rPr>
        <w:t>gedaan</w:t>
      </w:r>
      <w:proofErr w:type="spellEnd"/>
      <w:r w:rsidRPr="004D012D">
        <w:rPr>
          <w:rFonts w:cs="Arial"/>
          <w:bCs/>
          <w:szCs w:val="19"/>
          <w:lang w:val="en-GB"/>
        </w:rPr>
        <w:t>).</w:t>
      </w:r>
    </w:p>
    <w:p w:rsidRPr="004D012D" w:rsidR="004D012D" w:rsidP="004D012D" w:rsidRDefault="004D012D" w14:paraId="36B2C745" w14:textId="77777777">
      <w:pPr>
        <w:jc w:val="both"/>
        <w:rPr>
          <w:rFonts w:cs="Arial"/>
          <w:bCs/>
          <w:szCs w:val="19"/>
          <w:lang w:val="en-GB"/>
        </w:rPr>
      </w:pPr>
    </w:p>
    <w:p w:rsidR="004D012D" w:rsidP="004D012D" w:rsidRDefault="004D012D" w14:paraId="039366EE" w14:textId="77777777">
      <w:pPr>
        <w:jc w:val="both"/>
        <w:rPr>
          <w:rFonts w:cs="Arial"/>
          <w:bCs/>
          <w:szCs w:val="19"/>
          <w:lang w:val="en-GB"/>
        </w:rPr>
      </w:pPr>
      <w:r w:rsidRPr="004D012D">
        <w:rPr>
          <w:rFonts w:cs="Arial"/>
          <w:bCs/>
          <w:szCs w:val="19"/>
          <w:lang w:val="en-GB"/>
        </w:rPr>
        <w:t>Although under normal circumstances the relevant Admitted Institutions will ensure that the Tendered Shares are transferred (</w:t>
      </w:r>
      <w:proofErr w:type="spellStart"/>
      <w:r w:rsidRPr="004D012D">
        <w:rPr>
          <w:rFonts w:cs="Arial"/>
          <w:bCs/>
          <w:i/>
          <w:szCs w:val="19"/>
          <w:lang w:val="en-GB"/>
        </w:rPr>
        <w:t>geleverd</w:t>
      </w:r>
      <w:proofErr w:type="spellEnd"/>
      <w:r w:rsidRPr="004D012D">
        <w:rPr>
          <w:rFonts w:cs="Arial"/>
          <w:bCs/>
          <w:szCs w:val="19"/>
          <w:lang w:val="en-GB"/>
        </w:rPr>
        <w:t>) to the Offeror on behalf of the Shareholder, each Shareholder is responsible for the transfer (</w:t>
      </w:r>
      <w:r w:rsidRPr="004D012D">
        <w:rPr>
          <w:rFonts w:cs="Arial"/>
          <w:bCs/>
          <w:i/>
          <w:szCs w:val="19"/>
          <w:lang w:val="en-GB"/>
        </w:rPr>
        <w:t>levering</w:t>
      </w:r>
      <w:r w:rsidRPr="004D012D">
        <w:rPr>
          <w:rFonts w:cs="Arial"/>
          <w:bCs/>
          <w:szCs w:val="19"/>
          <w:lang w:val="en-GB"/>
        </w:rPr>
        <w:t>) of such Tendered Shares to the Offeror.</w:t>
      </w:r>
    </w:p>
    <w:p w:rsidRPr="004D012D" w:rsidR="004D012D" w:rsidP="004D012D" w:rsidRDefault="004D012D" w14:paraId="48E0692A" w14:textId="77777777">
      <w:pPr>
        <w:jc w:val="both"/>
        <w:rPr>
          <w:rFonts w:cs="Arial"/>
          <w:bCs/>
          <w:szCs w:val="19"/>
          <w:lang w:val="en-GB"/>
        </w:rPr>
      </w:pPr>
    </w:p>
    <w:p w:rsidR="000B2D24" w:rsidP="000B2D24" w:rsidRDefault="004D012D" w14:paraId="642F4CA4" w14:textId="77777777">
      <w:pPr>
        <w:jc w:val="both"/>
        <w:rPr>
          <w:rFonts w:cs="Arial"/>
          <w:bCs/>
          <w:szCs w:val="19"/>
          <w:lang w:val="en-GB"/>
        </w:rPr>
      </w:pPr>
      <w:r w:rsidRPr="004D012D">
        <w:rPr>
          <w:rFonts w:cs="Arial"/>
          <w:bCs/>
          <w:szCs w:val="19"/>
          <w:lang w:val="en-GB"/>
        </w:rPr>
        <w:t>Subject to Article 5b, paragraph 5, Article 15, paragraphs 3 and 8 and Article 15a, paragraph 3 of the Decree, the tendering of Shares by a Shareholder in acceptance of the Offer will constitute irrevocable instructions (i) to block any attempt to transfer (</w:t>
      </w:r>
      <w:proofErr w:type="spellStart"/>
      <w:r w:rsidRPr="004D012D">
        <w:rPr>
          <w:rFonts w:cs="Arial"/>
          <w:bCs/>
          <w:i/>
          <w:szCs w:val="19"/>
          <w:lang w:val="en-GB"/>
        </w:rPr>
        <w:t>leveren</w:t>
      </w:r>
      <w:proofErr w:type="spellEnd"/>
      <w:r w:rsidRPr="004D012D">
        <w:rPr>
          <w:rFonts w:cs="Arial"/>
          <w:bCs/>
          <w:szCs w:val="19"/>
          <w:lang w:val="en-GB"/>
        </w:rPr>
        <w:t>) such Tendered Shares, so that on or prior to the Settlement Date no transfer (</w:t>
      </w:r>
      <w:r w:rsidRPr="004D012D">
        <w:rPr>
          <w:rFonts w:cs="Arial"/>
          <w:bCs/>
          <w:i/>
          <w:szCs w:val="19"/>
          <w:lang w:val="en-GB"/>
        </w:rPr>
        <w:t>levering</w:t>
      </w:r>
      <w:r w:rsidRPr="004D012D">
        <w:rPr>
          <w:rFonts w:cs="Arial"/>
          <w:bCs/>
          <w:szCs w:val="19"/>
          <w:lang w:val="en-GB"/>
        </w:rPr>
        <w:t>) of such Tendered Shares may be effected (other than to the Settlement Agent on or prior to the Settlement Date if the Offer is declared unconditional (</w:t>
      </w:r>
      <w:proofErr w:type="spellStart"/>
      <w:r w:rsidRPr="004D012D">
        <w:rPr>
          <w:rFonts w:cs="Arial"/>
          <w:bCs/>
          <w:i/>
          <w:szCs w:val="19"/>
          <w:lang w:val="en-GB"/>
        </w:rPr>
        <w:t>gestand</w:t>
      </w:r>
      <w:proofErr w:type="spellEnd"/>
      <w:r w:rsidRPr="004D012D">
        <w:rPr>
          <w:rFonts w:cs="Arial"/>
          <w:bCs/>
          <w:i/>
          <w:szCs w:val="19"/>
          <w:lang w:val="en-GB"/>
        </w:rPr>
        <w:t xml:space="preserve"> </w:t>
      </w:r>
      <w:proofErr w:type="spellStart"/>
      <w:r w:rsidRPr="004D012D">
        <w:rPr>
          <w:rFonts w:cs="Arial"/>
          <w:bCs/>
          <w:i/>
          <w:szCs w:val="19"/>
          <w:lang w:val="en-GB"/>
        </w:rPr>
        <w:t>wordt</w:t>
      </w:r>
      <w:proofErr w:type="spellEnd"/>
      <w:r w:rsidRPr="004D012D">
        <w:rPr>
          <w:rFonts w:cs="Arial"/>
          <w:bCs/>
          <w:i/>
          <w:szCs w:val="19"/>
          <w:lang w:val="en-GB"/>
        </w:rPr>
        <w:t xml:space="preserve"> </w:t>
      </w:r>
      <w:proofErr w:type="spellStart"/>
      <w:r w:rsidRPr="004D012D">
        <w:rPr>
          <w:rFonts w:cs="Arial"/>
          <w:bCs/>
          <w:i/>
          <w:szCs w:val="19"/>
          <w:lang w:val="en-GB"/>
        </w:rPr>
        <w:t>gedaan</w:t>
      </w:r>
      <w:proofErr w:type="spellEnd"/>
      <w:r w:rsidRPr="004D012D">
        <w:rPr>
          <w:rFonts w:cs="Arial"/>
          <w:bCs/>
          <w:szCs w:val="19"/>
          <w:lang w:val="en-GB"/>
        </w:rPr>
        <w:t>) and the Tendered Shares have been accepted for purchase) and (ii) to debit the securities account in which such Tendered Shares are held on the Settlement Date in respect of all of the Tendered Shares, against payment by the Settlement Agent of the Offer Price per Share and (iii) to effect the transfer (</w:t>
      </w:r>
      <w:r w:rsidRPr="004D012D">
        <w:rPr>
          <w:rFonts w:cs="Arial"/>
          <w:bCs/>
          <w:i/>
          <w:szCs w:val="19"/>
          <w:lang w:val="en-GB"/>
        </w:rPr>
        <w:t>levering</w:t>
      </w:r>
      <w:r w:rsidRPr="004D012D">
        <w:rPr>
          <w:rFonts w:cs="Arial"/>
          <w:bCs/>
          <w:szCs w:val="19"/>
          <w:lang w:val="en-GB"/>
        </w:rPr>
        <w:t>) of those Tendered Shares to the Offeror.</w:t>
      </w:r>
    </w:p>
    <w:p w:rsidRPr="000B2D24" w:rsidR="000B2D24" w:rsidP="000B2D24" w:rsidRDefault="000B2D24" w14:paraId="059C2E5C" w14:textId="7948D6A0">
      <w:pPr>
        <w:jc w:val="both"/>
        <w:rPr>
          <w:rFonts w:cs="Arial"/>
          <w:bCs/>
          <w:szCs w:val="19"/>
          <w:lang w:val="en-GB"/>
        </w:rPr>
      </w:pPr>
    </w:p>
    <w:p w:rsidRPr="000B2D24" w:rsidR="000B2D24" w:rsidP="000B2D24" w:rsidRDefault="004D012D" w14:paraId="53AB3FC9" w14:textId="77777777">
      <w:pPr>
        <w:jc w:val="both"/>
        <w:rPr>
          <w:rFonts w:cs="Arial"/>
          <w:bCs/>
          <w:szCs w:val="19"/>
          <w:lang w:val="en-GB"/>
        </w:rPr>
      </w:pPr>
      <w:r w:rsidRPr="004D012D">
        <w:rPr>
          <w:rFonts w:cs="Arial"/>
          <w:bCs/>
          <w:szCs w:val="19"/>
          <w:lang w:val="en-GB"/>
        </w:rPr>
        <w:t>Shareholders individually recorded in Neways' shareholders' register wishing to accept the Offer in respect of such registered Shares must deliver a completed and signed acceptance form to the Settlement Agent, in accordance with the terms and conditions of the Offer, no later than 17:40 hours CET on the Closing Date. The acceptance forms are available upon request from the Settlement Agent. The acceptance form will also serve as a deed of transfer (</w:t>
      </w:r>
      <w:proofErr w:type="spellStart"/>
      <w:r w:rsidRPr="004D012D">
        <w:rPr>
          <w:rFonts w:cs="Arial"/>
          <w:bCs/>
          <w:i/>
          <w:szCs w:val="19"/>
          <w:lang w:val="en-GB"/>
        </w:rPr>
        <w:t>akte</w:t>
      </w:r>
      <w:proofErr w:type="spellEnd"/>
      <w:r w:rsidRPr="004D012D">
        <w:rPr>
          <w:rFonts w:cs="Arial"/>
          <w:bCs/>
          <w:i/>
          <w:szCs w:val="19"/>
          <w:lang w:val="en-GB"/>
        </w:rPr>
        <w:t xml:space="preserve"> van levering</w:t>
      </w:r>
      <w:r w:rsidRPr="004D012D">
        <w:rPr>
          <w:rFonts w:cs="Arial"/>
          <w:bCs/>
          <w:szCs w:val="19"/>
          <w:lang w:val="en-GB"/>
        </w:rPr>
        <w:t>) with respect to the Shares referenced therein.</w:t>
      </w:r>
    </w:p>
    <w:p w:rsidR="00CB3D94" w:rsidRDefault="00CB3D94" w14:paraId="6BBADCFB" w14:textId="77777777">
      <w:pPr>
        <w:jc w:val="both"/>
        <w:rPr>
          <w:rFonts w:cs="Arial"/>
          <w:bCs/>
          <w:szCs w:val="19"/>
          <w:lang w:val="en-GB"/>
        </w:rPr>
      </w:pPr>
    </w:p>
    <w:p w:rsidR="00CB3D94" w:rsidRDefault="00CB3D94" w14:paraId="7ABC76A7" w14:textId="77777777">
      <w:pPr>
        <w:jc w:val="both"/>
        <w:rPr>
          <w:rFonts w:cs="Arial"/>
          <w:b/>
          <w:bCs/>
          <w:szCs w:val="19"/>
          <w:lang w:val="en-GB"/>
        </w:rPr>
      </w:pPr>
      <w:r>
        <w:rPr>
          <w:rFonts w:cs="Arial"/>
          <w:b/>
          <w:bCs/>
          <w:szCs w:val="19"/>
          <w:lang w:val="en-GB"/>
        </w:rPr>
        <w:t>Declaring the Offer unconditional</w:t>
      </w:r>
    </w:p>
    <w:p w:rsidR="004D012D" w:rsidP="004D012D" w:rsidRDefault="004D012D" w14:paraId="2B20CD0B" w14:textId="56538ABE">
      <w:pPr>
        <w:jc w:val="both"/>
        <w:rPr>
          <w:rFonts w:cs="Arial"/>
          <w:bCs/>
          <w:szCs w:val="19"/>
          <w:lang w:val="en-GB"/>
        </w:rPr>
      </w:pPr>
      <w:r w:rsidRPr="004D012D">
        <w:rPr>
          <w:rFonts w:cs="Arial"/>
          <w:bCs/>
          <w:szCs w:val="19"/>
          <w:lang w:val="en-GB"/>
        </w:rPr>
        <w:t xml:space="preserve">The obligation of the </w:t>
      </w:r>
      <w:r w:rsidR="00E0242F">
        <w:rPr>
          <w:rFonts w:cs="Arial"/>
          <w:bCs/>
          <w:szCs w:val="19"/>
          <w:lang w:val="en-GB"/>
        </w:rPr>
        <w:t>Offeror</w:t>
      </w:r>
      <w:r w:rsidRPr="004D012D">
        <w:rPr>
          <w:rFonts w:cs="Arial"/>
          <w:bCs/>
          <w:szCs w:val="19"/>
          <w:lang w:val="en-GB"/>
        </w:rPr>
        <w:t xml:space="preserve"> to declare the Offer unconditional (</w:t>
      </w:r>
      <w:proofErr w:type="spellStart"/>
      <w:r w:rsidRPr="004D012D">
        <w:rPr>
          <w:rFonts w:cs="Arial"/>
          <w:bCs/>
          <w:i/>
          <w:szCs w:val="19"/>
          <w:lang w:val="en-GB"/>
        </w:rPr>
        <w:t>gestand</w:t>
      </w:r>
      <w:proofErr w:type="spellEnd"/>
      <w:r w:rsidRPr="004D012D">
        <w:rPr>
          <w:rFonts w:cs="Arial"/>
          <w:bCs/>
          <w:i/>
          <w:szCs w:val="19"/>
          <w:lang w:val="en-GB"/>
        </w:rPr>
        <w:t xml:space="preserve"> </w:t>
      </w:r>
      <w:proofErr w:type="spellStart"/>
      <w:r w:rsidRPr="004D012D">
        <w:rPr>
          <w:rFonts w:cs="Arial"/>
          <w:bCs/>
          <w:i/>
          <w:szCs w:val="19"/>
          <w:lang w:val="en-GB"/>
        </w:rPr>
        <w:t>doen</w:t>
      </w:r>
      <w:proofErr w:type="spellEnd"/>
      <w:r w:rsidRPr="004D012D">
        <w:rPr>
          <w:rFonts w:cs="Arial"/>
          <w:bCs/>
          <w:szCs w:val="19"/>
          <w:lang w:val="en-GB"/>
        </w:rPr>
        <w:t>) is subject to the satisfaction or waiver of the Offer Co</w:t>
      </w:r>
      <w:r w:rsidR="00B94D51">
        <w:rPr>
          <w:rFonts w:cs="Arial"/>
          <w:bCs/>
          <w:szCs w:val="19"/>
          <w:lang w:val="en-GB"/>
        </w:rPr>
        <w:t>nditions. Reference is made to S</w:t>
      </w:r>
      <w:r w:rsidRPr="004D012D">
        <w:rPr>
          <w:rFonts w:cs="Arial"/>
          <w:bCs/>
          <w:szCs w:val="19"/>
          <w:lang w:val="en-GB"/>
        </w:rPr>
        <w:t>ection</w:t>
      </w:r>
      <w:r>
        <w:rPr>
          <w:rFonts w:cs="Arial"/>
          <w:bCs/>
          <w:szCs w:val="19"/>
          <w:lang w:val="en-GB"/>
        </w:rPr>
        <w:t xml:space="preserve"> </w:t>
      </w:r>
      <w:r w:rsidRPr="004D012D">
        <w:rPr>
          <w:rFonts w:cs="Arial"/>
          <w:bCs/>
          <w:szCs w:val="19"/>
          <w:lang w:val="en-GB"/>
        </w:rPr>
        <w:t>6.5 (</w:t>
      </w:r>
      <w:r w:rsidRPr="004D012D">
        <w:rPr>
          <w:rFonts w:cs="Arial"/>
          <w:bCs/>
          <w:i/>
          <w:szCs w:val="19"/>
          <w:lang w:val="en-GB"/>
        </w:rPr>
        <w:t>Offer Conditions, waiver and satisfaction</w:t>
      </w:r>
      <w:r w:rsidRPr="004D012D">
        <w:rPr>
          <w:rFonts w:cs="Arial"/>
          <w:bCs/>
          <w:szCs w:val="19"/>
          <w:lang w:val="en-GB"/>
        </w:rPr>
        <w:t>)</w:t>
      </w:r>
      <w:r w:rsidR="006B3E7F">
        <w:rPr>
          <w:rFonts w:cs="Arial"/>
          <w:bCs/>
          <w:szCs w:val="19"/>
          <w:lang w:val="en-GB"/>
        </w:rPr>
        <w:t xml:space="preserve"> of the Offer Memorandum</w:t>
      </w:r>
      <w:r w:rsidRPr="004D012D">
        <w:rPr>
          <w:rFonts w:cs="Arial"/>
          <w:bCs/>
          <w:szCs w:val="19"/>
          <w:lang w:val="en-GB"/>
        </w:rPr>
        <w:t xml:space="preserve">. The Offer Conditions may be waived, to the extent permitted by law or by </w:t>
      </w:r>
      <w:r w:rsidR="000B23FF">
        <w:rPr>
          <w:rFonts w:cs="Arial"/>
          <w:bCs/>
          <w:szCs w:val="19"/>
          <w:lang w:val="en-GB"/>
        </w:rPr>
        <w:t>the Merger Protocol</w:t>
      </w:r>
      <w:r w:rsidR="00B94D51">
        <w:rPr>
          <w:rFonts w:cs="Arial"/>
          <w:bCs/>
          <w:szCs w:val="19"/>
          <w:lang w:val="en-GB"/>
        </w:rPr>
        <w:t>, as set out in S</w:t>
      </w:r>
      <w:r w:rsidRPr="004D012D">
        <w:rPr>
          <w:rFonts w:cs="Arial"/>
          <w:bCs/>
          <w:szCs w:val="19"/>
          <w:lang w:val="en-GB"/>
        </w:rPr>
        <w:t>ection</w:t>
      </w:r>
      <w:r>
        <w:rPr>
          <w:rFonts w:cs="Arial"/>
          <w:bCs/>
          <w:szCs w:val="19"/>
          <w:lang w:val="en-GB"/>
        </w:rPr>
        <w:t xml:space="preserve"> </w:t>
      </w:r>
      <w:r w:rsidRPr="004D012D">
        <w:rPr>
          <w:rFonts w:cs="Arial"/>
          <w:bCs/>
          <w:szCs w:val="19"/>
          <w:lang w:val="en-GB"/>
        </w:rPr>
        <w:t>6.5(b) (</w:t>
      </w:r>
      <w:r w:rsidRPr="004D012D">
        <w:rPr>
          <w:rFonts w:cs="Arial"/>
          <w:bCs/>
          <w:i/>
          <w:szCs w:val="19"/>
          <w:lang w:val="en-GB"/>
        </w:rPr>
        <w:t>Waiver of the Offer Conditions</w:t>
      </w:r>
      <w:r w:rsidRPr="004D012D">
        <w:rPr>
          <w:rFonts w:cs="Arial"/>
          <w:bCs/>
          <w:szCs w:val="19"/>
          <w:lang w:val="en-GB"/>
        </w:rPr>
        <w:t>)</w:t>
      </w:r>
      <w:r w:rsidR="00AC3705">
        <w:rPr>
          <w:rFonts w:cs="Arial"/>
          <w:bCs/>
          <w:szCs w:val="19"/>
          <w:lang w:val="en-GB"/>
        </w:rPr>
        <w:t xml:space="preserve"> of the Offer Memorandum</w:t>
      </w:r>
      <w:r w:rsidRPr="004D012D">
        <w:rPr>
          <w:rFonts w:cs="Arial"/>
          <w:bCs/>
          <w:szCs w:val="19"/>
          <w:lang w:val="en-GB"/>
        </w:rPr>
        <w:t>. If any Offer Condition is waived in accordance with Section</w:t>
      </w:r>
      <w:r>
        <w:rPr>
          <w:rFonts w:cs="Arial"/>
          <w:bCs/>
          <w:szCs w:val="19"/>
          <w:lang w:val="en-GB"/>
        </w:rPr>
        <w:t xml:space="preserve"> </w:t>
      </w:r>
      <w:r w:rsidRPr="004D012D">
        <w:rPr>
          <w:rFonts w:cs="Arial"/>
          <w:bCs/>
          <w:szCs w:val="19"/>
          <w:lang w:val="en-GB"/>
        </w:rPr>
        <w:t>6.5(b) (</w:t>
      </w:r>
      <w:r w:rsidRPr="004D012D">
        <w:rPr>
          <w:rFonts w:cs="Arial"/>
          <w:bCs/>
          <w:i/>
          <w:szCs w:val="19"/>
          <w:lang w:val="en-GB"/>
        </w:rPr>
        <w:t>Waiver of the Offer Conditions</w:t>
      </w:r>
      <w:r w:rsidRPr="004D012D">
        <w:rPr>
          <w:rFonts w:cs="Arial"/>
          <w:bCs/>
          <w:szCs w:val="19"/>
          <w:lang w:val="en-GB"/>
        </w:rPr>
        <w:t>)</w:t>
      </w:r>
      <w:r w:rsidR="00E95EA7">
        <w:rPr>
          <w:rFonts w:cs="Arial"/>
          <w:bCs/>
          <w:szCs w:val="19"/>
          <w:lang w:val="en-GB"/>
        </w:rPr>
        <w:t xml:space="preserve"> of the Offer Memorandum</w:t>
      </w:r>
      <w:r w:rsidRPr="004D012D">
        <w:rPr>
          <w:rFonts w:cs="Arial"/>
          <w:bCs/>
          <w:szCs w:val="19"/>
          <w:lang w:val="en-GB"/>
        </w:rPr>
        <w:t xml:space="preserve">, the </w:t>
      </w:r>
      <w:r w:rsidR="00E0242F">
        <w:rPr>
          <w:rFonts w:cs="Arial"/>
          <w:bCs/>
          <w:szCs w:val="19"/>
          <w:lang w:val="en-GB"/>
        </w:rPr>
        <w:t>Offeror</w:t>
      </w:r>
      <w:r w:rsidRPr="004D012D" w:rsidR="005E32AF">
        <w:rPr>
          <w:rFonts w:cs="Arial"/>
          <w:bCs/>
          <w:szCs w:val="19"/>
          <w:lang w:val="en-GB"/>
        </w:rPr>
        <w:t xml:space="preserve"> </w:t>
      </w:r>
      <w:r w:rsidRPr="004D012D">
        <w:rPr>
          <w:rFonts w:cs="Arial"/>
          <w:bCs/>
          <w:szCs w:val="19"/>
          <w:lang w:val="en-GB"/>
        </w:rPr>
        <w:t>will inform the Shareholders as required by the Applicable Laws.</w:t>
      </w:r>
    </w:p>
    <w:p w:rsidRPr="004D012D" w:rsidR="004D012D" w:rsidP="004D012D" w:rsidRDefault="004D012D" w14:paraId="2466F9E3" w14:textId="77777777">
      <w:pPr>
        <w:jc w:val="both"/>
        <w:rPr>
          <w:rFonts w:cs="Arial"/>
          <w:bCs/>
          <w:szCs w:val="19"/>
          <w:lang w:val="en-GB"/>
        </w:rPr>
      </w:pPr>
    </w:p>
    <w:p w:rsidR="004D012D" w:rsidP="004D012D" w:rsidRDefault="004D012D" w14:paraId="1D8D399B" w14:textId="46A6BA51">
      <w:pPr>
        <w:jc w:val="both"/>
        <w:rPr>
          <w:rFonts w:cs="Arial"/>
          <w:bCs/>
          <w:szCs w:val="19"/>
          <w:lang w:val="en-GB"/>
        </w:rPr>
      </w:pPr>
      <w:r w:rsidRPr="004D012D">
        <w:rPr>
          <w:rFonts w:cs="Arial"/>
          <w:bCs/>
          <w:szCs w:val="19"/>
          <w:lang w:val="en-GB"/>
        </w:rPr>
        <w:t>No later than on the Unconditional Date (i.e. no later than the third (3rd) Business Day following the Closing Date), the</w:t>
      </w:r>
      <w:r w:rsidRPr="00FF349E" w:rsidR="00FF349E">
        <w:rPr>
          <w:rFonts w:ascii="Times New Roman" w:hAnsi="Times New Roman" w:cs="Times New Roman" w:eastAsiaTheme="minorHAnsi"/>
          <w:spacing w:val="0"/>
          <w:sz w:val="22"/>
          <w:lang w:val="en-GB" w:eastAsia="en-US"/>
        </w:rPr>
        <w:t xml:space="preserve"> </w:t>
      </w:r>
      <w:r w:rsidR="00E0242F">
        <w:rPr>
          <w:rFonts w:cs="Arial"/>
          <w:bCs/>
          <w:szCs w:val="19"/>
          <w:lang w:val="en-GB"/>
        </w:rPr>
        <w:t>Offeror</w:t>
      </w:r>
      <w:r w:rsidRPr="00FF349E" w:rsidR="00FF349E">
        <w:rPr>
          <w:rFonts w:cs="Arial"/>
          <w:bCs/>
          <w:szCs w:val="19"/>
          <w:lang w:val="en-GB"/>
        </w:rPr>
        <w:t xml:space="preserve"> </w:t>
      </w:r>
      <w:r w:rsidRPr="004D012D">
        <w:rPr>
          <w:rFonts w:cs="Arial"/>
          <w:bCs/>
          <w:szCs w:val="19"/>
          <w:lang w:val="en-GB"/>
        </w:rPr>
        <w:t>will determine whether the Offer Conditions have been sat</w:t>
      </w:r>
      <w:r w:rsidR="00B94D51">
        <w:rPr>
          <w:rFonts w:cs="Arial"/>
          <w:bCs/>
          <w:szCs w:val="19"/>
          <w:lang w:val="en-GB"/>
        </w:rPr>
        <w:t>isfied or waived as set out in S</w:t>
      </w:r>
      <w:r w:rsidRPr="004D012D">
        <w:rPr>
          <w:rFonts w:cs="Arial"/>
          <w:bCs/>
          <w:szCs w:val="19"/>
          <w:lang w:val="en-GB"/>
        </w:rPr>
        <w:t>ection</w:t>
      </w:r>
      <w:r>
        <w:rPr>
          <w:rFonts w:cs="Arial"/>
          <w:bCs/>
          <w:szCs w:val="19"/>
          <w:lang w:val="en-GB"/>
        </w:rPr>
        <w:t xml:space="preserve"> </w:t>
      </w:r>
      <w:r w:rsidRPr="004D012D">
        <w:rPr>
          <w:rFonts w:cs="Arial"/>
          <w:bCs/>
          <w:szCs w:val="19"/>
          <w:lang w:val="en-GB"/>
        </w:rPr>
        <w:t>6.5 (</w:t>
      </w:r>
      <w:r w:rsidRPr="004D012D">
        <w:rPr>
          <w:rFonts w:cs="Arial"/>
          <w:bCs/>
          <w:i/>
          <w:szCs w:val="19"/>
          <w:lang w:val="en-GB"/>
        </w:rPr>
        <w:t>Offer Conditions, waiver and satisfaction</w:t>
      </w:r>
      <w:r w:rsidRPr="004D012D">
        <w:rPr>
          <w:rFonts w:cs="Arial"/>
          <w:bCs/>
          <w:szCs w:val="19"/>
          <w:lang w:val="en-GB"/>
        </w:rPr>
        <w:t>)</w:t>
      </w:r>
      <w:r w:rsidR="00FF349E">
        <w:rPr>
          <w:rFonts w:cs="Arial"/>
          <w:bCs/>
          <w:szCs w:val="19"/>
          <w:lang w:val="en-GB"/>
        </w:rPr>
        <w:t xml:space="preserve"> of the Offer Memorandum</w:t>
      </w:r>
      <w:r w:rsidRPr="004D012D">
        <w:rPr>
          <w:rFonts w:cs="Arial"/>
          <w:bCs/>
          <w:szCs w:val="19"/>
          <w:lang w:val="en-GB"/>
        </w:rPr>
        <w:t xml:space="preserve">, to the extent permitted by Applicable Laws. In addition, the </w:t>
      </w:r>
      <w:r w:rsidR="00E0242F">
        <w:rPr>
          <w:rFonts w:cs="Arial"/>
          <w:bCs/>
          <w:szCs w:val="19"/>
          <w:lang w:val="en-GB"/>
        </w:rPr>
        <w:t>Offeror</w:t>
      </w:r>
      <w:r w:rsidRPr="008475CC" w:rsidR="008475CC">
        <w:rPr>
          <w:rFonts w:cs="Arial"/>
          <w:bCs/>
          <w:szCs w:val="19"/>
          <w:lang w:val="en-GB"/>
        </w:rPr>
        <w:t xml:space="preserve"> </w:t>
      </w:r>
      <w:r w:rsidRPr="004D012D">
        <w:rPr>
          <w:rFonts w:cs="Arial"/>
          <w:bCs/>
          <w:szCs w:val="19"/>
          <w:lang w:val="en-GB"/>
        </w:rPr>
        <w:t xml:space="preserve">will announce on the Unconditional Date whether </w:t>
      </w:r>
      <w:r w:rsidRPr="004D012D">
        <w:rPr>
          <w:rFonts w:cs="Arial"/>
          <w:bCs/>
          <w:szCs w:val="19"/>
          <w:lang w:val="en-GB"/>
        </w:rPr>
        <w:lastRenderedPageBreak/>
        <w:t>(i) the Offer is declared unconditional (</w:t>
      </w:r>
      <w:proofErr w:type="spellStart"/>
      <w:r w:rsidRPr="004D012D">
        <w:rPr>
          <w:rFonts w:cs="Arial"/>
          <w:bCs/>
          <w:i/>
          <w:szCs w:val="19"/>
          <w:lang w:val="en-GB"/>
        </w:rPr>
        <w:t>gestand</w:t>
      </w:r>
      <w:proofErr w:type="spellEnd"/>
      <w:r w:rsidRPr="004D012D">
        <w:rPr>
          <w:rFonts w:cs="Arial"/>
          <w:bCs/>
          <w:i/>
          <w:szCs w:val="19"/>
          <w:lang w:val="en-GB"/>
        </w:rPr>
        <w:t xml:space="preserve"> </w:t>
      </w:r>
      <w:proofErr w:type="spellStart"/>
      <w:r w:rsidR="000B23FF">
        <w:rPr>
          <w:rFonts w:cs="Arial"/>
          <w:bCs/>
          <w:i/>
          <w:szCs w:val="19"/>
          <w:lang w:val="en-GB"/>
        </w:rPr>
        <w:t>wordt</w:t>
      </w:r>
      <w:proofErr w:type="spellEnd"/>
      <w:r w:rsidRPr="004D012D">
        <w:rPr>
          <w:rFonts w:cs="Arial"/>
          <w:bCs/>
          <w:i/>
          <w:szCs w:val="19"/>
          <w:lang w:val="en-GB"/>
        </w:rPr>
        <w:t xml:space="preserve"> </w:t>
      </w:r>
      <w:proofErr w:type="spellStart"/>
      <w:r w:rsidRPr="004D012D">
        <w:rPr>
          <w:rFonts w:cs="Arial"/>
          <w:bCs/>
          <w:i/>
          <w:szCs w:val="19"/>
          <w:lang w:val="en-GB"/>
        </w:rPr>
        <w:t>gedaan</w:t>
      </w:r>
      <w:proofErr w:type="spellEnd"/>
      <w:r w:rsidRPr="004D012D">
        <w:rPr>
          <w:rFonts w:cs="Arial"/>
          <w:bCs/>
          <w:szCs w:val="19"/>
          <w:lang w:val="en-GB"/>
        </w:rPr>
        <w:t>), (ii) the Acceptance Period will be extended in accordance with Arti</w:t>
      </w:r>
      <w:r>
        <w:rPr>
          <w:rFonts w:cs="Arial"/>
          <w:bCs/>
          <w:szCs w:val="19"/>
          <w:lang w:val="en-GB"/>
        </w:rPr>
        <w:t>cle 15 of the Decree (see also</w:t>
      </w:r>
      <w:r w:rsidRPr="004D012D">
        <w:rPr>
          <w:lang w:val="en-GB"/>
        </w:rPr>
        <w:t xml:space="preserve"> </w:t>
      </w:r>
      <w:r w:rsidR="00B94D51">
        <w:rPr>
          <w:rFonts w:cs="Arial"/>
          <w:bCs/>
          <w:szCs w:val="19"/>
          <w:lang w:val="en-GB"/>
        </w:rPr>
        <w:t>S</w:t>
      </w:r>
      <w:r>
        <w:rPr>
          <w:rFonts w:cs="Arial"/>
          <w:bCs/>
          <w:szCs w:val="19"/>
          <w:lang w:val="en-GB"/>
        </w:rPr>
        <w:t>ection 5.6 (</w:t>
      </w:r>
      <w:r>
        <w:rPr>
          <w:rFonts w:cs="Arial"/>
          <w:bCs/>
          <w:i/>
          <w:szCs w:val="19"/>
          <w:lang w:val="en-GB"/>
        </w:rPr>
        <w:t>E</w:t>
      </w:r>
      <w:r w:rsidRPr="004D012D">
        <w:rPr>
          <w:rFonts w:cs="Arial"/>
          <w:bCs/>
          <w:i/>
          <w:szCs w:val="19"/>
          <w:lang w:val="en-GB"/>
        </w:rPr>
        <w:t>xtension</w:t>
      </w:r>
      <w:r w:rsidRPr="004D012D">
        <w:rPr>
          <w:rFonts w:cs="Arial"/>
          <w:bCs/>
          <w:szCs w:val="19"/>
          <w:lang w:val="en-GB"/>
        </w:rPr>
        <w:t>)</w:t>
      </w:r>
      <w:r w:rsidR="00751C1F">
        <w:rPr>
          <w:rFonts w:cs="Arial"/>
          <w:bCs/>
          <w:szCs w:val="19"/>
          <w:lang w:val="en-GB"/>
        </w:rPr>
        <w:t xml:space="preserve"> of the Offer Memorandum</w:t>
      </w:r>
      <w:r w:rsidRPr="004D012D">
        <w:rPr>
          <w:rFonts w:cs="Arial"/>
          <w:bCs/>
          <w:szCs w:val="19"/>
          <w:lang w:val="en-GB"/>
        </w:rPr>
        <w:t>), or (iii) the Offer is terminated as a result of t</w:t>
      </w:r>
      <w:r w:rsidR="00B94D51">
        <w:rPr>
          <w:rFonts w:cs="Arial"/>
          <w:bCs/>
          <w:szCs w:val="19"/>
          <w:lang w:val="en-GB"/>
        </w:rPr>
        <w:t>he Offer Conditions set out in S</w:t>
      </w:r>
      <w:r w:rsidRPr="004D012D">
        <w:rPr>
          <w:rFonts w:cs="Arial"/>
          <w:bCs/>
          <w:szCs w:val="19"/>
          <w:lang w:val="en-GB"/>
        </w:rPr>
        <w:t>ection</w:t>
      </w:r>
      <w:r>
        <w:rPr>
          <w:rFonts w:cs="Arial"/>
          <w:bCs/>
          <w:szCs w:val="19"/>
          <w:lang w:val="en-GB"/>
        </w:rPr>
        <w:t xml:space="preserve"> </w:t>
      </w:r>
      <w:r w:rsidRPr="004D012D">
        <w:rPr>
          <w:rFonts w:cs="Arial"/>
          <w:bCs/>
          <w:szCs w:val="19"/>
          <w:lang w:val="en-GB"/>
        </w:rPr>
        <w:t>6.5(a) (</w:t>
      </w:r>
      <w:r w:rsidRPr="004D012D">
        <w:rPr>
          <w:rFonts w:cs="Arial"/>
          <w:bCs/>
          <w:i/>
          <w:szCs w:val="19"/>
          <w:lang w:val="en-GB"/>
        </w:rPr>
        <w:t>Offer Conditions</w:t>
      </w:r>
      <w:r w:rsidRPr="004D012D">
        <w:rPr>
          <w:rFonts w:cs="Arial"/>
          <w:bCs/>
          <w:szCs w:val="19"/>
          <w:lang w:val="en-GB"/>
        </w:rPr>
        <w:t xml:space="preserve">) </w:t>
      </w:r>
      <w:r w:rsidR="00751C1F">
        <w:rPr>
          <w:rFonts w:cs="Arial"/>
          <w:bCs/>
          <w:szCs w:val="19"/>
          <w:lang w:val="en-GB"/>
        </w:rPr>
        <w:t xml:space="preserve">of the Offer Memorandum </w:t>
      </w:r>
      <w:r w:rsidRPr="004D012D">
        <w:rPr>
          <w:rFonts w:cs="Arial"/>
          <w:bCs/>
          <w:szCs w:val="19"/>
          <w:lang w:val="en-GB"/>
        </w:rPr>
        <w:t>not having been satisfied or waived, all in accordance with</w:t>
      </w:r>
      <w:r w:rsidRPr="004D012D">
        <w:rPr>
          <w:lang w:val="en-GB"/>
        </w:rPr>
        <w:t xml:space="preserve"> </w:t>
      </w:r>
      <w:r w:rsidR="00B94D51">
        <w:rPr>
          <w:rFonts w:cs="Arial"/>
          <w:bCs/>
          <w:szCs w:val="19"/>
          <w:lang w:val="en-GB"/>
        </w:rPr>
        <w:t>S</w:t>
      </w:r>
      <w:r w:rsidRPr="004D012D">
        <w:rPr>
          <w:rFonts w:cs="Arial"/>
          <w:bCs/>
          <w:szCs w:val="19"/>
          <w:lang w:val="en-GB"/>
        </w:rPr>
        <w:t>ection 6.5(b) (</w:t>
      </w:r>
      <w:r w:rsidRPr="004D012D">
        <w:rPr>
          <w:rFonts w:cs="Arial"/>
          <w:bCs/>
          <w:i/>
          <w:szCs w:val="19"/>
          <w:lang w:val="en-GB"/>
        </w:rPr>
        <w:t>Waiver of the Offer Conditions</w:t>
      </w:r>
      <w:r w:rsidR="0049233F">
        <w:rPr>
          <w:rFonts w:cs="Arial"/>
          <w:bCs/>
          <w:szCs w:val="19"/>
          <w:lang w:val="en-GB"/>
        </w:rPr>
        <w:t>) and</w:t>
      </w:r>
      <w:r w:rsidR="00B94D51">
        <w:rPr>
          <w:rFonts w:cs="Arial"/>
          <w:bCs/>
          <w:szCs w:val="19"/>
          <w:lang w:val="en-GB"/>
        </w:rPr>
        <w:t xml:space="preserve"> S</w:t>
      </w:r>
      <w:r w:rsidRPr="004D012D">
        <w:rPr>
          <w:rFonts w:cs="Arial"/>
          <w:bCs/>
          <w:szCs w:val="19"/>
          <w:lang w:val="en-GB"/>
        </w:rPr>
        <w:t>ection</w:t>
      </w:r>
      <w:r>
        <w:rPr>
          <w:rFonts w:cs="Arial"/>
          <w:bCs/>
          <w:szCs w:val="19"/>
          <w:lang w:val="en-GB"/>
        </w:rPr>
        <w:t xml:space="preserve"> </w:t>
      </w:r>
      <w:r w:rsidRPr="004D012D">
        <w:rPr>
          <w:rFonts w:cs="Arial"/>
          <w:bCs/>
          <w:szCs w:val="19"/>
          <w:lang w:val="en-GB"/>
        </w:rPr>
        <w:t>6.5(e) (</w:t>
      </w:r>
      <w:r w:rsidRPr="004D012D">
        <w:rPr>
          <w:rFonts w:cs="Arial"/>
          <w:bCs/>
          <w:i/>
          <w:szCs w:val="19"/>
          <w:lang w:val="en-GB"/>
        </w:rPr>
        <w:t>Satisfaction</w:t>
      </w:r>
      <w:r w:rsidRPr="004D012D">
        <w:rPr>
          <w:rFonts w:cs="Arial"/>
          <w:bCs/>
          <w:szCs w:val="19"/>
          <w:lang w:val="en-GB"/>
        </w:rPr>
        <w:t xml:space="preserve">) </w:t>
      </w:r>
      <w:r w:rsidR="007B7ADC">
        <w:rPr>
          <w:rFonts w:cs="Arial"/>
          <w:bCs/>
          <w:szCs w:val="19"/>
          <w:lang w:val="en-GB"/>
        </w:rPr>
        <w:t xml:space="preserve">of the Offer Memorandum </w:t>
      </w:r>
      <w:r w:rsidRPr="004D012D">
        <w:rPr>
          <w:rFonts w:cs="Arial"/>
          <w:bCs/>
          <w:szCs w:val="19"/>
          <w:lang w:val="en-GB"/>
        </w:rPr>
        <w:t>and Article 16 of the Decree. In the event that the Offer is not declared unconditional (</w:t>
      </w:r>
      <w:proofErr w:type="spellStart"/>
      <w:r w:rsidRPr="004D012D">
        <w:rPr>
          <w:rFonts w:cs="Arial"/>
          <w:bCs/>
          <w:i/>
          <w:szCs w:val="19"/>
          <w:lang w:val="en-GB"/>
        </w:rPr>
        <w:t>niet</w:t>
      </w:r>
      <w:proofErr w:type="spellEnd"/>
      <w:r w:rsidRPr="004D012D">
        <w:rPr>
          <w:rFonts w:cs="Arial"/>
          <w:bCs/>
          <w:i/>
          <w:szCs w:val="19"/>
          <w:lang w:val="en-GB"/>
        </w:rPr>
        <w:t xml:space="preserve"> </w:t>
      </w:r>
      <w:proofErr w:type="spellStart"/>
      <w:r w:rsidRPr="004D012D">
        <w:rPr>
          <w:rFonts w:cs="Arial"/>
          <w:bCs/>
          <w:i/>
          <w:szCs w:val="19"/>
          <w:lang w:val="en-GB"/>
        </w:rPr>
        <w:t>gestand</w:t>
      </w:r>
      <w:proofErr w:type="spellEnd"/>
      <w:r w:rsidRPr="004D012D">
        <w:rPr>
          <w:rFonts w:cs="Arial"/>
          <w:bCs/>
          <w:i/>
          <w:szCs w:val="19"/>
          <w:lang w:val="en-GB"/>
        </w:rPr>
        <w:t xml:space="preserve"> </w:t>
      </w:r>
      <w:proofErr w:type="spellStart"/>
      <w:r w:rsidR="000B23FF">
        <w:rPr>
          <w:rFonts w:cs="Arial"/>
          <w:bCs/>
          <w:i/>
          <w:szCs w:val="19"/>
          <w:lang w:val="en-GB"/>
        </w:rPr>
        <w:t>wordt</w:t>
      </w:r>
      <w:proofErr w:type="spellEnd"/>
      <w:r w:rsidRPr="004D012D">
        <w:rPr>
          <w:rFonts w:cs="Arial"/>
          <w:bCs/>
          <w:i/>
          <w:szCs w:val="19"/>
          <w:lang w:val="en-GB"/>
        </w:rPr>
        <w:t xml:space="preserve"> </w:t>
      </w:r>
      <w:proofErr w:type="spellStart"/>
      <w:r w:rsidRPr="004D012D">
        <w:rPr>
          <w:rFonts w:cs="Arial"/>
          <w:bCs/>
          <w:i/>
          <w:szCs w:val="19"/>
          <w:lang w:val="en-GB"/>
        </w:rPr>
        <w:t>gedaan</w:t>
      </w:r>
      <w:proofErr w:type="spellEnd"/>
      <w:r w:rsidRPr="004D012D">
        <w:rPr>
          <w:rFonts w:cs="Arial"/>
          <w:bCs/>
          <w:szCs w:val="19"/>
          <w:lang w:val="en-GB"/>
        </w:rPr>
        <w:t xml:space="preserve">), the </w:t>
      </w:r>
      <w:r w:rsidR="00E0242F">
        <w:rPr>
          <w:rFonts w:cs="Arial"/>
          <w:bCs/>
          <w:szCs w:val="19"/>
          <w:lang w:val="en-GB"/>
        </w:rPr>
        <w:t>Offeror</w:t>
      </w:r>
      <w:r w:rsidRPr="00AD6DA4" w:rsidR="00AD6DA4">
        <w:rPr>
          <w:rFonts w:cs="Arial"/>
          <w:bCs/>
          <w:szCs w:val="19"/>
          <w:lang w:val="en-GB"/>
        </w:rPr>
        <w:t xml:space="preserve"> </w:t>
      </w:r>
      <w:r w:rsidRPr="004D012D">
        <w:rPr>
          <w:rFonts w:cs="Arial"/>
          <w:bCs/>
          <w:szCs w:val="19"/>
          <w:lang w:val="en-GB"/>
        </w:rPr>
        <w:t>will explain such decision.</w:t>
      </w:r>
    </w:p>
    <w:p w:rsidRPr="004D012D" w:rsidR="004D012D" w:rsidP="004D012D" w:rsidRDefault="004D012D" w14:paraId="4DE7B55E" w14:textId="77777777">
      <w:pPr>
        <w:jc w:val="both"/>
        <w:rPr>
          <w:rFonts w:cs="Arial"/>
          <w:bCs/>
          <w:szCs w:val="19"/>
          <w:lang w:val="en-GB"/>
        </w:rPr>
      </w:pPr>
    </w:p>
    <w:p w:rsidR="00BE13FC" w:rsidP="004D012D" w:rsidRDefault="004D012D" w14:paraId="4D25AA9E" w14:textId="085AF6AA">
      <w:pPr>
        <w:jc w:val="both"/>
        <w:rPr>
          <w:rFonts w:cs="Arial"/>
          <w:bCs/>
          <w:szCs w:val="19"/>
          <w:lang w:val="en-GB"/>
        </w:rPr>
      </w:pPr>
      <w:r w:rsidRPr="004D012D">
        <w:rPr>
          <w:rFonts w:cs="Arial"/>
          <w:bCs/>
          <w:szCs w:val="19"/>
          <w:lang w:val="en-GB"/>
        </w:rPr>
        <w:t>In the event that the Offeror declares the Offer unconditional (</w:t>
      </w:r>
      <w:proofErr w:type="spellStart"/>
      <w:r w:rsidRPr="004D012D">
        <w:rPr>
          <w:rFonts w:cs="Arial"/>
          <w:bCs/>
          <w:i/>
          <w:szCs w:val="19"/>
          <w:lang w:val="en-GB"/>
        </w:rPr>
        <w:t>gestand</w:t>
      </w:r>
      <w:proofErr w:type="spellEnd"/>
      <w:r w:rsidRPr="004D012D">
        <w:rPr>
          <w:rFonts w:cs="Arial"/>
          <w:bCs/>
          <w:i/>
          <w:szCs w:val="19"/>
          <w:lang w:val="en-GB"/>
        </w:rPr>
        <w:t xml:space="preserve"> </w:t>
      </w:r>
      <w:proofErr w:type="spellStart"/>
      <w:r w:rsidR="000B23FF">
        <w:rPr>
          <w:rFonts w:cs="Arial"/>
          <w:bCs/>
          <w:i/>
          <w:szCs w:val="19"/>
          <w:lang w:val="en-GB"/>
        </w:rPr>
        <w:t>doet</w:t>
      </w:r>
      <w:proofErr w:type="spellEnd"/>
      <w:r w:rsidRPr="004D012D">
        <w:rPr>
          <w:rFonts w:cs="Arial"/>
          <w:bCs/>
          <w:szCs w:val="19"/>
          <w:lang w:val="en-GB"/>
        </w:rPr>
        <w:t>), the Offeror will accept all Tendered Shares and may, after consultation with Neways, announce a Post</w:t>
      </w:r>
      <w:r w:rsidRPr="004D012D">
        <w:rPr>
          <w:rFonts w:cs="Arial"/>
          <w:bCs/>
          <w:szCs w:val="19"/>
          <w:lang w:val="en-GB"/>
        </w:rPr>
        <w:noBreakHyphen/>
        <w:t>Closing Acceptance Period (</w:t>
      </w:r>
      <w:r w:rsidRPr="004D012D">
        <w:rPr>
          <w:rFonts w:cs="Arial"/>
          <w:bCs/>
          <w:i/>
          <w:szCs w:val="19"/>
          <w:lang w:val="en-GB"/>
        </w:rPr>
        <w:t>na-aanmeldingstermijn</w:t>
      </w:r>
      <w:r>
        <w:rPr>
          <w:rFonts w:cs="Arial"/>
          <w:bCs/>
          <w:szCs w:val="19"/>
          <w:lang w:val="en-GB"/>
        </w:rPr>
        <w:t>) as set out in</w:t>
      </w:r>
      <w:r w:rsidRPr="004D012D">
        <w:rPr>
          <w:lang w:val="en-GB"/>
        </w:rPr>
        <w:t xml:space="preserve"> </w:t>
      </w:r>
      <w:r w:rsidR="00B94D51">
        <w:rPr>
          <w:rFonts w:cs="Arial"/>
          <w:bCs/>
          <w:szCs w:val="19"/>
          <w:lang w:val="en-GB"/>
        </w:rPr>
        <w:t>S</w:t>
      </w:r>
      <w:r w:rsidRPr="004D012D">
        <w:rPr>
          <w:rFonts w:cs="Arial"/>
          <w:bCs/>
          <w:szCs w:val="19"/>
          <w:lang w:val="en-GB"/>
        </w:rPr>
        <w:t>ection 5.8 (</w:t>
      </w:r>
      <w:r w:rsidRPr="004D012D">
        <w:rPr>
          <w:rFonts w:cs="Arial"/>
          <w:bCs/>
          <w:i/>
          <w:szCs w:val="19"/>
          <w:lang w:val="en-GB"/>
        </w:rPr>
        <w:t>Post-Closing Acceptance Period</w:t>
      </w:r>
      <w:r w:rsidRPr="004D012D">
        <w:rPr>
          <w:rFonts w:cs="Arial"/>
          <w:bCs/>
          <w:szCs w:val="19"/>
          <w:lang w:val="en-GB"/>
        </w:rPr>
        <w:t xml:space="preserve">) </w:t>
      </w:r>
      <w:r w:rsidR="00350B6C">
        <w:rPr>
          <w:rFonts w:cs="Arial"/>
          <w:bCs/>
          <w:szCs w:val="19"/>
          <w:lang w:val="en-GB"/>
        </w:rPr>
        <w:t xml:space="preserve">of the </w:t>
      </w:r>
      <w:r w:rsidR="00BA0342">
        <w:rPr>
          <w:rFonts w:cs="Arial"/>
          <w:bCs/>
          <w:szCs w:val="19"/>
          <w:lang w:val="en-GB"/>
        </w:rPr>
        <w:t>Offer Memorandum.</w:t>
      </w:r>
    </w:p>
    <w:p w:rsidR="004D012D" w:rsidP="004D012D" w:rsidRDefault="004D012D" w14:paraId="390F5693" w14:textId="77777777">
      <w:pPr>
        <w:jc w:val="both"/>
        <w:rPr>
          <w:rFonts w:cs="Arial"/>
          <w:bCs/>
          <w:szCs w:val="19"/>
          <w:lang w:val="en-GB"/>
        </w:rPr>
      </w:pPr>
    </w:p>
    <w:p w:rsidRPr="005875C7" w:rsidR="00D20DF5" w:rsidP="00D20DF5" w:rsidRDefault="00D20DF5" w14:paraId="1C7923D1" w14:textId="3CB1EE07">
      <w:pPr>
        <w:jc w:val="both"/>
        <w:rPr>
          <w:rFonts w:cs="Arial"/>
          <w:b/>
          <w:bCs/>
          <w:szCs w:val="19"/>
          <w:lang w:val="en-GB"/>
        </w:rPr>
      </w:pPr>
      <w:r w:rsidRPr="005875C7">
        <w:rPr>
          <w:rFonts w:cs="Arial"/>
          <w:b/>
          <w:bCs/>
          <w:szCs w:val="19"/>
          <w:lang w:val="en-GB"/>
        </w:rPr>
        <w:t xml:space="preserve">Extension of the </w:t>
      </w:r>
      <w:r w:rsidR="00F91A92">
        <w:rPr>
          <w:rFonts w:cs="Arial"/>
          <w:b/>
          <w:bCs/>
          <w:szCs w:val="19"/>
          <w:lang w:val="en-GB"/>
        </w:rPr>
        <w:t>Acceptance</w:t>
      </w:r>
      <w:r w:rsidRPr="005875C7">
        <w:rPr>
          <w:rFonts w:cs="Arial"/>
          <w:b/>
          <w:bCs/>
          <w:szCs w:val="19"/>
          <w:lang w:val="en-GB"/>
        </w:rPr>
        <w:t xml:space="preserve"> Period</w:t>
      </w:r>
    </w:p>
    <w:p w:rsidR="006D4D0A" w:rsidP="006D4D0A" w:rsidRDefault="006D4D0A" w14:paraId="6E5FB74E" w14:textId="368F2927">
      <w:pPr>
        <w:jc w:val="both"/>
        <w:rPr>
          <w:rFonts w:cs="Arial"/>
          <w:bCs/>
          <w:szCs w:val="19"/>
          <w:lang w:val="en-GB"/>
        </w:rPr>
      </w:pPr>
      <w:r w:rsidRPr="006D4D0A">
        <w:rPr>
          <w:rFonts w:cs="Arial"/>
          <w:bCs/>
          <w:szCs w:val="19"/>
          <w:lang w:val="en-GB"/>
        </w:rPr>
        <w:t>If one or more of t</w:t>
      </w:r>
      <w:r>
        <w:rPr>
          <w:rFonts w:cs="Arial"/>
          <w:bCs/>
          <w:szCs w:val="19"/>
          <w:lang w:val="en-GB"/>
        </w:rPr>
        <w:t>he Offer Conditions set out in</w:t>
      </w:r>
      <w:r w:rsidRPr="006D4D0A">
        <w:rPr>
          <w:lang w:val="en-GB"/>
        </w:rPr>
        <w:t xml:space="preserve"> </w:t>
      </w:r>
      <w:r w:rsidR="00B94D51">
        <w:rPr>
          <w:rFonts w:cs="Arial"/>
          <w:bCs/>
          <w:szCs w:val="19"/>
          <w:lang w:val="en-GB"/>
        </w:rPr>
        <w:t>S</w:t>
      </w:r>
      <w:r w:rsidRPr="006D4D0A">
        <w:rPr>
          <w:rFonts w:cs="Arial"/>
          <w:bCs/>
          <w:szCs w:val="19"/>
          <w:lang w:val="en-GB"/>
        </w:rPr>
        <w:t>ection 6.5 (</w:t>
      </w:r>
      <w:r w:rsidRPr="006D4D0A">
        <w:rPr>
          <w:rFonts w:cs="Arial"/>
          <w:bCs/>
          <w:i/>
          <w:szCs w:val="19"/>
          <w:lang w:val="en-GB"/>
        </w:rPr>
        <w:t>Offer Conditions, waiver and satisfaction</w:t>
      </w:r>
      <w:r w:rsidRPr="006D4D0A">
        <w:rPr>
          <w:rFonts w:cs="Arial"/>
          <w:bCs/>
          <w:szCs w:val="19"/>
          <w:lang w:val="en-GB"/>
        </w:rPr>
        <w:t>)</w:t>
      </w:r>
      <w:r w:rsidR="00553960">
        <w:rPr>
          <w:rFonts w:cs="Arial"/>
          <w:bCs/>
          <w:szCs w:val="19"/>
          <w:lang w:val="en-GB"/>
        </w:rPr>
        <w:t xml:space="preserve"> of the Offer Memorandum</w:t>
      </w:r>
      <w:r w:rsidRPr="006D4D0A">
        <w:rPr>
          <w:rFonts w:cs="Arial"/>
          <w:bCs/>
          <w:szCs w:val="19"/>
          <w:lang w:val="en-GB"/>
        </w:rPr>
        <w:t xml:space="preserve"> is not satisfied by the initial Closing Date or waived in accordance</w:t>
      </w:r>
      <w:r w:rsidRPr="006D4D0A">
        <w:rPr>
          <w:lang w:val="en-GB"/>
        </w:rPr>
        <w:t xml:space="preserve"> </w:t>
      </w:r>
      <w:r w:rsidR="00B94D51">
        <w:rPr>
          <w:rFonts w:cs="Arial"/>
          <w:bCs/>
          <w:szCs w:val="19"/>
          <w:lang w:val="en-GB"/>
        </w:rPr>
        <w:t>with S</w:t>
      </w:r>
      <w:r w:rsidRPr="006D4D0A">
        <w:rPr>
          <w:rFonts w:cs="Arial"/>
          <w:bCs/>
          <w:szCs w:val="19"/>
          <w:lang w:val="en-GB"/>
        </w:rPr>
        <w:t>ection 6.5 (</w:t>
      </w:r>
      <w:r w:rsidRPr="006D4D0A">
        <w:rPr>
          <w:rFonts w:cs="Arial"/>
          <w:bCs/>
          <w:i/>
          <w:szCs w:val="19"/>
          <w:lang w:val="en-GB"/>
        </w:rPr>
        <w:t>Offer Conditions, waiver and satisfaction</w:t>
      </w:r>
      <w:r w:rsidRPr="006D4D0A">
        <w:rPr>
          <w:rFonts w:cs="Arial"/>
          <w:bCs/>
          <w:szCs w:val="19"/>
          <w:lang w:val="en-GB"/>
        </w:rPr>
        <w:t>)</w:t>
      </w:r>
      <w:r w:rsidR="00655A5A">
        <w:rPr>
          <w:rFonts w:cs="Arial"/>
          <w:bCs/>
          <w:szCs w:val="19"/>
          <w:lang w:val="en-GB"/>
        </w:rPr>
        <w:t xml:space="preserve"> of the Offer Memorandum</w:t>
      </w:r>
      <w:r w:rsidRPr="006D4D0A">
        <w:rPr>
          <w:rFonts w:cs="Arial"/>
          <w:bCs/>
          <w:szCs w:val="19"/>
          <w:lang w:val="en-GB"/>
        </w:rPr>
        <w:t>, the Offeror may decide, in accordance with Article 15, paragraph 1 and paragraph 2 of the Decree, to extend the Acceptance Period once for a minimum period of two (2) weeks and a maximum period of ten (10) weeks calculated from the initial Closing Date and any subsequent extension shall be subject to the receipt of an exemption granted by the AFM and shall be until such time as the Offeror, after consultation with Neways, reasonably believes is necessary to cause the Offer Conditions to be satisfied.</w:t>
      </w:r>
    </w:p>
    <w:p w:rsidRPr="006D4D0A" w:rsidR="006D4D0A" w:rsidP="006D4D0A" w:rsidRDefault="006D4D0A" w14:paraId="690815E2" w14:textId="77777777">
      <w:pPr>
        <w:jc w:val="both"/>
        <w:rPr>
          <w:rFonts w:cs="Arial"/>
          <w:bCs/>
          <w:szCs w:val="19"/>
          <w:lang w:val="en-GB"/>
        </w:rPr>
      </w:pPr>
    </w:p>
    <w:p w:rsidR="00C414FB" w:rsidP="006D4D0A" w:rsidRDefault="002247F6" w14:paraId="763C6454" w14:textId="6121D06E">
      <w:pPr>
        <w:jc w:val="both"/>
        <w:rPr>
          <w:rFonts w:cs="Arial"/>
          <w:bCs/>
          <w:szCs w:val="19"/>
          <w:lang w:val="en-GB"/>
        </w:rPr>
      </w:pPr>
      <w:r>
        <w:rPr>
          <w:rFonts w:cs="Arial"/>
          <w:bCs/>
          <w:szCs w:val="19"/>
          <w:lang w:val="en-GB"/>
        </w:rPr>
        <w:t>In the event (i)</w:t>
      </w:r>
      <w:r w:rsidR="006417EB">
        <w:rPr>
          <w:rFonts w:cs="Arial"/>
          <w:bCs/>
          <w:szCs w:val="19"/>
          <w:lang w:val="en-GB"/>
        </w:rPr>
        <w:t xml:space="preserve"> </w:t>
      </w:r>
      <w:r w:rsidRPr="006D4D0A" w:rsidR="006D4D0A">
        <w:rPr>
          <w:rFonts w:cs="Arial"/>
          <w:bCs/>
          <w:szCs w:val="19"/>
          <w:lang w:val="en-GB"/>
        </w:rPr>
        <w:t xml:space="preserve">the </w:t>
      </w:r>
      <w:bookmarkStart w:name="_9kMON5YVt3AB67EPgt" w:id="2"/>
      <w:r w:rsidRPr="006D4D0A" w:rsidR="006D4D0A">
        <w:rPr>
          <w:rFonts w:cs="Arial"/>
          <w:bCs/>
          <w:szCs w:val="19"/>
          <w:lang w:val="en-GB"/>
        </w:rPr>
        <w:t>AFM</w:t>
      </w:r>
      <w:bookmarkEnd w:id="2"/>
      <w:r w:rsidRPr="006D4D0A" w:rsidR="006D4D0A">
        <w:rPr>
          <w:rFonts w:cs="Arial"/>
          <w:bCs/>
          <w:szCs w:val="19"/>
          <w:lang w:val="en-GB"/>
        </w:rPr>
        <w:t xml:space="preserve"> does not grant an exemption to extend the </w:t>
      </w:r>
      <w:bookmarkStart w:name="_9kMPO5YVt39A67AL3cft9vqtlZU3862" w:id="3"/>
      <w:r w:rsidRPr="006D4D0A" w:rsidR="006D4D0A">
        <w:rPr>
          <w:rFonts w:cs="Arial"/>
          <w:bCs/>
          <w:szCs w:val="19"/>
          <w:lang w:val="en-GB"/>
        </w:rPr>
        <w:t>Acceptance Period</w:t>
      </w:r>
      <w:bookmarkEnd w:id="3"/>
      <w:r w:rsidRPr="006D4D0A" w:rsidR="006D4D0A">
        <w:rPr>
          <w:rFonts w:cs="Arial"/>
          <w:bCs/>
          <w:szCs w:val="19"/>
          <w:lang w:val="en-GB"/>
        </w:rPr>
        <w:t xml:space="preserve"> and (ii) the </w:t>
      </w:r>
      <w:bookmarkStart w:name="_9kMHzG6ZWu4AB78BM4dguAwrumaV4973" w:id="4"/>
      <w:r w:rsidRPr="006D4D0A" w:rsidR="006D4D0A">
        <w:rPr>
          <w:rFonts w:cs="Arial"/>
          <w:bCs/>
          <w:szCs w:val="19"/>
          <w:lang w:val="en-GB"/>
        </w:rPr>
        <w:t>Acceptance Period</w:t>
      </w:r>
      <w:bookmarkEnd w:id="4"/>
      <w:r w:rsidRPr="006D4D0A" w:rsidR="006D4D0A">
        <w:rPr>
          <w:rFonts w:cs="Arial"/>
          <w:bCs/>
          <w:szCs w:val="19"/>
          <w:lang w:val="en-GB"/>
        </w:rPr>
        <w:t xml:space="preserve"> has lapsed without the Offer having been declared unconditional (</w:t>
      </w:r>
      <w:proofErr w:type="spellStart"/>
      <w:r w:rsidRPr="006D4D0A" w:rsidR="006D4D0A">
        <w:rPr>
          <w:rFonts w:cs="Arial"/>
          <w:bCs/>
          <w:i/>
          <w:szCs w:val="19"/>
          <w:lang w:val="en-GB"/>
        </w:rPr>
        <w:t>gestand</w:t>
      </w:r>
      <w:proofErr w:type="spellEnd"/>
      <w:r w:rsidRPr="006D4D0A" w:rsidR="006D4D0A">
        <w:rPr>
          <w:rFonts w:cs="Arial"/>
          <w:bCs/>
          <w:i/>
          <w:szCs w:val="19"/>
          <w:lang w:val="en-GB"/>
        </w:rPr>
        <w:t xml:space="preserve"> </w:t>
      </w:r>
      <w:proofErr w:type="spellStart"/>
      <w:r w:rsidRPr="006D4D0A" w:rsidR="006D4D0A">
        <w:rPr>
          <w:rFonts w:cs="Arial"/>
          <w:bCs/>
          <w:i/>
          <w:szCs w:val="19"/>
          <w:lang w:val="en-GB"/>
        </w:rPr>
        <w:t>gedaan</w:t>
      </w:r>
      <w:proofErr w:type="spellEnd"/>
      <w:r w:rsidRPr="006D4D0A" w:rsidR="006D4D0A">
        <w:rPr>
          <w:rFonts w:cs="Arial"/>
          <w:bCs/>
          <w:szCs w:val="19"/>
          <w:lang w:val="en-GB"/>
        </w:rPr>
        <w:t xml:space="preserve">), the Offeror may, in its sole discretion, promptly request the </w:t>
      </w:r>
      <w:bookmarkStart w:name="_9kMPO5YVt3AB67EPgt" w:id="5"/>
      <w:r w:rsidRPr="006D4D0A" w:rsidR="006D4D0A">
        <w:rPr>
          <w:rFonts w:cs="Arial"/>
          <w:bCs/>
          <w:szCs w:val="19"/>
          <w:lang w:val="en-GB"/>
        </w:rPr>
        <w:t>AFM</w:t>
      </w:r>
      <w:bookmarkEnd w:id="5"/>
      <w:r w:rsidRPr="006D4D0A" w:rsidR="006D4D0A">
        <w:rPr>
          <w:rFonts w:cs="Arial"/>
          <w:bCs/>
          <w:szCs w:val="19"/>
          <w:lang w:val="en-GB"/>
        </w:rPr>
        <w:t xml:space="preserve"> to grant an exemption enabling the Offeror to immediately make (</w:t>
      </w:r>
      <w:proofErr w:type="spellStart"/>
      <w:r w:rsidRPr="006D4D0A" w:rsidR="006D4D0A">
        <w:rPr>
          <w:rFonts w:cs="Arial"/>
          <w:bCs/>
          <w:i/>
          <w:szCs w:val="19"/>
          <w:lang w:val="en-GB"/>
        </w:rPr>
        <w:t>uitbrengen</w:t>
      </w:r>
      <w:proofErr w:type="spellEnd"/>
      <w:r w:rsidRPr="006D4D0A" w:rsidR="006D4D0A">
        <w:rPr>
          <w:rFonts w:cs="Arial"/>
          <w:bCs/>
          <w:szCs w:val="19"/>
          <w:lang w:val="en-GB"/>
        </w:rPr>
        <w:t xml:space="preserve">) a new public </w:t>
      </w:r>
      <w:bookmarkStart w:name="_9kMIH5YVt4666DMfKiiv" w:id="6"/>
      <w:r w:rsidRPr="006D4D0A" w:rsidR="006D4D0A">
        <w:rPr>
          <w:rFonts w:cs="Arial"/>
          <w:bCs/>
          <w:szCs w:val="19"/>
          <w:lang w:val="en-GB"/>
        </w:rPr>
        <w:t>offer</w:t>
      </w:r>
      <w:bookmarkEnd w:id="6"/>
      <w:r w:rsidRPr="006D4D0A" w:rsidR="006D4D0A">
        <w:rPr>
          <w:rFonts w:cs="Arial"/>
          <w:bCs/>
          <w:szCs w:val="19"/>
          <w:lang w:val="en-GB"/>
        </w:rPr>
        <w:t xml:space="preserve"> on the same terms and conditions as the Offer with an acceptance period not expiring after the Long Stop Date. In the event that a third party makes or announces an offer prior to the expiration of the Acceptance Period, the Offeror may decide, after consultation with Neways, to extend the Acceptance Period in accordance with Article 15, paragraph 5 of the Decree.</w:t>
      </w:r>
    </w:p>
    <w:p w:rsidRPr="00C414FB" w:rsidR="00C414FB" w:rsidP="00C414FB" w:rsidRDefault="00C414FB" w14:paraId="05E1D392" w14:textId="77777777">
      <w:pPr>
        <w:jc w:val="both"/>
        <w:rPr>
          <w:rFonts w:cs="Arial"/>
          <w:bCs/>
          <w:szCs w:val="19"/>
          <w:lang w:val="en-GB"/>
        </w:rPr>
      </w:pPr>
    </w:p>
    <w:p w:rsidR="006D4D0A" w:rsidP="006D4D0A" w:rsidRDefault="006D4D0A" w14:paraId="437E2EA1" w14:textId="70CB5D14">
      <w:pPr>
        <w:jc w:val="both"/>
        <w:rPr>
          <w:rFonts w:cs="Arial"/>
          <w:bCs/>
          <w:szCs w:val="19"/>
          <w:lang w:val="en-GB"/>
        </w:rPr>
      </w:pPr>
      <w:r w:rsidRPr="006D4D0A">
        <w:rPr>
          <w:rFonts w:cs="Arial"/>
          <w:bCs/>
          <w:szCs w:val="19"/>
          <w:lang w:val="en-GB"/>
        </w:rPr>
        <w:t>If the Acceptance Period is extended, so that the obligation pursuant to Article 16 of the Decree to announce whether the Offer is declared unconditional (</w:t>
      </w:r>
      <w:proofErr w:type="spellStart"/>
      <w:r w:rsidRPr="006D4D0A">
        <w:rPr>
          <w:rFonts w:cs="Arial"/>
          <w:bCs/>
          <w:i/>
          <w:szCs w:val="19"/>
          <w:lang w:val="en-GB"/>
        </w:rPr>
        <w:t>gestand</w:t>
      </w:r>
      <w:proofErr w:type="spellEnd"/>
      <w:r w:rsidRPr="006D4D0A">
        <w:rPr>
          <w:rFonts w:cs="Arial"/>
          <w:bCs/>
          <w:i/>
          <w:szCs w:val="19"/>
          <w:lang w:val="en-GB"/>
        </w:rPr>
        <w:t xml:space="preserve"> </w:t>
      </w:r>
      <w:proofErr w:type="spellStart"/>
      <w:r w:rsidRPr="006D4D0A">
        <w:rPr>
          <w:rFonts w:cs="Arial"/>
          <w:bCs/>
          <w:i/>
          <w:szCs w:val="19"/>
          <w:lang w:val="en-GB"/>
        </w:rPr>
        <w:t>wordt</w:t>
      </w:r>
      <w:proofErr w:type="spellEnd"/>
      <w:r w:rsidRPr="006D4D0A">
        <w:rPr>
          <w:rFonts w:cs="Arial"/>
          <w:bCs/>
          <w:i/>
          <w:szCs w:val="19"/>
          <w:lang w:val="en-GB"/>
        </w:rPr>
        <w:t xml:space="preserve"> </w:t>
      </w:r>
      <w:proofErr w:type="spellStart"/>
      <w:r w:rsidRPr="006D4D0A">
        <w:rPr>
          <w:rFonts w:cs="Arial"/>
          <w:bCs/>
          <w:i/>
          <w:szCs w:val="19"/>
          <w:lang w:val="en-GB"/>
        </w:rPr>
        <w:t>gedaan</w:t>
      </w:r>
      <w:proofErr w:type="spellEnd"/>
      <w:r w:rsidRPr="006D4D0A">
        <w:rPr>
          <w:rFonts w:cs="Arial"/>
          <w:bCs/>
          <w:szCs w:val="19"/>
          <w:lang w:val="en-GB"/>
        </w:rPr>
        <w:t>) is postponed, a public announcement to that effect will be made ultimately on the third (3rd) Business Day following the initial Closing Date in accordance with the provisions of Article 15, paragraphs 1 and 2 of the Decree. If the Offeror extends the Acceptance Period, the Offer will expire on the time and date to which the Offeror extends the Acceptance Period.</w:t>
      </w:r>
    </w:p>
    <w:p w:rsidRPr="006D4D0A" w:rsidR="006D4D0A" w:rsidP="006D4D0A" w:rsidRDefault="006D4D0A" w14:paraId="5ACF9EDE" w14:textId="77777777">
      <w:pPr>
        <w:jc w:val="both"/>
        <w:rPr>
          <w:rFonts w:cs="Arial"/>
          <w:bCs/>
          <w:szCs w:val="19"/>
          <w:lang w:val="en-GB"/>
        </w:rPr>
      </w:pPr>
    </w:p>
    <w:p w:rsidR="0024328D" w:rsidP="00C2444F" w:rsidRDefault="006D4D0A" w14:paraId="4CA9A24D" w14:textId="6F15EF09">
      <w:pPr>
        <w:jc w:val="both"/>
        <w:rPr>
          <w:rFonts w:cs="Arial"/>
          <w:bCs/>
          <w:szCs w:val="19"/>
          <w:lang w:val="en-GB"/>
        </w:rPr>
      </w:pPr>
      <w:r w:rsidRPr="006D4D0A">
        <w:rPr>
          <w:rFonts w:cs="Arial"/>
          <w:bCs/>
          <w:szCs w:val="19"/>
          <w:lang w:val="en-GB"/>
        </w:rPr>
        <w:t>During an extension of the Acceptance Period, any Shares previously tendered and not validly withdrawn will remain tendered under the Offer, subject to the right of each Shareholder to withdraw the Shares he or she has alrea</w:t>
      </w:r>
      <w:r>
        <w:rPr>
          <w:rFonts w:cs="Arial"/>
          <w:bCs/>
          <w:szCs w:val="19"/>
          <w:lang w:val="en-GB"/>
        </w:rPr>
        <w:t>dy tendered in accordance with</w:t>
      </w:r>
      <w:r w:rsidRPr="006D4D0A">
        <w:rPr>
          <w:lang w:val="en-GB"/>
        </w:rPr>
        <w:t xml:space="preserve"> </w:t>
      </w:r>
      <w:r w:rsidR="00B94D51">
        <w:rPr>
          <w:rFonts w:cs="Arial"/>
          <w:bCs/>
          <w:szCs w:val="19"/>
          <w:lang w:val="en-GB"/>
        </w:rPr>
        <w:t>S</w:t>
      </w:r>
      <w:r w:rsidRPr="006D4D0A">
        <w:rPr>
          <w:rFonts w:cs="Arial"/>
          <w:bCs/>
          <w:szCs w:val="19"/>
          <w:lang w:val="en-GB"/>
        </w:rPr>
        <w:t>ection 5.3(f) (</w:t>
      </w:r>
      <w:r w:rsidRPr="006D4D0A">
        <w:rPr>
          <w:rFonts w:cs="Arial"/>
          <w:bCs/>
          <w:i/>
          <w:szCs w:val="19"/>
          <w:lang w:val="en-GB"/>
        </w:rPr>
        <w:t>Withdrawal rights</w:t>
      </w:r>
      <w:r w:rsidRPr="006D4D0A">
        <w:rPr>
          <w:rFonts w:cs="Arial"/>
          <w:bCs/>
          <w:szCs w:val="19"/>
          <w:lang w:val="en-GB"/>
        </w:rPr>
        <w:t>)</w:t>
      </w:r>
      <w:r w:rsidR="005438CE">
        <w:rPr>
          <w:rFonts w:cs="Arial"/>
          <w:bCs/>
          <w:szCs w:val="19"/>
          <w:lang w:val="en-GB"/>
        </w:rPr>
        <w:t xml:space="preserve"> of the Offer Memorandum</w:t>
      </w:r>
      <w:r w:rsidRPr="006D4D0A">
        <w:rPr>
          <w:rFonts w:cs="Arial"/>
          <w:bCs/>
          <w:szCs w:val="19"/>
          <w:lang w:val="en-GB"/>
        </w:rPr>
        <w:t>.</w:t>
      </w:r>
      <w:r w:rsidR="0085557B">
        <w:rPr>
          <w:rFonts w:cs="Arial"/>
          <w:bCs/>
          <w:szCs w:val="19"/>
          <w:lang w:val="en-GB"/>
        </w:rPr>
        <w:t xml:space="preserve"> </w:t>
      </w:r>
    </w:p>
    <w:p w:rsidR="0085557B" w:rsidP="00C2444F" w:rsidRDefault="0085557B" w14:paraId="2D35E232" w14:textId="77777777">
      <w:pPr>
        <w:jc w:val="both"/>
        <w:rPr>
          <w:rFonts w:cs="Arial"/>
          <w:bCs/>
          <w:szCs w:val="19"/>
          <w:lang w:val="en-GB"/>
        </w:rPr>
      </w:pPr>
    </w:p>
    <w:p w:rsidRPr="005875C7" w:rsidR="00D20DF5" w:rsidP="00D20DF5" w:rsidRDefault="00D20DF5" w14:paraId="22C44E00" w14:textId="77777777">
      <w:pPr>
        <w:jc w:val="both"/>
        <w:rPr>
          <w:rFonts w:cs="Arial"/>
          <w:b/>
          <w:bCs/>
          <w:szCs w:val="19"/>
          <w:lang w:val="en-GB"/>
        </w:rPr>
      </w:pPr>
      <w:r w:rsidRPr="005875C7">
        <w:rPr>
          <w:rFonts w:cs="Arial"/>
          <w:b/>
          <w:bCs/>
          <w:szCs w:val="19"/>
          <w:lang w:val="en-GB"/>
        </w:rPr>
        <w:t>Settlement</w:t>
      </w:r>
    </w:p>
    <w:p w:rsidRPr="00C414FB" w:rsidR="00C414FB" w:rsidP="00C414FB" w:rsidRDefault="006D4D0A" w14:paraId="5FF10A4C" w14:textId="45456CF6">
      <w:pPr>
        <w:jc w:val="both"/>
        <w:rPr>
          <w:rFonts w:cs="Arial"/>
          <w:bCs/>
          <w:szCs w:val="19"/>
          <w:lang w:val="en-GB"/>
        </w:rPr>
      </w:pPr>
      <w:r w:rsidRPr="006D4D0A">
        <w:rPr>
          <w:rFonts w:cs="Arial"/>
          <w:bCs/>
          <w:szCs w:val="19"/>
          <w:lang w:val="en-GB"/>
        </w:rPr>
        <w:t>In the event that the Offeror declares the Offer unconditional (</w:t>
      </w:r>
      <w:proofErr w:type="spellStart"/>
      <w:r w:rsidRPr="006D4D0A">
        <w:rPr>
          <w:rFonts w:cs="Arial"/>
          <w:bCs/>
          <w:i/>
          <w:szCs w:val="19"/>
          <w:lang w:val="en-GB"/>
        </w:rPr>
        <w:t>gestand</w:t>
      </w:r>
      <w:proofErr w:type="spellEnd"/>
      <w:r w:rsidRPr="006D4D0A">
        <w:rPr>
          <w:rFonts w:cs="Arial"/>
          <w:bCs/>
          <w:i/>
          <w:szCs w:val="19"/>
          <w:lang w:val="en-GB"/>
        </w:rPr>
        <w:t xml:space="preserve"> </w:t>
      </w:r>
      <w:proofErr w:type="spellStart"/>
      <w:r w:rsidR="008D2FD8">
        <w:rPr>
          <w:rFonts w:cs="Arial"/>
          <w:bCs/>
          <w:i/>
          <w:szCs w:val="19"/>
          <w:lang w:val="en-GB"/>
        </w:rPr>
        <w:t>doet</w:t>
      </w:r>
      <w:proofErr w:type="spellEnd"/>
      <w:r w:rsidRPr="006D4D0A">
        <w:rPr>
          <w:rFonts w:cs="Arial"/>
          <w:bCs/>
          <w:szCs w:val="19"/>
          <w:lang w:val="en-GB"/>
        </w:rPr>
        <w:t xml:space="preserve">), Shareholders who have validly tendered (or defectively tendered provided that such defect has been waived by the Offeror) and </w:t>
      </w:r>
      <w:r w:rsidRPr="006D4D0A">
        <w:rPr>
          <w:rFonts w:cs="Arial"/>
          <w:bCs/>
          <w:szCs w:val="19"/>
          <w:lang w:val="en-GB"/>
        </w:rPr>
        <w:lastRenderedPageBreak/>
        <w:t>have not validly withdrawn and have transferred (</w:t>
      </w:r>
      <w:proofErr w:type="spellStart"/>
      <w:r w:rsidRPr="006D4D0A">
        <w:rPr>
          <w:rFonts w:cs="Arial"/>
          <w:bCs/>
          <w:i/>
          <w:szCs w:val="19"/>
          <w:lang w:val="en-GB"/>
        </w:rPr>
        <w:t>geleverd</w:t>
      </w:r>
      <w:proofErr w:type="spellEnd"/>
      <w:r w:rsidRPr="006D4D0A">
        <w:rPr>
          <w:rFonts w:cs="Arial"/>
          <w:bCs/>
          <w:szCs w:val="19"/>
          <w:lang w:val="en-GB"/>
        </w:rPr>
        <w:t>) their Shares for acceptance pursuant to the Offer on or prior to the Closing Date will receive no later than on the fifth (5th) Business Day after the Unconditional Date the Offer Price in respect of each Tendered Share, as of which moment revocation (</w:t>
      </w:r>
      <w:proofErr w:type="spellStart"/>
      <w:r w:rsidRPr="006D4D0A">
        <w:rPr>
          <w:rFonts w:cs="Arial"/>
          <w:bCs/>
          <w:i/>
          <w:szCs w:val="19"/>
          <w:lang w:val="en-GB"/>
        </w:rPr>
        <w:t>herroeping</w:t>
      </w:r>
      <w:proofErr w:type="spellEnd"/>
      <w:r w:rsidRPr="006D4D0A">
        <w:rPr>
          <w:rFonts w:cs="Arial"/>
          <w:bCs/>
          <w:szCs w:val="19"/>
          <w:lang w:val="en-GB"/>
        </w:rPr>
        <w:t>), dissolution (</w:t>
      </w:r>
      <w:proofErr w:type="spellStart"/>
      <w:r w:rsidRPr="006D4D0A">
        <w:rPr>
          <w:rFonts w:cs="Arial"/>
          <w:bCs/>
          <w:i/>
          <w:szCs w:val="19"/>
          <w:lang w:val="en-GB"/>
        </w:rPr>
        <w:t>ontbinding</w:t>
      </w:r>
      <w:proofErr w:type="spellEnd"/>
      <w:r w:rsidRPr="006D4D0A">
        <w:rPr>
          <w:rFonts w:cs="Arial"/>
          <w:bCs/>
          <w:szCs w:val="19"/>
          <w:lang w:val="en-GB"/>
        </w:rPr>
        <w:t>) or annulment (</w:t>
      </w:r>
      <w:proofErr w:type="spellStart"/>
      <w:r w:rsidRPr="006D4D0A">
        <w:rPr>
          <w:rFonts w:cs="Arial"/>
          <w:bCs/>
          <w:i/>
          <w:szCs w:val="19"/>
          <w:lang w:val="en-GB"/>
        </w:rPr>
        <w:t>vernietiging</w:t>
      </w:r>
      <w:proofErr w:type="spellEnd"/>
      <w:r w:rsidRPr="006D4D0A">
        <w:rPr>
          <w:rFonts w:cs="Arial"/>
          <w:bCs/>
          <w:szCs w:val="19"/>
          <w:lang w:val="en-GB"/>
        </w:rPr>
        <w:t>) of a Shareholder's acceptance, tender or transfer (</w:t>
      </w:r>
      <w:r w:rsidRPr="006D4D0A">
        <w:rPr>
          <w:rFonts w:cs="Arial"/>
          <w:bCs/>
          <w:i/>
          <w:szCs w:val="19"/>
          <w:lang w:val="en-GB"/>
        </w:rPr>
        <w:t>levering</w:t>
      </w:r>
      <w:r w:rsidRPr="006D4D0A">
        <w:rPr>
          <w:rFonts w:cs="Arial"/>
          <w:bCs/>
          <w:szCs w:val="19"/>
          <w:lang w:val="en-GB"/>
        </w:rPr>
        <w:t>) shall not be permitted. Settlement will only take place if the Offer is declared unconditional (</w:t>
      </w:r>
      <w:proofErr w:type="spellStart"/>
      <w:r w:rsidRPr="006D4D0A">
        <w:rPr>
          <w:rFonts w:cs="Arial"/>
          <w:bCs/>
          <w:i/>
          <w:szCs w:val="19"/>
          <w:lang w:val="en-GB"/>
        </w:rPr>
        <w:t>gestand</w:t>
      </w:r>
      <w:proofErr w:type="spellEnd"/>
      <w:r w:rsidRPr="006D4D0A">
        <w:rPr>
          <w:rFonts w:cs="Arial"/>
          <w:bCs/>
          <w:i/>
          <w:szCs w:val="19"/>
          <w:lang w:val="en-GB"/>
        </w:rPr>
        <w:t xml:space="preserve"> is </w:t>
      </w:r>
      <w:proofErr w:type="spellStart"/>
      <w:r w:rsidRPr="006D4D0A">
        <w:rPr>
          <w:rFonts w:cs="Arial"/>
          <w:bCs/>
          <w:i/>
          <w:szCs w:val="19"/>
          <w:lang w:val="en-GB"/>
        </w:rPr>
        <w:t>gedaan</w:t>
      </w:r>
      <w:proofErr w:type="spellEnd"/>
      <w:r w:rsidRPr="006D4D0A">
        <w:rPr>
          <w:rFonts w:cs="Arial"/>
          <w:bCs/>
          <w:szCs w:val="19"/>
          <w:lang w:val="en-GB"/>
        </w:rPr>
        <w:t>). The Offeror cannot guarantee that Shareholders will actually receive the payment within this period from the Admitted Institution with whom they hold their Shares.</w:t>
      </w:r>
    </w:p>
    <w:p w:rsidR="00D20DF5" w:rsidP="00D20DF5" w:rsidRDefault="00D20DF5" w14:paraId="3D24FD92" w14:textId="77777777">
      <w:pPr>
        <w:jc w:val="both"/>
        <w:rPr>
          <w:rFonts w:cs="Arial"/>
          <w:bCs/>
          <w:szCs w:val="19"/>
          <w:lang w:val="en-GB"/>
        </w:rPr>
      </w:pPr>
    </w:p>
    <w:p w:rsidRPr="005875C7" w:rsidR="00963F62" w:rsidP="00963F62" w:rsidRDefault="00963F62" w14:paraId="4F209C76" w14:textId="52B81D1F">
      <w:pPr>
        <w:jc w:val="both"/>
        <w:rPr>
          <w:rFonts w:cs="Arial"/>
          <w:b/>
          <w:bCs/>
          <w:szCs w:val="19"/>
          <w:lang w:val="en-GB"/>
        </w:rPr>
      </w:pPr>
      <w:r w:rsidRPr="005875C7">
        <w:rPr>
          <w:rFonts w:cs="Arial"/>
          <w:b/>
          <w:bCs/>
          <w:szCs w:val="19"/>
          <w:lang w:val="en-GB"/>
        </w:rPr>
        <w:t>Post-</w:t>
      </w:r>
      <w:r w:rsidR="003A0BFE">
        <w:rPr>
          <w:rFonts w:cs="Arial"/>
          <w:b/>
          <w:bCs/>
          <w:szCs w:val="19"/>
          <w:lang w:val="en-GB"/>
        </w:rPr>
        <w:t xml:space="preserve">Closing </w:t>
      </w:r>
      <w:r w:rsidRPr="005875C7">
        <w:rPr>
          <w:rFonts w:cs="Arial"/>
          <w:b/>
          <w:bCs/>
          <w:szCs w:val="19"/>
          <w:lang w:val="en-GB"/>
        </w:rPr>
        <w:t>Acceptance Period</w:t>
      </w:r>
    </w:p>
    <w:p w:rsidR="00963F62" w:rsidP="00963F62" w:rsidRDefault="006D4D0A" w14:paraId="311F2D37" w14:textId="5C096D9A">
      <w:pPr>
        <w:jc w:val="both"/>
        <w:rPr>
          <w:lang w:val="en-GB"/>
        </w:rPr>
      </w:pPr>
      <w:bookmarkStart w:name="_Ref209407362" w:id="7"/>
      <w:r w:rsidRPr="006D4D0A">
        <w:rPr>
          <w:lang w:val="en-GB"/>
        </w:rPr>
        <w:t>In the event that the Offeror declares the Offer unconditional (</w:t>
      </w:r>
      <w:proofErr w:type="spellStart"/>
      <w:r w:rsidRPr="006D4D0A">
        <w:rPr>
          <w:i/>
          <w:iCs/>
          <w:lang w:val="en-GB"/>
        </w:rPr>
        <w:t>gestand</w:t>
      </w:r>
      <w:proofErr w:type="spellEnd"/>
      <w:r w:rsidRPr="006D4D0A">
        <w:rPr>
          <w:i/>
          <w:iCs/>
          <w:lang w:val="en-GB"/>
        </w:rPr>
        <w:t xml:space="preserve"> </w:t>
      </w:r>
      <w:proofErr w:type="spellStart"/>
      <w:r w:rsidR="008D2FD8">
        <w:rPr>
          <w:i/>
          <w:iCs/>
          <w:lang w:val="en-GB"/>
        </w:rPr>
        <w:t>doet</w:t>
      </w:r>
      <w:proofErr w:type="spellEnd"/>
      <w:r w:rsidRPr="006D4D0A">
        <w:rPr>
          <w:lang w:val="en-GB"/>
        </w:rPr>
        <w:t>), the Offeror may, after consultation with Neways, in accordance with Article 17 of the Decree, within three (3) Business Days after declaring the Offer unconditional, publicly announce a Post-Closing Acceptance Period (</w:t>
      </w:r>
      <w:r w:rsidRPr="006D4D0A">
        <w:rPr>
          <w:i/>
          <w:iCs/>
          <w:lang w:val="en-GB"/>
        </w:rPr>
        <w:t>na-aanmeldingstermijn</w:t>
      </w:r>
      <w:r w:rsidRPr="006D4D0A">
        <w:rPr>
          <w:lang w:val="en-GB"/>
        </w:rPr>
        <w:t>) of two (2) weeks to enable Shareholders who did not tender their Shares during the Acceptance Period to tender their Shares during the Post-Closing Acceptance Period under the same terms and conditions as the Offer.</w:t>
      </w:r>
    </w:p>
    <w:p w:rsidRPr="006D4D0A" w:rsidR="006D4D0A" w:rsidP="00963F62" w:rsidRDefault="006D4D0A" w14:paraId="1416625D" w14:textId="77777777">
      <w:pPr>
        <w:jc w:val="both"/>
        <w:rPr>
          <w:rFonts w:cs="Arial"/>
          <w:bCs/>
          <w:szCs w:val="19"/>
          <w:lang w:val="en-GB"/>
        </w:rPr>
      </w:pPr>
    </w:p>
    <w:bookmarkEnd w:id="7"/>
    <w:p w:rsidR="006D4D0A" w:rsidP="006D4D0A" w:rsidRDefault="006D4D0A" w14:paraId="39C832EC" w14:textId="77777777">
      <w:pPr>
        <w:jc w:val="both"/>
        <w:rPr>
          <w:lang w:val="en-GB"/>
        </w:rPr>
      </w:pPr>
      <w:r w:rsidRPr="006D4D0A">
        <w:rPr>
          <w:lang w:val="en-GB"/>
        </w:rPr>
        <w:t>During the Post-Closing Acceptance Period, Shareholders have no right to withdraw Shares from the Offer, which are validly tendered (or defectively tendered, provided that such defect has been waived by the Offeror) during the Acceptance Period or during the Post-Closing Acceptance Period. Shareholders who have validly tendered (or defectively tendered provided that such defect has been waived by the Offeror) and transferred (</w:t>
      </w:r>
      <w:proofErr w:type="spellStart"/>
      <w:r w:rsidRPr="006D4D0A">
        <w:rPr>
          <w:i/>
          <w:lang w:val="en-GB"/>
        </w:rPr>
        <w:t>geleverd</w:t>
      </w:r>
      <w:proofErr w:type="spellEnd"/>
      <w:r w:rsidRPr="006D4D0A">
        <w:rPr>
          <w:lang w:val="en-GB"/>
        </w:rPr>
        <w:t>) their Shares for acceptance under the Offer during the Post-Closing Acceptance Period, will receive the Offer Price from the Offeror in respect of each Tendered Share no later than on the fifth (5th) Business Day after expiration of the Post-Closing Acceptance Period.</w:t>
      </w:r>
    </w:p>
    <w:p w:rsidRPr="006D4D0A" w:rsidR="006D4D0A" w:rsidP="006D4D0A" w:rsidRDefault="006D4D0A" w14:paraId="505656DC" w14:textId="77777777">
      <w:pPr>
        <w:jc w:val="both"/>
        <w:rPr>
          <w:lang w:val="en-GB"/>
        </w:rPr>
      </w:pPr>
    </w:p>
    <w:p w:rsidR="00BE13FC" w:rsidP="006D4D0A" w:rsidRDefault="006D4D0A" w14:paraId="1B4F0892" w14:textId="77777777">
      <w:pPr>
        <w:jc w:val="both"/>
        <w:rPr>
          <w:lang w:val="en-GB"/>
        </w:rPr>
      </w:pPr>
      <w:r w:rsidRPr="006D4D0A">
        <w:rPr>
          <w:lang w:val="en-GB"/>
        </w:rPr>
        <w:t>As of the relevant settlement date, revocation (</w:t>
      </w:r>
      <w:proofErr w:type="spellStart"/>
      <w:r w:rsidRPr="006D4D0A">
        <w:rPr>
          <w:i/>
          <w:lang w:val="en-GB"/>
        </w:rPr>
        <w:t>herroeping</w:t>
      </w:r>
      <w:proofErr w:type="spellEnd"/>
      <w:r w:rsidRPr="006D4D0A">
        <w:rPr>
          <w:lang w:val="en-GB"/>
        </w:rPr>
        <w:t>), dissolution (</w:t>
      </w:r>
      <w:proofErr w:type="spellStart"/>
      <w:r w:rsidRPr="006D4D0A">
        <w:rPr>
          <w:i/>
          <w:lang w:val="en-GB"/>
        </w:rPr>
        <w:t>ontbinding</w:t>
      </w:r>
      <w:proofErr w:type="spellEnd"/>
      <w:r w:rsidRPr="006D4D0A">
        <w:rPr>
          <w:lang w:val="en-GB"/>
        </w:rPr>
        <w:t>) or annulment (</w:t>
      </w:r>
      <w:proofErr w:type="spellStart"/>
      <w:r w:rsidRPr="006D4D0A">
        <w:rPr>
          <w:i/>
          <w:lang w:val="en-GB"/>
        </w:rPr>
        <w:t>vernietiging</w:t>
      </w:r>
      <w:proofErr w:type="spellEnd"/>
      <w:r w:rsidRPr="006D4D0A">
        <w:rPr>
          <w:lang w:val="en-GB"/>
        </w:rPr>
        <w:t>) of the acceptance, tendering, sale or transfer (</w:t>
      </w:r>
      <w:r w:rsidRPr="006D4D0A">
        <w:rPr>
          <w:i/>
          <w:lang w:val="en-GB"/>
        </w:rPr>
        <w:t>levering</w:t>
      </w:r>
      <w:r w:rsidRPr="006D4D0A">
        <w:rPr>
          <w:lang w:val="en-GB"/>
        </w:rPr>
        <w:t>) of any Share tendered during the Post-Closing Acceptance Period is not possible.</w:t>
      </w:r>
    </w:p>
    <w:p w:rsidRPr="00BE13FC" w:rsidR="006D4D0A" w:rsidP="006D4D0A" w:rsidRDefault="006D4D0A" w14:paraId="420889ED" w14:textId="77777777">
      <w:pPr>
        <w:jc w:val="both"/>
        <w:rPr>
          <w:rFonts w:cs="Arial"/>
          <w:bCs/>
          <w:szCs w:val="19"/>
          <w:lang w:val="en-GB"/>
        </w:rPr>
      </w:pPr>
    </w:p>
    <w:p w:rsidRPr="0027743E" w:rsidR="00963F62" w:rsidP="00963F62" w:rsidRDefault="0027743E" w14:paraId="5CA02E79" w14:textId="7155407A">
      <w:pPr>
        <w:jc w:val="both"/>
        <w:rPr>
          <w:rFonts w:cs="Arial"/>
          <w:b/>
          <w:bCs/>
          <w:szCs w:val="19"/>
          <w:lang w:val="en-GB"/>
        </w:rPr>
      </w:pPr>
      <w:r>
        <w:rPr>
          <w:rFonts w:cs="Arial"/>
          <w:b/>
          <w:bCs/>
          <w:szCs w:val="19"/>
          <w:lang w:val="en-GB"/>
        </w:rPr>
        <w:t>Squeeze</w:t>
      </w:r>
      <w:r w:rsidRPr="005875C7" w:rsidR="00963F62">
        <w:rPr>
          <w:rFonts w:cs="Arial"/>
          <w:b/>
          <w:bCs/>
          <w:szCs w:val="19"/>
          <w:lang w:val="en-GB"/>
        </w:rPr>
        <w:t>-</w:t>
      </w:r>
      <w:r w:rsidR="001B7910">
        <w:rPr>
          <w:rFonts w:cs="Arial"/>
          <w:b/>
          <w:bCs/>
          <w:szCs w:val="19"/>
          <w:lang w:val="en-GB"/>
        </w:rPr>
        <w:t>O</w:t>
      </w:r>
      <w:r w:rsidRPr="005875C7" w:rsidR="00963F62">
        <w:rPr>
          <w:rFonts w:cs="Arial"/>
          <w:b/>
          <w:bCs/>
          <w:szCs w:val="19"/>
          <w:lang w:val="en-GB"/>
        </w:rPr>
        <w:t xml:space="preserve">ut and </w:t>
      </w:r>
      <w:bookmarkStart w:name="_Ref76151842" w:id="8"/>
      <w:r w:rsidRPr="0027743E">
        <w:rPr>
          <w:b/>
          <w:lang w:val="en-GB"/>
        </w:rPr>
        <w:t>Post-Closing Merger Restructuring</w:t>
      </w:r>
      <w:bookmarkEnd w:id="8"/>
    </w:p>
    <w:p w:rsidR="009232E8" w:rsidP="00963F62" w:rsidRDefault="0027743E" w14:paraId="2BDE5AC7" w14:textId="3B636685">
      <w:pPr>
        <w:jc w:val="both"/>
        <w:rPr>
          <w:lang w:val="en-GB"/>
        </w:rPr>
      </w:pPr>
      <w:r w:rsidRPr="0027743E">
        <w:rPr>
          <w:lang w:val="en-GB"/>
        </w:rPr>
        <w:t xml:space="preserve">Taking into account the strategic rationale of the Offer, </w:t>
      </w:r>
      <w:r w:rsidR="00D371AB">
        <w:rPr>
          <w:lang w:val="en-GB"/>
        </w:rPr>
        <w:t xml:space="preserve">the </w:t>
      </w:r>
      <w:r w:rsidRPr="0027743E">
        <w:rPr>
          <w:lang w:val="en-GB"/>
        </w:rPr>
        <w:t>Offeror aims to own at least 60% or in any event a majority (50.01%) of the Shares</w:t>
      </w:r>
      <w:r w:rsidR="009232E8">
        <w:rPr>
          <w:lang w:val="en-GB"/>
        </w:rPr>
        <w:t>,</w:t>
      </w:r>
      <w:r w:rsidRPr="0027743E">
        <w:rPr>
          <w:lang w:val="en-GB"/>
        </w:rPr>
        <w:t xml:space="preserve"> and </w:t>
      </w:r>
      <w:r w:rsidR="009232E8">
        <w:rPr>
          <w:lang w:val="en-GB"/>
        </w:rPr>
        <w:t xml:space="preserve">if the Offer is declared unconditional, have Neways continue as a company listed on Euronext Amsterdam. </w:t>
      </w:r>
    </w:p>
    <w:p w:rsidR="009232E8" w:rsidP="00963F62" w:rsidRDefault="009232E8" w14:paraId="0F1B5049" w14:textId="77777777">
      <w:pPr>
        <w:jc w:val="both"/>
        <w:rPr>
          <w:lang w:val="en-GB"/>
        </w:rPr>
      </w:pPr>
    </w:p>
    <w:p w:rsidRPr="00963F62" w:rsidR="00963F62" w:rsidP="00963F62" w:rsidRDefault="009232E8" w14:paraId="0823CEF2" w14:textId="078FF7BB">
      <w:pPr>
        <w:jc w:val="both"/>
        <w:rPr>
          <w:rFonts w:cs="Arial"/>
          <w:bCs/>
          <w:szCs w:val="19"/>
          <w:lang w:val="en-GB"/>
        </w:rPr>
      </w:pPr>
      <w:r>
        <w:rPr>
          <w:lang w:val="en-GB"/>
        </w:rPr>
        <w:t xml:space="preserve">However, </w:t>
      </w:r>
      <w:r w:rsidR="00FF7CAF">
        <w:rPr>
          <w:lang w:val="en-GB"/>
        </w:rPr>
        <w:t xml:space="preserve">when </w:t>
      </w:r>
      <w:r w:rsidRPr="0027743E" w:rsidR="0027743E">
        <w:rPr>
          <w:lang w:val="en-GB"/>
        </w:rPr>
        <w:t>the Post-Closing Restructuring Threshold is reached, Neways and the Offeror also see merits and benefits in the Offeror acquiring 100% of the Shares or Neways' assets and operations by means of the Squeeze-Out or Post-Closing Merger Restructuring and pursuing a delisting of the Shares.</w:t>
      </w:r>
      <w:r w:rsidR="00CF263E">
        <w:rPr>
          <w:rFonts w:cs="Arial"/>
          <w:bCs/>
          <w:szCs w:val="19"/>
          <w:lang w:val="en-GB"/>
        </w:rPr>
        <w:t xml:space="preserve"> </w:t>
      </w:r>
      <w:r w:rsidRPr="00963F62" w:rsidR="00963F62">
        <w:rPr>
          <w:rFonts w:cs="Arial"/>
          <w:bCs/>
          <w:szCs w:val="19"/>
          <w:lang w:val="en-GB"/>
        </w:rPr>
        <w:t xml:space="preserve">As further described in the Offer Memorandum, </w:t>
      </w:r>
      <w:r w:rsidR="00AF7F6A">
        <w:rPr>
          <w:rFonts w:cs="Arial"/>
          <w:bCs/>
          <w:szCs w:val="19"/>
          <w:lang w:val="en-GB"/>
        </w:rPr>
        <w:t>the Offeror</w:t>
      </w:r>
      <w:r w:rsidRPr="00963F62" w:rsidR="00963F62">
        <w:rPr>
          <w:rFonts w:cs="Arial"/>
          <w:bCs/>
          <w:szCs w:val="19"/>
          <w:lang w:val="en-GB"/>
        </w:rPr>
        <w:t xml:space="preserve"> and </w:t>
      </w:r>
      <w:r w:rsidR="0027743E">
        <w:rPr>
          <w:rFonts w:cs="Arial"/>
          <w:bCs/>
          <w:szCs w:val="19"/>
          <w:lang w:val="en-GB"/>
        </w:rPr>
        <w:t>Neways</w:t>
      </w:r>
      <w:r w:rsidR="00AF7F6A">
        <w:rPr>
          <w:rFonts w:cs="Arial"/>
          <w:bCs/>
          <w:szCs w:val="19"/>
          <w:lang w:val="en-GB"/>
        </w:rPr>
        <w:t xml:space="preserve"> </w:t>
      </w:r>
      <w:r w:rsidRPr="00963F62" w:rsidR="00963F62">
        <w:rPr>
          <w:rFonts w:cs="Arial"/>
          <w:bCs/>
          <w:szCs w:val="19"/>
          <w:lang w:val="en-GB"/>
        </w:rPr>
        <w:t xml:space="preserve">have agreed in principle to certain arrangements </w:t>
      </w:r>
      <w:r w:rsidRPr="007C4277" w:rsidR="00963F62">
        <w:rPr>
          <w:rFonts w:cs="Arial"/>
          <w:bCs/>
          <w:szCs w:val="19"/>
          <w:lang w:val="en-GB"/>
        </w:rPr>
        <w:t xml:space="preserve">to facilitate </w:t>
      </w:r>
      <w:r w:rsidRPr="007C4277" w:rsidR="00AF7F6A">
        <w:rPr>
          <w:rFonts w:cs="Arial"/>
          <w:bCs/>
          <w:szCs w:val="19"/>
          <w:lang w:val="en-GB"/>
        </w:rPr>
        <w:t xml:space="preserve">the Offeror </w:t>
      </w:r>
      <w:r w:rsidRPr="007C4277" w:rsidR="00963F62">
        <w:rPr>
          <w:rFonts w:cs="Arial"/>
          <w:bCs/>
          <w:szCs w:val="19"/>
          <w:lang w:val="en-GB"/>
        </w:rPr>
        <w:t>acquiring 100% of the Shares and/or full ownership</w:t>
      </w:r>
      <w:r w:rsidR="008D2FD8">
        <w:rPr>
          <w:rFonts w:cs="Arial"/>
          <w:bCs/>
          <w:szCs w:val="19"/>
          <w:lang w:val="en-GB"/>
        </w:rPr>
        <w:t xml:space="preserve"> of the</w:t>
      </w:r>
      <w:r w:rsidRPr="007C4277" w:rsidR="00963F62">
        <w:rPr>
          <w:rFonts w:cs="Arial"/>
          <w:bCs/>
          <w:szCs w:val="19"/>
          <w:lang w:val="en-GB"/>
        </w:rPr>
        <w:t xml:space="preserve"> </w:t>
      </w:r>
      <w:r w:rsidR="0027743E">
        <w:rPr>
          <w:rFonts w:cs="Arial"/>
          <w:bCs/>
          <w:szCs w:val="19"/>
          <w:lang w:val="en-GB"/>
        </w:rPr>
        <w:t>Neways</w:t>
      </w:r>
      <w:r w:rsidRPr="007C4277" w:rsidR="00AF7F6A">
        <w:rPr>
          <w:rFonts w:cs="Arial"/>
          <w:bCs/>
          <w:szCs w:val="19"/>
          <w:lang w:val="en-GB"/>
        </w:rPr>
        <w:t xml:space="preserve"> </w:t>
      </w:r>
      <w:r w:rsidR="008D2FD8">
        <w:rPr>
          <w:rFonts w:cs="Arial"/>
          <w:bCs/>
          <w:szCs w:val="19"/>
          <w:lang w:val="en-GB"/>
        </w:rPr>
        <w:t xml:space="preserve">businesses </w:t>
      </w:r>
      <w:r w:rsidRPr="007C4277" w:rsidR="00963F62">
        <w:rPr>
          <w:rFonts w:cs="Arial"/>
          <w:bCs/>
          <w:szCs w:val="19"/>
          <w:lang w:val="en-GB"/>
        </w:rPr>
        <w:t xml:space="preserve">as soon as practically possible after completion of the Offer and upon the fulfilment of certain conditions. Two of these arrangements are the </w:t>
      </w:r>
      <w:r w:rsidR="001B7910">
        <w:rPr>
          <w:rFonts w:cs="Arial"/>
          <w:bCs/>
          <w:szCs w:val="19"/>
          <w:lang w:val="en-GB"/>
        </w:rPr>
        <w:t>Squeeze-O</w:t>
      </w:r>
      <w:r w:rsidR="0027743E">
        <w:rPr>
          <w:rFonts w:cs="Arial"/>
          <w:bCs/>
          <w:szCs w:val="19"/>
          <w:lang w:val="en-GB"/>
        </w:rPr>
        <w:t>ut</w:t>
      </w:r>
      <w:r w:rsidRPr="007C4277" w:rsidR="00963F62">
        <w:rPr>
          <w:rFonts w:cs="Arial"/>
          <w:bCs/>
          <w:szCs w:val="19"/>
          <w:lang w:val="en-GB"/>
        </w:rPr>
        <w:t xml:space="preserve"> and the </w:t>
      </w:r>
      <w:r w:rsidRPr="0027743E" w:rsidR="0027743E">
        <w:rPr>
          <w:rFonts w:cs="Arial"/>
          <w:bCs/>
          <w:szCs w:val="19"/>
          <w:lang w:val="en-GB"/>
        </w:rPr>
        <w:t>Post-Closing Merger Restructuring</w:t>
      </w:r>
      <w:r w:rsidRPr="007C4277" w:rsidR="00963F62">
        <w:rPr>
          <w:rFonts w:cs="Arial"/>
          <w:bCs/>
          <w:szCs w:val="19"/>
          <w:lang w:val="en-GB"/>
        </w:rPr>
        <w:t>.</w:t>
      </w:r>
    </w:p>
    <w:p w:rsidR="00CF263E" w:rsidP="007C4277" w:rsidRDefault="00CF263E" w14:paraId="60C6DE79" w14:textId="77777777">
      <w:pPr>
        <w:jc w:val="both"/>
        <w:rPr>
          <w:rFonts w:cs="Arial"/>
          <w:bCs/>
          <w:szCs w:val="19"/>
          <w:lang w:val="en-GB"/>
        </w:rPr>
      </w:pPr>
    </w:p>
    <w:p w:rsidR="00D76AA8" w:rsidP="00D76AA8" w:rsidRDefault="00D76AA8" w14:paraId="4851A983" w14:textId="5EABDCB6">
      <w:pPr>
        <w:jc w:val="both"/>
        <w:rPr>
          <w:rFonts w:cs="Arial"/>
          <w:bCs/>
          <w:szCs w:val="19"/>
          <w:lang w:val="en-GB"/>
        </w:rPr>
      </w:pPr>
      <w:r w:rsidRPr="00D76AA8">
        <w:rPr>
          <w:rFonts w:cs="Arial"/>
          <w:bCs/>
          <w:szCs w:val="19"/>
          <w:lang w:val="en-GB"/>
        </w:rPr>
        <w:t>If, following the Settlement Date and, if applicable, the Post-Closing Acceptance Period, the aggregate number of Tendered Shares is equal to or greater than 95% of Neways' aggregate issued and outstanding ordinary share capital (</w:t>
      </w:r>
      <w:proofErr w:type="spellStart"/>
      <w:r w:rsidRPr="00D76AA8">
        <w:rPr>
          <w:rFonts w:cs="Arial"/>
          <w:bCs/>
          <w:i/>
          <w:szCs w:val="19"/>
          <w:lang w:val="en-GB"/>
        </w:rPr>
        <w:t>geplaatst</w:t>
      </w:r>
      <w:proofErr w:type="spellEnd"/>
      <w:r w:rsidRPr="00D76AA8">
        <w:rPr>
          <w:rFonts w:cs="Arial"/>
          <w:bCs/>
          <w:i/>
          <w:szCs w:val="19"/>
          <w:lang w:val="en-GB"/>
        </w:rPr>
        <w:t xml:space="preserve"> en </w:t>
      </w:r>
      <w:proofErr w:type="spellStart"/>
      <w:r w:rsidRPr="00D76AA8">
        <w:rPr>
          <w:rFonts w:cs="Arial"/>
          <w:bCs/>
          <w:i/>
          <w:szCs w:val="19"/>
          <w:lang w:val="en-GB"/>
        </w:rPr>
        <w:t>uitstaand</w:t>
      </w:r>
      <w:proofErr w:type="spellEnd"/>
      <w:r w:rsidRPr="00D76AA8">
        <w:rPr>
          <w:rFonts w:cs="Arial"/>
          <w:bCs/>
          <w:i/>
          <w:szCs w:val="19"/>
          <w:lang w:val="en-GB"/>
        </w:rPr>
        <w:t xml:space="preserve"> </w:t>
      </w:r>
      <w:proofErr w:type="spellStart"/>
      <w:r w:rsidRPr="00D76AA8">
        <w:rPr>
          <w:rFonts w:cs="Arial"/>
          <w:bCs/>
          <w:i/>
          <w:szCs w:val="19"/>
          <w:lang w:val="en-GB"/>
        </w:rPr>
        <w:t>gewoon</w:t>
      </w:r>
      <w:proofErr w:type="spellEnd"/>
      <w:r w:rsidRPr="00D76AA8">
        <w:rPr>
          <w:rFonts w:cs="Arial"/>
          <w:bCs/>
          <w:i/>
          <w:szCs w:val="19"/>
          <w:lang w:val="en-GB"/>
        </w:rPr>
        <w:t xml:space="preserve"> </w:t>
      </w:r>
      <w:proofErr w:type="spellStart"/>
      <w:r w:rsidRPr="00D76AA8">
        <w:rPr>
          <w:rFonts w:cs="Arial"/>
          <w:bCs/>
          <w:i/>
          <w:szCs w:val="19"/>
          <w:lang w:val="en-GB"/>
        </w:rPr>
        <w:t>aandelenkapitaal</w:t>
      </w:r>
      <w:proofErr w:type="spellEnd"/>
      <w:r w:rsidRPr="00D76AA8">
        <w:rPr>
          <w:rFonts w:cs="Arial"/>
          <w:bCs/>
          <w:szCs w:val="19"/>
          <w:lang w:val="en-GB"/>
        </w:rPr>
        <w:t>) on a fully diluted basis (excluding treasury shares), the Offeror may commence a compulsory acquisition procedure (</w:t>
      </w:r>
      <w:proofErr w:type="spellStart"/>
      <w:r w:rsidRPr="00D76AA8">
        <w:rPr>
          <w:rFonts w:cs="Arial"/>
          <w:bCs/>
          <w:i/>
          <w:szCs w:val="19"/>
          <w:lang w:val="en-GB"/>
        </w:rPr>
        <w:t>uitkoopprocedure</w:t>
      </w:r>
      <w:proofErr w:type="spellEnd"/>
      <w:r w:rsidRPr="00D76AA8">
        <w:rPr>
          <w:rFonts w:cs="Arial"/>
          <w:bCs/>
          <w:szCs w:val="19"/>
          <w:lang w:val="en-GB"/>
        </w:rPr>
        <w:t>) in accordance with Article 2:92a or 2:201a of the DCC or the takeover buy-out procedure in accordance with Article 2:359c of the DCC to purc</w:t>
      </w:r>
      <w:r w:rsidR="008D2FD8">
        <w:rPr>
          <w:rFonts w:cs="Arial"/>
          <w:bCs/>
          <w:szCs w:val="19"/>
          <w:lang w:val="en-GB"/>
        </w:rPr>
        <w:t>hase from the holders of Shares all un</w:t>
      </w:r>
      <w:r w:rsidRPr="00D76AA8">
        <w:rPr>
          <w:rFonts w:cs="Arial"/>
          <w:bCs/>
          <w:szCs w:val="19"/>
          <w:lang w:val="en-GB"/>
        </w:rPr>
        <w:t xml:space="preserve">tendered Shares under the Offer </w:t>
      </w:r>
      <w:r w:rsidRPr="00D76AA8">
        <w:rPr>
          <w:rFonts w:cs="Arial"/>
          <w:bCs/>
          <w:szCs w:val="19"/>
          <w:lang w:val="en-GB"/>
        </w:rPr>
        <w:lastRenderedPageBreak/>
        <w:t xml:space="preserve">by the filing of a writ of summons with the Enterprise Chamber (the </w:t>
      </w:r>
      <w:r w:rsidRPr="00D76AA8">
        <w:rPr>
          <w:rFonts w:cs="Arial"/>
          <w:b/>
          <w:bCs/>
          <w:szCs w:val="19"/>
          <w:lang w:val="en-GB"/>
        </w:rPr>
        <w:t>Squeeze-Out</w:t>
      </w:r>
      <w:r w:rsidRPr="00D76AA8">
        <w:rPr>
          <w:rFonts w:cs="Arial"/>
          <w:bCs/>
          <w:szCs w:val="19"/>
          <w:lang w:val="en-GB"/>
        </w:rPr>
        <w:t>). Neways shall provide the Offeror with any assistance as may be required, including, if needed, joining such proceedings as co-claimant.</w:t>
      </w:r>
    </w:p>
    <w:p w:rsidRPr="00D76AA8" w:rsidR="00D76AA8" w:rsidP="00D76AA8" w:rsidRDefault="00D76AA8" w14:paraId="7FE0F375" w14:textId="77777777">
      <w:pPr>
        <w:jc w:val="both"/>
        <w:rPr>
          <w:rFonts w:cs="Arial"/>
          <w:bCs/>
          <w:szCs w:val="19"/>
          <w:lang w:val="en-GB"/>
        </w:rPr>
      </w:pPr>
    </w:p>
    <w:p w:rsidRPr="00D76AA8" w:rsidR="00D76AA8" w:rsidP="00D76AA8" w:rsidRDefault="00D76AA8" w14:paraId="73E8CCC8" w14:textId="77777777">
      <w:pPr>
        <w:jc w:val="both"/>
        <w:rPr>
          <w:rFonts w:cs="Arial"/>
          <w:bCs/>
          <w:szCs w:val="19"/>
          <w:lang w:val="en-GB"/>
        </w:rPr>
      </w:pPr>
      <w:r w:rsidRPr="00D76AA8">
        <w:rPr>
          <w:rFonts w:cs="Arial"/>
          <w:bCs/>
          <w:szCs w:val="19"/>
          <w:lang w:val="en-GB"/>
        </w:rPr>
        <w:t>In the Squeeze-Out, any remaining minority shareholders of Neways will be offered the Offer Price for their Shares unless there would be financial, business or other developments or circumstances that would justify a different price (including a reduction resulting from the payment of any Distribution) in accordance with, respectively, Article 2:92a, paragraph 5 or Article 2:359c, paragraph 6 of the Dutch Civil Code.</w:t>
      </w:r>
    </w:p>
    <w:p w:rsidR="007F4832" w:rsidP="00D76AA8" w:rsidRDefault="007F4832" w14:paraId="3DC4F0BA" w14:textId="77777777">
      <w:pPr>
        <w:jc w:val="both"/>
        <w:rPr>
          <w:rFonts w:cs="Arial"/>
          <w:bCs/>
          <w:szCs w:val="19"/>
          <w:lang w:val="en-GB"/>
        </w:rPr>
      </w:pPr>
    </w:p>
    <w:p w:rsidRPr="00D76AA8" w:rsidR="00D76AA8" w:rsidP="00D76AA8" w:rsidRDefault="00D76AA8" w14:paraId="45050978" w14:textId="72B26CEF">
      <w:pPr>
        <w:jc w:val="both"/>
        <w:rPr>
          <w:rFonts w:cs="Arial"/>
          <w:bCs/>
          <w:szCs w:val="19"/>
          <w:lang w:val="en-GB"/>
        </w:rPr>
      </w:pPr>
      <w:r w:rsidRPr="00D76AA8">
        <w:rPr>
          <w:rFonts w:cs="Arial"/>
          <w:bCs/>
          <w:szCs w:val="19"/>
          <w:lang w:val="en-GB"/>
        </w:rPr>
        <w:t>No Dutch dividend withholding tax (</w:t>
      </w:r>
      <w:proofErr w:type="spellStart"/>
      <w:r w:rsidRPr="00D76AA8">
        <w:rPr>
          <w:rFonts w:cs="Arial"/>
          <w:bCs/>
          <w:i/>
          <w:szCs w:val="19"/>
          <w:lang w:val="en-GB"/>
        </w:rPr>
        <w:t>dividendbelasting</w:t>
      </w:r>
      <w:proofErr w:type="spellEnd"/>
      <w:r w:rsidRPr="00D76AA8">
        <w:rPr>
          <w:rFonts w:cs="Arial"/>
          <w:bCs/>
          <w:szCs w:val="19"/>
          <w:lang w:val="en-GB"/>
        </w:rPr>
        <w:t>) is due upon a disposal of the Shares under the Squeeze-Out. The Dutch income tax of the Squeeze-Out is the same as the Dutch income tax of the Offer. For more inf</w:t>
      </w:r>
      <w:r>
        <w:rPr>
          <w:rFonts w:cs="Arial"/>
          <w:bCs/>
          <w:szCs w:val="19"/>
          <w:lang w:val="en-GB"/>
        </w:rPr>
        <w:t>ormation, reference is made to</w:t>
      </w:r>
      <w:r w:rsidRPr="00D76AA8">
        <w:rPr>
          <w:lang w:val="en-GB"/>
        </w:rPr>
        <w:t xml:space="preserve"> </w:t>
      </w:r>
      <w:r w:rsidR="00B94D51">
        <w:rPr>
          <w:rFonts w:cs="Arial"/>
          <w:bCs/>
          <w:szCs w:val="19"/>
          <w:lang w:val="en-GB"/>
        </w:rPr>
        <w:t>S</w:t>
      </w:r>
      <w:r w:rsidRPr="00D76AA8">
        <w:rPr>
          <w:rFonts w:cs="Arial"/>
          <w:bCs/>
          <w:szCs w:val="19"/>
          <w:lang w:val="en-GB"/>
        </w:rPr>
        <w:t>ection 10.6 (</w:t>
      </w:r>
      <w:r w:rsidRPr="00D76AA8">
        <w:rPr>
          <w:rFonts w:cs="Arial"/>
          <w:bCs/>
          <w:i/>
          <w:szCs w:val="19"/>
          <w:lang w:val="en-GB"/>
        </w:rPr>
        <w:t>Tax aspects for Shareholders who did not tender their Shares</w:t>
      </w:r>
      <w:r w:rsidRPr="00D76AA8">
        <w:rPr>
          <w:rFonts w:cs="Arial"/>
          <w:bCs/>
          <w:szCs w:val="19"/>
          <w:lang w:val="en-GB"/>
        </w:rPr>
        <w:t>)</w:t>
      </w:r>
      <w:r w:rsidR="007F4832">
        <w:rPr>
          <w:rFonts w:cs="Arial"/>
          <w:bCs/>
          <w:szCs w:val="19"/>
          <w:lang w:val="en-GB"/>
        </w:rPr>
        <w:t xml:space="preserve"> of the Offer Memorandum</w:t>
      </w:r>
      <w:r w:rsidRPr="00D76AA8">
        <w:rPr>
          <w:rFonts w:cs="Arial"/>
          <w:bCs/>
          <w:szCs w:val="19"/>
          <w:lang w:val="en-GB"/>
        </w:rPr>
        <w:t>.</w:t>
      </w:r>
      <w:r w:rsidR="008D2FD8">
        <w:rPr>
          <w:rFonts w:cs="Arial"/>
          <w:bCs/>
          <w:szCs w:val="19"/>
          <w:lang w:val="en-GB"/>
        </w:rPr>
        <w:t xml:space="preserve"> </w:t>
      </w:r>
      <w:r w:rsidR="00B67AB7">
        <w:rPr>
          <w:rFonts w:cs="Arial"/>
          <w:bCs/>
          <w:szCs w:val="19"/>
          <w:lang w:val="en-GB"/>
        </w:rPr>
        <w:t xml:space="preserve"> </w:t>
      </w:r>
    </w:p>
    <w:p w:rsidR="00CB3D94" w:rsidRDefault="00CB3D94" w14:paraId="6D492153" w14:textId="77777777">
      <w:pPr>
        <w:jc w:val="both"/>
        <w:rPr>
          <w:rFonts w:cs="Arial"/>
          <w:bCs/>
          <w:szCs w:val="19"/>
          <w:lang w:val="en-GB"/>
        </w:rPr>
      </w:pPr>
    </w:p>
    <w:p w:rsidR="007B326D" w:rsidP="007B326D" w:rsidRDefault="007C4277" w14:paraId="29905A1A" w14:textId="4AFA927F">
      <w:pPr>
        <w:jc w:val="both"/>
        <w:rPr>
          <w:rFonts w:cs="Arial" w:eastAsiaTheme="minorHAnsi"/>
          <w:spacing w:val="0"/>
          <w:sz w:val="20"/>
          <w:szCs w:val="20"/>
          <w:lang w:val="en-GB" w:eastAsia="en-US"/>
        </w:rPr>
      </w:pPr>
      <w:r w:rsidRPr="007C4277">
        <w:rPr>
          <w:rFonts w:cs="Arial"/>
          <w:bCs/>
          <w:szCs w:val="19"/>
          <w:lang w:val="en-GB"/>
        </w:rPr>
        <w:t xml:space="preserve">After and subject to </w:t>
      </w:r>
      <w:r w:rsidRPr="00D76AA8" w:rsidR="00D76AA8">
        <w:rPr>
          <w:lang w:val="en-GB"/>
        </w:rPr>
        <w:t>(i) the Offeror having declared the Offer unconditional, (ii) Settlement having occurred, (iii) the number of Shares validly tendered in accordance with the terms of the Offer (including, if applicable, Shares tendered during the Post-Closing Acceptance Period) and not properly withdrawn, together with the Shares owned by the Offeror or any of its Affiliates, being at least 85% of Neways' aggregate issued and outstanding ordinary share capital (</w:t>
      </w:r>
      <w:proofErr w:type="spellStart"/>
      <w:r w:rsidRPr="00D76AA8" w:rsidR="00D76AA8">
        <w:rPr>
          <w:i/>
          <w:lang w:val="en-GB"/>
        </w:rPr>
        <w:t>geplaatst</w:t>
      </w:r>
      <w:proofErr w:type="spellEnd"/>
      <w:r w:rsidRPr="00D76AA8" w:rsidR="00D76AA8">
        <w:rPr>
          <w:i/>
          <w:lang w:val="en-GB"/>
        </w:rPr>
        <w:t xml:space="preserve"> en </w:t>
      </w:r>
      <w:proofErr w:type="spellStart"/>
      <w:r w:rsidRPr="00D76AA8" w:rsidR="00D76AA8">
        <w:rPr>
          <w:i/>
          <w:lang w:val="en-GB"/>
        </w:rPr>
        <w:t>uitstaand</w:t>
      </w:r>
      <w:proofErr w:type="spellEnd"/>
      <w:r w:rsidRPr="00D76AA8" w:rsidR="00D76AA8">
        <w:rPr>
          <w:i/>
          <w:lang w:val="en-GB"/>
        </w:rPr>
        <w:t xml:space="preserve"> </w:t>
      </w:r>
      <w:proofErr w:type="spellStart"/>
      <w:r w:rsidRPr="00D76AA8" w:rsidR="00D76AA8">
        <w:rPr>
          <w:i/>
          <w:lang w:val="en-GB"/>
        </w:rPr>
        <w:t>aandelenkapitaal</w:t>
      </w:r>
      <w:proofErr w:type="spellEnd"/>
      <w:r w:rsidRPr="00D76AA8" w:rsidR="00D76AA8">
        <w:rPr>
          <w:lang w:val="en-GB"/>
        </w:rPr>
        <w:t xml:space="preserve">) on a fully diluted basis (excluding treasury shares) </w:t>
      </w:r>
      <w:r w:rsidRPr="00CF2D4C" w:rsidR="00D76AA8">
        <w:rPr>
          <w:lang w:val="en-GB"/>
        </w:rPr>
        <w:t xml:space="preserve">or such lower percentage </w:t>
      </w:r>
      <w:r w:rsidR="003C45D8">
        <w:rPr>
          <w:lang w:val="en-GB"/>
        </w:rPr>
        <w:t xml:space="preserve">as the </w:t>
      </w:r>
      <w:r w:rsidR="00D76AA8">
        <w:rPr>
          <w:lang w:val="en-GB"/>
        </w:rPr>
        <w:t>Boards may agree to</w:t>
      </w:r>
      <w:r w:rsidR="007A5A5B">
        <w:rPr>
          <w:lang w:val="en-GB"/>
        </w:rPr>
        <w:t xml:space="preserve"> after a re-evaluation</w:t>
      </w:r>
      <w:r w:rsidR="00D76AA8">
        <w:rPr>
          <w:rFonts w:cs="Arial"/>
          <w:bCs/>
          <w:szCs w:val="19"/>
          <w:lang w:val="en-GB"/>
        </w:rPr>
        <w:t xml:space="preserve"> </w:t>
      </w:r>
      <w:r w:rsidR="00342212">
        <w:rPr>
          <w:rFonts w:cs="Arial"/>
          <w:bCs/>
          <w:szCs w:val="19"/>
          <w:lang w:val="en-GB"/>
        </w:rPr>
        <w:t xml:space="preserve">and </w:t>
      </w:r>
      <w:r w:rsidRPr="00D76AA8" w:rsidR="00D76AA8">
        <w:rPr>
          <w:lang w:val="en-GB"/>
        </w:rPr>
        <w:t>(iv) the Post-Closing Merger Resolutions having been validly adopted at the EGM, the Offeror may, at its discretion and after reasonable consultation with Neways, decide to pursue the Post-Closing Merger Restructuring</w:t>
      </w:r>
      <w:r w:rsidR="00D76AA8">
        <w:rPr>
          <w:lang w:val="en-GB"/>
        </w:rPr>
        <w:t xml:space="preserve"> </w:t>
      </w:r>
      <w:r w:rsidR="00B94D51">
        <w:rPr>
          <w:rFonts w:cs="Arial"/>
          <w:bCs/>
          <w:szCs w:val="19"/>
          <w:lang w:val="en-GB"/>
        </w:rPr>
        <w:t>as described in S</w:t>
      </w:r>
      <w:r w:rsidR="00D76AA8">
        <w:rPr>
          <w:rFonts w:cs="Arial"/>
          <w:bCs/>
          <w:szCs w:val="19"/>
          <w:lang w:val="en-GB"/>
        </w:rPr>
        <w:t>ection 6.11(b</w:t>
      </w:r>
      <w:r w:rsidR="00C51632">
        <w:rPr>
          <w:rFonts w:cs="Arial"/>
          <w:bCs/>
          <w:szCs w:val="19"/>
          <w:lang w:val="en-GB"/>
        </w:rPr>
        <w:t>) (</w:t>
      </w:r>
      <w:r w:rsidR="00D76AA8">
        <w:rPr>
          <w:rFonts w:cs="Arial"/>
          <w:bCs/>
          <w:i/>
          <w:szCs w:val="19"/>
          <w:lang w:val="en-GB"/>
        </w:rPr>
        <w:t>Post-Closing Merger Restructuring</w:t>
      </w:r>
      <w:r w:rsidR="00C51632">
        <w:rPr>
          <w:rFonts w:cs="Arial"/>
          <w:bCs/>
          <w:szCs w:val="19"/>
          <w:lang w:val="en-GB"/>
        </w:rPr>
        <w:t>) of the Offer Memorandum</w:t>
      </w:r>
      <w:r w:rsidRPr="007C4277">
        <w:rPr>
          <w:rFonts w:cs="Arial"/>
          <w:bCs/>
          <w:szCs w:val="19"/>
          <w:lang w:val="en-GB"/>
        </w:rPr>
        <w:t>.</w:t>
      </w:r>
      <w:r w:rsidR="00D371AB">
        <w:rPr>
          <w:rFonts w:cs="Arial"/>
          <w:bCs/>
          <w:szCs w:val="19"/>
          <w:lang w:val="en-GB"/>
        </w:rPr>
        <w:t xml:space="preserve"> </w:t>
      </w:r>
    </w:p>
    <w:p w:rsidRPr="00D76AA8" w:rsidR="00B73938" w:rsidP="007B326D" w:rsidRDefault="00B73938" w14:paraId="25683DC5" w14:textId="77777777">
      <w:pPr>
        <w:jc w:val="both"/>
        <w:rPr>
          <w:lang w:val="en-GB"/>
        </w:rPr>
      </w:pPr>
    </w:p>
    <w:p w:rsidR="007B326D" w:rsidP="007B326D" w:rsidRDefault="007B326D" w14:paraId="21DD4F1F" w14:textId="3584C39B">
      <w:pPr>
        <w:jc w:val="both"/>
        <w:rPr>
          <w:rFonts w:cs="Arial"/>
          <w:bCs/>
          <w:szCs w:val="19"/>
          <w:lang w:val="en-GB"/>
        </w:rPr>
      </w:pPr>
      <w:r>
        <w:rPr>
          <w:rFonts w:cs="Arial"/>
          <w:bCs/>
          <w:szCs w:val="19"/>
          <w:lang w:val="en-GB"/>
        </w:rPr>
        <w:t xml:space="preserve">The </w:t>
      </w:r>
      <w:r w:rsidRPr="00D76AA8" w:rsidR="00FF7CAF">
        <w:rPr>
          <w:lang w:val="en-GB"/>
        </w:rPr>
        <w:t>Post-Closing Merger Restructuring</w:t>
      </w:r>
      <w:r w:rsidR="00FF7CAF">
        <w:rPr>
          <w:rFonts w:cs="Arial"/>
          <w:bCs/>
          <w:szCs w:val="19"/>
          <w:lang w:val="en-GB"/>
        </w:rPr>
        <w:t xml:space="preserve"> consist</w:t>
      </w:r>
      <w:r w:rsidR="00D371AB">
        <w:rPr>
          <w:rFonts w:cs="Arial"/>
          <w:bCs/>
          <w:szCs w:val="19"/>
          <w:lang w:val="en-GB"/>
        </w:rPr>
        <w:t>s</w:t>
      </w:r>
      <w:r w:rsidR="00FF7CAF">
        <w:rPr>
          <w:rFonts w:cs="Arial"/>
          <w:bCs/>
          <w:szCs w:val="19"/>
          <w:lang w:val="en-GB"/>
        </w:rPr>
        <w:t xml:space="preserve"> of </w:t>
      </w:r>
      <w:r w:rsidRPr="007B326D">
        <w:rPr>
          <w:rFonts w:cs="Arial"/>
          <w:bCs/>
          <w:szCs w:val="19"/>
          <w:lang w:val="en-GB"/>
        </w:rPr>
        <w:t xml:space="preserve">a legal triangular merger of </w:t>
      </w:r>
      <w:r w:rsidR="00B7499A">
        <w:rPr>
          <w:rFonts w:cs="Arial"/>
          <w:bCs/>
          <w:szCs w:val="19"/>
          <w:lang w:val="en-GB"/>
        </w:rPr>
        <w:t>Neways</w:t>
      </w:r>
      <w:r w:rsidRPr="007B326D">
        <w:rPr>
          <w:rFonts w:cs="Arial"/>
          <w:bCs/>
          <w:szCs w:val="19"/>
          <w:lang w:val="en-GB"/>
        </w:rPr>
        <w:t xml:space="preserve"> with two newly i</w:t>
      </w:r>
      <w:r w:rsidR="00B7499A">
        <w:rPr>
          <w:rFonts w:cs="Arial"/>
          <w:bCs/>
          <w:szCs w:val="19"/>
          <w:lang w:val="en-GB"/>
        </w:rPr>
        <w:t>ncorporated subsidiaries of Neways</w:t>
      </w:r>
      <w:r w:rsidRPr="007B326D">
        <w:rPr>
          <w:rFonts w:cs="Arial"/>
          <w:bCs/>
          <w:szCs w:val="19"/>
          <w:lang w:val="en-GB"/>
        </w:rPr>
        <w:t xml:space="preserve"> (</w:t>
      </w:r>
      <w:r w:rsidR="00CB7D8D">
        <w:rPr>
          <w:rFonts w:cs="Arial"/>
          <w:bCs/>
          <w:szCs w:val="19"/>
          <w:lang w:val="en-GB"/>
        </w:rPr>
        <w:t>Neways Holdco B.V.</w:t>
      </w:r>
      <w:r w:rsidRPr="007B326D">
        <w:rPr>
          <w:rFonts w:cs="Arial"/>
          <w:bCs/>
          <w:szCs w:val="19"/>
          <w:lang w:val="en-GB"/>
        </w:rPr>
        <w:t xml:space="preserve"> and </w:t>
      </w:r>
      <w:r w:rsidR="00CB7D8D">
        <w:rPr>
          <w:rFonts w:cs="Arial"/>
          <w:bCs/>
          <w:szCs w:val="19"/>
          <w:lang w:val="en-GB"/>
        </w:rPr>
        <w:t xml:space="preserve">Neways </w:t>
      </w:r>
      <w:r w:rsidRPr="007B326D">
        <w:rPr>
          <w:rFonts w:cs="Arial"/>
          <w:bCs/>
          <w:szCs w:val="19"/>
          <w:lang w:val="en-GB"/>
        </w:rPr>
        <w:t>Sub</w:t>
      </w:r>
      <w:r w:rsidR="00CB7D8D">
        <w:rPr>
          <w:rFonts w:cs="Arial"/>
          <w:bCs/>
          <w:szCs w:val="19"/>
          <w:lang w:val="en-GB"/>
        </w:rPr>
        <w:t xml:space="preserve"> B.V.</w:t>
      </w:r>
      <w:r w:rsidRPr="007B326D">
        <w:rPr>
          <w:rFonts w:cs="Arial"/>
          <w:bCs/>
          <w:szCs w:val="19"/>
          <w:lang w:val="en-GB"/>
        </w:rPr>
        <w:t xml:space="preserve">), a share sale regarding the shares </w:t>
      </w:r>
      <w:r w:rsidR="00B67AB7">
        <w:rPr>
          <w:rFonts w:cs="Arial"/>
          <w:bCs/>
          <w:szCs w:val="19"/>
          <w:lang w:val="en-GB"/>
        </w:rPr>
        <w:t>in</w:t>
      </w:r>
      <w:r w:rsidRPr="007B326D">
        <w:rPr>
          <w:rFonts w:cs="Arial"/>
          <w:bCs/>
          <w:szCs w:val="19"/>
          <w:lang w:val="en-GB"/>
        </w:rPr>
        <w:t xml:space="preserve"> Company Sub, </w:t>
      </w:r>
      <w:r w:rsidR="00553FAF">
        <w:rPr>
          <w:rFonts w:cs="Arial"/>
          <w:bCs/>
          <w:szCs w:val="19"/>
          <w:lang w:val="en-GB"/>
        </w:rPr>
        <w:t>by</w:t>
      </w:r>
      <w:r w:rsidRPr="007B326D">
        <w:rPr>
          <w:rFonts w:cs="Arial"/>
          <w:bCs/>
          <w:szCs w:val="19"/>
          <w:lang w:val="en-GB"/>
        </w:rPr>
        <w:t xml:space="preserve"> Company Holdco</w:t>
      </w:r>
      <w:r w:rsidR="00553FAF">
        <w:rPr>
          <w:rFonts w:cs="Arial"/>
          <w:bCs/>
          <w:szCs w:val="19"/>
          <w:lang w:val="en-GB"/>
        </w:rPr>
        <w:t xml:space="preserve"> to the Offeror</w:t>
      </w:r>
      <w:r w:rsidRPr="007B326D">
        <w:rPr>
          <w:rFonts w:cs="Arial"/>
          <w:bCs/>
          <w:szCs w:val="19"/>
          <w:lang w:val="en-GB"/>
        </w:rPr>
        <w:t xml:space="preserve">, and a subsequent liquidation of Company Holdco to deliver such consideration to the shareholders. The advance liquidation distribution to the shareholders of Company Holdco will be an amount that is to the fullest extent possible equal to the Offer Price, without any interest, subject to any applicable withholding taxes and other taxes. The </w:t>
      </w:r>
      <w:r w:rsidRPr="00D76AA8" w:rsidR="00B7499A">
        <w:rPr>
          <w:lang w:val="en-GB"/>
        </w:rPr>
        <w:t>Post-Closing Merger Restructuring</w:t>
      </w:r>
      <w:r w:rsidRPr="007B326D" w:rsidR="00B7499A">
        <w:rPr>
          <w:rFonts w:cs="Arial"/>
          <w:bCs/>
          <w:szCs w:val="19"/>
          <w:lang w:val="en-GB"/>
        </w:rPr>
        <w:t xml:space="preserve"> </w:t>
      </w:r>
      <w:r w:rsidRPr="007B326D">
        <w:rPr>
          <w:rFonts w:cs="Arial"/>
          <w:bCs/>
          <w:szCs w:val="19"/>
          <w:lang w:val="en-GB"/>
        </w:rPr>
        <w:t xml:space="preserve">is subject to the approval of </w:t>
      </w:r>
      <w:r w:rsidR="00C51632">
        <w:rPr>
          <w:rFonts w:cs="Arial"/>
          <w:bCs/>
          <w:szCs w:val="19"/>
          <w:lang w:val="en-GB"/>
        </w:rPr>
        <w:t>the</w:t>
      </w:r>
      <w:r w:rsidRPr="007B326D">
        <w:rPr>
          <w:rFonts w:cs="Arial"/>
          <w:bCs/>
          <w:szCs w:val="19"/>
          <w:lang w:val="en-GB"/>
        </w:rPr>
        <w:t xml:space="preserve"> </w:t>
      </w:r>
      <w:r w:rsidR="00C51632">
        <w:rPr>
          <w:rFonts w:cs="Arial"/>
          <w:bCs/>
          <w:szCs w:val="19"/>
          <w:lang w:val="en-GB"/>
        </w:rPr>
        <w:t>S</w:t>
      </w:r>
      <w:r w:rsidRPr="007B326D">
        <w:rPr>
          <w:rFonts w:cs="Arial"/>
          <w:bCs/>
          <w:szCs w:val="19"/>
          <w:lang w:val="en-GB"/>
        </w:rPr>
        <w:t xml:space="preserve">hareholders at the EGM. The Boards have agreed to unanimously recommend that </w:t>
      </w:r>
      <w:r w:rsidR="00C51632">
        <w:rPr>
          <w:rFonts w:cs="Arial"/>
          <w:bCs/>
          <w:szCs w:val="19"/>
          <w:lang w:val="en-GB"/>
        </w:rPr>
        <w:t>S</w:t>
      </w:r>
      <w:r w:rsidRPr="007B326D">
        <w:rPr>
          <w:rFonts w:cs="Arial"/>
          <w:bCs/>
          <w:szCs w:val="19"/>
          <w:lang w:val="en-GB"/>
        </w:rPr>
        <w:t xml:space="preserve">hareholders vote in favour of the </w:t>
      </w:r>
      <w:r w:rsidRPr="00D76AA8" w:rsidR="00B7499A">
        <w:rPr>
          <w:lang w:val="en-GB"/>
        </w:rPr>
        <w:t>Post-Closing Merger Restructuring</w:t>
      </w:r>
      <w:r w:rsidRPr="007B326D">
        <w:rPr>
          <w:rFonts w:cs="Arial"/>
          <w:bCs/>
          <w:szCs w:val="19"/>
          <w:lang w:val="en-GB"/>
        </w:rPr>
        <w:t xml:space="preserve">. Once the </w:t>
      </w:r>
      <w:r w:rsidR="00B7499A">
        <w:rPr>
          <w:rFonts w:cs="Arial"/>
          <w:bCs/>
          <w:szCs w:val="19"/>
          <w:lang w:val="en-GB"/>
        </w:rPr>
        <w:t xml:space="preserve">Triangular </w:t>
      </w:r>
      <w:r w:rsidR="00C51632">
        <w:rPr>
          <w:rFonts w:cs="Arial"/>
          <w:bCs/>
          <w:szCs w:val="19"/>
          <w:lang w:val="en-GB"/>
        </w:rPr>
        <w:t>M</w:t>
      </w:r>
      <w:r w:rsidRPr="007B326D">
        <w:rPr>
          <w:rFonts w:cs="Arial"/>
          <w:bCs/>
          <w:szCs w:val="19"/>
          <w:lang w:val="en-GB"/>
        </w:rPr>
        <w:t xml:space="preserve">erger is implemented, the listing of </w:t>
      </w:r>
      <w:r w:rsidR="00B7499A">
        <w:rPr>
          <w:rFonts w:cs="Arial"/>
          <w:bCs/>
          <w:szCs w:val="19"/>
          <w:lang w:val="en-GB"/>
        </w:rPr>
        <w:t>Neways</w:t>
      </w:r>
      <w:r w:rsidRPr="007B326D">
        <w:rPr>
          <w:rFonts w:cs="Arial"/>
          <w:bCs/>
          <w:szCs w:val="19"/>
          <w:lang w:val="en-GB"/>
        </w:rPr>
        <w:t xml:space="preserve"> will terminate.</w:t>
      </w:r>
    </w:p>
    <w:p w:rsidR="00C51632" w:rsidP="007B326D" w:rsidRDefault="00C51632" w14:paraId="42310A2A" w14:textId="77777777">
      <w:pPr>
        <w:jc w:val="both"/>
        <w:rPr>
          <w:rFonts w:cs="Arial"/>
          <w:bCs/>
          <w:szCs w:val="19"/>
          <w:lang w:val="en-GB"/>
        </w:rPr>
      </w:pPr>
    </w:p>
    <w:p w:rsidR="007C4277" w:rsidRDefault="00C51632" w14:paraId="6E5FC60C" w14:textId="7DF8F5B5">
      <w:pPr>
        <w:jc w:val="both"/>
        <w:rPr>
          <w:rFonts w:cs="Arial"/>
          <w:bCs/>
          <w:szCs w:val="19"/>
          <w:lang w:val="en-GB"/>
        </w:rPr>
      </w:pPr>
      <w:r w:rsidRPr="00C51632">
        <w:rPr>
          <w:rFonts w:cs="Arial"/>
          <w:bCs/>
          <w:szCs w:val="19"/>
          <w:lang w:val="en-GB"/>
        </w:rPr>
        <w:t>In addition to such measures, the Offeror may also utilize all other available legal measures in order to</w:t>
      </w:r>
      <w:r w:rsidR="00FF2AD5">
        <w:rPr>
          <w:rFonts w:cs="Arial"/>
          <w:bCs/>
          <w:szCs w:val="19"/>
          <w:lang w:val="en-GB"/>
        </w:rPr>
        <w:t xml:space="preserve"> </w:t>
      </w:r>
      <w:r w:rsidRPr="00C51632">
        <w:rPr>
          <w:rFonts w:cs="Arial"/>
          <w:bCs/>
          <w:szCs w:val="19"/>
          <w:lang w:val="en-GB"/>
        </w:rPr>
        <w:t>acquire full ownership of the Shares</w:t>
      </w:r>
      <w:r w:rsidR="00AA7B54">
        <w:rPr>
          <w:rFonts w:cs="Arial"/>
          <w:bCs/>
          <w:szCs w:val="19"/>
          <w:lang w:val="en-GB"/>
        </w:rPr>
        <w:t>, r</w:t>
      </w:r>
      <w:r w:rsidR="00B94D51">
        <w:rPr>
          <w:rFonts w:cs="Arial"/>
          <w:bCs/>
          <w:szCs w:val="19"/>
          <w:lang w:val="en-GB"/>
        </w:rPr>
        <w:t>eference is made to S</w:t>
      </w:r>
      <w:r w:rsidR="00B7499A">
        <w:rPr>
          <w:rFonts w:cs="Arial"/>
          <w:bCs/>
          <w:szCs w:val="19"/>
          <w:lang w:val="en-GB"/>
        </w:rPr>
        <w:t>ection 6.11(c</w:t>
      </w:r>
      <w:r w:rsidR="00AA7B54">
        <w:rPr>
          <w:rFonts w:cs="Arial"/>
          <w:bCs/>
          <w:szCs w:val="19"/>
          <w:lang w:val="en-GB"/>
        </w:rPr>
        <w:t>) (</w:t>
      </w:r>
      <w:r w:rsidR="00AA7B54">
        <w:rPr>
          <w:rFonts w:cs="Arial"/>
          <w:bCs/>
          <w:i/>
          <w:szCs w:val="19"/>
          <w:lang w:val="en-GB"/>
        </w:rPr>
        <w:t>Other Post-Closing Measures</w:t>
      </w:r>
      <w:r w:rsidR="00AA7B54">
        <w:rPr>
          <w:rFonts w:cs="Arial"/>
          <w:bCs/>
          <w:szCs w:val="19"/>
          <w:lang w:val="en-GB"/>
        </w:rPr>
        <w:t>) of the Offer Memorandum</w:t>
      </w:r>
      <w:r w:rsidRPr="00C51632">
        <w:rPr>
          <w:rFonts w:cs="Arial"/>
          <w:bCs/>
          <w:szCs w:val="19"/>
          <w:lang w:val="en-GB"/>
        </w:rPr>
        <w:t>.</w:t>
      </w:r>
      <w:r w:rsidRPr="00C51632">
        <w:rPr>
          <w:rFonts w:cs="Arial"/>
          <w:bCs/>
          <w:szCs w:val="19"/>
          <w:lang w:val="en-GB"/>
        </w:rPr>
        <w:cr/>
      </w:r>
    </w:p>
    <w:p w:rsidRPr="005875C7" w:rsidR="00AF7F6A" w:rsidP="00AF7F6A" w:rsidRDefault="001B1508" w14:paraId="6B3D9D90" w14:textId="374E0134">
      <w:pPr>
        <w:jc w:val="both"/>
        <w:rPr>
          <w:rFonts w:cs="Arial"/>
          <w:b/>
          <w:bCs/>
          <w:szCs w:val="19"/>
          <w:lang w:val="en-GB"/>
        </w:rPr>
      </w:pPr>
      <w:r>
        <w:rPr>
          <w:rFonts w:cs="Arial"/>
          <w:b/>
          <w:bCs/>
          <w:szCs w:val="19"/>
          <w:lang w:val="en-GB"/>
        </w:rPr>
        <w:t>D</w:t>
      </w:r>
      <w:r w:rsidRPr="005875C7" w:rsidR="00AF7F6A">
        <w:rPr>
          <w:rFonts w:cs="Arial"/>
          <w:b/>
          <w:bCs/>
          <w:szCs w:val="19"/>
          <w:lang w:val="en-GB"/>
        </w:rPr>
        <w:t>elisting</w:t>
      </w:r>
    </w:p>
    <w:p w:rsidRPr="007C4277" w:rsidR="007C4277" w:rsidP="007C4277" w:rsidRDefault="007C4277" w14:paraId="691897BA" w14:textId="7971E17C">
      <w:pPr>
        <w:jc w:val="both"/>
        <w:rPr>
          <w:rFonts w:cs="Arial"/>
          <w:bCs/>
          <w:szCs w:val="19"/>
          <w:lang w:val="en-GB"/>
        </w:rPr>
      </w:pPr>
      <w:r w:rsidRPr="007C4277">
        <w:rPr>
          <w:rFonts w:cs="Arial"/>
          <w:bCs/>
          <w:szCs w:val="19"/>
          <w:lang w:val="en-GB"/>
        </w:rPr>
        <w:t xml:space="preserve">If the Offeror acquires 95% or more of the Shares, </w:t>
      </w:r>
      <w:r w:rsidR="00CB1365">
        <w:rPr>
          <w:rFonts w:cs="Arial"/>
          <w:bCs/>
          <w:szCs w:val="19"/>
          <w:lang w:val="en-GB"/>
        </w:rPr>
        <w:t xml:space="preserve">the Offeror may decide to </w:t>
      </w:r>
      <w:r w:rsidRPr="007C4277">
        <w:rPr>
          <w:rFonts w:cs="Arial"/>
          <w:bCs/>
          <w:szCs w:val="19"/>
          <w:lang w:val="en-GB"/>
        </w:rPr>
        <w:t xml:space="preserve">procure delisting of the Shares from Euronext Amsterdam in accordance with applicable (policy) rules. However, the listing of the Shares on Euronext Amsterdam will also terminate after a successful </w:t>
      </w:r>
      <w:r w:rsidRPr="00D76AA8" w:rsidR="00B7499A">
        <w:rPr>
          <w:lang w:val="en-GB"/>
        </w:rPr>
        <w:t>Post-Closing Merger Restructuring</w:t>
      </w:r>
      <w:r w:rsidRPr="007C4277" w:rsidR="00B7499A">
        <w:rPr>
          <w:rFonts w:cs="Arial"/>
          <w:bCs/>
          <w:szCs w:val="19"/>
          <w:lang w:val="en-GB"/>
        </w:rPr>
        <w:t xml:space="preserve"> </w:t>
      </w:r>
      <w:r w:rsidR="00B94D51">
        <w:rPr>
          <w:rFonts w:cs="Arial"/>
          <w:bCs/>
          <w:szCs w:val="19"/>
          <w:lang w:val="en-GB"/>
        </w:rPr>
        <w:t>as set out in S</w:t>
      </w:r>
      <w:r w:rsidR="00B7499A">
        <w:rPr>
          <w:rFonts w:cs="Arial"/>
          <w:bCs/>
          <w:szCs w:val="19"/>
          <w:lang w:val="en-GB"/>
        </w:rPr>
        <w:t>ection 6.11(b</w:t>
      </w:r>
      <w:r w:rsidRPr="007C4277">
        <w:rPr>
          <w:rFonts w:cs="Arial"/>
          <w:bCs/>
          <w:szCs w:val="19"/>
          <w:lang w:val="en-GB"/>
        </w:rPr>
        <w:t>) (</w:t>
      </w:r>
      <w:r w:rsidR="00B7499A">
        <w:rPr>
          <w:rFonts w:cs="Arial"/>
          <w:bCs/>
          <w:i/>
          <w:szCs w:val="19"/>
          <w:lang w:val="en-GB"/>
        </w:rPr>
        <w:t xml:space="preserve">Post-Closing </w:t>
      </w:r>
      <w:r w:rsidRPr="007C4277">
        <w:rPr>
          <w:rFonts w:cs="Arial"/>
          <w:bCs/>
          <w:i/>
          <w:szCs w:val="19"/>
          <w:lang w:val="en-GB"/>
        </w:rPr>
        <w:t xml:space="preserve">Merger </w:t>
      </w:r>
      <w:r w:rsidR="00B7499A">
        <w:rPr>
          <w:rFonts w:cs="Arial"/>
          <w:bCs/>
          <w:i/>
          <w:szCs w:val="19"/>
          <w:lang w:val="en-GB"/>
        </w:rPr>
        <w:t>Restructuring</w:t>
      </w:r>
      <w:r w:rsidRPr="007C4277">
        <w:rPr>
          <w:rFonts w:cs="Arial"/>
          <w:bCs/>
          <w:szCs w:val="19"/>
          <w:lang w:val="en-GB"/>
        </w:rPr>
        <w:t>)</w:t>
      </w:r>
      <w:r>
        <w:rPr>
          <w:rFonts w:cs="Arial"/>
          <w:bCs/>
          <w:szCs w:val="19"/>
          <w:lang w:val="en-GB"/>
        </w:rPr>
        <w:t xml:space="preserve"> of the Offer Memorandum</w:t>
      </w:r>
      <w:r w:rsidRPr="007C4277">
        <w:rPr>
          <w:rFonts w:cs="Arial"/>
          <w:bCs/>
          <w:szCs w:val="19"/>
          <w:lang w:val="en-GB"/>
        </w:rPr>
        <w:t xml:space="preserve"> or any other mea</w:t>
      </w:r>
      <w:r w:rsidR="00B94D51">
        <w:rPr>
          <w:rFonts w:cs="Arial"/>
          <w:bCs/>
          <w:szCs w:val="19"/>
          <w:lang w:val="en-GB"/>
        </w:rPr>
        <w:t>sures or procedures set out in S</w:t>
      </w:r>
      <w:r w:rsidRPr="007C4277">
        <w:rPr>
          <w:rFonts w:cs="Arial"/>
          <w:bCs/>
          <w:szCs w:val="19"/>
          <w:lang w:val="en-GB"/>
        </w:rPr>
        <w:t>ection</w:t>
      </w:r>
      <w:r>
        <w:rPr>
          <w:rFonts w:cs="Arial"/>
          <w:bCs/>
          <w:szCs w:val="19"/>
          <w:lang w:val="en-GB"/>
        </w:rPr>
        <w:t xml:space="preserve"> </w:t>
      </w:r>
      <w:r w:rsidR="00B7499A">
        <w:rPr>
          <w:rFonts w:cs="Arial"/>
          <w:bCs/>
          <w:szCs w:val="19"/>
          <w:lang w:val="en-GB"/>
        </w:rPr>
        <w:t>6.11(c</w:t>
      </w:r>
      <w:r w:rsidRPr="007C4277">
        <w:rPr>
          <w:rFonts w:cs="Arial"/>
          <w:bCs/>
          <w:szCs w:val="19"/>
          <w:lang w:val="en-GB"/>
        </w:rPr>
        <w:t>) (</w:t>
      </w:r>
      <w:r w:rsidRPr="007C4277">
        <w:rPr>
          <w:rFonts w:cs="Arial"/>
          <w:bCs/>
          <w:i/>
          <w:szCs w:val="19"/>
          <w:lang w:val="en-GB"/>
        </w:rPr>
        <w:t>Other Post-Closing Measures</w:t>
      </w:r>
      <w:r w:rsidRPr="007C4277">
        <w:rPr>
          <w:rFonts w:cs="Arial"/>
          <w:bCs/>
          <w:szCs w:val="19"/>
          <w:lang w:val="en-GB"/>
        </w:rPr>
        <w:t>)</w:t>
      </w:r>
      <w:r>
        <w:rPr>
          <w:rFonts w:cs="Arial"/>
          <w:bCs/>
          <w:szCs w:val="19"/>
          <w:lang w:val="en-GB"/>
        </w:rPr>
        <w:t xml:space="preserve"> of the Offer Memorandum</w:t>
      </w:r>
      <w:r w:rsidRPr="007C4277">
        <w:rPr>
          <w:rFonts w:cs="Arial"/>
          <w:bCs/>
          <w:szCs w:val="19"/>
          <w:lang w:val="en-GB"/>
        </w:rPr>
        <w:t xml:space="preserve">. In the event that </w:t>
      </w:r>
      <w:r w:rsidR="00B7499A">
        <w:rPr>
          <w:rFonts w:cs="Arial"/>
          <w:bCs/>
          <w:szCs w:val="19"/>
          <w:lang w:val="en-GB"/>
        </w:rPr>
        <w:t>Neways</w:t>
      </w:r>
      <w:r w:rsidRPr="007C4277">
        <w:rPr>
          <w:rFonts w:cs="Arial"/>
          <w:bCs/>
          <w:szCs w:val="19"/>
          <w:lang w:val="en-GB"/>
        </w:rPr>
        <w:t xml:space="preserve"> will no longer be listed, the provisions applicable </w:t>
      </w:r>
      <w:bookmarkStart w:name="_GoBack" w:id="9"/>
      <w:bookmarkEnd w:id="9"/>
      <w:r w:rsidRPr="007C4277">
        <w:rPr>
          <w:rFonts w:cs="Arial"/>
          <w:bCs/>
          <w:szCs w:val="19"/>
          <w:lang w:val="en-GB"/>
        </w:rPr>
        <w:t xml:space="preserve">to the </w:t>
      </w:r>
      <w:r w:rsidRPr="007C4277">
        <w:rPr>
          <w:rFonts w:cs="Arial"/>
          <w:bCs/>
          <w:szCs w:val="19"/>
          <w:lang w:val="en-GB"/>
        </w:rPr>
        <w:lastRenderedPageBreak/>
        <w:t>governance of listed companies will no longer apply and the rights of remaining minority shareholders may be l</w:t>
      </w:r>
      <w:r w:rsidR="00553FAF">
        <w:rPr>
          <w:rFonts w:cs="Arial"/>
          <w:bCs/>
          <w:szCs w:val="19"/>
          <w:lang w:val="en-GB"/>
        </w:rPr>
        <w:t xml:space="preserve">imited to the statutory minimum, </w:t>
      </w:r>
      <w:r w:rsidR="00066E49">
        <w:rPr>
          <w:rFonts w:cs="Arial"/>
          <w:bCs/>
          <w:szCs w:val="19"/>
          <w:lang w:val="en-GB"/>
        </w:rPr>
        <w:t xml:space="preserve">taking into account </w:t>
      </w:r>
      <w:r w:rsidR="00553FAF">
        <w:rPr>
          <w:rFonts w:cs="Arial"/>
          <w:bCs/>
          <w:szCs w:val="19"/>
          <w:lang w:val="en-GB"/>
        </w:rPr>
        <w:t>the Non-Financial Covenants.</w:t>
      </w:r>
    </w:p>
    <w:p w:rsidR="00AF7F6A" w:rsidP="00AF7F6A" w:rsidRDefault="00AF7F6A" w14:paraId="6F819BE6" w14:textId="2560521A">
      <w:pPr>
        <w:jc w:val="both"/>
        <w:rPr>
          <w:rFonts w:cs="Arial"/>
          <w:bCs/>
          <w:szCs w:val="19"/>
          <w:lang w:val="en-GB"/>
        </w:rPr>
      </w:pPr>
    </w:p>
    <w:p w:rsidR="00DB730A" w:rsidP="00AF7F6A" w:rsidRDefault="00DB730A" w14:paraId="7B3A8935" w14:textId="5A0AC424">
      <w:pPr>
        <w:jc w:val="both"/>
        <w:rPr>
          <w:rFonts w:cs="Arial"/>
          <w:bCs/>
          <w:szCs w:val="19"/>
          <w:lang w:val="en-GB"/>
        </w:rPr>
      </w:pPr>
    </w:p>
    <w:p w:rsidR="00DB730A" w:rsidP="00AF7F6A" w:rsidRDefault="00DB730A" w14:paraId="6A137038" w14:textId="77777777">
      <w:pPr>
        <w:jc w:val="both"/>
        <w:rPr>
          <w:rFonts w:cs="Arial"/>
          <w:bCs/>
          <w:szCs w:val="19"/>
          <w:lang w:val="en-GB"/>
        </w:rPr>
      </w:pPr>
    </w:p>
    <w:p w:rsidRPr="005875C7" w:rsidR="00AF7F6A" w:rsidP="00AF7F6A" w:rsidRDefault="00AF7F6A" w14:paraId="5A46C4E2" w14:textId="77777777">
      <w:pPr>
        <w:jc w:val="both"/>
        <w:rPr>
          <w:rFonts w:cs="Arial"/>
          <w:b/>
          <w:bCs/>
          <w:szCs w:val="19"/>
          <w:lang w:val="en-GB"/>
        </w:rPr>
      </w:pPr>
      <w:r w:rsidRPr="005875C7">
        <w:rPr>
          <w:rFonts w:cs="Arial"/>
          <w:b/>
          <w:bCs/>
          <w:szCs w:val="19"/>
          <w:lang w:val="en-GB"/>
        </w:rPr>
        <w:t>Announcements</w:t>
      </w:r>
    </w:p>
    <w:p w:rsidR="007C4277" w:rsidP="007C4277" w:rsidRDefault="00B7499A" w14:paraId="67FBF587" w14:textId="5A66EF61">
      <w:pPr>
        <w:jc w:val="both"/>
        <w:rPr>
          <w:rFonts w:cs="Arial"/>
          <w:bCs/>
          <w:szCs w:val="19"/>
          <w:lang w:val="en-GB"/>
        </w:rPr>
      </w:pPr>
      <w:r w:rsidRPr="00B7499A">
        <w:rPr>
          <w:rFonts w:cs="Arial"/>
          <w:bCs/>
          <w:szCs w:val="19"/>
          <w:lang w:val="en-GB"/>
        </w:rPr>
        <w:t xml:space="preserve">Any announcement contemplated by </w:t>
      </w:r>
      <w:r w:rsidR="00710C4E">
        <w:rPr>
          <w:rFonts w:cs="Arial"/>
          <w:bCs/>
          <w:szCs w:val="19"/>
          <w:lang w:val="en-GB"/>
        </w:rPr>
        <w:t xml:space="preserve">the </w:t>
      </w:r>
      <w:r w:rsidRPr="00B7499A">
        <w:rPr>
          <w:rFonts w:cs="Arial"/>
          <w:bCs/>
          <w:szCs w:val="19"/>
          <w:lang w:val="en-GB"/>
        </w:rPr>
        <w:t>Offer Memorandum will be issued by means of a press release. Any joint press release issued by the Offeror and Neways will be made available on the websites of the Offeror (</w:t>
      </w:r>
      <w:hyperlink w:history="1" r:id="rId7">
        <w:r w:rsidRPr="00B7499A">
          <w:rPr>
            <w:rStyle w:val="Hyperlink"/>
            <w:rFonts w:cs="Arial"/>
            <w:bCs/>
            <w:szCs w:val="19"/>
            <w:lang w:val="en-GB"/>
          </w:rPr>
          <w:t>www.infestos.com</w:t>
        </w:r>
      </w:hyperlink>
      <w:r w:rsidRPr="00B7499A">
        <w:rPr>
          <w:rFonts w:cs="Arial"/>
          <w:bCs/>
          <w:szCs w:val="19"/>
          <w:lang w:val="en-GB"/>
        </w:rPr>
        <w:t>) and Neways (</w:t>
      </w:r>
      <w:hyperlink w:history="1" r:id="rId8">
        <w:r w:rsidRPr="00B7499A">
          <w:rPr>
            <w:rStyle w:val="Hyperlink"/>
            <w:rFonts w:cs="Arial"/>
            <w:bCs/>
            <w:szCs w:val="19"/>
            <w:lang w:val="en-GB"/>
          </w:rPr>
          <w:t>www.newayselectronics.com</w:t>
        </w:r>
      </w:hyperlink>
      <w:r w:rsidRPr="00B7499A">
        <w:rPr>
          <w:rFonts w:cs="Arial"/>
          <w:bCs/>
          <w:szCs w:val="19"/>
          <w:lang w:val="en-GB"/>
        </w:rPr>
        <w:t>). Any press release issued by the Offeror will be made available on the Offeror's website (</w:t>
      </w:r>
      <w:hyperlink w:history="1" r:id="rId9">
        <w:r w:rsidRPr="00B7499A">
          <w:rPr>
            <w:rStyle w:val="Hyperlink"/>
            <w:rFonts w:cs="Arial"/>
            <w:bCs/>
            <w:szCs w:val="19"/>
            <w:lang w:val="en-GB"/>
          </w:rPr>
          <w:t>www.infestos.com</w:t>
        </w:r>
      </w:hyperlink>
      <w:r w:rsidRPr="00B7499A">
        <w:rPr>
          <w:rFonts w:cs="Arial"/>
          <w:bCs/>
          <w:szCs w:val="19"/>
          <w:lang w:val="en-GB"/>
        </w:rPr>
        <w:t>).</w:t>
      </w:r>
    </w:p>
    <w:p w:rsidR="00C51632" w:rsidP="007C4277" w:rsidRDefault="00C51632" w14:paraId="48073DAB" w14:textId="77777777">
      <w:pPr>
        <w:jc w:val="both"/>
        <w:rPr>
          <w:rFonts w:cs="Arial"/>
          <w:bCs/>
          <w:szCs w:val="19"/>
          <w:lang w:val="en-GB"/>
        </w:rPr>
      </w:pPr>
    </w:p>
    <w:p w:rsidRPr="007C4277" w:rsidR="00C51632" w:rsidP="007C4277" w:rsidRDefault="00C51632" w14:paraId="58D5AC1A" w14:textId="4052CABB">
      <w:pPr>
        <w:jc w:val="both"/>
        <w:rPr>
          <w:rFonts w:cs="Arial"/>
          <w:bCs/>
          <w:szCs w:val="19"/>
          <w:lang w:val="en-GB"/>
        </w:rPr>
      </w:pPr>
      <w:r w:rsidRPr="00C51632">
        <w:rPr>
          <w:rFonts w:cs="Arial"/>
          <w:bCs/>
          <w:szCs w:val="19"/>
          <w:lang w:val="en-GB"/>
        </w:rPr>
        <w:t>Subject to any applicable legal requirements and without limiting the manner in which the Offeror may choose to make any</w:t>
      </w:r>
      <w:r w:rsidR="003C559B">
        <w:rPr>
          <w:rFonts w:cs="Arial"/>
          <w:bCs/>
          <w:szCs w:val="19"/>
          <w:lang w:val="en-GB"/>
        </w:rPr>
        <w:t xml:space="preserve"> public</w:t>
      </w:r>
      <w:r w:rsidRPr="00C51632">
        <w:rPr>
          <w:rFonts w:cs="Arial"/>
          <w:bCs/>
          <w:szCs w:val="19"/>
          <w:lang w:val="en-GB"/>
        </w:rPr>
        <w:t xml:space="preserve"> </w:t>
      </w:r>
      <w:r w:rsidR="00630869">
        <w:rPr>
          <w:rFonts w:cs="Arial"/>
          <w:bCs/>
          <w:szCs w:val="19"/>
          <w:lang w:val="en-GB"/>
        </w:rPr>
        <w:t>announcement</w:t>
      </w:r>
      <w:r w:rsidRPr="00C51632">
        <w:rPr>
          <w:rFonts w:cs="Arial"/>
          <w:bCs/>
          <w:szCs w:val="19"/>
          <w:lang w:val="en-GB"/>
        </w:rPr>
        <w:t xml:space="preserve">, the Offeror will have no obligation to communicate any </w:t>
      </w:r>
      <w:r w:rsidR="003C559B">
        <w:rPr>
          <w:rFonts w:cs="Arial"/>
          <w:bCs/>
          <w:szCs w:val="19"/>
          <w:lang w:val="en-GB"/>
        </w:rPr>
        <w:t xml:space="preserve">public </w:t>
      </w:r>
      <w:r w:rsidR="00630869">
        <w:rPr>
          <w:rFonts w:cs="Arial"/>
          <w:bCs/>
          <w:szCs w:val="19"/>
          <w:lang w:val="en-GB"/>
        </w:rPr>
        <w:t>announcement</w:t>
      </w:r>
      <w:r w:rsidRPr="00C51632">
        <w:rPr>
          <w:rFonts w:cs="Arial"/>
          <w:bCs/>
          <w:szCs w:val="19"/>
          <w:lang w:val="en-GB"/>
        </w:rPr>
        <w:t xml:space="preserve"> other than as described </w:t>
      </w:r>
      <w:r w:rsidR="00B94D51">
        <w:rPr>
          <w:rFonts w:cs="Arial"/>
          <w:bCs/>
          <w:szCs w:val="19"/>
          <w:lang w:val="en-GB"/>
        </w:rPr>
        <w:t>above and in S</w:t>
      </w:r>
      <w:r>
        <w:rPr>
          <w:rFonts w:cs="Arial"/>
          <w:bCs/>
          <w:szCs w:val="19"/>
          <w:lang w:val="en-GB"/>
        </w:rPr>
        <w:t>ection 5.12 (</w:t>
      </w:r>
      <w:r w:rsidRPr="00AA7B54">
        <w:rPr>
          <w:rFonts w:cs="Arial"/>
          <w:bCs/>
          <w:i/>
          <w:szCs w:val="19"/>
          <w:lang w:val="en-GB"/>
        </w:rPr>
        <w:t>Announcements</w:t>
      </w:r>
      <w:r>
        <w:rPr>
          <w:rFonts w:cs="Arial"/>
          <w:bCs/>
          <w:szCs w:val="19"/>
          <w:lang w:val="en-GB"/>
        </w:rPr>
        <w:t>) of the Offer Memorandum</w:t>
      </w:r>
      <w:r w:rsidRPr="00C51632">
        <w:rPr>
          <w:rFonts w:cs="Arial"/>
          <w:bCs/>
          <w:szCs w:val="19"/>
          <w:lang w:val="en-GB"/>
        </w:rPr>
        <w:t>.</w:t>
      </w:r>
    </w:p>
    <w:p w:rsidRPr="005875C7" w:rsidR="00AF7F6A" w:rsidP="00AF7F6A" w:rsidRDefault="00AF7F6A" w14:paraId="18383944" w14:textId="77777777">
      <w:pPr>
        <w:jc w:val="both"/>
        <w:rPr>
          <w:rFonts w:cs="Arial"/>
          <w:bCs/>
          <w:szCs w:val="19"/>
          <w:lang w:val="en-GB"/>
        </w:rPr>
      </w:pPr>
    </w:p>
    <w:p w:rsidRPr="005875C7" w:rsidR="003173D6" w:rsidP="00B7499A" w:rsidRDefault="003173D6" w14:paraId="3FF994AF" w14:textId="77777777">
      <w:pPr>
        <w:keepNext/>
        <w:jc w:val="both"/>
        <w:rPr>
          <w:rFonts w:cs="Arial"/>
          <w:b/>
          <w:bCs/>
          <w:szCs w:val="19"/>
          <w:lang w:val="en-GB"/>
        </w:rPr>
      </w:pPr>
      <w:r w:rsidRPr="005875C7">
        <w:rPr>
          <w:rFonts w:cs="Arial"/>
          <w:b/>
          <w:bCs/>
          <w:szCs w:val="19"/>
          <w:lang w:val="en-GB"/>
        </w:rPr>
        <w:t>Offer Memorandum, Position Statement and further information</w:t>
      </w:r>
    </w:p>
    <w:p w:rsidRPr="005875C7" w:rsidR="003173D6" w:rsidP="003173D6" w:rsidRDefault="003173D6" w14:paraId="64C9D324" w14:textId="77777777">
      <w:pPr>
        <w:jc w:val="both"/>
        <w:rPr>
          <w:rFonts w:cs="Arial"/>
          <w:bCs/>
          <w:szCs w:val="19"/>
          <w:lang w:val="en-GB"/>
        </w:rPr>
      </w:pPr>
      <w:r>
        <w:rPr>
          <w:rFonts w:cs="Arial"/>
          <w:bCs/>
          <w:szCs w:val="19"/>
          <w:lang w:val="en-GB"/>
        </w:rPr>
        <w:t>The Offeror</w:t>
      </w:r>
      <w:r w:rsidRPr="005875C7">
        <w:rPr>
          <w:rFonts w:cs="Arial"/>
          <w:bCs/>
          <w:szCs w:val="19"/>
          <w:lang w:val="en-GB"/>
        </w:rPr>
        <w:t xml:space="preserve"> is making the Offer on the terms and subject to the conditions and restrictions contained in the Offer Memorandum which is available as of </w:t>
      </w:r>
      <w:r w:rsidR="002A6C30">
        <w:rPr>
          <w:rFonts w:cs="Arial"/>
          <w:bCs/>
          <w:szCs w:val="19"/>
          <w:lang w:val="en-GB"/>
        </w:rPr>
        <w:t>today</w:t>
      </w:r>
      <w:r w:rsidRPr="005875C7">
        <w:rPr>
          <w:rFonts w:cs="Arial"/>
          <w:bCs/>
          <w:szCs w:val="19"/>
          <w:lang w:val="en-GB"/>
        </w:rPr>
        <w:t xml:space="preserve">. In addition, </w:t>
      </w:r>
      <w:r w:rsidR="00B7499A">
        <w:rPr>
          <w:rFonts w:cs="Arial"/>
          <w:bCs/>
          <w:szCs w:val="19"/>
          <w:lang w:val="en-GB"/>
        </w:rPr>
        <w:t xml:space="preserve">Neways </w:t>
      </w:r>
      <w:r w:rsidRPr="005875C7">
        <w:rPr>
          <w:rFonts w:cs="Arial"/>
          <w:bCs/>
          <w:szCs w:val="19"/>
          <w:lang w:val="en-GB"/>
        </w:rPr>
        <w:t>has made available the Position Statement</w:t>
      </w:r>
      <w:r w:rsidR="002A6C30">
        <w:rPr>
          <w:rFonts w:cs="Arial"/>
          <w:bCs/>
          <w:szCs w:val="19"/>
          <w:lang w:val="en-GB"/>
        </w:rPr>
        <w:t xml:space="preserve"> today</w:t>
      </w:r>
      <w:r w:rsidRPr="005875C7">
        <w:rPr>
          <w:rFonts w:cs="Arial"/>
          <w:bCs/>
          <w:szCs w:val="19"/>
          <w:lang w:val="en-GB"/>
        </w:rPr>
        <w:t>, containing the information required by Section 18, Paragraph 2 and Annex G of the Decree in connection with the Offer.</w:t>
      </w:r>
    </w:p>
    <w:p w:rsidRPr="005875C7" w:rsidR="003173D6" w:rsidP="003173D6" w:rsidRDefault="003173D6" w14:paraId="2DB5F68D" w14:textId="77777777">
      <w:pPr>
        <w:jc w:val="both"/>
        <w:rPr>
          <w:rFonts w:cs="Arial"/>
          <w:bCs/>
          <w:szCs w:val="19"/>
          <w:lang w:val="en-GB"/>
        </w:rPr>
      </w:pPr>
    </w:p>
    <w:p w:rsidRPr="005875C7" w:rsidR="003173D6" w:rsidP="003173D6" w:rsidRDefault="003173D6" w14:paraId="38C05D55" w14:textId="2EC4145B">
      <w:pPr>
        <w:jc w:val="both"/>
        <w:rPr>
          <w:rFonts w:cs="Arial"/>
          <w:bCs/>
          <w:szCs w:val="19"/>
          <w:lang w:val="en-GB"/>
        </w:rPr>
      </w:pPr>
      <w:r w:rsidRPr="005875C7">
        <w:rPr>
          <w:rFonts w:cs="Arial"/>
          <w:bCs/>
          <w:szCs w:val="19"/>
          <w:lang w:val="en-GB"/>
        </w:rPr>
        <w:t xml:space="preserve">This </w:t>
      </w:r>
      <w:r w:rsidR="00630869">
        <w:rPr>
          <w:rFonts w:cs="Arial"/>
          <w:bCs/>
          <w:szCs w:val="19"/>
          <w:lang w:val="en-GB"/>
        </w:rPr>
        <w:t>announcement</w:t>
      </w:r>
      <w:r w:rsidRPr="005875C7">
        <w:rPr>
          <w:rFonts w:cs="Arial"/>
          <w:bCs/>
          <w:szCs w:val="19"/>
          <w:lang w:val="en-GB"/>
        </w:rPr>
        <w:t xml:space="preserve"> contains selected, condensed information regarding the Offer and does not replace the Offer Memorandum and/or the Position Statement. The information in this </w:t>
      </w:r>
      <w:r w:rsidR="00630869">
        <w:rPr>
          <w:rFonts w:cs="Arial"/>
          <w:bCs/>
          <w:szCs w:val="19"/>
          <w:lang w:val="en-GB"/>
        </w:rPr>
        <w:t xml:space="preserve">announcement </w:t>
      </w:r>
      <w:r w:rsidRPr="005875C7">
        <w:rPr>
          <w:rFonts w:cs="Arial"/>
          <w:bCs/>
          <w:szCs w:val="19"/>
          <w:lang w:val="en-GB"/>
        </w:rPr>
        <w:t>is not complete and additional information is contained in the Offer Memorandum and</w:t>
      </w:r>
      <w:r w:rsidR="00FF2AD5">
        <w:rPr>
          <w:rFonts w:cs="Arial"/>
          <w:bCs/>
          <w:szCs w:val="19"/>
          <w:lang w:val="en-GB"/>
        </w:rPr>
        <w:t>/or</w:t>
      </w:r>
      <w:r w:rsidRPr="005875C7">
        <w:rPr>
          <w:rFonts w:cs="Arial"/>
          <w:bCs/>
          <w:szCs w:val="19"/>
          <w:lang w:val="en-GB"/>
        </w:rPr>
        <w:t xml:space="preserve"> the Position Statement.</w:t>
      </w:r>
    </w:p>
    <w:p w:rsidRPr="005875C7" w:rsidR="003173D6" w:rsidP="003173D6" w:rsidRDefault="003173D6" w14:paraId="46C9651D" w14:textId="77777777">
      <w:pPr>
        <w:jc w:val="both"/>
        <w:rPr>
          <w:rFonts w:cs="Arial"/>
          <w:bCs/>
          <w:szCs w:val="19"/>
          <w:lang w:val="en-GB"/>
        </w:rPr>
      </w:pPr>
    </w:p>
    <w:p w:rsidRPr="005875C7" w:rsidR="003173D6" w:rsidP="003173D6" w:rsidRDefault="003173D6" w14:paraId="3738DE34" w14:textId="1CDE239C">
      <w:pPr>
        <w:jc w:val="both"/>
        <w:rPr>
          <w:rFonts w:cs="Arial"/>
          <w:bCs/>
          <w:szCs w:val="19"/>
          <w:lang w:val="en-GB"/>
        </w:rPr>
      </w:pPr>
      <w:r w:rsidRPr="005875C7">
        <w:rPr>
          <w:rFonts w:cs="Arial"/>
          <w:bCs/>
          <w:szCs w:val="19"/>
          <w:lang w:val="en-GB"/>
        </w:rPr>
        <w:t>Shareholders are advised to review the Offer Memorandum and the Position Statement in detail and to seek independent advice where appropriate in order to reach a reasoned judgment in respect of the Offer and the content of the Offer Memorandum and the Position Statement. In a</w:t>
      </w:r>
      <w:r w:rsidR="00132866">
        <w:rPr>
          <w:rFonts w:cs="Arial"/>
          <w:bCs/>
          <w:szCs w:val="19"/>
          <w:lang w:val="en-GB"/>
        </w:rPr>
        <w:t>ddition, S</w:t>
      </w:r>
      <w:r w:rsidRPr="005875C7">
        <w:rPr>
          <w:rFonts w:cs="Arial"/>
          <w:bCs/>
          <w:szCs w:val="19"/>
          <w:lang w:val="en-GB"/>
        </w:rPr>
        <w:t>hareholders may wish to consult with their tax advisors regarding the tax consequences of tendering their Shares under the Offer.</w:t>
      </w:r>
    </w:p>
    <w:p w:rsidRPr="005875C7" w:rsidR="003173D6" w:rsidP="003173D6" w:rsidRDefault="003173D6" w14:paraId="1BB15479" w14:textId="77777777">
      <w:pPr>
        <w:jc w:val="both"/>
        <w:rPr>
          <w:rFonts w:cs="Arial"/>
          <w:bCs/>
          <w:szCs w:val="19"/>
          <w:lang w:val="en-GB"/>
        </w:rPr>
      </w:pPr>
    </w:p>
    <w:p w:rsidRPr="00261799" w:rsidR="00261799" w:rsidP="00261799" w:rsidRDefault="00261799" w14:paraId="7D0268CA" w14:textId="4E4736F5">
      <w:pPr>
        <w:jc w:val="both"/>
        <w:rPr>
          <w:rFonts w:cs="Arial"/>
          <w:bCs/>
          <w:szCs w:val="19"/>
          <w:lang w:val="en-GB"/>
        </w:rPr>
      </w:pPr>
      <w:r w:rsidRPr="00261799">
        <w:rPr>
          <w:rFonts w:cs="Arial"/>
          <w:bCs/>
          <w:szCs w:val="19"/>
          <w:lang w:val="en-GB"/>
        </w:rPr>
        <w:t xml:space="preserve">Digital copies of </w:t>
      </w:r>
      <w:r w:rsidR="00710C4E">
        <w:rPr>
          <w:rFonts w:cs="Arial"/>
          <w:bCs/>
          <w:szCs w:val="19"/>
          <w:lang w:val="en-GB"/>
        </w:rPr>
        <w:t>the</w:t>
      </w:r>
      <w:r w:rsidRPr="00261799">
        <w:rPr>
          <w:rFonts w:cs="Arial"/>
          <w:bCs/>
          <w:szCs w:val="19"/>
          <w:lang w:val="en-GB"/>
        </w:rPr>
        <w:t xml:space="preserve"> Offer Memorand</w:t>
      </w:r>
      <w:r w:rsidR="001028C0">
        <w:rPr>
          <w:rFonts w:cs="Arial"/>
          <w:bCs/>
          <w:szCs w:val="19"/>
          <w:lang w:val="en-GB"/>
        </w:rPr>
        <w:t>um are available on the website</w:t>
      </w:r>
      <w:r w:rsidRPr="00261799">
        <w:rPr>
          <w:rFonts w:cs="Arial"/>
          <w:bCs/>
          <w:szCs w:val="19"/>
          <w:lang w:val="en-GB"/>
        </w:rPr>
        <w:t xml:space="preserve"> of </w:t>
      </w:r>
      <w:r w:rsidR="001028C0">
        <w:rPr>
          <w:rFonts w:cs="Arial"/>
          <w:bCs/>
          <w:szCs w:val="19"/>
          <w:lang w:val="en-GB"/>
        </w:rPr>
        <w:t xml:space="preserve">the Offeror </w:t>
      </w:r>
      <w:r w:rsidRPr="00261799" w:rsidR="001028C0">
        <w:rPr>
          <w:rFonts w:cs="Arial"/>
          <w:bCs/>
          <w:szCs w:val="19"/>
          <w:lang w:val="en-GB"/>
        </w:rPr>
        <w:t>(</w:t>
      </w:r>
      <w:hyperlink w:history="1" r:id="rId10">
        <w:r w:rsidRPr="00261799" w:rsidR="001028C0">
          <w:rPr>
            <w:rStyle w:val="Hyperlink"/>
            <w:rFonts w:cs="Arial"/>
            <w:bCs/>
            <w:szCs w:val="19"/>
            <w:lang w:val="en-GB"/>
          </w:rPr>
          <w:t>www.infestos.com</w:t>
        </w:r>
      </w:hyperlink>
      <w:r w:rsidR="001028C0">
        <w:rPr>
          <w:rFonts w:cs="Arial"/>
          <w:bCs/>
          <w:szCs w:val="19"/>
          <w:lang w:val="en-GB"/>
        </w:rPr>
        <w:t>) and digital copies of the Position Statement are available on the website of Neways</w:t>
      </w:r>
      <w:r w:rsidRPr="00261799" w:rsidR="001028C0">
        <w:rPr>
          <w:rFonts w:cs="Arial"/>
          <w:bCs/>
          <w:szCs w:val="19"/>
          <w:lang w:val="en-GB"/>
        </w:rPr>
        <w:t xml:space="preserve"> </w:t>
      </w:r>
      <w:r w:rsidRPr="00261799">
        <w:rPr>
          <w:rFonts w:cs="Arial"/>
          <w:bCs/>
          <w:szCs w:val="19"/>
          <w:lang w:val="en-GB"/>
        </w:rPr>
        <w:t>(</w:t>
      </w:r>
      <w:hyperlink w:history="1" r:id="rId11">
        <w:r w:rsidRPr="00261799">
          <w:rPr>
            <w:rStyle w:val="Hyperlink"/>
            <w:rFonts w:cs="Arial"/>
            <w:bCs/>
            <w:szCs w:val="19"/>
            <w:lang w:val="en-GB"/>
          </w:rPr>
          <w:t>www.newayselectronics.com</w:t>
        </w:r>
      </w:hyperlink>
      <w:r w:rsidRPr="00261799">
        <w:rPr>
          <w:rFonts w:cs="Arial"/>
          <w:bCs/>
          <w:szCs w:val="19"/>
          <w:lang w:val="en-GB"/>
        </w:rPr>
        <w:t xml:space="preserve">). Copies of </w:t>
      </w:r>
      <w:r w:rsidR="00710C4E">
        <w:rPr>
          <w:rFonts w:cs="Arial"/>
          <w:bCs/>
          <w:szCs w:val="19"/>
          <w:lang w:val="en-GB"/>
        </w:rPr>
        <w:t>the</w:t>
      </w:r>
      <w:r w:rsidRPr="00261799">
        <w:rPr>
          <w:rFonts w:cs="Arial"/>
          <w:bCs/>
          <w:szCs w:val="19"/>
          <w:lang w:val="en-GB"/>
        </w:rPr>
        <w:t xml:space="preserve"> Offer Memorandum are also available free of charge at the offices of Neways and the Settlement Agent, at the addresses mentioned</w:t>
      </w:r>
      <w:r>
        <w:rPr>
          <w:rFonts w:cs="Arial"/>
          <w:bCs/>
          <w:szCs w:val="19"/>
          <w:lang w:val="en-GB"/>
        </w:rPr>
        <w:t xml:space="preserve"> below</w:t>
      </w:r>
      <w:r w:rsidRPr="00261799">
        <w:rPr>
          <w:rFonts w:cs="Arial"/>
          <w:bCs/>
          <w:szCs w:val="19"/>
          <w:lang w:val="en-GB"/>
        </w:rPr>
        <w:t xml:space="preserve">. The websites of Neways, the Offeror and the AFM do not constitute a part of, and are not incorporated by reference into, </w:t>
      </w:r>
      <w:r w:rsidR="00710C4E">
        <w:rPr>
          <w:rFonts w:cs="Arial"/>
          <w:bCs/>
          <w:szCs w:val="19"/>
          <w:lang w:val="en-GB"/>
        </w:rPr>
        <w:t>the</w:t>
      </w:r>
      <w:r w:rsidRPr="00261799">
        <w:rPr>
          <w:rFonts w:cs="Arial"/>
          <w:bCs/>
          <w:szCs w:val="19"/>
          <w:lang w:val="en-GB"/>
        </w:rPr>
        <w:t xml:space="preserve"> Offer Memorandum.</w:t>
      </w:r>
    </w:p>
    <w:p w:rsidR="00DB26FE" w:rsidRDefault="00DB26FE" w14:paraId="607B0E7C" w14:textId="7FF60911">
      <w:pPr>
        <w:spacing w:after="200" w:line="276" w:lineRule="auto"/>
        <w:rPr>
          <w:rFonts w:cs="Arial"/>
          <w:b/>
          <w:bCs/>
          <w:szCs w:val="19"/>
          <w:lang w:val="en-GB"/>
        </w:rPr>
      </w:pPr>
      <w:r>
        <w:rPr>
          <w:rFonts w:cs="Arial"/>
          <w:b/>
          <w:bCs/>
          <w:szCs w:val="19"/>
          <w:lang w:val="en-GB"/>
        </w:rPr>
        <w:br w:type="page"/>
      </w:r>
    </w:p>
    <w:p w:rsidRPr="005875C7" w:rsidR="003173D6" w:rsidP="003173D6" w:rsidRDefault="00261799" w14:paraId="6BE783AF" w14:textId="77777777">
      <w:pPr>
        <w:jc w:val="both"/>
        <w:rPr>
          <w:rFonts w:cs="Arial"/>
          <w:b/>
          <w:bCs/>
          <w:szCs w:val="19"/>
          <w:lang w:val="en-GB"/>
        </w:rPr>
      </w:pPr>
      <w:r>
        <w:rPr>
          <w:rFonts w:cs="Arial"/>
          <w:b/>
          <w:bCs/>
          <w:szCs w:val="19"/>
          <w:lang w:val="en-GB"/>
        </w:rPr>
        <w:lastRenderedPageBreak/>
        <w:t>Neways</w:t>
      </w:r>
      <w:r w:rsidRPr="005875C7" w:rsidR="003173D6">
        <w:rPr>
          <w:rFonts w:cs="Arial"/>
          <w:b/>
          <w:bCs/>
          <w:szCs w:val="19"/>
          <w:lang w:val="en-GB"/>
        </w:rPr>
        <w:t>:</w:t>
      </w:r>
    </w:p>
    <w:p w:rsidRPr="00261799" w:rsidR="00261799" w:rsidP="00261799" w:rsidRDefault="00261799" w14:paraId="2BB3CC35" w14:textId="77777777">
      <w:pPr>
        <w:jc w:val="both"/>
        <w:rPr>
          <w:rFonts w:cs="Arial"/>
          <w:bCs/>
          <w:szCs w:val="19"/>
          <w:lang w:val="en-GB"/>
        </w:rPr>
      </w:pPr>
      <w:r w:rsidRPr="00261799">
        <w:rPr>
          <w:rFonts w:cs="Arial"/>
          <w:bCs/>
          <w:szCs w:val="19"/>
          <w:lang w:val="en-GB"/>
        </w:rPr>
        <w:t>Neways Electronics International N.V.</w:t>
      </w:r>
    </w:p>
    <w:p w:rsidRPr="00D013F9" w:rsidR="00261799" w:rsidP="00261799" w:rsidRDefault="00261799" w14:paraId="2BADDC01" w14:textId="77777777">
      <w:pPr>
        <w:jc w:val="both"/>
        <w:rPr>
          <w:rFonts w:cs="Arial"/>
          <w:bCs/>
          <w:szCs w:val="19"/>
          <w:lang w:val="fr-FR"/>
        </w:rPr>
      </w:pPr>
      <w:r w:rsidRPr="00D013F9">
        <w:rPr>
          <w:rFonts w:cs="Arial"/>
          <w:bCs/>
          <w:szCs w:val="19"/>
          <w:lang w:val="fr-FR"/>
        </w:rPr>
        <w:t>Science Park Eindhoven 5010</w:t>
      </w:r>
    </w:p>
    <w:p w:rsidRPr="00D013F9" w:rsidR="00261799" w:rsidP="00261799" w:rsidRDefault="00261799" w14:paraId="47DDE888" w14:textId="77777777">
      <w:pPr>
        <w:jc w:val="both"/>
        <w:rPr>
          <w:rFonts w:cs="Arial"/>
          <w:bCs/>
          <w:szCs w:val="19"/>
          <w:lang w:val="fr-FR"/>
        </w:rPr>
      </w:pPr>
      <w:r w:rsidRPr="00D013F9">
        <w:rPr>
          <w:rFonts w:cs="Arial"/>
          <w:bCs/>
          <w:szCs w:val="19"/>
          <w:lang w:val="fr-FR"/>
        </w:rPr>
        <w:t xml:space="preserve">5692 </w:t>
      </w:r>
      <w:proofErr w:type="spellStart"/>
      <w:r w:rsidRPr="00D013F9">
        <w:rPr>
          <w:rFonts w:cs="Arial"/>
          <w:bCs/>
          <w:szCs w:val="19"/>
          <w:lang w:val="fr-FR"/>
        </w:rPr>
        <w:t>EA</w:t>
      </w:r>
      <w:proofErr w:type="spellEnd"/>
      <w:r w:rsidRPr="00D013F9">
        <w:rPr>
          <w:rFonts w:cs="Arial"/>
          <w:bCs/>
          <w:szCs w:val="19"/>
          <w:lang w:val="fr-FR"/>
        </w:rPr>
        <w:t xml:space="preserve"> Son en </w:t>
      </w:r>
      <w:proofErr w:type="spellStart"/>
      <w:r w:rsidRPr="00D013F9">
        <w:rPr>
          <w:rFonts w:cs="Arial"/>
          <w:bCs/>
          <w:szCs w:val="19"/>
          <w:lang w:val="fr-FR"/>
        </w:rPr>
        <w:t>Breugel</w:t>
      </w:r>
      <w:proofErr w:type="spellEnd"/>
    </w:p>
    <w:p w:rsidR="003173D6" w:rsidP="00261799" w:rsidRDefault="00261799" w14:paraId="272E7EE7" w14:textId="77777777">
      <w:pPr>
        <w:jc w:val="both"/>
        <w:rPr>
          <w:rFonts w:cs="Arial"/>
          <w:bCs/>
          <w:szCs w:val="19"/>
          <w:lang w:val="en-GB"/>
        </w:rPr>
      </w:pPr>
      <w:r w:rsidRPr="00261799">
        <w:rPr>
          <w:rFonts w:cs="Arial"/>
          <w:bCs/>
          <w:szCs w:val="19"/>
          <w:lang w:val="en-GB"/>
        </w:rPr>
        <w:t>The Netherlands</w:t>
      </w:r>
    </w:p>
    <w:p w:rsidRPr="003173D6" w:rsidR="00713FBB" w:rsidP="00713FBB" w:rsidRDefault="00713FBB" w14:paraId="3DC7210F" w14:textId="77777777">
      <w:pPr>
        <w:jc w:val="both"/>
        <w:rPr>
          <w:rFonts w:cs="Arial"/>
          <w:b/>
          <w:bCs/>
          <w:szCs w:val="19"/>
          <w:lang w:val="en-GB"/>
        </w:rPr>
      </w:pPr>
    </w:p>
    <w:p w:rsidRPr="00580FEE" w:rsidR="003173D6" w:rsidP="003173D6" w:rsidRDefault="003173D6" w14:paraId="1B4C1EAF" w14:textId="77777777">
      <w:pPr>
        <w:jc w:val="both"/>
        <w:rPr>
          <w:rFonts w:cs="Arial"/>
          <w:b/>
          <w:bCs/>
          <w:szCs w:val="19"/>
          <w:lang w:val="en-US"/>
        </w:rPr>
      </w:pPr>
      <w:r w:rsidRPr="00580FEE">
        <w:rPr>
          <w:rFonts w:cs="Arial"/>
          <w:b/>
          <w:bCs/>
          <w:szCs w:val="19"/>
          <w:lang w:val="en-US"/>
        </w:rPr>
        <w:t>The Settlement Agent:</w:t>
      </w:r>
    </w:p>
    <w:p w:rsidRPr="00261799" w:rsidR="00261799" w:rsidP="00261799" w:rsidRDefault="00261799" w14:paraId="5241D812" w14:textId="77777777">
      <w:pPr>
        <w:jc w:val="both"/>
        <w:rPr>
          <w:rFonts w:cs="Arial"/>
          <w:bCs/>
          <w:szCs w:val="19"/>
        </w:rPr>
      </w:pPr>
      <w:r w:rsidRPr="00261799">
        <w:rPr>
          <w:rFonts w:cs="Arial"/>
          <w:bCs/>
          <w:szCs w:val="19"/>
        </w:rPr>
        <w:t>Van Lanschot Kempen N.V.</w:t>
      </w:r>
    </w:p>
    <w:p w:rsidRPr="00623EFC" w:rsidR="00261799" w:rsidP="00261799" w:rsidRDefault="00261799" w14:paraId="430B02BB" w14:textId="77777777">
      <w:pPr>
        <w:jc w:val="both"/>
        <w:rPr>
          <w:rFonts w:cs="Arial"/>
          <w:bCs/>
          <w:szCs w:val="19"/>
        </w:rPr>
      </w:pPr>
      <w:r w:rsidRPr="00623EFC">
        <w:rPr>
          <w:rFonts w:cs="Arial"/>
          <w:bCs/>
          <w:szCs w:val="19"/>
        </w:rPr>
        <w:t>Beethovenstraat 300</w:t>
      </w:r>
    </w:p>
    <w:p w:rsidRPr="00580FEE" w:rsidR="00261799" w:rsidP="00261799" w:rsidRDefault="00261799" w14:paraId="187491C2" w14:textId="77777777">
      <w:pPr>
        <w:jc w:val="both"/>
        <w:rPr>
          <w:rFonts w:cs="Arial"/>
          <w:bCs/>
          <w:szCs w:val="19"/>
        </w:rPr>
      </w:pPr>
      <w:r w:rsidRPr="00580FEE">
        <w:rPr>
          <w:rFonts w:cs="Arial"/>
          <w:bCs/>
          <w:szCs w:val="19"/>
        </w:rPr>
        <w:t>1077 WZ Amsterdam</w:t>
      </w:r>
    </w:p>
    <w:p w:rsidRPr="00580FEE" w:rsidR="00961ABC" w:rsidP="00713FBB" w:rsidRDefault="00261799" w14:paraId="4B088070" w14:textId="77777777">
      <w:pPr>
        <w:jc w:val="both"/>
        <w:rPr>
          <w:rFonts w:cs="Arial"/>
          <w:bCs/>
          <w:szCs w:val="19"/>
        </w:rPr>
      </w:pPr>
      <w:r w:rsidRPr="00580FEE">
        <w:rPr>
          <w:rFonts w:cs="Arial"/>
          <w:bCs/>
          <w:szCs w:val="19"/>
        </w:rPr>
        <w:t xml:space="preserve">The Netherlands </w:t>
      </w:r>
    </w:p>
    <w:p w:rsidRPr="00580FEE" w:rsidR="00713FBB" w:rsidP="00713FBB" w:rsidRDefault="00713FBB" w14:paraId="20343509" w14:textId="77777777">
      <w:pPr>
        <w:jc w:val="both"/>
        <w:rPr>
          <w:rFonts w:cs="Arial"/>
          <w:b/>
          <w:bCs/>
          <w:szCs w:val="19"/>
        </w:rPr>
      </w:pPr>
    </w:p>
    <w:p w:rsidRPr="00580FEE" w:rsidR="00164831" w:rsidP="00164831" w:rsidRDefault="00164831" w14:paraId="0DE366C6" w14:textId="77777777">
      <w:pPr>
        <w:jc w:val="both"/>
        <w:rPr>
          <w:rFonts w:cs="Arial"/>
          <w:b/>
          <w:bCs/>
          <w:szCs w:val="19"/>
        </w:rPr>
      </w:pPr>
      <w:r w:rsidRPr="00580FEE">
        <w:rPr>
          <w:rFonts w:cs="Arial"/>
          <w:b/>
          <w:bCs/>
          <w:szCs w:val="19"/>
        </w:rPr>
        <w:t>Advisers</w:t>
      </w:r>
    </w:p>
    <w:p w:rsidRPr="009E4613" w:rsidR="00164831" w:rsidP="00164831" w:rsidRDefault="00261799" w14:paraId="67EA7EDD" w14:textId="77777777">
      <w:pPr>
        <w:jc w:val="both"/>
        <w:rPr>
          <w:rFonts w:cs="Arial"/>
          <w:szCs w:val="19"/>
          <w:lang w:val="en-GB"/>
        </w:rPr>
      </w:pPr>
      <w:r>
        <w:rPr>
          <w:rFonts w:cs="Arial"/>
          <w:szCs w:val="19"/>
          <w:lang w:val="en-GB"/>
        </w:rPr>
        <w:t>ABN AMRO Bank N.V.</w:t>
      </w:r>
      <w:r w:rsidRPr="009E4613" w:rsidR="00164831">
        <w:rPr>
          <w:rFonts w:cs="Arial"/>
          <w:szCs w:val="19"/>
          <w:lang w:val="en-GB"/>
        </w:rPr>
        <w:t xml:space="preserve"> is acting as </w:t>
      </w:r>
      <w:r>
        <w:rPr>
          <w:rFonts w:cs="Arial"/>
          <w:szCs w:val="19"/>
          <w:lang w:val="en-GB"/>
        </w:rPr>
        <w:t>Neways’</w:t>
      </w:r>
      <w:r w:rsidRPr="009E4613" w:rsidR="00164831">
        <w:rPr>
          <w:rFonts w:cs="Arial"/>
          <w:szCs w:val="19"/>
          <w:lang w:val="en-GB"/>
        </w:rPr>
        <w:t xml:space="preserve"> financial adviser</w:t>
      </w:r>
      <w:r w:rsidRPr="00873794" w:rsidR="00164831">
        <w:rPr>
          <w:rFonts w:cs="Arial"/>
          <w:szCs w:val="19"/>
          <w:lang w:val="en-GB"/>
        </w:rPr>
        <w:t xml:space="preserve"> </w:t>
      </w:r>
      <w:r w:rsidR="00164831">
        <w:rPr>
          <w:rFonts w:cs="Arial"/>
          <w:szCs w:val="19"/>
          <w:lang w:val="en-GB"/>
        </w:rPr>
        <w:t xml:space="preserve">and </w:t>
      </w:r>
      <w:r>
        <w:rPr>
          <w:rFonts w:cs="Arial"/>
          <w:szCs w:val="19"/>
          <w:lang w:val="en-GB"/>
        </w:rPr>
        <w:t>AXECO Corporate Finance B.V.</w:t>
      </w:r>
      <w:r w:rsidR="00164831">
        <w:rPr>
          <w:rFonts w:cs="Arial"/>
          <w:szCs w:val="19"/>
          <w:lang w:val="en-GB"/>
        </w:rPr>
        <w:t xml:space="preserve"> </w:t>
      </w:r>
      <w:r w:rsidRPr="00296D12" w:rsidR="00164831">
        <w:rPr>
          <w:rFonts w:cs="Arial"/>
          <w:szCs w:val="19"/>
          <w:lang w:val="en-GB"/>
        </w:rPr>
        <w:t>as financial adviser to the Supervisory Board</w:t>
      </w:r>
      <w:r w:rsidRPr="009E4613" w:rsidR="00164831">
        <w:rPr>
          <w:rFonts w:cs="Arial"/>
          <w:szCs w:val="19"/>
          <w:lang w:val="en-GB"/>
        </w:rPr>
        <w:t xml:space="preserve">. </w:t>
      </w:r>
      <w:r>
        <w:rPr>
          <w:rFonts w:cs="Arial"/>
          <w:szCs w:val="19"/>
          <w:lang w:val="en-GB"/>
        </w:rPr>
        <w:t>AKD</w:t>
      </w:r>
      <w:r w:rsidRPr="009E4613" w:rsidR="00164831">
        <w:rPr>
          <w:rFonts w:cs="Arial"/>
          <w:szCs w:val="19"/>
          <w:lang w:val="en-GB"/>
        </w:rPr>
        <w:t xml:space="preserve"> N.V. is acting as </w:t>
      </w:r>
      <w:r>
        <w:rPr>
          <w:rFonts w:cs="Arial"/>
          <w:szCs w:val="19"/>
          <w:lang w:val="en-GB"/>
        </w:rPr>
        <w:t>Neways’</w:t>
      </w:r>
      <w:r w:rsidRPr="009E4613" w:rsidR="00164831">
        <w:rPr>
          <w:rFonts w:cs="Arial"/>
          <w:szCs w:val="19"/>
          <w:lang w:val="en-GB"/>
        </w:rPr>
        <w:t xml:space="preserve"> legal adviser.</w:t>
      </w:r>
    </w:p>
    <w:p w:rsidRPr="009E4613" w:rsidR="00164831" w:rsidP="00164831" w:rsidRDefault="00164831" w14:paraId="2A11C252" w14:textId="77777777">
      <w:pPr>
        <w:jc w:val="both"/>
        <w:rPr>
          <w:rFonts w:cs="Arial"/>
          <w:szCs w:val="19"/>
          <w:lang w:val="en-GB"/>
        </w:rPr>
      </w:pPr>
    </w:p>
    <w:p w:rsidRPr="009E4613" w:rsidR="00164831" w:rsidP="00164831" w:rsidRDefault="00164831" w14:paraId="06589C0F" w14:textId="2E5124C5">
      <w:pPr>
        <w:jc w:val="both"/>
        <w:rPr>
          <w:rFonts w:cs="Arial"/>
          <w:szCs w:val="19"/>
          <w:lang w:val="en-GB"/>
        </w:rPr>
      </w:pPr>
      <w:r w:rsidRPr="009E4613">
        <w:rPr>
          <w:rFonts w:cs="Arial"/>
          <w:szCs w:val="19"/>
          <w:lang w:val="en-GB"/>
        </w:rPr>
        <w:t xml:space="preserve">On behalf of </w:t>
      </w:r>
      <w:r w:rsidR="00261799">
        <w:rPr>
          <w:rFonts w:cs="Arial"/>
          <w:szCs w:val="19"/>
          <w:lang w:val="en-GB"/>
        </w:rPr>
        <w:t>the Offeror</w:t>
      </w:r>
      <w:r w:rsidRPr="009E4613">
        <w:rPr>
          <w:rFonts w:cs="Arial"/>
          <w:szCs w:val="19"/>
          <w:lang w:val="en-GB"/>
        </w:rPr>
        <w:t xml:space="preserve">, </w:t>
      </w:r>
      <w:r w:rsidR="00261799">
        <w:rPr>
          <w:rFonts w:cs="Arial"/>
          <w:szCs w:val="19"/>
          <w:lang w:val="en-GB"/>
        </w:rPr>
        <w:t xml:space="preserve">Van </w:t>
      </w:r>
      <w:proofErr w:type="spellStart"/>
      <w:r w:rsidR="00261799">
        <w:rPr>
          <w:rFonts w:cs="Arial"/>
          <w:szCs w:val="19"/>
          <w:lang w:val="en-GB"/>
        </w:rPr>
        <w:t>Lanschot</w:t>
      </w:r>
      <w:proofErr w:type="spellEnd"/>
      <w:r w:rsidR="00261799">
        <w:rPr>
          <w:rFonts w:cs="Arial"/>
          <w:szCs w:val="19"/>
          <w:lang w:val="en-GB"/>
        </w:rPr>
        <w:t xml:space="preserve"> </w:t>
      </w:r>
      <w:r w:rsidRPr="00261799" w:rsidR="00261799">
        <w:rPr>
          <w:lang w:val="en-GB"/>
        </w:rPr>
        <w:t xml:space="preserve">Kempen </w:t>
      </w:r>
      <w:r w:rsidR="00261799">
        <w:rPr>
          <w:lang w:val="en-GB"/>
        </w:rPr>
        <w:t>N.V</w:t>
      </w:r>
      <w:r w:rsidR="00353BF2">
        <w:rPr>
          <w:lang w:val="en-GB"/>
        </w:rPr>
        <w:t>.</w:t>
      </w:r>
      <w:r w:rsidRPr="00261799" w:rsidR="00261799">
        <w:rPr>
          <w:lang w:val="en-GB"/>
        </w:rPr>
        <w:t xml:space="preserve"> and </w:t>
      </w:r>
      <w:r w:rsidRPr="00D4350C" w:rsidR="00261799">
        <w:rPr>
          <w:lang w:val="en-US"/>
        </w:rPr>
        <w:t xml:space="preserve">Joh. Berenberg, </w:t>
      </w:r>
      <w:proofErr w:type="spellStart"/>
      <w:r w:rsidRPr="00D4350C" w:rsidR="00261799">
        <w:rPr>
          <w:lang w:val="en-US"/>
        </w:rPr>
        <w:t>Gossler</w:t>
      </w:r>
      <w:proofErr w:type="spellEnd"/>
      <w:r w:rsidRPr="00D4350C" w:rsidR="00261799">
        <w:rPr>
          <w:lang w:val="en-US"/>
        </w:rPr>
        <w:t xml:space="preserve"> &amp; Co. KG</w:t>
      </w:r>
      <w:r w:rsidR="00261799">
        <w:rPr>
          <w:rFonts w:cs="Arial"/>
          <w:szCs w:val="19"/>
          <w:lang w:val="en-GB"/>
        </w:rPr>
        <w:t xml:space="preserve"> are each</w:t>
      </w:r>
      <w:r w:rsidRPr="009E4613">
        <w:rPr>
          <w:rFonts w:cs="Arial"/>
          <w:szCs w:val="19"/>
          <w:lang w:val="en-GB"/>
        </w:rPr>
        <w:t xml:space="preserve"> acti</w:t>
      </w:r>
      <w:r w:rsidR="0060109D">
        <w:rPr>
          <w:rFonts w:cs="Arial"/>
          <w:szCs w:val="19"/>
          <w:lang w:val="en-GB"/>
        </w:rPr>
        <w:t xml:space="preserve">ng as financial adviser and </w:t>
      </w:r>
      <w:r w:rsidRPr="009E4613">
        <w:rPr>
          <w:rFonts w:cs="Arial"/>
          <w:szCs w:val="19"/>
          <w:lang w:val="en-GB"/>
        </w:rPr>
        <w:t>Allen &amp; Overy LLP</w:t>
      </w:r>
      <w:r w:rsidR="00EA0BA1">
        <w:rPr>
          <w:rFonts w:cs="Arial"/>
          <w:szCs w:val="19"/>
          <w:lang w:val="en-GB"/>
        </w:rPr>
        <w:t xml:space="preserve"> </w:t>
      </w:r>
      <w:r w:rsidR="0060109D">
        <w:rPr>
          <w:rFonts w:cs="Arial"/>
          <w:szCs w:val="19"/>
          <w:lang w:val="en-GB"/>
        </w:rPr>
        <w:t xml:space="preserve">as </w:t>
      </w:r>
      <w:r w:rsidR="00EA0BA1">
        <w:rPr>
          <w:rFonts w:cs="Arial"/>
          <w:szCs w:val="19"/>
          <w:lang w:val="en-GB"/>
        </w:rPr>
        <w:t>legal adviser</w:t>
      </w:r>
      <w:r w:rsidRPr="009E4613">
        <w:rPr>
          <w:rFonts w:cs="Arial"/>
          <w:szCs w:val="19"/>
          <w:lang w:val="en-GB"/>
        </w:rPr>
        <w:t>.</w:t>
      </w:r>
    </w:p>
    <w:p w:rsidR="00961ABC" w:rsidP="00C81AA6" w:rsidRDefault="00961ABC" w14:paraId="10679DE1" w14:textId="77777777">
      <w:pPr>
        <w:jc w:val="both"/>
        <w:rPr>
          <w:rFonts w:cs="Arial"/>
          <w:b/>
          <w:bCs/>
          <w:szCs w:val="19"/>
          <w:lang w:val="en-GB"/>
        </w:rPr>
      </w:pPr>
    </w:p>
    <w:p w:rsidRPr="009E4613" w:rsidR="00164831" w:rsidP="00164831" w:rsidRDefault="00164831" w14:paraId="72207D94" w14:textId="77777777">
      <w:pPr>
        <w:jc w:val="both"/>
        <w:rPr>
          <w:rFonts w:cs="Arial"/>
          <w:b/>
          <w:bCs/>
          <w:szCs w:val="19"/>
          <w:lang w:val="en-GB"/>
        </w:rPr>
      </w:pPr>
      <w:r w:rsidRPr="009E4613">
        <w:rPr>
          <w:rFonts w:cs="Arial"/>
          <w:b/>
          <w:bCs/>
          <w:szCs w:val="19"/>
          <w:lang w:val="en-GB"/>
        </w:rPr>
        <w:t>For more information, please contact:</w:t>
      </w:r>
    </w:p>
    <w:p w:rsidRPr="009E4613" w:rsidR="00164831" w:rsidP="00164831" w:rsidRDefault="00164831" w14:paraId="637E837C" w14:textId="77777777">
      <w:pPr>
        <w:jc w:val="both"/>
        <w:rPr>
          <w:rFonts w:cs="Arial"/>
          <w:b/>
          <w:bCs/>
          <w:szCs w:val="19"/>
          <w:lang w:val="en-GB"/>
        </w:rPr>
      </w:pPr>
    </w:p>
    <w:p w:rsidRPr="00261799" w:rsidR="00261799" w:rsidP="00261799" w:rsidRDefault="00261799" w14:paraId="07871B78" w14:textId="77777777">
      <w:pPr>
        <w:jc w:val="both"/>
        <w:rPr>
          <w:rFonts w:cs="Arial"/>
          <w:szCs w:val="19"/>
          <w:u w:val="single"/>
          <w:lang w:val="en-GB"/>
        </w:rPr>
      </w:pPr>
      <w:r w:rsidRPr="00261799">
        <w:rPr>
          <w:rFonts w:cs="Arial"/>
          <w:szCs w:val="19"/>
          <w:u w:val="single"/>
          <w:lang w:val="en-GB"/>
        </w:rPr>
        <w:t>Neways</w:t>
      </w:r>
    </w:p>
    <w:p w:rsidRPr="00261799" w:rsidR="00261799" w:rsidP="00261799" w:rsidRDefault="00261799" w14:paraId="653581E4" w14:textId="77777777">
      <w:pPr>
        <w:jc w:val="both"/>
        <w:rPr>
          <w:rFonts w:cs="Arial"/>
          <w:szCs w:val="19"/>
          <w:lang w:val="en-GB"/>
        </w:rPr>
      </w:pPr>
      <w:r w:rsidRPr="00261799">
        <w:rPr>
          <w:rFonts w:cs="Arial"/>
          <w:szCs w:val="19"/>
          <w:lang w:val="en-GB"/>
        </w:rPr>
        <w:t>Angela Benner</w:t>
      </w:r>
    </w:p>
    <w:p w:rsidRPr="00E27B01" w:rsidR="00261799" w:rsidP="00261799" w:rsidRDefault="00261799" w14:paraId="50C4E39D" w14:textId="77777777">
      <w:pPr>
        <w:jc w:val="both"/>
        <w:rPr>
          <w:rFonts w:cs="Arial"/>
          <w:i/>
          <w:szCs w:val="19"/>
          <w:lang w:val="en-GB"/>
        </w:rPr>
      </w:pPr>
      <w:r w:rsidRPr="00E27B01">
        <w:rPr>
          <w:rFonts w:cs="Arial"/>
          <w:i/>
          <w:szCs w:val="19"/>
          <w:lang w:val="en-GB"/>
        </w:rPr>
        <w:t>Head of Communications Neways</w:t>
      </w:r>
    </w:p>
    <w:p w:rsidRPr="00E27B01" w:rsidR="00261799" w:rsidP="00261799" w:rsidRDefault="00261799" w14:paraId="2C5CEB6F" w14:textId="77777777">
      <w:pPr>
        <w:jc w:val="both"/>
        <w:rPr>
          <w:rFonts w:cs="Arial"/>
          <w:i/>
          <w:szCs w:val="19"/>
          <w:lang w:val="en-GB"/>
        </w:rPr>
      </w:pPr>
      <w:r w:rsidRPr="00E27B01">
        <w:rPr>
          <w:rFonts w:cs="Arial"/>
          <w:i/>
          <w:szCs w:val="19"/>
          <w:lang w:val="en-GB"/>
        </w:rPr>
        <w:t>Tel: + 31 (0) 40 2679201</w:t>
      </w:r>
    </w:p>
    <w:p w:rsidRPr="00E27B01" w:rsidR="00261799" w:rsidP="00261799" w:rsidRDefault="00261799" w14:paraId="03C0BC4C" w14:textId="77777777">
      <w:pPr>
        <w:jc w:val="both"/>
        <w:rPr>
          <w:rFonts w:cs="Arial"/>
          <w:i/>
          <w:szCs w:val="19"/>
          <w:lang w:val="en-GB"/>
        </w:rPr>
      </w:pPr>
      <w:r w:rsidRPr="00E27B01">
        <w:rPr>
          <w:rFonts w:cs="Arial"/>
          <w:i/>
          <w:szCs w:val="19"/>
          <w:lang w:val="en-GB"/>
        </w:rPr>
        <w:t>Neways Electronics International N.V.</w:t>
      </w:r>
    </w:p>
    <w:p w:rsidRPr="00E27B01" w:rsidR="00261799" w:rsidP="00261799" w:rsidRDefault="00261799" w14:paraId="14046137" w14:textId="77777777">
      <w:pPr>
        <w:jc w:val="both"/>
        <w:rPr>
          <w:rFonts w:cs="Arial"/>
          <w:i/>
          <w:szCs w:val="19"/>
          <w:lang w:val="en-GB"/>
        </w:rPr>
      </w:pPr>
      <w:r w:rsidRPr="00E27B01">
        <w:rPr>
          <w:rFonts w:cs="Arial"/>
          <w:i/>
          <w:szCs w:val="19"/>
          <w:lang w:val="en-GB"/>
        </w:rPr>
        <w:t>Postbus 69, 5690 AB SON</w:t>
      </w:r>
    </w:p>
    <w:p w:rsidRPr="00B04012" w:rsidR="00164831" w:rsidP="00261799" w:rsidRDefault="00261799" w14:paraId="071237E7" w14:textId="77777777">
      <w:pPr>
        <w:jc w:val="both"/>
        <w:rPr>
          <w:rFonts w:cs="Arial"/>
          <w:b/>
          <w:bCs/>
          <w:szCs w:val="19"/>
          <w:lang w:val="en-US"/>
        </w:rPr>
      </w:pPr>
      <w:r w:rsidRPr="00E27B01">
        <w:rPr>
          <w:rFonts w:cs="Arial"/>
          <w:i/>
          <w:szCs w:val="19"/>
          <w:lang w:val="en-GB"/>
        </w:rPr>
        <w:t>www.newayselectronics.com</w:t>
      </w:r>
      <w:r w:rsidRPr="00B04012" w:rsidR="00164831">
        <w:rPr>
          <w:rFonts w:cs="Arial"/>
          <w:b/>
          <w:bCs/>
          <w:szCs w:val="19"/>
          <w:lang w:val="en-US"/>
        </w:rPr>
        <w:tab/>
      </w:r>
      <w:r w:rsidRPr="00B04012" w:rsidR="00164831">
        <w:rPr>
          <w:rFonts w:cs="Arial"/>
          <w:b/>
          <w:bCs/>
          <w:szCs w:val="19"/>
          <w:lang w:val="en-US"/>
        </w:rPr>
        <w:tab/>
      </w:r>
      <w:r w:rsidRPr="00B04012" w:rsidR="00164831">
        <w:rPr>
          <w:rFonts w:cs="Arial"/>
          <w:b/>
          <w:bCs/>
          <w:szCs w:val="19"/>
          <w:lang w:val="en-US"/>
        </w:rPr>
        <w:tab/>
      </w:r>
      <w:r w:rsidRPr="00B04012" w:rsidR="00164831">
        <w:rPr>
          <w:rFonts w:cs="Arial"/>
          <w:b/>
          <w:bCs/>
          <w:szCs w:val="19"/>
          <w:lang w:val="en-US"/>
        </w:rPr>
        <w:tab/>
      </w:r>
    </w:p>
    <w:p w:rsidRPr="00B04012" w:rsidR="00164831" w:rsidP="00164831" w:rsidRDefault="00164831" w14:paraId="60F73FE1" w14:textId="77777777">
      <w:pPr>
        <w:jc w:val="both"/>
        <w:rPr>
          <w:rFonts w:cs="Arial"/>
          <w:szCs w:val="19"/>
          <w:u w:val="single"/>
          <w:lang w:val="en-US"/>
        </w:rPr>
      </w:pPr>
    </w:p>
    <w:p w:rsidRPr="00E27B01" w:rsidR="00E27B01" w:rsidP="00E27B01" w:rsidRDefault="00E27B01" w14:paraId="085A85F7" w14:textId="77777777">
      <w:pPr>
        <w:jc w:val="both"/>
        <w:rPr>
          <w:rFonts w:cs="Arial"/>
          <w:szCs w:val="19"/>
          <w:u w:val="single"/>
          <w:lang w:val="en-GB"/>
        </w:rPr>
      </w:pPr>
      <w:r w:rsidRPr="00E27B01">
        <w:rPr>
          <w:rFonts w:cs="Arial"/>
          <w:szCs w:val="19"/>
          <w:u w:val="single"/>
          <w:lang w:val="en-GB"/>
        </w:rPr>
        <w:t>Infestos</w:t>
      </w:r>
    </w:p>
    <w:p w:rsidRPr="00E27B01" w:rsidR="00E27B01" w:rsidP="00E27B01" w:rsidRDefault="00E27B01" w14:paraId="13D20570" w14:textId="77777777">
      <w:pPr>
        <w:jc w:val="both"/>
        <w:rPr>
          <w:rFonts w:cs="Arial"/>
          <w:i/>
          <w:szCs w:val="19"/>
          <w:lang w:val="en-GB"/>
        </w:rPr>
      </w:pPr>
      <w:proofErr w:type="spellStart"/>
      <w:r w:rsidRPr="00E27B01">
        <w:rPr>
          <w:rFonts w:cs="Arial"/>
          <w:i/>
          <w:szCs w:val="19"/>
          <w:lang w:val="en-GB"/>
        </w:rPr>
        <w:t>Hill+Knowlton</w:t>
      </w:r>
      <w:proofErr w:type="spellEnd"/>
      <w:r w:rsidRPr="00E27B01">
        <w:rPr>
          <w:rFonts w:cs="Arial"/>
          <w:i/>
          <w:szCs w:val="19"/>
          <w:lang w:val="en-GB"/>
        </w:rPr>
        <w:t xml:space="preserve"> Strategies</w:t>
      </w:r>
    </w:p>
    <w:p w:rsidRPr="00E27B01" w:rsidR="00E27B01" w:rsidP="00E27B01" w:rsidRDefault="00E27B01" w14:paraId="7B274FB5" w14:textId="77777777">
      <w:pPr>
        <w:jc w:val="both"/>
        <w:rPr>
          <w:rFonts w:cs="Arial"/>
          <w:szCs w:val="19"/>
          <w:lang w:val="en-GB"/>
        </w:rPr>
      </w:pPr>
      <w:proofErr w:type="spellStart"/>
      <w:r w:rsidRPr="00E27B01">
        <w:rPr>
          <w:rFonts w:cs="Arial"/>
          <w:i/>
          <w:szCs w:val="19"/>
          <w:lang w:val="en-GB"/>
        </w:rPr>
        <w:t>Ariën</w:t>
      </w:r>
      <w:proofErr w:type="spellEnd"/>
      <w:r w:rsidRPr="00E27B01">
        <w:rPr>
          <w:rFonts w:cs="Arial"/>
          <w:i/>
          <w:szCs w:val="19"/>
          <w:lang w:val="en-GB"/>
        </w:rPr>
        <w:t xml:space="preserve"> </w:t>
      </w:r>
      <w:proofErr w:type="spellStart"/>
      <w:r w:rsidRPr="00E27B01">
        <w:rPr>
          <w:rFonts w:cs="Arial"/>
          <w:i/>
          <w:szCs w:val="19"/>
          <w:lang w:val="en-GB"/>
        </w:rPr>
        <w:t>Stuijt</w:t>
      </w:r>
      <w:proofErr w:type="spellEnd"/>
    </w:p>
    <w:p w:rsidRPr="00E27B01" w:rsidR="00E27B01" w:rsidP="00E27B01" w:rsidRDefault="00E27B01" w14:paraId="2E29D189" w14:textId="77777777">
      <w:pPr>
        <w:jc w:val="both"/>
        <w:rPr>
          <w:rFonts w:cs="Arial"/>
          <w:szCs w:val="19"/>
          <w:lang w:val="en-GB"/>
        </w:rPr>
      </w:pPr>
      <w:r w:rsidRPr="00E27B01">
        <w:rPr>
          <w:rFonts w:cs="Arial"/>
          <w:szCs w:val="19"/>
          <w:lang w:val="en-GB"/>
        </w:rPr>
        <w:t>T: +31 20 404 4707</w:t>
      </w:r>
    </w:p>
    <w:p w:rsidRPr="00E27B01" w:rsidR="00164831" w:rsidP="00E27B01" w:rsidRDefault="00E27B01" w14:paraId="15583523" w14:textId="19055F22">
      <w:pPr>
        <w:jc w:val="both"/>
        <w:rPr>
          <w:rFonts w:cs="Arial"/>
          <w:szCs w:val="19"/>
          <w:lang w:val="en-GB"/>
        </w:rPr>
      </w:pPr>
      <w:r w:rsidRPr="00E27B01">
        <w:rPr>
          <w:rFonts w:cs="Arial"/>
          <w:szCs w:val="19"/>
          <w:lang w:val="en-GB"/>
        </w:rPr>
        <w:t xml:space="preserve">E: </w:t>
      </w:r>
      <w:r w:rsidRPr="00653F04" w:rsidR="00276B63">
        <w:rPr>
          <w:lang w:val="en-US"/>
        </w:rPr>
        <w:t>Arien.Stuijt@hkstrategies.com</w:t>
      </w:r>
    </w:p>
    <w:p w:rsidRPr="00E27B01" w:rsidR="00E27B01" w:rsidP="00E27B01" w:rsidRDefault="00E27B01" w14:paraId="73FB3450" w14:textId="77777777">
      <w:pPr>
        <w:jc w:val="both"/>
        <w:rPr>
          <w:rFonts w:cs="Arial"/>
          <w:szCs w:val="19"/>
          <w:lang w:val="en-US"/>
        </w:rPr>
      </w:pPr>
    </w:p>
    <w:p w:rsidR="00E27B01" w:rsidP="00164831" w:rsidRDefault="00E27B01" w14:paraId="0712CE89" w14:textId="77777777">
      <w:pPr>
        <w:jc w:val="both"/>
        <w:rPr>
          <w:rFonts w:cs="Arial"/>
          <w:b/>
          <w:bCs/>
          <w:szCs w:val="19"/>
          <w:lang w:val="en-GB"/>
        </w:rPr>
      </w:pPr>
      <w:r w:rsidRPr="00E27B01">
        <w:rPr>
          <w:rFonts w:cs="Arial"/>
          <w:b/>
          <w:bCs/>
          <w:szCs w:val="19"/>
          <w:lang w:val="en-GB"/>
        </w:rPr>
        <w:t xml:space="preserve">About Neways </w:t>
      </w:r>
    </w:p>
    <w:p w:rsidRPr="00E27B01" w:rsidR="00E27B01" w:rsidP="00164831" w:rsidRDefault="00E27B01" w14:paraId="778A1FC7" w14:textId="7C17F306">
      <w:pPr>
        <w:jc w:val="both"/>
        <w:rPr>
          <w:rFonts w:cs="Arial"/>
          <w:bCs/>
          <w:szCs w:val="19"/>
          <w:lang w:val="en-GB"/>
        </w:rPr>
      </w:pPr>
      <w:r w:rsidRPr="00E27B01">
        <w:rPr>
          <w:rFonts w:cs="Arial"/>
          <w:bCs/>
          <w:szCs w:val="19"/>
          <w:lang w:val="en-GB"/>
        </w:rPr>
        <w:t xml:space="preserve">Neways is an international company active in the EMS (Electronic Manufacturing Services) market. Neways offers its clients custom-made solutions for the complete product life cycle (from product development to after-sales service) of both electronic components and complete (box-built) electronic control systems. Neways operates in a niche of the EMS market and focuses primarily on small to medium-sized specialist series, in which quality, flexibility and time-to-market play a crucial role. Neways products are used in sectors such as the Semiconductor, Medical, Automotive and Industrial. Neways has operating companies in the Netherlands, Germany, the Czech Republic, Slovakia, China and the United States, with a total of 2,598 employees at year-end 2020. Neways shares are listed on the Euronext Amsterdam stock exchange (symbol: </w:t>
      </w:r>
      <w:proofErr w:type="spellStart"/>
      <w:r w:rsidRPr="00E27B01">
        <w:rPr>
          <w:rFonts w:cs="Arial"/>
          <w:bCs/>
          <w:szCs w:val="19"/>
          <w:lang w:val="en-GB"/>
        </w:rPr>
        <w:t>NEWAY</w:t>
      </w:r>
      <w:proofErr w:type="spellEnd"/>
      <w:r w:rsidRPr="00E27B01">
        <w:rPr>
          <w:rFonts w:cs="Arial"/>
          <w:bCs/>
          <w:szCs w:val="19"/>
          <w:lang w:val="en-GB"/>
        </w:rPr>
        <w:t xml:space="preserve">). </w:t>
      </w:r>
    </w:p>
    <w:p w:rsidR="001E48FB" w:rsidRDefault="001E48FB" w14:paraId="08F21679" w14:textId="6B229D42">
      <w:pPr>
        <w:spacing w:after="200" w:line="276" w:lineRule="auto"/>
        <w:rPr>
          <w:rFonts w:cs="Arial"/>
          <w:b/>
          <w:bCs/>
          <w:szCs w:val="19"/>
          <w:lang w:val="en-GB"/>
        </w:rPr>
      </w:pPr>
      <w:r>
        <w:rPr>
          <w:rFonts w:cs="Arial"/>
          <w:b/>
          <w:bCs/>
          <w:szCs w:val="19"/>
          <w:lang w:val="en-GB"/>
        </w:rPr>
        <w:br w:type="page"/>
      </w:r>
    </w:p>
    <w:p w:rsidR="00E27B01" w:rsidP="00164831" w:rsidRDefault="00E27B01" w14:paraId="4A54D921" w14:textId="77777777">
      <w:pPr>
        <w:jc w:val="both"/>
        <w:rPr>
          <w:rFonts w:cs="Arial"/>
          <w:b/>
          <w:bCs/>
          <w:szCs w:val="19"/>
          <w:lang w:val="en-GB"/>
        </w:rPr>
      </w:pPr>
      <w:r w:rsidRPr="00E27B01">
        <w:rPr>
          <w:rFonts w:cs="Arial"/>
          <w:b/>
          <w:bCs/>
          <w:szCs w:val="19"/>
          <w:lang w:val="en-GB"/>
        </w:rPr>
        <w:lastRenderedPageBreak/>
        <w:t xml:space="preserve">About Infestos </w:t>
      </w:r>
    </w:p>
    <w:p w:rsidRPr="00E27B01" w:rsidR="00164831" w:rsidP="00164831" w:rsidRDefault="00E27B01" w14:paraId="341A912B" w14:textId="77777777">
      <w:pPr>
        <w:jc w:val="both"/>
        <w:rPr>
          <w:rFonts w:cs="Arial"/>
          <w:bCs/>
          <w:szCs w:val="19"/>
          <w:lang w:val="en-GB"/>
        </w:rPr>
      </w:pPr>
      <w:r w:rsidRPr="00E27B01">
        <w:rPr>
          <w:rFonts w:cs="Arial"/>
          <w:bCs/>
          <w:szCs w:val="19"/>
          <w:lang w:val="en-GB"/>
        </w:rPr>
        <w:t xml:space="preserve">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w:t>
      </w:r>
      <w:proofErr w:type="spellStart"/>
      <w:r w:rsidRPr="00E27B01">
        <w:rPr>
          <w:rFonts w:cs="Arial"/>
          <w:bCs/>
          <w:szCs w:val="19"/>
          <w:lang w:val="en-GB"/>
        </w:rPr>
        <w:t>Alfen</w:t>
      </w:r>
      <w:proofErr w:type="spellEnd"/>
      <w:r w:rsidRPr="00E27B01">
        <w:rPr>
          <w:rFonts w:cs="Arial"/>
          <w:bCs/>
          <w:szCs w:val="19"/>
          <w:lang w:val="en-GB"/>
        </w:rPr>
        <w:t xml:space="preserve">, </w:t>
      </w:r>
      <w:proofErr w:type="spellStart"/>
      <w:r w:rsidRPr="00E27B01">
        <w:rPr>
          <w:rFonts w:cs="Arial"/>
          <w:bCs/>
          <w:szCs w:val="19"/>
          <w:lang w:val="en-GB"/>
        </w:rPr>
        <w:t>NX</w:t>
      </w:r>
      <w:proofErr w:type="spellEnd"/>
      <w:r w:rsidRPr="00E27B01">
        <w:rPr>
          <w:rFonts w:cs="Arial"/>
          <w:bCs/>
          <w:szCs w:val="19"/>
          <w:lang w:val="en-GB"/>
        </w:rPr>
        <w:t xml:space="preserve"> Filtration and </w:t>
      </w:r>
      <w:proofErr w:type="spellStart"/>
      <w:r w:rsidRPr="00E27B01">
        <w:rPr>
          <w:rFonts w:cs="Arial"/>
          <w:bCs/>
          <w:szCs w:val="19"/>
          <w:lang w:val="en-GB"/>
        </w:rPr>
        <w:t>ESG</w:t>
      </w:r>
      <w:proofErr w:type="spellEnd"/>
      <w:r w:rsidRPr="00E27B01">
        <w:rPr>
          <w:rFonts w:cs="Arial"/>
          <w:bCs/>
          <w:szCs w:val="19"/>
          <w:lang w:val="en-GB"/>
        </w:rPr>
        <w:t xml:space="preserve"> Core Investments. In addition to its investment portfolio, Infestos supports talent development in sports through </w:t>
      </w:r>
      <w:proofErr w:type="spellStart"/>
      <w:r w:rsidRPr="00E27B01">
        <w:rPr>
          <w:rFonts w:cs="Arial"/>
          <w:bCs/>
          <w:szCs w:val="19"/>
          <w:lang w:val="en-GB"/>
        </w:rPr>
        <w:t>TalentNED</w:t>
      </w:r>
      <w:proofErr w:type="spellEnd"/>
      <w:r w:rsidRPr="00E27B01">
        <w:rPr>
          <w:rFonts w:cs="Arial"/>
          <w:bCs/>
          <w:szCs w:val="19"/>
          <w:lang w:val="en-GB"/>
        </w:rPr>
        <w:t>, sustainable renovation of monumental real estate and projects in the fields of education and healthcare through the Infestos Foundation.</w:t>
      </w:r>
    </w:p>
    <w:p w:rsidRPr="009E4613" w:rsidR="00164831" w:rsidP="00164831" w:rsidRDefault="00164831" w14:paraId="7A3FF1B7" w14:textId="77777777">
      <w:pPr>
        <w:jc w:val="both"/>
        <w:rPr>
          <w:rFonts w:cs="Arial"/>
          <w:b/>
          <w:bCs/>
          <w:szCs w:val="19"/>
          <w:lang w:val="en-GB"/>
        </w:rPr>
      </w:pPr>
    </w:p>
    <w:p w:rsidRPr="00923E6C" w:rsidR="00923E6C" w:rsidP="00923E6C" w:rsidRDefault="00923E6C" w14:paraId="0228E42F" w14:textId="77777777">
      <w:pPr>
        <w:jc w:val="both"/>
        <w:rPr>
          <w:rFonts w:cs="Arial"/>
          <w:b/>
          <w:bCs/>
          <w:szCs w:val="19"/>
          <w:lang w:val="en-GB"/>
        </w:rPr>
      </w:pPr>
      <w:r w:rsidRPr="00923E6C">
        <w:rPr>
          <w:rFonts w:cs="Arial"/>
          <w:b/>
          <w:bCs/>
          <w:szCs w:val="19"/>
          <w:lang w:val="en-GB"/>
        </w:rPr>
        <w:t>General restrictions</w:t>
      </w:r>
    </w:p>
    <w:p w:rsidRPr="00923E6C" w:rsidR="00923E6C" w:rsidP="00923E6C" w:rsidRDefault="00923E6C" w14:paraId="75C6855C" w14:textId="1FC14406">
      <w:pPr>
        <w:jc w:val="both"/>
        <w:rPr>
          <w:rFonts w:cs="Arial"/>
          <w:bCs/>
          <w:szCs w:val="19"/>
          <w:lang w:val="en-GB"/>
        </w:rPr>
      </w:pPr>
      <w:r w:rsidRPr="00923E6C">
        <w:rPr>
          <w:rFonts w:cs="Arial"/>
          <w:bCs/>
          <w:szCs w:val="19"/>
          <w:lang w:val="en-GB"/>
        </w:rPr>
        <w:t>This press release contains inside information within the meaning of the EU Market Abuse Regulation (596/2014).</w:t>
      </w:r>
      <w:r>
        <w:rPr>
          <w:rFonts w:cs="Arial"/>
          <w:bCs/>
          <w:szCs w:val="19"/>
          <w:lang w:val="en-GB"/>
        </w:rPr>
        <w:t xml:space="preserve"> </w:t>
      </w:r>
      <w:r w:rsidRPr="00923E6C">
        <w:rPr>
          <w:rFonts w:cs="Arial"/>
          <w:bCs/>
          <w:szCs w:val="19"/>
          <w:lang w:val="en-GB"/>
        </w:rPr>
        <w:t xml:space="preserve">The information in this </w:t>
      </w:r>
      <w:r w:rsidR="00630869">
        <w:rPr>
          <w:rFonts w:cs="Arial"/>
          <w:bCs/>
          <w:szCs w:val="19"/>
          <w:lang w:val="en-GB"/>
        </w:rPr>
        <w:t>announcement</w:t>
      </w:r>
      <w:r w:rsidRPr="00923E6C">
        <w:rPr>
          <w:rFonts w:cs="Arial"/>
          <w:bCs/>
          <w:szCs w:val="19"/>
          <w:lang w:val="en-GB"/>
        </w:rPr>
        <w:t xml:space="preserve"> is not intended to be complete. This </w:t>
      </w:r>
      <w:r w:rsidR="00630869">
        <w:rPr>
          <w:rFonts w:cs="Arial"/>
          <w:bCs/>
          <w:szCs w:val="19"/>
          <w:lang w:val="en-GB"/>
        </w:rPr>
        <w:t xml:space="preserve">announcement </w:t>
      </w:r>
      <w:r w:rsidRPr="00923E6C">
        <w:rPr>
          <w:rFonts w:cs="Arial"/>
          <w:bCs/>
          <w:szCs w:val="19"/>
          <w:lang w:val="en-GB"/>
        </w:rPr>
        <w:t xml:space="preserve">is for information purposes only and does not constitute an offer or an invitation to acquire or dispose of any securities or investment advice or an inducement to enter into investment activity. This </w:t>
      </w:r>
      <w:r w:rsidR="00630869">
        <w:rPr>
          <w:rFonts w:cs="Arial"/>
          <w:bCs/>
          <w:szCs w:val="19"/>
          <w:lang w:val="en-GB"/>
        </w:rPr>
        <w:t xml:space="preserve">announcement </w:t>
      </w:r>
      <w:r w:rsidRPr="00923E6C">
        <w:rPr>
          <w:rFonts w:cs="Arial"/>
          <w:bCs/>
          <w:szCs w:val="19"/>
          <w:lang w:val="en-GB"/>
        </w:rPr>
        <w:t xml:space="preserve">does not constitute an offer to sell or issue or the solicitation of an offer to buy or acquire the securities of </w:t>
      </w:r>
      <w:r w:rsidR="00E27B01">
        <w:rPr>
          <w:rFonts w:cs="Arial"/>
          <w:bCs/>
          <w:szCs w:val="19"/>
          <w:lang w:val="en-GB"/>
        </w:rPr>
        <w:t>Neways</w:t>
      </w:r>
      <w:r w:rsidRPr="00923E6C">
        <w:rPr>
          <w:rFonts w:cs="Arial"/>
          <w:bCs/>
          <w:szCs w:val="19"/>
          <w:lang w:val="en-GB"/>
        </w:rPr>
        <w:t xml:space="preserve"> in any jurisdiction.</w:t>
      </w:r>
    </w:p>
    <w:p w:rsidRPr="00923E6C" w:rsidR="00923E6C" w:rsidP="00923E6C" w:rsidRDefault="00923E6C" w14:paraId="5BF713A8" w14:textId="77777777">
      <w:pPr>
        <w:jc w:val="both"/>
        <w:rPr>
          <w:rFonts w:cs="Arial"/>
          <w:bCs/>
          <w:szCs w:val="19"/>
          <w:lang w:val="en-GB"/>
        </w:rPr>
      </w:pPr>
    </w:p>
    <w:p w:rsidRPr="00923E6C" w:rsidR="00923E6C" w:rsidP="00923E6C" w:rsidRDefault="00923E6C" w14:paraId="30BA00E7" w14:textId="509636FC">
      <w:pPr>
        <w:jc w:val="both"/>
        <w:rPr>
          <w:rFonts w:cs="Arial"/>
          <w:bCs/>
          <w:szCs w:val="19"/>
          <w:lang w:val="en-GB"/>
        </w:rPr>
      </w:pPr>
      <w:r w:rsidRPr="00923E6C">
        <w:rPr>
          <w:rFonts w:cs="Arial"/>
          <w:bCs/>
          <w:szCs w:val="19"/>
          <w:lang w:val="en-GB"/>
        </w:rPr>
        <w:t>The distribution of this press release may, in some countries, be restricted by law or regulation. Accordingly, persons who come into possession of this document should inform themselves of and observe these restrictions. To the fullest exte</w:t>
      </w:r>
      <w:r w:rsidR="00E27B01">
        <w:rPr>
          <w:rFonts w:cs="Arial"/>
          <w:bCs/>
          <w:szCs w:val="19"/>
          <w:lang w:val="en-GB"/>
        </w:rPr>
        <w:t>nt permitted by applicable law</w:t>
      </w:r>
      <w:r w:rsidRPr="00923E6C">
        <w:rPr>
          <w:rFonts w:cs="Arial"/>
          <w:bCs/>
          <w:szCs w:val="19"/>
          <w:lang w:val="en-GB"/>
        </w:rPr>
        <w:t xml:space="preserve">, the Offeror and </w:t>
      </w:r>
      <w:r w:rsidR="00E27B01">
        <w:rPr>
          <w:rFonts w:cs="Arial"/>
          <w:bCs/>
          <w:szCs w:val="19"/>
          <w:lang w:val="en-GB"/>
        </w:rPr>
        <w:t>Neways</w:t>
      </w:r>
      <w:r w:rsidRPr="00923E6C">
        <w:rPr>
          <w:rFonts w:cs="Arial"/>
          <w:bCs/>
          <w:szCs w:val="19"/>
          <w:lang w:val="en-GB"/>
        </w:rPr>
        <w:t xml:space="preserve"> disclaim any responsibility or liability for the violation of any such restrictions by any person. Any failure to comply with these restrictions may constitute a violation of the securities laws of that jurisdiction. Neither </w:t>
      </w:r>
      <w:r w:rsidR="00E27B01">
        <w:rPr>
          <w:rFonts w:cs="Arial"/>
          <w:bCs/>
          <w:szCs w:val="19"/>
          <w:lang w:val="en-GB"/>
        </w:rPr>
        <w:t>Neways</w:t>
      </w:r>
      <w:r w:rsidRPr="00923E6C">
        <w:rPr>
          <w:rFonts w:cs="Arial"/>
          <w:bCs/>
          <w:szCs w:val="19"/>
          <w:lang w:val="en-GB"/>
        </w:rPr>
        <w:t xml:space="preserve">, nor Offeror, nor any of their advisers assume any responsibility for any violation by any person of any of these restrictions. </w:t>
      </w:r>
      <w:r>
        <w:rPr>
          <w:rFonts w:cs="Arial"/>
          <w:bCs/>
          <w:szCs w:val="19"/>
          <w:lang w:val="en-GB"/>
        </w:rPr>
        <w:t>S</w:t>
      </w:r>
      <w:r w:rsidRPr="00923E6C">
        <w:rPr>
          <w:rFonts w:cs="Arial"/>
          <w:bCs/>
          <w:szCs w:val="19"/>
          <w:lang w:val="en-GB"/>
        </w:rPr>
        <w:t xml:space="preserve">hareholders in any doubt as to their position should consult an appropriate professional adviser without delay. This </w:t>
      </w:r>
      <w:r w:rsidR="00630869">
        <w:rPr>
          <w:rFonts w:cs="Arial"/>
          <w:bCs/>
          <w:szCs w:val="19"/>
          <w:lang w:val="en-GB"/>
        </w:rPr>
        <w:t xml:space="preserve">announcement </w:t>
      </w:r>
      <w:r w:rsidRPr="00923E6C">
        <w:rPr>
          <w:rFonts w:cs="Arial"/>
          <w:bCs/>
          <w:szCs w:val="19"/>
          <w:lang w:val="en-GB"/>
        </w:rPr>
        <w:t>is not for release, publication or distribution, in whole or in part, in or into, directly or indirectly, in any jurisdiction in which such release, publication or distribution would be unlawful.</w:t>
      </w:r>
    </w:p>
    <w:p w:rsidRPr="00923E6C" w:rsidR="00923E6C" w:rsidP="00923E6C" w:rsidRDefault="00923E6C" w14:paraId="6AC174D5" w14:textId="77777777">
      <w:pPr>
        <w:jc w:val="both"/>
        <w:rPr>
          <w:rFonts w:cs="Arial"/>
          <w:bCs/>
          <w:szCs w:val="19"/>
          <w:lang w:val="en-GB"/>
        </w:rPr>
      </w:pPr>
    </w:p>
    <w:p w:rsidRPr="00C258A5" w:rsidR="00923E6C" w:rsidP="00923E6C" w:rsidRDefault="00923E6C" w14:paraId="1AAC0432" w14:textId="77777777">
      <w:pPr>
        <w:jc w:val="both"/>
        <w:rPr>
          <w:rFonts w:cs="Arial"/>
          <w:b/>
          <w:bCs/>
          <w:szCs w:val="19"/>
          <w:lang w:val="en-GB"/>
        </w:rPr>
      </w:pPr>
      <w:r w:rsidRPr="00C258A5">
        <w:rPr>
          <w:rFonts w:cs="Arial"/>
          <w:b/>
          <w:bCs/>
          <w:szCs w:val="19"/>
          <w:lang w:val="en-GB"/>
        </w:rPr>
        <w:t>Forward-looking statements</w:t>
      </w:r>
    </w:p>
    <w:p w:rsidRPr="00923E6C" w:rsidR="002A6C30" w:rsidP="00923E6C" w:rsidRDefault="00923E6C" w14:paraId="5429AC75" w14:textId="77777777">
      <w:pPr>
        <w:jc w:val="both"/>
        <w:rPr>
          <w:rFonts w:cs="Arial"/>
          <w:szCs w:val="19"/>
          <w:lang w:val="en-GB"/>
        </w:rPr>
      </w:pPr>
      <w:r w:rsidRPr="00923E6C">
        <w:rPr>
          <w:rFonts w:cs="Arial"/>
          <w:bCs/>
          <w:szCs w:val="19"/>
          <w:lang w:val="en-GB"/>
        </w:rPr>
        <w:t xml:space="preserve">This press release may include "forward-looking statements" such as statements relating to the impact of this transaction on the Offeror and </w:t>
      </w:r>
      <w:r w:rsidR="00E27B01">
        <w:rPr>
          <w:rFonts w:cs="Arial"/>
          <w:bCs/>
          <w:szCs w:val="19"/>
          <w:lang w:val="en-GB"/>
        </w:rPr>
        <w:t>Neways</w:t>
      </w:r>
      <w:r w:rsidRPr="00923E6C">
        <w:rPr>
          <w:rFonts w:cs="Arial"/>
          <w:bCs/>
          <w:szCs w:val="19"/>
          <w:lang w:val="en-GB"/>
        </w:rPr>
        <w:t xml:space="preserve"> and language that indicates trends, such as "anticipated" and "expected". These forward-looking statements speak only as of the date of this release. Although </w:t>
      </w:r>
      <w:r w:rsidR="00E27B01">
        <w:rPr>
          <w:rFonts w:cs="Arial"/>
          <w:bCs/>
          <w:szCs w:val="19"/>
          <w:lang w:val="en-GB"/>
        </w:rPr>
        <w:t>Neways</w:t>
      </w:r>
      <w:r w:rsidRPr="00923E6C">
        <w:rPr>
          <w:rFonts w:cs="Arial"/>
          <w:bCs/>
          <w:szCs w:val="19"/>
          <w:lang w:val="en-GB"/>
        </w:rPr>
        <w:t xml:space="preserve"> and the Offeror believe that the assumptions upon which their respective financial information and their respective forward-looking statements are based are reasonable, they can give no assurance that these assumptions will prove to be correct. Forward-looking statements are subject to risks, uncertainties and other factors that could cause actual results to differ materially from historical experience or from future results expressed or implied by such forward looking statements. Potential risks and uncertainties include, but are not limited to, the Offeror’s ability to achieve the anticipated res</w:t>
      </w:r>
      <w:r w:rsidR="00E27B01">
        <w:rPr>
          <w:rFonts w:cs="Arial"/>
          <w:bCs/>
          <w:szCs w:val="19"/>
          <w:lang w:val="en-GB"/>
        </w:rPr>
        <w:t>ults from the acquisition of Neways</w:t>
      </w:r>
      <w:r w:rsidRPr="00923E6C">
        <w:rPr>
          <w:rFonts w:cs="Arial"/>
          <w:bCs/>
          <w:szCs w:val="19"/>
          <w:lang w:val="en-GB"/>
        </w:rPr>
        <w:t>, the effects of competition (in particular the response to the Transaction in the marketplace), economic conditions in the global marke</w:t>
      </w:r>
      <w:r w:rsidR="00E27B01">
        <w:rPr>
          <w:rFonts w:cs="Arial"/>
          <w:bCs/>
          <w:szCs w:val="19"/>
          <w:lang w:val="en-GB"/>
        </w:rPr>
        <w:t xml:space="preserve">ts in which the Offeror and Neways </w:t>
      </w:r>
      <w:r w:rsidRPr="00923E6C">
        <w:rPr>
          <w:rFonts w:cs="Arial"/>
          <w:bCs/>
          <w:szCs w:val="19"/>
          <w:lang w:val="en-GB"/>
        </w:rPr>
        <w:t>operate, and other factors that can be</w:t>
      </w:r>
      <w:r w:rsidR="00E27B01">
        <w:rPr>
          <w:rFonts w:cs="Arial"/>
          <w:bCs/>
          <w:szCs w:val="19"/>
          <w:lang w:val="en-GB"/>
        </w:rPr>
        <w:t xml:space="preserve"> found in the Offeror’s and Neways’ </w:t>
      </w:r>
      <w:r w:rsidRPr="00923E6C">
        <w:rPr>
          <w:rFonts w:cs="Arial"/>
          <w:bCs/>
          <w:szCs w:val="19"/>
          <w:lang w:val="en-GB"/>
        </w:rPr>
        <w:t xml:space="preserve">press releases and public filings. Neither </w:t>
      </w:r>
      <w:r w:rsidR="00E27B01">
        <w:rPr>
          <w:rFonts w:cs="Arial"/>
          <w:bCs/>
          <w:szCs w:val="19"/>
          <w:lang w:val="en-GB"/>
        </w:rPr>
        <w:t>Neways</w:t>
      </w:r>
      <w:r w:rsidRPr="00923E6C">
        <w:rPr>
          <w:rFonts w:cs="Arial"/>
          <w:bCs/>
          <w:szCs w:val="19"/>
          <w:lang w:val="en-GB"/>
        </w:rPr>
        <w:t xml:space="preserve"> nor the Offeror, nor any of their advisers accept any responsibility for any financial information contained in this press release relating to the business or operations or results or financial condition of the other or thei</w:t>
      </w:r>
      <w:r w:rsidR="00E27B01">
        <w:rPr>
          <w:rFonts w:cs="Arial"/>
          <w:bCs/>
          <w:szCs w:val="19"/>
          <w:lang w:val="en-GB"/>
        </w:rPr>
        <w:t>r respective groups. Each of Neways</w:t>
      </w:r>
      <w:r w:rsidRPr="00923E6C">
        <w:rPr>
          <w:rFonts w:cs="Arial"/>
          <w:bCs/>
          <w:szCs w:val="19"/>
          <w:lang w:val="en-GB"/>
        </w:rPr>
        <w:t xml:space="preserve"> and the Offeror expressly disclaims any obligation or undertaking to disseminate any updates or revisions to any forward-looking statements contained herein to reflect any change in the expectations with regard thereto or any change in events, conditions or circumstances on which any such statement is based.</w:t>
      </w:r>
    </w:p>
    <w:p w:rsidRPr="009E4613" w:rsidR="00164831" w:rsidP="005E6253" w:rsidRDefault="00164831" w14:paraId="263552B1" w14:textId="4852D564">
      <w:pPr>
        <w:rPr>
          <w:rFonts w:cs="Arial"/>
          <w:szCs w:val="19"/>
          <w:lang w:val="en-GB"/>
        </w:rPr>
      </w:pPr>
    </w:p>
    <w:sectPr w:rsidRPr="009E4613" w:rsidR="00164831" w:rsidSect="008E376A">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F13" w:rsidP="00906DD3" w:rsidRDefault="001B3F13" w14:paraId="53DFA439" w14:textId="77777777">
      <w:pPr>
        <w:spacing w:line="240" w:lineRule="auto"/>
      </w:pPr>
      <w:r>
        <w:separator/>
      </w:r>
    </w:p>
  </w:endnote>
  <w:endnote w:type="continuationSeparator" w:id="0">
    <w:p w:rsidR="001B3F13" w:rsidP="00906DD3" w:rsidRDefault="001B3F13" w14:paraId="728D3777" w14:textId="77777777">
      <w:pPr>
        <w:spacing w:line="240" w:lineRule="auto"/>
      </w:pPr>
      <w:r>
        <w:continuationSeparator/>
      </w:r>
    </w:p>
  </w:endnote>
  <w:endnote w:type="continuationNotice" w:id="1">
    <w:p w:rsidR="001B3F13" w:rsidRDefault="001B3F13" w14:paraId="45361AF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31136"/>
      <w:docPartObj>
        <w:docPartGallery w:val="Page Numbers (Bottom of Page)"/>
        <w:docPartUnique/>
      </w:docPartObj>
    </w:sdtPr>
    <w:sdtEndPr>
      <w:rPr>
        <w:noProof/>
      </w:rPr>
    </w:sdtEndPr>
    <w:sdtContent>
      <w:p w:rsidR="00F86A1E" w:rsidRDefault="00F86A1E" w14:paraId="72EA5576" w14:textId="1A5DF28B">
        <w:pPr>
          <w:pStyle w:val="Footer"/>
          <w:jc w:val="right"/>
        </w:pPr>
        <w:r>
          <w:fldChar w:fldCharType="begin"/>
        </w:r>
        <w:r>
          <w:instrText xml:space="preserve"> PAGE   \* MERGEFORMAT </w:instrText>
        </w:r>
        <w:r>
          <w:fldChar w:fldCharType="separate"/>
        </w:r>
        <w:r w:rsidR="00580FEE">
          <w:rPr>
            <w:noProof/>
          </w:rPr>
          <w:t>13</w:t>
        </w:r>
        <w:r>
          <w:rPr>
            <w:noProof/>
          </w:rPr>
          <w:fldChar w:fldCharType="end"/>
        </w:r>
      </w:p>
    </w:sdtContent>
  </w:sdt>
  <w:p w:rsidR="00A678DD" w:rsidP="0073250C" w:rsidRDefault="00A678DD" w14:paraId="7D970183" w14:textId="4924CDD0">
    <w:pPr>
      <w:pStyle w:val="DmFooter"/>
    </w:pPr>
  </w:p>
  <w:p w:rsidR="00AD2ABE" w:rsidP="0073250C" w:rsidRDefault="00AD2ABE" w14:paraId="5625B9A1" w14:textId="77777777">
    <w:pPr>
      <w:pStyle w:val="DmFooter"/>
    </w:pPr>
  </w:p>
  <w:p w:rsidRPr="002C2562" w:rsidR="00AD2ABE" w:rsidP="002C2562" w:rsidRDefault="00AD2ABE" w14:paraId="23F88838" w14:textId="4326C329">
    <w:pPr>
      <w:pStyle w:val="Dm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F13" w:rsidP="00906DD3" w:rsidRDefault="001B3F13" w14:paraId="70FF476B" w14:textId="77777777">
      <w:pPr>
        <w:spacing w:line="240" w:lineRule="auto"/>
      </w:pPr>
      <w:r>
        <w:separator/>
      </w:r>
    </w:p>
  </w:footnote>
  <w:footnote w:type="continuationSeparator" w:id="0">
    <w:p w:rsidR="001B3F13" w:rsidP="00906DD3" w:rsidRDefault="001B3F13" w14:paraId="6B89BD22" w14:textId="77777777">
      <w:pPr>
        <w:spacing w:line="240" w:lineRule="auto"/>
      </w:pPr>
      <w:r>
        <w:continuationSeparator/>
      </w:r>
    </w:p>
  </w:footnote>
  <w:footnote w:type="continuationNotice" w:id="1">
    <w:p w:rsidR="001B3F13" w:rsidRDefault="001B3F13" w14:paraId="3E5B8B4D" w14:textId="77777777">
      <w:pPr>
        <w:spacing w:line="240" w:lineRule="auto"/>
      </w:pP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9585B" w:rsidR="004D012D" w:rsidP="009F0C9A" w:rsidRDefault="004D012D" w14:paraId="6360BF31" w14:textId="77777777">
    <w:pPr>
      <w:pStyle w:val="Header"/>
      <w:ind w:right="190"/>
      <w:rPr>
        <w:lang w:val="pt-PT"/>
      </w:rPr>
    </w:pPr>
    <w:r w:rsidRPr="001F3B9A">
      <w:rPr>
        <w:b/>
        <w:noProof/>
        <w:color w:val="FF0000"/>
        <w:lang w:val="en-US" w:eastAsia="en-US"/>
      </w:rPr>
      <w:drawing>
        <wp:anchor distT="0" distB="0" distL="114300" distR="114300" simplePos="0" relativeHeight="251662336" behindDoc="0" locked="0" layoutInCell="1" allowOverlap="1" wp14:editId="09256FEB" wp14:anchorId="72718C6F">
          <wp:simplePos x="0" y="0"/>
          <wp:positionH relativeFrom="margin">
            <wp:align>right</wp:align>
          </wp:positionH>
          <wp:positionV relativeFrom="paragraph">
            <wp:posOffset>93441</wp:posOffset>
          </wp:positionV>
          <wp:extent cx="1552575" cy="280670"/>
          <wp:effectExtent l="0" t="0" r="9525" b="5080"/>
          <wp:wrapTopAndBottom/>
          <wp:docPr id="11" name="Afbeelding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r w:rsidRPr="001F3B9A">
      <w:rPr>
        <w:noProof/>
        <w:lang w:val="en-US" w:eastAsia="en-US"/>
      </w:rPr>
      <w:drawing>
        <wp:anchor distT="0" distB="0" distL="114300" distR="114300" simplePos="0" relativeHeight="251660288" behindDoc="0" locked="0" layoutInCell="1" allowOverlap="1" wp14:editId="3CC4E731" wp14:anchorId="7C434BEE">
          <wp:simplePos x="0" y="0"/>
          <wp:positionH relativeFrom="margin">
            <wp:align>left</wp:align>
          </wp:positionH>
          <wp:positionV relativeFrom="paragraph">
            <wp:posOffset>12325</wp:posOffset>
          </wp:positionV>
          <wp:extent cx="1125076" cy="431320"/>
          <wp:effectExtent l="0" t="0" r="0" b="6985"/>
          <wp:wrapTopAndBottom/>
          <wp:docPr id="12" name="Afbeelding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125076" cy="431320"/>
                  </a:xfrm>
                  <a:prstGeom prst="rect">
                    <a:avLst/>
                  </a:prstGeom>
                </pic:spPr>
              </pic:pic>
            </a:graphicData>
          </a:graphic>
        </wp:anchor>
      </w:drawing>
    </w:r>
    <w:r>
      <w:rPr>
        <w:lang w:val="pt-PT"/>
      </w:rPr>
      <w:tab/>
    </w:r>
    <w:r>
      <w:rPr>
        <w:lang w:val="pt-P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D30"/>
    <w:multiLevelType w:val="hybridMultilevel"/>
    <w:tmpl w:val="C59A2558"/>
    <w:lvl w:ilvl="0" w:tplc="04130001">
      <w:start w:val="1"/>
      <w:numFmt w:val="bullet"/>
      <w:lvlText w:val=""/>
      <w:lvlJc w:val="left"/>
      <w:pPr>
        <w:ind w:left="284" w:hanging="360"/>
      </w:pPr>
      <w:rPr>
        <w:rFonts w:ascii="Symbol" w:hAnsi="Symbol" w:hint="default"/>
      </w:rPr>
    </w:lvl>
    <w:lvl w:ilvl="1" w:tplc="04130003">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1" w15:restartNumberingAfterBreak="0">
    <w:nsid w:val="0D66330B"/>
    <w:multiLevelType w:val="hybridMultilevel"/>
    <w:tmpl w:val="0F544EF8"/>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 w15:restartNumberingAfterBreak="0">
    <w:nsid w:val="105C4E33"/>
    <w:multiLevelType w:val="hybridMultilevel"/>
    <w:tmpl w:val="94586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DA71E6"/>
    <w:multiLevelType w:val="hybridMultilevel"/>
    <w:tmpl w:val="BC36DDBC"/>
    <w:lvl w:ilvl="0" w:tplc="04130001">
      <w:start w:val="1"/>
      <w:numFmt w:val="bullet"/>
      <w:lvlText w:val=""/>
      <w:lvlJc w:val="left"/>
      <w:pPr>
        <w:ind w:left="785" w:hanging="360"/>
      </w:pPr>
      <w:rPr>
        <w:rFonts w:ascii="Symbol" w:hAnsi="Symbol" w:hint="default"/>
      </w:rPr>
    </w:lvl>
    <w:lvl w:ilvl="1" w:tplc="04130003">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4" w15:restartNumberingAfterBreak="0">
    <w:nsid w:val="19B85A64"/>
    <w:multiLevelType w:val="hybridMultilevel"/>
    <w:tmpl w:val="F8AC6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9A5E13"/>
    <w:multiLevelType w:val="hybridMultilevel"/>
    <w:tmpl w:val="9A007116"/>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6" w15:restartNumberingAfterBreak="0">
    <w:nsid w:val="2E4B3516"/>
    <w:multiLevelType w:val="hybridMultilevel"/>
    <w:tmpl w:val="D5DE5978"/>
    <w:lvl w:ilvl="0" w:tplc="FD589E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A74290"/>
    <w:multiLevelType w:val="hybridMultilevel"/>
    <w:tmpl w:val="99E6B20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8" w15:restartNumberingAfterBreak="0">
    <w:nsid w:val="39EB2B56"/>
    <w:multiLevelType w:val="hybridMultilevel"/>
    <w:tmpl w:val="6A7695C2"/>
    <w:lvl w:ilvl="0" w:tplc="B7E20E2C">
      <w:start w:val="1"/>
      <w:numFmt w:val="bullet"/>
      <w:lvlText w:val=""/>
      <w:lvlJc w:val="left"/>
      <w:pPr>
        <w:ind w:left="720" w:hanging="360"/>
      </w:pPr>
      <w:rPr>
        <w:rFonts w:ascii="Symbol" w:hAnsi="Symbol" w:hint="default"/>
      </w:rPr>
    </w:lvl>
    <w:lvl w:ilvl="1" w:tplc="11E4B0F2" w:tentative="1">
      <w:start w:val="1"/>
      <w:numFmt w:val="bullet"/>
      <w:lvlText w:val="o"/>
      <w:lvlJc w:val="left"/>
      <w:pPr>
        <w:ind w:left="1440" w:hanging="360"/>
      </w:pPr>
      <w:rPr>
        <w:rFonts w:ascii="Courier New" w:hAnsi="Courier New" w:cs="Courier New" w:hint="default"/>
      </w:rPr>
    </w:lvl>
    <w:lvl w:ilvl="2" w:tplc="EBA0F1E4" w:tentative="1">
      <w:start w:val="1"/>
      <w:numFmt w:val="bullet"/>
      <w:lvlText w:val=""/>
      <w:lvlJc w:val="left"/>
      <w:pPr>
        <w:ind w:left="2160" w:hanging="360"/>
      </w:pPr>
      <w:rPr>
        <w:rFonts w:ascii="Wingdings" w:hAnsi="Wingdings" w:hint="default"/>
      </w:rPr>
    </w:lvl>
    <w:lvl w:ilvl="3" w:tplc="4E48AAB4" w:tentative="1">
      <w:start w:val="1"/>
      <w:numFmt w:val="bullet"/>
      <w:lvlText w:val=""/>
      <w:lvlJc w:val="left"/>
      <w:pPr>
        <w:ind w:left="2880" w:hanging="360"/>
      </w:pPr>
      <w:rPr>
        <w:rFonts w:ascii="Symbol" w:hAnsi="Symbol" w:hint="default"/>
      </w:rPr>
    </w:lvl>
    <w:lvl w:ilvl="4" w:tplc="2C0C1294" w:tentative="1">
      <w:start w:val="1"/>
      <w:numFmt w:val="bullet"/>
      <w:lvlText w:val="o"/>
      <w:lvlJc w:val="left"/>
      <w:pPr>
        <w:ind w:left="3600" w:hanging="360"/>
      </w:pPr>
      <w:rPr>
        <w:rFonts w:ascii="Courier New" w:hAnsi="Courier New" w:cs="Courier New" w:hint="default"/>
      </w:rPr>
    </w:lvl>
    <w:lvl w:ilvl="5" w:tplc="2398FE70" w:tentative="1">
      <w:start w:val="1"/>
      <w:numFmt w:val="bullet"/>
      <w:lvlText w:val=""/>
      <w:lvlJc w:val="left"/>
      <w:pPr>
        <w:ind w:left="4320" w:hanging="360"/>
      </w:pPr>
      <w:rPr>
        <w:rFonts w:ascii="Wingdings" w:hAnsi="Wingdings" w:hint="default"/>
      </w:rPr>
    </w:lvl>
    <w:lvl w:ilvl="6" w:tplc="D6983366" w:tentative="1">
      <w:start w:val="1"/>
      <w:numFmt w:val="bullet"/>
      <w:lvlText w:val=""/>
      <w:lvlJc w:val="left"/>
      <w:pPr>
        <w:ind w:left="5040" w:hanging="360"/>
      </w:pPr>
      <w:rPr>
        <w:rFonts w:ascii="Symbol" w:hAnsi="Symbol" w:hint="default"/>
      </w:rPr>
    </w:lvl>
    <w:lvl w:ilvl="7" w:tplc="55A29994" w:tentative="1">
      <w:start w:val="1"/>
      <w:numFmt w:val="bullet"/>
      <w:lvlText w:val="o"/>
      <w:lvlJc w:val="left"/>
      <w:pPr>
        <w:ind w:left="5760" w:hanging="360"/>
      </w:pPr>
      <w:rPr>
        <w:rFonts w:ascii="Courier New" w:hAnsi="Courier New" w:cs="Courier New" w:hint="default"/>
      </w:rPr>
    </w:lvl>
    <w:lvl w:ilvl="8" w:tplc="30323360" w:tentative="1">
      <w:start w:val="1"/>
      <w:numFmt w:val="bullet"/>
      <w:lvlText w:val=""/>
      <w:lvlJc w:val="left"/>
      <w:pPr>
        <w:ind w:left="6480" w:hanging="360"/>
      </w:pPr>
      <w:rPr>
        <w:rFonts w:ascii="Wingdings" w:hAnsi="Wingdings" w:hint="default"/>
      </w:rPr>
    </w:lvl>
  </w:abstractNum>
  <w:abstractNum w:abstractNumId="9" w15:restartNumberingAfterBreak="0">
    <w:nsid w:val="3DCD15AF"/>
    <w:multiLevelType w:val="hybridMultilevel"/>
    <w:tmpl w:val="3ABCCF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00B1926"/>
    <w:multiLevelType w:val="hybridMultilevel"/>
    <w:tmpl w:val="6D76DBE8"/>
    <w:lvl w:ilvl="0" w:tplc="801C499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6B7CF1"/>
    <w:multiLevelType w:val="hybridMultilevel"/>
    <w:tmpl w:val="156E7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A81448"/>
    <w:multiLevelType w:val="multilevel"/>
    <w:tmpl w:val="194826D8"/>
    <w:lvl w:ilvl="0">
      <w:start w:val="1"/>
      <w:numFmt w:val="decimal"/>
      <w:lvlRestart w:val="0"/>
      <w:pStyle w:val="BrauwB1"/>
      <w:lvlText w:val="%1"/>
      <w:lvlJc w:val="left"/>
      <w:pPr>
        <w:tabs>
          <w:tab w:val="num" w:pos="709"/>
        </w:tabs>
        <w:ind w:left="709" w:hanging="709"/>
      </w:pPr>
      <w:rPr>
        <w:rFonts w:hint="default"/>
        <w:b/>
      </w:rPr>
    </w:lvl>
    <w:lvl w:ilvl="1">
      <w:start w:val="1"/>
      <w:numFmt w:val="decimal"/>
      <w:pStyle w:val="BrauwB2"/>
      <w:lvlText w:val="%1.%2"/>
      <w:lvlJc w:val="left"/>
      <w:pPr>
        <w:tabs>
          <w:tab w:val="num" w:pos="709"/>
        </w:tabs>
        <w:ind w:left="709" w:hanging="709"/>
      </w:pPr>
      <w:rPr>
        <w:rFonts w:hint="default"/>
        <w:b/>
      </w:rPr>
    </w:lvl>
    <w:lvl w:ilvl="2">
      <w:start w:val="1"/>
      <w:numFmt w:val="decimal"/>
      <w:pStyle w:val="BrauwB3"/>
      <w:lvlText w:val="%1.%2.%3"/>
      <w:lvlJc w:val="left"/>
      <w:pPr>
        <w:tabs>
          <w:tab w:val="num" w:pos="709"/>
        </w:tabs>
        <w:ind w:left="709" w:hanging="709"/>
      </w:pPr>
      <w:rPr>
        <w:rFonts w:hint="default"/>
        <w:b/>
      </w:rPr>
    </w:lvl>
    <w:lvl w:ilvl="3">
      <w:start w:val="1"/>
      <w:numFmt w:val="decimal"/>
      <w:lvlRestart w:val="0"/>
      <w:lvlText w:val="%1.%2.%3.%4"/>
      <w:lvlJc w:val="left"/>
      <w:pPr>
        <w:tabs>
          <w:tab w:val="num" w:pos="709"/>
        </w:tabs>
        <w:ind w:left="709" w:hanging="709"/>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3" w15:restartNumberingAfterBreak="0">
    <w:nsid w:val="4DE4642D"/>
    <w:multiLevelType w:val="hybridMultilevel"/>
    <w:tmpl w:val="B6A0B73A"/>
    <w:lvl w:ilvl="0" w:tplc="D7C09EB0">
      <w:start w:val="1"/>
      <w:numFmt w:val="bullet"/>
      <w:lvlText w:val=""/>
      <w:lvlJc w:val="left"/>
      <w:pPr>
        <w:ind w:left="360" w:hanging="360"/>
      </w:pPr>
      <w:rPr>
        <w:rFonts w:ascii="Symbol" w:hAnsi="Symbol" w:hint="default"/>
      </w:rPr>
    </w:lvl>
    <w:lvl w:ilvl="1" w:tplc="64103462">
      <w:start w:val="1"/>
      <w:numFmt w:val="bullet"/>
      <w:lvlText w:val="o"/>
      <w:lvlJc w:val="left"/>
      <w:pPr>
        <w:ind w:left="643" w:hanging="360"/>
      </w:pPr>
      <w:rPr>
        <w:rFonts w:ascii="Courier New" w:hAnsi="Courier New" w:cs="Courier New" w:hint="default"/>
      </w:rPr>
    </w:lvl>
    <w:lvl w:ilvl="2" w:tplc="EBD4E7D2" w:tentative="1">
      <w:start w:val="1"/>
      <w:numFmt w:val="bullet"/>
      <w:lvlText w:val=""/>
      <w:lvlJc w:val="left"/>
      <w:pPr>
        <w:ind w:left="1800" w:hanging="360"/>
      </w:pPr>
      <w:rPr>
        <w:rFonts w:ascii="Wingdings" w:hAnsi="Wingdings" w:hint="default"/>
      </w:rPr>
    </w:lvl>
    <w:lvl w:ilvl="3" w:tplc="E83837B6" w:tentative="1">
      <w:start w:val="1"/>
      <w:numFmt w:val="bullet"/>
      <w:lvlText w:val=""/>
      <w:lvlJc w:val="left"/>
      <w:pPr>
        <w:ind w:left="2520" w:hanging="360"/>
      </w:pPr>
      <w:rPr>
        <w:rFonts w:ascii="Symbol" w:hAnsi="Symbol" w:hint="default"/>
      </w:rPr>
    </w:lvl>
    <w:lvl w:ilvl="4" w:tplc="BC6E7474" w:tentative="1">
      <w:start w:val="1"/>
      <w:numFmt w:val="bullet"/>
      <w:lvlText w:val="o"/>
      <w:lvlJc w:val="left"/>
      <w:pPr>
        <w:ind w:left="3240" w:hanging="360"/>
      </w:pPr>
      <w:rPr>
        <w:rFonts w:ascii="Courier New" w:hAnsi="Courier New" w:cs="Courier New" w:hint="default"/>
      </w:rPr>
    </w:lvl>
    <w:lvl w:ilvl="5" w:tplc="FDFC57B4" w:tentative="1">
      <w:start w:val="1"/>
      <w:numFmt w:val="bullet"/>
      <w:lvlText w:val=""/>
      <w:lvlJc w:val="left"/>
      <w:pPr>
        <w:ind w:left="3960" w:hanging="360"/>
      </w:pPr>
      <w:rPr>
        <w:rFonts w:ascii="Wingdings" w:hAnsi="Wingdings" w:hint="default"/>
      </w:rPr>
    </w:lvl>
    <w:lvl w:ilvl="6" w:tplc="159AFB2E" w:tentative="1">
      <w:start w:val="1"/>
      <w:numFmt w:val="bullet"/>
      <w:lvlText w:val=""/>
      <w:lvlJc w:val="left"/>
      <w:pPr>
        <w:ind w:left="4680" w:hanging="360"/>
      </w:pPr>
      <w:rPr>
        <w:rFonts w:ascii="Symbol" w:hAnsi="Symbol" w:hint="default"/>
      </w:rPr>
    </w:lvl>
    <w:lvl w:ilvl="7" w:tplc="BF409CF4" w:tentative="1">
      <w:start w:val="1"/>
      <w:numFmt w:val="bullet"/>
      <w:lvlText w:val="o"/>
      <w:lvlJc w:val="left"/>
      <w:pPr>
        <w:ind w:left="5400" w:hanging="360"/>
      </w:pPr>
      <w:rPr>
        <w:rFonts w:ascii="Courier New" w:hAnsi="Courier New" w:cs="Courier New" w:hint="default"/>
      </w:rPr>
    </w:lvl>
    <w:lvl w:ilvl="8" w:tplc="ACEC8260" w:tentative="1">
      <w:start w:val="1"/>
      <w:numFmt w:val="bullet"/>
      <w:lvlText w:val=""/>
      <w:lvlJc w:val="left"/>
      <w:pPr>
        <w:ind w:left="6120" w:hanging="360"/>
      </w:pPr>
      <w:rPr>
        <w:rFonts w:ascii="Wingdings" w:hAnsi="Wingdings" w:hint="default"/>
      </w:rPr>
    </w:lvl>
  </w:abstractNum>
  <w:abstractNum w:abstractNumId="14" w15:restartNumberingAfterBreak="0">
    <w:nsid w:val="4E2C4543"/>
    <w:multiLevelType w:val="hybridMultilevel"/>
    <w:tmpl w:val="B5529424"/>
    <w:lvl w:ilvl="0" w:tplc="20000001">
      <w:start w:val="1"/>
      <w:numFmt w:val="bullet"/>
      <w:lvlText w:val=""/>
      <w:lvlJc w:val="left"/>
      <w:pPr>
        <w:ind w:left="1364" w:hanging="360"/>
      </w:pPr>
      <w:rPr>
        <w:rFonts w:ascii="Symbol" w:hAnsi="Symbol" w:hint="default"/>
      </w:rPr>
    </w:lvl>
    <w:lvl w:ilvl="1" w:tplc="20000003" w:tentative="1">
      <w:start w:val="1"/>
      <w:numFmt w:val="bullet"/>
      <w:lvlText w:val="o"/>
      <w:lvlJc w:val="left"/>
      <w:pPr>
        <w:ind w:left="2084" w:hanging="360"/>
      </w:pPr>
      <w:rPr>
        <w:rFonts w:ascii="Courier New" w:hAnsi="Courier New" w:cs="Courier New" w:hint="default"/>
      </w:rPr>
    </w:lvl>
    <w:lvl w:ilvl="2" w:tplc="20000005" w:tentative="1">
      <w:start w:val="1"/>
      <w:numFmt w:val="bullet"/>
      <w:lvlText w:val=""/>
      <w:lvlJc w:val="left"/>
      <w:pPr>
        <w:ind w:left="2804" w:hanging="360"/>
      </w:pPr>
      <w:rPr>
        <w:rFonts w:ascii="Wingdings" w:hAnsi="Wingdings" w:hint="default"/>
      </w:rPr>
    </w:lvl>
    <w:lvl w:ilvl="3" w:tplc="20000001" w:tentative="1">
      <w:start w:val="1"/>
      <w:numFmt w:val="bullet"/>
      <w:lvlText w:val=""/>
      <w:lvlJc w:val="left"/>
      <w:pPr>
        <w:ind w:left="3524" w:hanging="360"/>
      </w:pPr>
      <w:rPr>
        <w:rFonts w:ascii="Symbol" w:hAnsi="Symbol" w:hint="default"/>
      </w:rPr>
    </w:lvl>
    <w:lvl w:ilvl="4" w:tplc="20000003" w:tentative="1">
      <w:start w:val="1"/>
      <w:numFmt w:val="bullet"/>
      <w:lvlText w:val="o"/>
      <w:lvlJc w:val="left"/>
      <w:pPr>
        <w:ind w:left="4244" w:hanging="360"/>
      </w:pPr>
      <w:rPr>
        <w:rFonts w:ascii="Courier New" w:hAnsi="Courier New" w:cs="Courier New" w:hint="default"/>
      </w:rPr>
    </w:lvl>
    <w:lvl w:ilvl="5" w:tplc="20000005" w:tentative="1">
      <w:start w:val="1"/>
      <w:numFmt w:val="bullet"/>
      <w:lvlText w:val=""/>
      <w:lvlJc w:val="left"/>
      <w:pPr>
        <w:ind w:left="4964" w:hanging="360"/>
      </w:pPr>
      <w:rPr>
        <w:rFonts w:ascii="Wingdings" w:hAnsi="Wingdings" w:hint="default"/>
      </w:rPr>
    </w:lvl>
    <w:lvl w:ilvl="6" w:tplc="20000001" w:tentative="1">
      <w:start w:val="1"/>
      <w:numFmt w:val="bullet"/>
      <w:lvlText w:val=""/>
      <w:lvlJc w:val="left"/>
      <w:pPr>
        <w:ind w:left="5684" w:hanging="360"/>
      </w:pPr>
      <w:rPr>
        <w:rFonts w:ascii="Symbol" w:hAnsi="Symbol" w:hint="default"/>
      </w:rPr>
    </w:lvl>
    <w:lvl w:ilvl="7" w:tplc="20000003" w:tentative="1">
      <w:start w:val="1"/>
      <w:numFmt w:val="bullet"/>
      <w:lvlText w:val="o"/>
      <w:lvlJc w:val="left"/>
      <w:pPr>
        <w:ind w:left="6404" w:hanging="360"/>
      </w:pPr>
      <w:rPr>
        <w:rFonts w:ascii="Courier New" w:hAnsi="Courier New" w:cs="Courier New" w:hint="default"/>
      </w:rPr>
    </w:lvl>
    <w:lvl w:ilvl="8" w:tplc="20000005" w:tentative="1">
      <w:start w:val="1"/>
      <w:numFmt w:val="bullet"/>
      <w:lvlText w:val=""/>
      <w:lvlJc w:val="left"/>
      <w:pPr>
        <w:ind w:left="7124" w:hanging="360"/>
      </w:pPr>
      <w:rPr>
        <w:rFonts w:ascii="Wingdings" w:hAnsi="Wingdings" w:hint="default"/>
      </w:rPr>
    </w:lvl>
  </w:abstractNum>
  <w:abstractNum w:abstractNumId="15" w15:restartNumberingAfterBreak="0">
    <w:nsid w:val="77EE4805"/>
    <w:multiLevelType w:val="hybridMultilevel"/>
    <w:tmpl w:val="3E7EE24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7E097696"/>
    <w:multiLevelType w:val="singleLevel"/>
    <w:tmpl w:val="572E1376"/>
    <w:lvl w:ilvl="0">
      <w:start w:val="1"/>
      <w:numFmt w:val="decimal"/>
      <w:pStyle w:val="Brauwcitaat"/>
      <w:suff w:val="nothing"/>
      <w:lvlText w:val=""/>
      <w:lvlJc w:val="left"/>
      <w:pPr>
        <w:tabs>
          <w:tab w:val="num" w:pos="0"/>
        </w:tabs>
        <w:ind w:left="0" w:firstLine="0"/>
      </w:pPr>
    </w:lvl>
  </w:abstractNum>
  <w:num w:numId="1">
    <w:abstractNumId w:val="0"/>
  </w:num>
  <w:num w:numId="2">
    <w:abstractNumId w:val="16"/>
  </w:num>
  <w:num w:numId="3">
    <w:abstractNumId w:val="1"/>
  </w:num>
  <w:num w:numId="4">
    <w:abstractNumId w:val="3"/>
  </w:num>
  <w:num w:numId="5">
    <w:abstractNumId w:val="5"/>
  </w:num>
  <w:num w:numId="6">
    <w:abstractNumId w:val="8"/>
  </w:num>
  <w:num w:numId="7">
    <w:abstractNumId w:val="11"/>
  </w:num>
  <w:num w:numId="8">
    <w:abstractNumId w:val="2"/>
  </w:num>
  <w:num w:numId="9">
    <w:abstractNumId w:val="13"/>
  </w:num>
  <w:num w:numId="10">
    <w:abstractNumId w:val="9"/>
  </w:num>
  <w:num w:numId="11">
    <w:abstractNumId w:val="4"/>
  </w:num>
  <w:num w:numId="12">
    <w:abstractNumId w:val="6"/>
  </w:num>
  <w:num w:numId="13">
    <w:abstractNumId w:val="15"/>
  </w:num>
  <w:num w:numId="14">
    <w:abstractNumId w:val="10"/>
  </w:num>
  <w:num w:numId="15">
    <w:abstractNumId w:val="12"/>
  </w:num>
  <w:num w:numId="16">
    <w:abstractNumId w:val="12"/>
  </w:num>
  <w:num w:numId="17">
    <w:abstractNumId w:val="1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lang="de-DE" w:vendorID="64" w:dllVersion="6" w:nlCheck="1" w:checkStyle="0" w:appName="MSWord"/>
  <w:activeWritingStyle w:lang="en-GB" w:vendorID="64" w:dllVersion="6" w:nlCheck="1" w:checkStyle="1" w:appName="MSWord"/>
  <w:activeWritingStyle w:lang="en-US" w:vendorID="64" w:dllVersion="6" w:nlCheck="1" w:checkStyle="1" w:appName="MSWord"/>
  <w:activeWritingStyle w:lang="nl-NL" w:vendorID="64" w:dllVersion="6" w:nlCheck="1" w:checkStyle="0" w:appName="MSWord"/>
  <w:activeWritingStyle w:lang="en-GB" w:vendorID="64" w:dllVersion="0" w:nlCheck="1" w:checkStyle="0" w:appName="MSWord"/>
  <w:activeWritingStyle w:lang="pt-PT" w:vendorID="64" w:dllVersion="6" w:nlCheck="1" w:checkStyle="0" w:appName="MSWord"/>
  <w:activeWritingStyle w:lang="fr-FR" w:vendorID="64" w:dllVersion="6" w:nlCheck="1" w:checkStyle="0" w:appName="MSWord"/>
  <w:activeWritingStyle w:lang="en-GB" w:vendorID="64" w:dllVersion="131078" w:nlCheck="1" w:checkStyle="1" w:appName="MSWord"/>
  <w:activeWritingStyle w:lang="en-US" w:vendorID="64" w:dllVersion="131078" w:nlCheck="1" w:checkStyle="1" w:appName="MSWord"/>
  <w:activeWritingStyle w:lang="fr-FR" w:vendorID="64" w:dllVersion="131078" w:nlCheck="1" w:checkStyle="0" w:appName="MSWord"/>
  <w:activeWritingStyle w:lang="nl-NL" w:vendorID="64" w:dllVersion="131078" w:nlCheck="1" w:checkStyle="0" w:appName="MSWord"/>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91"/>
    <w:rsid w:val="000005BB"/>
    <w:rsid w:val="0000067C"/>
    <w:rsid w:val="00001199"/>
    <w:rsid w:val="00001547"/>
    <w:rsid w:val="000017BE"/>
    <w:rsid w:val="00003A57"/>
    <w:rsid w:val="000049C7"/>
    <w:rsid w:val="0000630D"/>
    <w:rsid w:val="00007A1E"/>
    <w:rsid w:val="00010C78"/>
    <w:rsid w:val="0001315D"/>
    <w:rsid w:val="00013234"/>
    <w:rsid w:val="00014FE5"/>
    <w:rsid w:val="00015E05"/>
    <w:rsid w:val="00015EFC"/>
    <w:rsid w:val="00016793"/>
    <w:rsid w:val="00017C24"/>
    <w:rsid w:val="0002022A"/>
    <w:rsid w:val="000214DE"/>
    <w:rsid w:val="00023FDF"/>
    <w:rsid w:val="0002530F"/>
    <w:rsid w:val="00025BC6"/>
    <w:rsid w:val="00027FD4"/>
    <w:rsid w:val="0003058C"/>
    <w:rsid w:val="00031BE6"/>
    <w:rsid w:val="00031EBF"/>
    <w:rsid w:val="00033004"/>
    <w:rsid w:val="000346E2"/>
    <w:rsid w:val="00034869"/>
    <w:rsid w:val="000358C2"/>
    <w:rsid w:val="00037A7C"/>
    <w:rsid w:val="00043B9A"/>
    <w:rsid w:val="00043D67"/>
    <w:rsid w:val="0004459D"/>
    <w:rsid w:val="00046330"/>
    <w:rsid w:val="00051C46"/>
    <w:rsid w:val="000521C9"/>
    <w:rsid w:val="0005283A"/>
    <w:rsid w:val="0005669B"/>
    <w:rsid w:val="000574E2"/>
    <w:rsid w:val="0005784B"/>
    <w:rsid w:val="00060FCF"/>
    <w:rsid w:val="0006114E"/>
    <w:rsid w:val="000628B0"/>
    <w:rsid w:val="00065C4A"/>
    <w:rsid w:val="00066154"/>
    <w:rsid w:val="000666B3"/>
    <w:rsid w:val="00066E49"/>
    <w:rsid w:val="00070E9F"/>
    <w:rsid w:val="000737F5"/>
    <w:rsid w:val="00074572"/>
    <w:rsid w:val="00075069"/>
    <w:rsid w:val="00075C5A"/>
    <w:rsid w:val="00077512"/>
    <w:rsid w:val="0008031E"/>
    <w:rsid w:val="00081C6C"/>
    <w:rsid w:val="00082A79"/>
    <w:rsid w:val="00083D24"/>
    <w:rsid w:val="0008497C"/>
    <w:rsid w:val="000855D7"/>
    <w:rsid w:val="000855E0"/>
    <w:rsid w:val="000860B7"/>
    <w:rsid w:val="000869E2"/>
    <w:rsid w:val="00090ECB"/>
    <w:rsid w:val="00091AA5"/>
    <w:rsid w:val="00092036"/>
    <w:rsid w:val="0009203B"/>
    <w:rsid w:val="0009318B"/>
    <w:rsid w:val="00093888"/>
    <w:rsid w:val="00093F78"/>
    <w:rsid w:val="000966DC"/>
    <w:rsid w:val="000A078C"/>
    <w:rsid w:val="000A33C2"/>
    <w:rsid w:val="000A56CE"/>
    <w:rsid w:val="000A64E2"/>
    <w:rsid w:val="000B02A6"/>
    <w:rsid w:val="000B076D"/>
    <w:rsid w:val="000B20BC"/>
    <w:rsid w:val="000B23FF"/>
    <w:rsid w:val="000B26EA"/>
    <w:rsid w:val="000B2946"/>
    <w:rsid w:val="000B2D24"/>
    <w:rsid w:val="000B53F8"/>
    <w:rsid w:val="000B5B36"/>
    <w:rsid w:val="000B687B"/>
    <w:rsid w:val="000B700F"/>
    <w:rsid w:val="000B7EB2"/>
    <w:rsid w:val="000C26E1"/>
    <w:rsid w:val="000C28D6"/>
    <w:rsid w:val="000C491E"/>
    <w:rsid w:val="000C50AD"/>
    <w:rsid w:val="000C5C35"/>
    <w:rsid w:val="000C5CB4"/>
    <w:rsid w:val="000C7DAB"/>
    <w:rsid w:val="000D5037"/>
    <w:rsid w:val="000E1D42"/>
    <w:rsid w:val="000E20B7"/>
    <w:rsid w:val="000E2815"/>
    <w:rsid w:val="000E2A5B"/>
    <w:rsid w:val="000E2FF3"/>
    <w:rsid w:val="000E3019"/>
    <w:rsid w:val="000E4EC9"/>
    <w:rsid w:val="000E7AB1"/>
    <w:rsid w:val="000F0445"/>
    <w:rsid w:val="000F098E"/>
    <w:rsid w:val="000F10B2"/>
    <w:rsid w:val="000F11E1"/>
    <w:rsid w:val="000F1D93"/>
    <w:rsid w:val="000F2F05"/>
    <w:rsid w:val="000F35BE"/>
    <w:rsid w:val="000F382A"/>
    <w:rsid w:val="000F4928"/>
    <w:rsid w:val="000F5DE6"/>
    <w:rsid w:val="000F7995"/>
    <w:rsid w:val="000F7A68"/>
    <w:rsid w:val="00100E26"/>
    <w:rsid w:val="00101D23"/>
    <w:rsid w:val="00101E42"/>
    <w:rsid w:val="0010214C"/>
    <w:rsid w:val="001024B3"/>
    <w:rsid w:val="001028C0"/>
    <w:rsid w:val="00103970"/>
    <w:rsid w:val="00107997"/>
    <w:rsid w:val="001107CE"/>
    <w:rsid w:val="00110C2D"/>
    <w:rsid w:val="001115B3"/>
    <w:rsid w:val="001155F1"/>
    <w:rsid w:val="00117611"/>
    <w:rsid w:val="001233B2"/>
    <w:rsid w:val="00123E78"/>
    <w:rsid w:val="001259D4"/>
    <w:rsid w:val="00125A91"/>
    <w:rsid w:val="0012711E"/>
    <w:rsid w:val="00127F1C"/>
    <w:rsid w:val="0013051E"/>
    <w:rsid w:val="00130628"/>
    <w:rsid w:val="001325A5"/>
    <w:rsid w:val="00132866"/>
    <w:rsid w:val="00132D04"/>
    <w:rsid w:val="00133462"/>
    <w:rsid w:val="00133650"/>
    <w:rsid w:val="001339C7"/>
    <w:rsid w:val="00135E74"/>
    <w:rsid w:val="0013646C"/>
    <w:rsid w:val="00141911"/>
    <w:rsid w:val="0014263A"/>
    <w:rsid w:val="00144D97"/>
    <w:rsid w:val="00146CC4"/>
    <w:rsid w:val="00150572"/>
    <w:rsid w:val="00150E15"/>
    <w:rsid w:val="00152D3B"/>
    <w:rsid w:val="00153BF4"/>
    <w:rsid w:val="0015470C"/>
    <w:rsid w:val="00157FB3"/>
    <w:rsid w:val="00164831"/>
    <w:rsid w:val="00166175"/>
    <w:rsid w:val="00170875"/>
    <w:rsid w:val="00172EEF"/>
    <w:rsid w:val="0017390F"/>
    <w:rsid w:val="0017434F"/>
    <w:rsid w:val="00174F30"/>
    <w:rsid w:val="00175D70"/>
    <w:rsid w:val="00175FE9"/>
    <w:rsid w:val="00176828"/>
    <w:rsid w:val="00176FC0"/>
    <w:rsid w:val="001800BB"/>
    <w:rsid w:val="001809E7"/>
    <w:rsid w:val="001814D9"/>
    <w:rsid w:val="00181617"/>
    <w:rsid w:val="00181818"/>
    <w:rsid w:val="001823AA"/>
    <w:rsid w:val="0018365E"/>
    <w:rsid w:val="00186976"/>
    <w:rsid w:val="00187AA1"/>
    <w:rsid w:val="00190FBD"/>
    <w:rsid w:val="001913A9"/>
    <w:rsid w:val="001919BC"/>
    <w:rsid w:val="00192D75"/>
    <w:rsid w:val="0019509C"/>
    <w:rsid w:val="001950D2"/>
    <w:rsid w:val="00195BAB"/>
    <w:rsid w:val="00197A7B"/>
    <w:rsid w:val="00197B17"/>
    <w:rsid w:val="00197BA2"/>
    <w:rsid w:val="001A070B"/>
    <w:rsid w:val="001A10F8"/>
    <w:rsid w:val="001A1BAF"/>
    <w:rsid w:val="001A1D68"/>
    <w:rsid w:val="001A21CA"/>
    <w:rsid w:val="001A2624"/>
    <w:rsid w:val="001A263A"/>
    <w:rsid w:val="001A32DA"/>
    <w:rsid w:val="001A3449"/>
    <w:rsid w:val="001A3964"/>
    <w:rsid w:val="001A4BE1"/>
    <w:rsid w:val="001A5D54"/>
    <w:rsid w:val="001A649C"/>
    <w:rsid w:val="001A684C"/>
    <w:rsid w:val="001A76D5"/>
    <w:rsid w:val="001B0958"/>
    <w:rsid w:val="001B0C1D"/>
    <w:rsid w:val="001B0E31"/>
    <w:rsid w:val="001B14FA"/>
    <w:rsid w:val="001B1508"/>
    <w:rsid w:val="001B1BED"/>
    <w:rsid w:val="001B3F13"/>
    <w:rsid w:val="001B474A"/>
    <w:rsid w:val="001B7045"/>
    <w:rsid w:val="001B7910"/>
    <w:rsid w:val="001C1FF5"/>
    <w:rsid w:val="001C2A88"/>
    <w:rsid w:val="001C314E"/>
    <w:rsid w:val="001C66AC"/>
    <w:rsid w:val="001C7193"/>
    <w:rsid w:val="001C72A3"/>
    <w:rsid w:val="001D08C7"/>
    <w:rsid w:val="001D225A"/>
    <w:rsid w:val="001D263A"/>
    <w:rsid w:val="001D2AF7"/>
    <w:rsid w:val="001D30BE"/>
    <w:rsid w:val="001D3B96"/>
    <w:rsid w:val="001E2E6A"/>
    <w:rsid w:val="001E48FB"/>
    <w:rsid w:val="001E57BB"/>
    <w:rsid w:val="001E7EB3"/>
    <w:rsid w:val="001F4208"/>
    <w:rsid w:val="001F4D10"/>
    <w:rsid w:val="001F5A7E"/>
    <w:rsid w:val="001F5BFB"/>
    <w:rsid w:val="002003DA"/>
    <w:rsid w:val="002008CC"/>
    <w:rsid w:val="00200DA6"/>
    <w:rsid w:val="00202E37"/>
    <w:rsid w:val="00203000"/>
    <w:rsid w:val="002100D7"/>
    <w:rsid w:val="002103A0"/>
    <w:rsid w:val="0021151D"/>
    <w:rsid w:val="00211D67"/>
    <w:rsid w:val="00212783"/>
    <w:rsid w:val="0021614B"/>
    <w:rsid w:val="00216601"/>
    <w:rsid w:val="00217790"/>
    <w:rsid w:val="00217CB4"/>
    <w:rsid w:val="0022193D"/>
    <w:rsid w:val="0022257C"/>
    <w:rsid w:val="002247F6"/>
    <w:rsid w:val="002251BB"/>
    <w:rsid w:val="0022614B"/>
    <w:rsid w:val="00231ED2"/>
    <w:rsid w:val="0023294F"/>
    <w:rsid w:val="002330CD"/>
    <w:rsid w:val="00233135"/>
    <w:rsid w:val="0023421E"/>
    <w:rsid w:val="00234E11"/>
    <w:rsid w:val="002354F6"/>
    <w:rsid w:val="00235F60"/>
    <w:rsid w:val="002372BC"/>
    <w:rsid w:val="00241781"/>
    <w:rsid w:val="00241828"/>
    <w:rsid w:val="00242C05"/>
    <w:rsid w:val="00242F05"/>
    <w:rsid w:val="0024328D"/>
    <w:rsid w:val="0024502A"/>
    <w:rsid w:val="002451A1"/>
    <w:rsid w:val="0024528A"/>
    <w:rsid w:val="002459AB"/>
    <w:rsid w:val="0024606E"/>
    <w:rsid w:val="002460DE"/>
    <w:rsid w:val="002466A0"/>
    <w:rsid w:val="00247154"/>
    <w:rsid w:val="00247447"/>
    <w:rsid w:val="00250210"/>
    <w:rsid w:val="00250F73"/>
    <w:rsid w:val="00251064"/>
    <w:rsid w:val="002514C8"/>
    <w:rsid w:val="00253671"/>
    <w:rsid w:val="00254258"/>
    <w:rsid w:val="00254415"/>
    <w:rsid w:val="002557EB"/>
    <w:rsid w:val="00256D0C"/>
    <w:rsid w:val="00261799"/>
    <w:rsid w:val="002622E7"/>
    <w:rsid w:val="00263537"/>
    <w:rsid w:val="0026421C"/>
    <w:rsid w:val="00264E6D"/>
    <w:rsid w:val="002663BD"/>
    <w:rsid w:val="002732C3"/>
    <w:rsid w:val="00274581"/>
    <w:rsid w:val="002754FB"/>
    <w:rsid w:val="00276B63"/>
    <w:rsid w:val="0027743E"/>
    <w:rsid w:val="002819A1"/>
    <w:rsid w:val="0028311B"/>
    <w:rsid w:val="0028622F"/>
    <w:rsid w:val="00286A7E"/>
    <w:rsid w:val="0029348E"/>
    <w:rsid w:val="00293521"/>
    <w:rsid w:val="00293A26"/>
    <w:rsid w:val="00296983"/>
    <w:rsid w:val="00296D12"/>
    <w:rsid w:val="00297F0B"/>
    <w:rsid w:val="002A0A1C"/>
    <w:rsid w:val="002A1124"/>
    <w:rsid w:val="002A1E84"/>
    <w:rsid w:val="002A3487"/>
    <w:rsid w:val="002A4899"/>
    <w:rsid w:val="002A6826"/>
    <w:rsid w:val="002A6C30"/>
    <w:rsid w:val="002B03BC"/>
    <w:rsid w:val="002B135E"/>
    <w:rsid w:val="002B4186"/>
    <w:rsid w:val="002B4CB0"/>
    <w:rsid w:val="002B6778"/>
    <w:rsid w:val="002B6C88"/>
    <w:rsid w:val="002C22A6"/>
    <w:rsid w:val="002C2562"/>
    <w:rsid w:val="002C3DBD"/>
    <w:rsid w:val="002C540D"/>
    <w:rsid w:val="002C5DCE"/>
    <w:rsid w:val="002D32CC"/>
    <w:rsid w:val="002D4617"/>
    <w:rsid w:val="002D5F3E"/>
    <w:rsid w:val="002E0492"/>
    <w:rsid w:val="002E119B"/>
    <w:rsid w:val="002E14B7"/>
    <w:rsid w:val="002E1500"/>
    <w:rsid w:val="002E1667"/>
    <w:rsid w:val="002E3516"/>
    <w:rsid w:val="002E53FA"/>
    <w:rsid w:val="002E63DC"/>
    <w:rsid w:val="002E75EB"/>
    <w:rsid w:val="002E7C84"/>
    <w:rsid w:val="002F0D14"/>
    <w:rsid w:val="002F198E"/>
    <w:rsid w:val="002F27A5"/>
    <w:rsid w:val="002F3E19"/>
    <w:rsid w:val="002F7CE9"/>
    <w:rsid w:val="003016EC"/>
    <w:rsid w:val="003049DC"/>
    <w:rsid w:val="00306C63"/>
    <w:rsid w:val="0030785B"/>
    <w:rsid w:val="0031032C"/>
    <w:rsid w:val="00310D99"/>
    <w:rsid w:val="00313645"/>
    <w:rsid w:val="00313E6E"/>
    <w:rsid w:val="003142C7"/>
    <w:rsid w:val="003173D6"/>
    <w:rsid w:val="00320233"/>
    <w:rsid w:val="00320335"/>
    <w:rsid w:val="00320688"/>
    <w:rsid w:val="00322AC2"/>
    <w:rsid w:val="0032489D"/>
    <w:rsid w:val="00324FE8"/>
    <w:rsid w:val="003270BB"/>
    <w:rsid w:val="00327110"/>
    <w:rsid w:val="003273C2"/>
    <w:rsid w:val="003315C2"/>
    <w:rsid w:val="00334361"/>
    <w:rsid w:val="003352C3"/>
    <w:rsid w:val="003378FF"/>
    <w:rsid w:val="00340479"/>
    <w:rsid w:val="00342212"/>
    <w:rsid w:val="00342C6A"/>
    <w:rsid w:val="00347B68"/>
    <w:rsid w:val="0035084D"/>
    <w:rsid w:val="00350B6C"/>
    <w:rsid w:val="00350F5B"/>
    <w:rsid w:val="003518AF"/>
    <w:rsid w:val="00351FB6"/>
    <w:rsid w:val="00353BF2"/>
    <w:rsid w:val="00354FDD"/>
    <w:rsid w:val="00355A16"/>
    <w:rsid w:val="00355BC6"/>
    <w:rsid w:val="00356CD9"/>
    <w:rsid w:val="00357662"/>
    <w:rsid w:val="00361D41"/>
    <w:rsid w:val="00362096"/>
    <w:rsid w:val="00364563"/>
    <w:rsid w:val="00365428"/>
    <w:rsid w:val="0036661E"/>
    <w:rsid w:val="00370705"/>
    <w:rsid w:val="00373431"/>
    <w:rsid w:val="00373678"/>
    <w:rsid w:val="00373826"/>
    <w:rsid w:val="00373B17"/>
    <w:rsid w:val="0037432E"/>
    <w:rsid w:val="00376058"/>
    <w:rsid w:val="00376129"/>
    <w:rsid w:val="00377411"/>
    <w:rsid w:val="00377EDB"/>
    <w:rsid w:val="0038139B"/>
    <w:rsid w:val="00382E99"/>
    <w:rsid w:val="003842F9"/>
    <w:rsid w:val="00387FFD"/>
    <w:rsid w:val="00390A2A"/>
    <w:rsid w:val="00391301"/>
    <w:rsid w:val="00392FE0"/>
    <w:rsid w:val="00394714"/>
    <w:rsid w:val="0039508F"/>
    <w:rsid w:val="00395360"/>
    <w:rsid w:val="003970AF"/>
    <w:rsid w:val="003A0BFE"/>
    <w:rsid w:val="003A53FD"/>
    <w:rsid w:val="003A5736"/>
    <w:rsid w:val="003A5EE9"/>
    <w:rsid w:val="003A670A"/>
    <w:rsid w:val="003A6BDB"/>
    <w:rsid w:val="003A7245"/>
    <w:rsid w:val="003A72EA"/>
    <w:rsid w:val="003B3676"/>
    <w:rsid w:val="003B3AD9"/>
    <w:rsid w:val="003B44CD"/>
    <w:rsid w:val="003B6C26"/>
    <w:rsid w:val="003B6D0B"/>
    <w:rsid w:val="003C16F6"/>
    <w:rsid w:val="003C3A7B"/>
    <w:rsid w:val="003C45D8"/>
    <w:rsid w:val="003C559B"/>
    <w:rsid w:val="003D011D"/>
    <w:rsid w:val="003D0D0C"/>
    <w:rsid w:val="003D25B4"/>
    <w:rsid w:val="003D33AC"/>
    <w:rsid w:val="003D6930"/>
    <w:rsid w:val="003E0343"/>
    <w:rsid w:val="003E1840"/>
    <w:rsid w:val="003E332A"/>
    <w:rsid w:val="003E6EC8"/>
    <w:rsid w:val="003E6EFD"/>
    <w:rsid w:val="003F0522"/>
    <w:rsid w:val="003F0544"/>
    <w:rsid w:val="003F383B"/>
    <w:rsid w:val="003F4F01"/>
    <w:rsid w:val="003F5E14"/>
    <w:rsid w:val="003F61DE"/>
    <w:rsid w:val="003F7617"/>
    <w:rsid w:val="00401C4A"/>
    <w:rsid w:val="00402E3B"/>
    <w:rsid w:val="00404C6D"/>
    <w:rsid w:val="00411F99"/>
    <w:rsid w:val="00413F62"/>
    <w:rsid w:val="004163D5"/>
    <w:rsid w:val="004166AF"/>
    <w:rsid w:val="00416FCD"/>
    <w:rsid w:val="00417007"/>
    <w:rsid w:val="004228B8"/>
    <w:rsid w:val="004229D6"/>
    <w:rsid w:val="00422C28"/>
    <w:rsid w:val="00425306"/>
    <w:rsid w:val="00426D20"/>
    <w:rsid w:val="00432314"/>
    <w:rsid w:val="00432D6D"/>
    <w:rsid w:val="004333BB"/>
    <w:rsid w:val="00434034"/>
    <w:rsid w:val="00436BFF"/>
    <w:rsid w:val="004370EF"/>
    <w:rsid w:val="004418F9"/>
    <w:rsid w:val="00442D56"/>
    <w:rsid w:val="00444964"/>
    <w:rsid w:val="00445400"/>
    <w:rsid w:val="004466DC"/>
    <w:rsid w:val="00446E52"/>
    <w:rsid w:val="00447823"/>
    <w:rsid w:val="00452D13"/>
    <w:rsid w:val="00453426"/>
    <w:rsid w:val="004538BF"/>
    <w:rsid w:val="004559FB"/>
    <w:rsid w:val="00455C71"/>
    <w:rsid w:val="00456B23"/>
    <w:rsid w:val="004570E1"/>
    <w:rsid w:val="004573E2"/>
    <w:rsid w:val="00457A03"/>
    <w:rsid w:val="004616C3"/>
    <w:rsid w:val="00461CC7"/>
    <w:rsid w:val="00463229"/>
    <w:rsid w:val="00464448"/>
    <w:rsid w:val="00465BBF"/>
    <w:rsid w:val="00471958"/>
    <w:rsid w:val="00473350"/>
    <w:rsid w:val="00473715"/>
    <w:rsid w:val="00475309"/>
    <w:rsid w:val="004758C7"/>
    <w:rsid w:val="00475D15"/>
    <w:rsid w:val="004765FD"/>
    <w:rsid w:val="0047683A"/>
    <w:rsid w:val="00476DB5"/>
    <w:rsid w:val="0048050F"/>
    <w:rsid w:val="00480BF1"/>
    <w:rsid w:val="004826C9"/>
    <w:rsid w:val="00483853"/>
    <w:rsid w:val="004848E7"/>
    <w:rsid w:val="00485A9D"/>
    <w:rsid w:val="004863D9"/>
    <w:rsid w:val="004865E2"/>
    <w:rsid w:val="004876E0"/>
    <w:rsid w:val="00487A86"/>
    <w:rsid w:val="004909F7"/>
    <w:rsid w:val="0049233F"/>
    <w:rsid w:val="00493FBC"/>
    <w:rsid w:val="00494BBD"/>
    <w:rsid w:val="00495799"/>
    <w:rsid w:val="004958ED"/>
    <w:rsid w:val="00497D66"/>
    <w:rsid w:val="004A1C71"/>
    <w:rsid w:val="004A2DB9"/>
    <w:rsid w:val="004A7C1C"/>
    <w:rsid w:val="004B0DA2"/>
    <w:rsid w:val="004B1AC6"/>
    <w:rsid w:val="004B27A4"/>
    <w:rsid w:val="004B3D9C"/>
    <w:rsid w:val="004B449A"/>
    <w:rsid w:val="004B5166"/>
    <w:rsid w:val="004B5E26"/>
    <w:rsid w:val="004B66D8"/>
    <w:rsid w:val="004B773C"/>
    <w:rsid w:val="004B7954"/>
    <w:rsid w:val="004C05C3"/>
    <w:rsid w:val="004C516D"/>
    <w:rsid w:val="004C6145"/>
    <w:rsid w:val="004C6425"/>
    <w:rsid w:val="004D012D"/>
    <w:rsid w:val="004D3A90"/>
    <w:rsid w:val="004D4091"/>
    <w:rsid w:val="004E28B0"/>
    <w:rsid w:val="004E45AF"/>
    <w:rsid w:val="004E46F6"/>
    <w:rsid w:val="004E6041"/>
    <w:rsid w:val="004E624B"/>
    <w:rsid w:val="004E74AB"/>
    <w:rsid w:val="004F0F1F"/>
    <w:rsid w:val="004F2DDA"/>
    <w:rsid w:val="004F3A06"/>
    <w:rsid w:val="004F3AF2"/>
    <w:rsid w:val="004F4024"/>
    <w:rsid w:val="005001F6"/>
    <w:rsid w:val="00500589"/>
    <w:rsid w:val="005025C5"/>
    <w:rsid w:val="00504D05"/>
    <w:rsid w:val="0050568A"/>
    <w:rsid w:val="00506AAB"/>
    <w:rsid w:val="005071B3"/>
    <w:rsid w:val="00507CFD"/>
    <w:rsid w:val="00510BB2"/>
    <w:rsid w:val="00510FF8"/>
    <w:rsid w:val="00514E90"/>
    <w:rsid w:val="00515537"/>
    <w:rsid w:val="00515697"/>
    <w:rsid w:val="00515F57"/>
    <w:rsid w:val="00520C55"/>
    <w:rsid w:val="005212AC"/>
    <w:rsid w:val="005214CF"/>
    <w:rsid w:val="00522254"/>
    <w:rsid w:val="005229EF"/>
    <w:rsid w:val="0052316C"/>
    <w:rsid w:val="00524F89"/>
    <w:rsid w:val="005250BC"/>
    <w:rsid w:val="0052555F"/>
    <w:rsid w:val="00526217"/>
    <w:rsid w:val="00530F0F"/>
    <w:rsid w:val="005311DF"/>
    <w:rsid w:val="00531C48"/>
    <w:rsid w:val="00532596"/>
    <w:rsid w:val="005332A8"/>
    <w:rsid w:val="00533383"/>
    <w:rsid w:val="00533CBF"/>
    <w:rsid w:val="0053473B"/>
    <w:rsid w:val="00535A5C"/>
    <w:rsid w:val="00536EA2"/>
    <w:rsid w:val="005438CE"/>
    <w:rsid w:val="005439F6"/>
    <w:rsid w:val="00545C40"/>
    <w:rsid w:val="00547239"/>
    <w:rsid w:val="0055104C"/>
    <w:rsid w:val="00553960"/>
    <w:rsid w:val="00553FAF"/>
    <w:rsid w:val="005554E7"/>
    <w:rsid w:val="00555A69"/>
    <w:rsid w:val="005605B2"/>
    <w:rsid w:val="0056140B"/>
    <w:rsid w:val="00565B4F"/>
    <w:rsid w:val="00566250"/>
    <w:rsid w:val="005672C7"/>
    <w:rsid w:val="00571255"/>
    <w:rsid w:val="0057126E"/>
    <w:rsid w:val="00572386"/>
    <w:rsid w:val="005725CD"/>
    <w:rsid w:val="00572A03"/>
    <w:rsid w:val="005736E0"/>
    <w:rsid w:val="0057408A"/>
    <w:rsid w:val="005758C4"/>
    <w:rsid w:val="00577121"/>
    <w:rsid w:val="00577A3E"/>
    <w:rsid w:val="00580FEE"/>
    <w:rsid w:val="00581353"/>
    <w:rsid w:val="005831F6"/>
    <w:rsid w:val="00584CCF"/>
    <w:rsid w:val="00586469"/>
    <w:rsid w:val="005875C7"/>
    <w:rsid w:val="005919B7"/>
    <w:rsid w:val="00593B1F"/>
    <w:rsid w:val="00594D85"/>
    <w:rsid w:val="00596B36"/>
    <w:rsid w:val="005A003A"/>
    <w:rsid w:val="005A0632"/>
    <w:rsid w:val="005A1761"/>
    <w:rsid w:val="005A19FA"/>
    <w:rsid w:val="005A4E5D"/>
    <w:rsid w:val="005B17AD"/>
    <w:rsid w:val="005B4DCA"/>
    <w:rsid w:val="005B5FE9"/>
    <w:rsid w:val="005B6DBB"/>
    <w:rsid w:val="005B799C"/>
    <w:rsid w:val="005B7CA4"/>
    <w:rsid w:val="005C02CC"/>
    <w:rsid w:val="005C0CB8"/>
    <w:rsid w:val="005C0E7F"/>
    <w:rsid w:val="005C26BD"/>
    <w:rsid w:val="005C5379"/>
    <w:rsid w:val="005C6C2E"/>
    <w:rsid w:val="005E32AF"/>
    <w:rsid w:val="005E4018"/>
    <w:rsid w:val="005E5C11"/>
    <w:rsid w:val="005E6156"/>
    <w:rsid w:val="005E6253"/>
    <w:rsid w:val="005E6591"/>
    <w:rsid w:val="005E6817"/>
    <w:rsid w:val="005E7549"/>
    <w:rsid w:val="005E7DCD"/>
    <w:rsid w:val="005F0B16"/>
    <w:rsid w:val="005F5B57"/>
    <w:rsid w:val="005F70F8"/>
    <w:rsid w:val="005F7E9F"/>
    <w:rsid w:val="0060109D"/>
    <w:rsid w:val="0060188A"/>
    <w:rsid w:val="00601905"/>
    <w:rsid w:val="00602EC0"/>
    <w:rsid w:val="00603FDD"/>
    <w:rsid w:val="00606C92"/>
    <w:rsid w:val="0060773C"/>
    <w:rsid w:val="00607B86"/>
    <w:rsid w:val="0061066A"/>
    <w:rsid w:val="00611F88"/>
    <w:rsid w:val="00614257"/>
    <w:rsid w:val="00614287"/>
    <w:rsid w:val="00614CD5"/>
    <w:rsid w:val="00615224"/>
    <w:rsid w:val="006159DC"/>
    <w:rsid w:val="0061744F"/>
    <w:rsid w:val="0062065C"/>
    <w:rsid w:val="0062087E"/>
    <w:rsid w:val="00622CB3"/>
    <w:rsid w:val="006237E0"/>
    <w:rsid w:val="00623C01"/>
    <w:rsid w:val="00623EFC"/>
    <w:rsid w:val="006244F8"/>
    <w:rsid w:val="00624E94"/>
    <w:rsid w:val="00625EE3"/>
    <w:rsid w:val="00626D82"/>
    <w:rsid w:val="006276F3"/>
    <w:rsid w:val="00630869"/>
    <w:rsid w:val="006338F3"/>
    <w:rsid w:val="0063586D"/>
    <w:rsid w:val="006368E3"/>
    <w:rsid w:val="00637463"/>
    <w:rsid w:val="00637F10"/>
    <w:rsid w:val="0064129B"/>
    <w:rsid w:val="006417EB"/>
    <w:rsid w:val="0064217E"/>
    <w:rsid w:val="006428F1"/>
    <w:rsid w:val="00642C7C"/>
    <w:rsid w:val="006434BB"/>
    <w:rsid w:val="0064358B"/>
    <w:rsid w:val="00643A66"/>
    <w:rsid w:val="00644C5A"/>
    <w:rsid w:val="00645309"/>
    <w:rsid w:val="00650956"/>
    <w:rsid w:val="00652025"/>
    <w:rsid w:val="00652EB7"/>
    <w:rsid w:val="00653F04"/>
    <w:rsid w:val="00654818"/>
    <w:rsid w:val="00655A5A"/>
    <w:rsid w:val="00655F62"/>
    <w:rsid w:val="00657AFF"/>
    <w:rsid w:val="00657F67"/>
    <w:rsid w:val="006603EF"/>
    <w:rsid w:val="006604DE"/>
    <w:rsid w:val="00661C1C"/>
    <w:rsid w:val="00662AB8"/>
    <w:rsid w:val="00664A6F"/>
    <w:rsid w:val="00665668"/>
    <w:rsid w:val="006660BC"/>
    <w:rsid w:val="006727F8"/>
    <w:rsid w:val="006759FD"/>
    <w:rsid w:val="00675D38"/>
    <w:rsid w:val="00675E75"/>
    <w:rsid w:val="0067623E"/>
    <w:rsid w:val="00680C03"/>
    <w:rsid w:val="00680FCD"/>
    <w:rsid w:val="00681B6E"/>
    <w:rsid w:val="0068286C"/>
    <w:rsid w:val="0068298E"/>
    <w:rsid w:val="00686B8F"/>
    <w:rsid w:val="00687480"/>
    <w:rsid w:val="00687951"/>
    <w:rsid w:val="0069025E"/>
    <w:rsid w:val="006907CD"/>
    <w:rsid w:val="00692BE8"/>
    <w:rsid w:val="00692EB2"/>
    <w:rsid w:val="006953BD"/>
    <w:rsid w:val="0069596A"/>
    <w:rsid w:val="00697C19"/>
    <w:rsid w:val="00697C8C"/>
    <w:rsid w:val="006A0432"/>
    <w:rsid w:val="006A13D7"/>
    <w:rsid w:val="006A2304"/>
    <w:rsid w:val="006A44EF"/>
    <w:rsid w:val="006A5812"/>
    <w:rsid w:val="006A6F27"/>
    <w:rsid w:val="006B1135"/>
    <w:rsid w:val="006B126E"/>
    <w:rsid w:val="006B17D3"/>
    <w:rsid w:val="006B20B6"/>
    <w:rsid w:val="006B2A8A"/>
    <w:rsid w:val="006B3E7F"/>
    <w:rsid w:val="006B5D24"/>
    <w:rsid w:val="006B65F8"/>
    <w:rsid w:val="006B6B7B"/>
    <w:rsid w:val="006B7FF6"/>
    <w:rsid w:val="006C1306"/>
    <w:rsid w:val="006C6E32"/>
    <w:rsid w:val="006C7505"/>
    <w:rsid w:val="006D0750"/>
    <w:rsid w:val="006D0D35"/>
    <w:rsid w:val="006D14B4"/>
    <w:rsid w:val="006D2B3E"/>
    <w:rsid w:val="006D330C"/>
    <w:rsid w:val="006D3E3E"/>
    <w:rsid w:val="006D4D0A"/>
    <w:rsid w:val="006D7831"/>
    <w:rsid w:val="006E3117"/>
    <w:rsid w:val="006E5986"/>
    <w:rsid w:val="006E5BC9"/>
    <w:rsid w:val="006E6162"/>
    <w:rsid w:val="006F348A"/>
    <w:rsid w:val="006F5B2B"/>
    <w:rsid w:val="0070101F"/>
    <w:rsid w:val="00702182"/>
    <w:rsid w:val="00704EC4"/>
    <w:rsid w:val="007050AC"/>
    <w:rsid w:val="00705434"/>
    <w:rsid w:val="00710A70"/>
    <w:rsid w:val="00710C4E"/>
    <w:rsid w:val="00710CE2"/>
    <w:rsid w:val="0071213A"/>
    <w:rsid w:val="00713FBB"/>
    <w:rsid w:val="0071447F"/>
    <w:rsid w:val="00715B2C"/>
    <w:rsid w:val="00720D86"/>
    <w:rsid w:val="00721A47"/>
    <w:rsid w:val="007224AA"/>
    <w:rsid w:val="00722573"/>
    <w:rsid w:val="00722B17"/>
    <w:rsid w:val="00725CD2"/>
    <w:rsid w:val="007264D1"/>
    <w:rsid w:val="00726F88"/>
    <w:rsid w:val="00727483"/>
    <w:rsid w:val="0073019E"/>
    <w:rsid w:val="007305C8"/>
    <w:rsid w:val="00730ABE"/>
    <w:rsid w:val="00731507"/>
    <w:rsid w:val="0073250C"/>
    <w:rsid w:val="0073452E"/>
    <w:rsid w:val="00734A9A"/>
    <w:rsid w:val="007374F5"/>
    <w:rsid w:val="00737743"/>
    <w:rsid w:val="00737B1A"/>
    <w:rsid w:val="007400C1"/>
    <w:rsid w:val="00742CFD"/>
    <w:rsid w:val="00745902"/>
    <w:rsid w:val="007460E5"/>
    <w:rsid w:val="00751C1F"/>
    <w:rsid w:val="007573EF"/>
    <w:rsid w:val="007578DA"/>
    <w:rsid w:val="00762401"/>
    <w:rsid w:val="00763066"/>
    <w:rsid w:val="007630E3"/>
    <w:rsid w:val="00763C1C"/>
    <w:rsid w:val="00766DD4"/>
    <w:rsid w:val="00767327"/>
    <w:rsid w:val="00767A00"/>
    <w:rsid w:val="00771517"/>
    <w:rsid w:val="0077176E"/>
    <w:rsid w:val="00771945"/>
    <w:rsid w:val="00772E92"/>
    <w:rsid w:val="00773D0E"/>
    <w:rsid w:val="00775F79"/>
    <w:rsid w:val="00776779"/>
    <w:rsid w:val="007803F3"/>
    <w:rsid w:val="007819D0"/>
    <w:rsid w:val="007827C9"/>
    <w:rsid w:val="00783BA7"/>
    <w:rsid w:val="00784524"/>
    <w:rsid w:val="00786AE8"/>
    <w:rsid w:val="00786B27"/>
    <w:rsid w:val="00791088"/>
    <w:rsid w:val="00791EA4"/>
    <w:rsid w:val="007932D3"/>
    <w:rsid w:val="00794361"/>
    <w:rsid w:val="00794C76"/>
    <w:rsid w:val="00794F83"/>
    <w:rsid w:val="007954C6"/>
    <w:rsid w:val="007959E3"/>
    <w:rsid w:val="007959EB"/>
    <w:rsid w:val="00796A71"/>
    <w:rsid w:val="0079793E"/>
    <w:rsid w:val="007A0542"/>
    <w:rsid w:val="007A31CF"/>
    <w:rsid w:val="007A4C3E"/>
    <w:rsid w:val="007A5A5B"/>
    <w:rsid w:val="007A662A"/>
    <w:rsid w:val="007A75F6"/>
    <w:rsid w:val="007B1257"/>
    <w:rsid w:val="007B326D"/>
    <w:rsid w:val="007B4540"/>
    <w:rsid w:val="007B511B"/>
    <w:rsid w:val="007B5BDE"/>
    <w:rsid w:val="007B7ADC"/>
    <w:rsid w:val="007C3406"/>
    <w:rsid w:val="007C40DF"/>
    <w:rsid w:val="007C4277"/>
    <w:rsid w:val="007C4A0E"/>
    <w:rsid w:val="007D19D4"/>
    <w:rsid w:val="007D1FD8"/>
    <w:rsid w:val="007D2F4C"/>
    <w:rsid w:val="007D310F"/>
    <w:rsid w:val="007D4572"/>
    <w:rsid w:val="007D540B"/>
    <w:rsid w:val="007E2EDF"/>
    <w:rsid w:val="007E3373"/>
    <w:rsid w:val="007E4634"/>
    <w:rsid w:val="007E61F5"/>
    <w:rsid w:val="007F0523"/>
    <w:rsid w:val="007F1F4D"/>
    <w:rsid w:val="007F336C"/>
    <w:rsid w:val="007F3471"/>
    <w:rsid w:val="007F477F"/>
    <w:rsid w:val="007F4832"/>
    <w:rsid w:val="007F65D0"/>
    <w:rsid w:val="0080005E"/>
    <w:rsid w:val="00800238"/>
    <w:rsid w:val="00800BB0"/>
    <w:rsid w:val="00801C12"/>
    <w:rsid w:val="0080329B"/>
    <w:rsid w:val="008037E0"/>
    <w:rsid w:val="00805B32"/>
    <w:rsid w:val="00806D54"/>
    <w:rsid w:val="00807BD5"/>
    <w:rsid w:val="008106D8"/>
    <w:rsid w:val="00810FBB"/>
    <w:rsid w:val="00814241"/>
    <w:rsid w:val="008149E1"/>
    <w:rsid w:val="00817414"/>
    <w:rsid w:val="00817692"/>
    <w:rsid w:val="00820C12"/>
    <w:rsid w:val="00820CE6"/>
    <w:rsid w:val="0082128C"/>
    <w:rsid w:val="00823699"/>
    <w:rsid w:val="008241E1"/>
    <w:rsid w:val="00825DDB"/>
    <w:rsid w:val="00826BD2"/>
    <w:rsid w:val="00827996"/>
    <w:rsid w:val="008306BD"/>
    <w:rsid w:val="00831144"/>
    <w:rsid w:val="00833287"/>
    <w:rsid w:val="00834895"/>
    <w:rsid w:val="0083552C"/>
    <w:rsid w:val="0083799A"/>
    <w:rsid w:val="00840A37"/>
    <w:rsid w:val="00842CB8"/>
    <w:rsid w:val="00842D29"/>
    <w:rsid w:val="00843703"/>
    <w:rsid w:val="00844760"/>
    <w:rsid w:val="00845AE9"/>
    <w:rsid w:val="008475CC"/>
    <w:rsid w:val="00847F9A"/>
    <w:rsid w:val="00851AD6"/>
    <w:rsid w:val="008527DA"/>
    <w:rsid w:val="00852D38"/>
    <w:rsid w:val="00852E5F"/>
    <w:rsid w:val="00853478"/>
    <w:rsid w:val="00853CA7"/>
    <w:rsid w:val="0085557B"/>
    <w:rsid w:val="008569D9"/>
    <w:rsid w:val="0086165A"/>
    <w:rsid w:val="00862198"/>
    <w:rsid w:val="008667A7"/>
    <w:rsid w:val="00866A30"/>
    <w:rsid w:val="00867A7C"/>
    <w:rsid w:val="00867ECC"/>
    <w:rsid w:val="00871C1A"/>
    <w:rsid w:val="0087241B"/>
    <w:rsid w:val="00872776"/>
    <w:rsid w:val="00872D28"/>
    <w:rsid w:val="00873794"/>
    <w:rsid w:val="008739AF"/>
    <w:rsid w:val="008808C0"/>
    <w:rsid w:val="00881817"/>
    <w:rsid w:val="008824DF"/>
    <w:rsid w:val="00883D54"/>
    <w:rsid w:val="00884A87"/>
    <w:rsid w:val="00884E26"/>
    <w:rsid w:val="0088624A"/>
    <w:rsid w:val="0088745C"/>
    <w:rsid w:val="00887ECE"/>
    <w:rsid w:val="0089064B"/>
    <w:rsid w:val="00891B8C"/>
    <w:rsid w:val="00891F59"/>
    <w:rsid w:val="00892E26"/>
    <w:rsid w:val="008941F6"/>
    <w:rsid w:val="00894EC0"/>
    <w:rsid w:val="008954A1"/>
    <w:rsid w:val="00896A6E"/>
    <w:rsid w:val="00896AEB"/>
    <w:rsid w:val="00897D37"/>
    <w:rsid w:val="008A0725"/>
    <w:rsid w:val="008A1AAC"/>
    <w:rsid w:val="008A216B"/>
    <w:rsid w:val="008A263B"/>
    <w:rsid w:val="008A42DD"/>
    <w:rsid w:val="008A5DEC"/>
    <w:rsid w:val="008A6230"/>
    <w:rsid w:val="008A7878"/>
    <w:rsid w:val="008B0450"/>
    <w:rsid w:val="008B1168"/>
    <w:rsid w:val="008B49CA"/>
    <w:rsid w:val="008B4B6D"/>
    <w:rsid w:val="008B5C8E"/>
    <w:rsid w:val="008B5EBA"/>
    <w:rsid w:val="008B7A8C"/>
    <w:rsid w:val="008C000F"/>
    <w:rsid w:val="008C1546"/>
    <w:rsid w:val="008C2D77"/>
    <w:rsid w:val="008C4356"/>
    <w:rsid w:val="008C491D"/>
    <w:rsid w:val="008C7BD0"/>
    <w:rsid w:val="008C7C2C"/>
    <w:rsid w:val="008D2FD8"/>
    <w:rsid w:val="008D484A"/>
    <w:rsid w:val="008D6571"/>
    <w:rsid w:val="008D6CC6"/>
    <w:rsid w:val="008D775D"/>
    <w:rsid w:val="008E1E3A"/>
    <w:rsid w:val="008E376A"/>
    <w:rsid w:val="008F0B8C"/>
    <w:rsid w:val="008F2410"/>
    <w:rsid w:val="008F697F"/>
    <w:rsid w:val="008F7B7B"/>
    <w:rsid w:val="0090104A"/>
    <w:rsid w:val="0090272E"/>
    <w:rsid w:val="00903EAE"/>
    <w:rsid w:val="00904217"/>
    <w:rsid w:val="00905D35"/>
    <w:rsid w:val="0090629B"/>
    <w:rsid w:val="00906DD3"/>
    <w:rsid w:val="00907240"/>
    <w:rsid w:val="00911B65"/>
    <w:rsid w:val="00911EE3"/>
    <w:rsid w:val="009129FC"/>
    <w:rsid w:val="00913A83"/>
    <w:rsid w:val="009159C9"/>
    <w:rsid w:val="00920B86"/>
    <w:rsid w:val="009232E8"/>
    <w:rsid w:val="00923E6C"/>
    <w:rsid w:val="0092435E"/>
    <w:rsid w:val="00924C45"/>
    <w:rsid w:val="00926A0F"/>
    <w:rsid w:val="00927A96"/>
    <w:rsid w:val="00932AFE"/>
    <w:rsid w:val="00935680"/>
    <w:rsid w:val="00935BD4"/>
    <w:rsid w:val="00936E1C"/>
    <w:rsid w:val="00936ECD"/>
    <w:rsid w:val="00937215"/>
    <w:rsid w:val="00937B4A"/>
    <w:rsid w:val="00941862"/>
    <w:rsid w:val="00943F80"/>
    <w:rsid w:val="00944F06"/>
    <w:rsid w:val="009451AD"/>
    <w:rsid w:val="00945695"/>
    <w:rsid w:val="00945789"/>
    <w:rsid w:val="00945AB0"/>
    <w:rsid w:val="0094617D"/>
    <w:rsid w:val="00947B67"/>
    <w:rsid w:val="00947CEE"/>
    <w:rsid w:val="0095178F"/>
    <w:rsid w:val="00951991"/>
    <w:rsid w:val="00954AA2"/>
    <w:rsid w:val="00955665"/>
    <w:rsid w:val="00955DEC"/>
    <w:rsid w:val="009560E5"/>
    <w:rsid w:val="00956511"/>
    <w:rsid w:val="009571C8"/>
    <w:rsid w:val="009605D5"/>
    <w:rsid w:val="00961566"/>
    <w:rsid w:val="00961ABC"/>
    <w:rsid w:val="00961DFD"/>
    <w:rsid w:val="00963F62"/>
    <w:rsid w:val="0096441D"/>
    <w:rsid w:val="00964854"/>
    <w:rsid w:val="00964AA8"/>
    <w:rsid w:val="0096517C"/>
    <w:rsid w:val="00966830"/>
    <w:rsid w:val="00967318"/>
    <w:rsid w:val="00967510"/>
    <w:rsid w:val="009702E6"/>
    <w:rsid w:val="0097093D"/>
    <w:rsid w:val="00971433"/>
    <w:rsid w:val="00972743"/>
    <w:rsid w:val="00973A15"/>
    <w:rsid w:val="00977407"/>
    <w:rsid w:val="0098087C"/>
    <w:rsid w:val="00981C99"/>
    <w:rsid w:val="0098444F"/>
    <w:rsid w:val="0098595D"/>
    <w:rsid w:val="00990C97"/>
    <w:rsid w:val="00990E51"/>
    <w:rsid w:val="00991BF3"/>
    <w:rsid w:val="00994B70"/>
    <w:rsid w:val="00994E69"/>
    <w:rsid w:val="00996AFC"/>
    <w:rsid w:val="009A2828"/>
    <w:rsid w:val="009A4B8B"/>
    <w:rsid w:val="009A5630"/>
    <w:rsid w:val="009A7DD6"/>
    <w:rsid w:val="009B3532"/>
    <w:rsid w:val="009B546F"/>
    <w:rsid w:val="009B5E6C"/>
    <w:rsid w:val="009C2444"/>
    <w:rsid w:val="009C2749"/>
    <w:rsid w:val="009C307A"/>
    <w:rsid w:val="009C31A8"/>
    <w:rsid w:val="009C3F2B"/>
    <w:rsid w:val="009C4CC5"/>
    <w:rsid w:val="009C67C8"/>
    <w:rsid w:val="009D223E"/>
    <w:rsid w:val="009D40F8"/>
    <w:rsid w:val="009D5750"/>
    <w:rsid w:val="009D65B6"/>
    <w:rsid w:val="009E260E"/>
    <w:rsid w:val="009E4613"/>
    <w:rsid w:val="009E4A2B"/>
    <w:rsid w:val="009E4F66"/>
    <w:rsid w:val="009E594F"/>
    <w:rsid w:val="009E6069"/>
    <w:rsid w:val="009F003E"/>
    <w:rsid w:val="009F0A59"/>
    <w:rsid w:val="009F0A75"/>
    <w:rsid w:val="009F0C9A"/>
    <w:rsid w:val="009F3641"/>
    <w:rsid w:val="009F4DD7"/>
    <w:rsid w:val="009F52ED"/>
    <w:rsid w:val="00A00AED"/>
    <w:rsid w:val="00A00B41"/>
    <w:rsid w:val="00A02016"/>
    <w:rsid w:val="00A06AE3"/>
    <w:rsid w:val="00A06EB0"/>
    <w:rsid w:val="00A07D9F"/>
    <w:rsid w:val="00A12DE4"/>
    <w:rsid w:val="00A13171"/>
    <w:rsid w:val="00A14997"/>
    <w:rsid w:val="00A16F10"/>
    <w:rsid w:val="00A200E0"/>
    <w:rsid w:val="00A224B5"/>
    <w:rsid w:val="00A2288F"/>
    <w:rsid w:val="00A23D1A"/>
    <w:rsid w:val="00A25F29"/>
    <w:rsid w:val="00A26AE9"/>
    <w:rsid w:val="00A27AB4"/>
    <w:rsid w:val="00A338D2"/>
    <w:rsid w:val="00A33902"/>
    <w:rsid w:val="00A34230"/>
    <w:rsid w:val="00A370F9"/>
    <w:rsid w:val="00A37919"/>
    <w:rsid w:val="00A41823"/>
    <w:rsid w:val="00A4206E"/>
    <w:rsid w:val="00A424B6"/>
    <w:rsid w:val="00A42C6F"/>
    <w:rsid w:val="00A43F4C"/>
    <w:rsid w:val="00A44254"/>
    <w:rsid w:val="00A44A39"/>
    <w:rsid w:val="00A44EED"/>
    <w:rsid w:val="00A46381"/>
    <w:rsid w:val="00A4659B"/>
    <w:rsid w:val="00A47FF7"/>
    <w:rsid w:val="00A51BEC"/>
    <w:rsid w:val="00A524F4"/>
    <w:rsid w:val="00A549D1"/>
    <w:rsid w:val="00A54B64"/>
    <w:rsid w:val="00A54F16"/>
    <w:rsid w:val="00A5516D"/>
    <w:rsid w:val="00A55B32"/>
    <w:rsid w:val="00A55CC1"/>
    <w:rsid w:val="00A56266"/>
    <w:rsid w:val="00A56F72"/>
    <w:rsid w:val="00A572C3"/>
    <w:rsid w:val="00A60A74"/>
    <w:rsid w:val="00A61E8A"/>
    <w:rsid w:val="00A61FCC"/>
    <w:rsid w:val="00A62E5E"/>
    <w:rsid w:val="00A63A00"/>
    <w:rsid w:val="00A678DD"/>
    <w:rsid w:val="00A70513"/>
    <w:rsid w:val="00A70986"/>
    <w:rsid w:val="00A7132B"/>
    <w:rsid w:val="00A71371"/>
    <w:rsid w:val="00A71715"/>
    <w:rsid w:val="00A7177B"/>
    <w:rsid w:val="00A71CE4"/>
    <w:rsid w:val="00A72B0D"/>
    <w:rsid w:val="00A736E4"/>
    <w:rsid w:val="00A76873"/>
    <w:rsid w:val="00A83E36"/>
    <w:rsid w:val="00A849E3"/>
    <w:rsid w:val="00A879E9"/>
    <w:rsid w:val="00A9069A"/>
    <w:rsid w:val="00A924B4"/>
    <w:rsid w:val="00A9257D"/>
    <w:rsid w:val="00A92757"/>
    <w:rsid w:val="00A93646"/>
    <w:rsid w:val="00A9378A"/>
    <w:rsid w:val="00A93F5B"/>
    <w:rsid w:val="00A9487D"/>
    <w:rsid w:val="00AA16D4"/>
    <w:rsid w:val="00AA1D76"/>
    <w:rsid w:val="00AA27B6"/>
    <w:rsid w:val="00AA3665"/>
    <w:rsid w:val="00AA54EE"/>
    <w:rsid w:val="00AA5A57"/>
    <w:rsid w:val="00AA636E"/>
    <w:rsid w:val="00AA7452"/>
    <w:rsid w:val="00AA7B54"/>
    <w:rsid w:val="00AB24E0"/>
    <w:rsid w:val="00AB26C3"/>
    <w:rsid w:val="00AB36C0"/>
    <w:rsid w:val="00AB5D85"/>
    <w:rsid w:val="00AB65DE"/>
    <w:rsid w:val="00AB7671"/>
    <w:rsid w:val="00AC03AE"/>
    <w:rsid w:val="00AC3705"/>
    <w:rsid w:val="00AC71E2"/>
    <w:rsid w:val="00AC7CE3"/>
    <w:rsid w:val="00AD1504"/>
    <w:rsid w:val="00AD1B93"/>
    <w:rsid w:val="00AD1C65"/>
    <w:rsid w:val="00AD2ABE"/>
    <w:rsid w:val="00AD2C55"/>
    <w:rsid w:val="00AD43B6"/>
    <w:rsid w:val="00AD6DA4"/>
    <w:rsid w:val="00AE094D"/>
    <w:rsid w:val="00AE0B28"/>
    <w:rsid w:val="00AE1F83"/>
    <w:rsid w:val="00AE2029"/>
    <w:rsid w:val="00AE4502"/>
    <w:rsid w:val="00AE55C1"/>
    <w:rsid w:val="00AE5ECD"/>
    <w:rsid w:val="00AE619D"/>
    <w:rsid w:val="00AE789C"/>
    <w:rsid w:val="00AE79E7"/>
    <w:rsid w:val="00AF1D70"/>
    <w:rsid w:val="00AF1EC0"/>
    <w:rsid w:val="00AF20A9"/>
    <w:rsid w:val="00AF254E"/>
    <w:rsid w:val="00AF33C5"/>
    <w:rsid w:val="00AF37A1"/>
    <w:rsid w:val="00AF472B"/>
    <w:rsid w:val="00AF52BE"/>
    <w:rsid w:val="00AF5AE5"/>
    <w:rsid w:val="00AF5B93"/>
    <w:rsid w:val="00AF7F6A"/>
    <w:rsid w:val="00B02D88"/>
    <w:rsid w:val="00B04012"/>
    <w:rsid w:val="00B0767B"/>
    <w:rsid w:val="00B07C5A"/>
    <w:rsid w:val="00B132CB"/>
    <w:rsid w:val="00B134FA"/>
    <w:rsid w:val="00B15E71"/>
    <w:rsid w:val="00B17586"/>
    <w:rsid w:val="00B20B2F"/>
    <w:rsid w:val="00B21FB7"/>
    <w:rsid w:val="00B22DEE"/>
    <w:rsid w:val="00B2518E"/>
    <w:rsid w:val="00B25D90"/>
    <w:rsid w:val="00B260F4"/>
    <w:rsid w:val="00B260F9"/>
    <w:rsid w:val="00B26D6F"/>
    <w:rsid w:val="00B276BD"/>
    <w:rsid w:val="00B30589"/>
    <w:rsid w:val="00B3219F"/>
    <w:rsid w:val="00B33889"/>
    <w:rsid w:val="00B33DA9"/>
    <w:rsid w:val="00B34F92"/>
    <w:rsid w:val="00B41941"/>
    <w:rsid w:val="00B4483E"/>
    <w:rsid w:val="00B4488A"/>
    <w:rsid w:val="00B454C2"/>
    <w:rsid w:val="00B5575B"/>
    <w:rsid w:val="00B558A3"/>
    <w:rsid w:val="00B569E4"/>
    <w:rsid w:val="00B57845"/>
    <w:rsid w:val="00B579AB"/>
    <w:rsid w:val="00B60FED"/>
    <w:rsid w:val="00B6173B"/>
    <w:rsid w:val="00B63D29"/>
    <w:rsid w:val="00B64F90"/>
    <w:rsid w:val="00B655F3"/>
    <w:rsid w:val="00B65C82"/>
    <w:rsid w:val="00B660C4"/>
    <w:rsid w:val="00B67AB7"/>
    <w:rsid w:val="00B67EA0"/>
    <w:rsid w:val="00B71349"/>
    <w:rsid w:val="00B71E05"/>
    <w:rsid w:val="00B72978"/>
    <w:rsid w:val="00B73938"/>
    <w:rsid w:val="00B7499A"/>
    <w:rsid w:val="00B74E46"/>
    <w:rsid w:val="00B769D8"/>
    <w:rsid w:val="00B82661"/>
    <w:rsid w:val="00B858E7"/>
    <w:rsid w:val="00B874B7"/>
    <w:rsid w:val="00B87925"/>
    <w:rsid w:val="00B87CBD"/>
    <w:rsid w:val="00B91431"/>
    <w:rsid w:val="00B9270F"/>
    <w:rsid w:val="00B9276A"/>
    <w:rsid w:val="00B92F2A"/>
    <w:rsid w:val="00B93B1E"/>
    <w:rsid w:val="00B946B4"/>
    <w:rsid w:val="00B94D51"/>
    <w:rsid w:val="00B9585B"/>
    <w:rsid w:val="00B95A96"/>
    <w:rsid w:val="00BA0342"/>
    <w:rsid w:val="00BA03B2"/>
    <w:rsid w:val="00BA14AE"/>
    <w:rsid w:val="00BA202C"/>
    <w:rsid w:val="00BA20C7"/>
    <w:rsid w:val="00BA2ADA"/>
    <w:rsid w:val="00BA37A8"/>
    <w:rsid w:val="00BA3C79"/>
    <w:rsid w:val="00BA5A9B"/>
    <w:rsid w:val="00BA7066"/>
    <w:rsid w:val="00BA746E"/>
    <w:rsid w:val="00BA7A21"/>
    <w:rsid w:val="00BB1467"/>
    <w:rsid w:val="00BB1927"/>
    <w:rsid w:val="00BB1F1F"/>
    <w:rsid w:val="00BB3F92"/>
    <w:rsid w:val="00BB4025"/>
    <w:rsid w:val="00BB4F9B"/>
    <w:rsid w:val="00BB7583"/>
    <w:rsid w:val="00BC0B94"/>
    <w:rsid w:val="00BC0FDD"/>
    <w:rsid w:val="00BC12A0"/>
    <w:rsid w:val="00BC26E7"/>
    <w:rsid w:val="00BC2E91"/>
    <w:rsid w:val="00BC3392"/>
    <w:rsid w:val="00BC4B1E"/>
    <w:rsid w:val="00BC4F40"/>
    <w:rsid w:val="00BC544D"/>
    <w:rsid w:val="00BC623B"/>
    <w:rsid w:val="00BC7578"/>
    <w:rsid w:val="00BD0036"/>
    <w:rsid w:val="00BD0E32"/>
    <w:rsid w:val="00BD2A15"/>
    <w:rsid w:val="00BD32C2"/>
    <w:rsid w:val="00BD3B2A"/>
    <w:rsid w:val="00BD3BE4"/>
    <w:rsid w:val="00BD4379"/>
    <w:rsid w:val="00BD5A10"/>
    <w:rsid w:val="00BD5A70"/>
    <w:rsid w:val="00BE0EA0"/>
    <w:rsid w:val="00BE0ECF"/>
    <w:rsid w:val="00BE13FC"/>
    <w:rsid w:val="00BE2A3B"/>
    <w:rsid w:val="00BE2A47"/>
    <w:rsid w:val="00BE2B96"/>
    <w:rsid w:val="00BE2C15"/>
    <w:rsid w:val="00BE3215"/>
    <w:rsid w:val="00BE6BDF"/>
    <w:rsid w:val="00BE7C8F"/>
    <w:rsid w:val="00BE7F30"/>
    <w:rsid w:val="00BF0539"/>
    <w:rsid w:val="00BF1096"/>
    <w:rsid w:val="00BF237F"/>
    <w:rsid w:val="00BF3104"/>
    <w:rsid w:val="00BF325B"/>
    <w:rsid w:val="00BF3541"/>
    <w:rsid w:val="00BF36CD"/>
    <w:rsid w:val="00BF3A9F"/>
    <w:rsid w:val="00BF4579"/>
    <w:rsid w:val="00BF5210"/>
    <w:rsid w:val="00BF5930"/>
    <w:rsid w:val="00BF6531"/>
    <w:rsid w:val="00C015CB"/>
    <w:rsid w:val="00C017DD"/>
    <w:rsid w:val="00C01C46"/>
    <w:rsid w:val="00C01EE5"/>
    <w:rsid w:val="00C03E89"/>
    <w:rsid w:val="00C041ED"/>
    <w:rsid w:val="00C04518"/>
    <w:rsid w:val="00C05659"/>
    <w:rsid w:val="00C12A8A"/>
    <w:rsid w:val="00C12DB6"/>
    <w:rsid w:val="00C15BD1"/>
    <w:rsid w:val="00C162C7"/>
    <w:rsid w:val="00C17CC1"/>
    <w:rsid w:val="00C208DF"/>
    <w:rsid w:val="00C2220B"/>
    <w:rsid w:val="00C229A6"/>
    <w:rsid w:val="00C2444F"/>
    <w:rsid w:val="00C258A5"/>
    <w:rsid w:val="00C33FD0"/>
    <w:rsid w:val="00C34B30"/>
    <w:rsid w:val="00C36702"/>
    <w:rsid w:val="00C37485"/>
    <w:rsid w:val="00C41214"/>
    <w:rsid w:val="00C414FB"/>
    <w:rsid w:val="00C41E1D"/>
    <w:rsid w:val="00C431E4"/>
    <w:rsid w:val="00C50800"/>
    <w:rsid w:val="00C5114E"/>
    <w:rsid w:val="00C51632"/>
    <w:rsid w:val="00C52535"/>
    <w:rsid w:val="00C54061"/>
    <w:rsid w:val="00C549C8"/>
    <w:rsid w:val="00C564F9"/>
    <w:rsid w:val="00C57224"/>
    <w:rsid w:val="00C57359"/>
    <w:rsid w:val="00C57A45"/>
    <w:rsid w:val="00C60BF4"/>
    <w:rsid w:val="00C61055"/>
    <w:rsid w:val="00C62D54"/>
    <w:rsid w:val="00C642D2"/>
    <w:rsid w:val="00C6477A"/>
    <w:rsid w:val="00C65C13"/>
    <w:rsid w:val="00C669B6"/>
    <w:rsid w:val="00C673DA"/>
    <w:rsid w:val="00C679D3"/>
    <w:rsid w:val="00C7029C"/>
    <w:rsid w:val="00C71355"/>
    <w:rsid w:val="00C739BF"/>
    <w:rsid w:val="00C73E2D"/>
    <w:rsid w:val="00C74349"/>
    <w:rsid w:val="00C75130"/>
    <w:rsid w:val="00C76A79"/>
    <w:rsid w:val="00C80B27"/>
    <w:rsid w:val="00C81AA6"/>
    <w:rsid w:val="00C81B7E"/>
    <w:rsid w:val="00C82475"/>
    <w:rsid w:val="00C83009"/>
    <w:rsid w:val="00C85F21"/>
    <w:rsid w:val="00C96E4E"/>
    <w:rsid w:val="00C971EA"/>
    <w:rsid w:val="00C974A6"/>
    <w:rsid w:val="00CA01A7"/>
    <w:rsid w:val="00CA5535"/>
    <w:rsid w:val="00CA6216"/>
    <w:rsid w:val="00CB00AD"/>
    <w:rsid w:val="00CB1365"/>
    <w:rsid w:val="00CB3837"/>
    <w:rsid w:val="00CB3D94"/>
    <w:rsid w:val="00CB663A"/>
    <w:rsid w:val="00CB6996"/>
    <w:rsid w:val="00CB7C43"/>
    <w:rsid w:val="00CB7D8D"/>
    <w:rsid w:val="00CC2116"/>
    <w:rsid w:val="00CC356D"/>
    <w:rsid w:val="00CC4E02"/>
    <w:rsid w:val="00CC5205"/>
    <w:rsid w:val="00CC6648"/>
    <w:rsid w:val="00CC6AB8"/>
    <w:rsid w:val="00CC7198"/>
    <w:rsid w:val="00CC755E"/>
    <w:rsid w:val="00CC78A9"/>
    <w:rsid w:val="00CD0696"/>
    <w:rsid w:val="00CD0CC3"/>
    <w:rsid w:val="00CD1AB1"/>
    <w:rsid w:val="00CD3633"/>
    <w:rsid w:val="00CD5142"/>
    <w:rsid w:val="00CD7598"/>
    <w:rsid w:val="00CD7C52"/>
    <w:rsid w:val="00CE205E"/>
    <w:rsid w:val="00CE3198"/>
    <w:rsid w:val="00CE53E7"/>
    <w:rsid w:val="00CE6F82"/>
    <w:rsid w:val="00CF0079"/>
    <w:rsid w:val="00CF06C3"/>
    <w:rsid w:val="00CF08B9"/>
    <w:rsid w:val="00CF0E61"/>
    <w:rsid w:val="00CF18CC"/>
    <w:rsid w:val="00CF23FE"/>
    <w:rsid w:val="00CF2429"/>
    <w:rsid w:val="00CF2523"/>
    <w:rsid w:val="00CF263E"/>
    <w:rsid w:val="00CF2D4C"/>
    <w:rsid w:val="00CF529C"/>
    <w:rsid w:val="00CF594F"/>
    <w:rsid w:val="00CF5E05"/>
    <w:rsid w:val="00CF73F8"/>
    <w:rsid w:val="00D00EF0"/>
    <w:rsid w:val="00D013F9"/>
    <w:rsid w:val="00D0283F"/>
    <w:rsid w:val="00D042E1"/>
    <w:rsid w:val="00D04EB5"/>
    <w:rsid w:val="00D05BB6"/>
    <w:rsid w:val="00D06477"/>
    <w:rsid w:val="00D07081"/>
    <w:rsid w:val="00D104D1"/>
    <w:rsid w:val="00D10B43"/>
    <w:rsid w:val="00D124FC"/>
    <w:rsid w:val="00D14C33"/>
    <w:rsid w:val="00D159C9"/>
    <w:rsid w:val="00D16D07"/>
    <w:rsid w:val="00D20DF5"/>
    <w:rsid w:val="00D20E30"/>
    <w:rsid w:val="00D21877"/>
    <w:rsid w:val="00D222D3"/>
    <w:rsid w:val="00D23EF6"/>
    <w:rsid w:val="00D24A4D"/>
    <w:rsid w:val="00D27589"/>
    <w:rsid w:val="00D32D6A"/>
    <w:rsid w:val="00D33C50"/>
    <w:rsid w:val="00D33EB4"/>
    <w:rsid w:val="00D33FF7"/>
    <w:rsid w:val="00D34AB4"/>
    <w:rsid w:val="00D356B1"/>
    <w:rsid w:val="00D35CCD"/>
    <w:rsid w:val="00D36486"/>
    <w:rsid w:val="00D36620"/>
    <w:rsid w:val="00D36ACC"/>
    <w:rsid w:val="00D371AB"/>
    <w:rsid w:val="00D3758F"/>
    <w:rsid w:val="00D41980"/>
    <w:rsid w:val="00D429F5"/>
    <w:rsid w:val="00D42A5B"/>
    <w:rsid w:val="00D4324C"/>
    <w:rsid w:val="00D44F3E"/>
    <w:rsid w:val="00D455C7"/>
    <w:rsid w:val="00D45EDF"/>
    <w:rsid w:val="00D46C1D"/>
    <w:rsid w:val="00D47D0C"/>
    <w:rsid w:val="00D50DD2"/>
    <w:rsid w:val="00D5267D"/>
    <w:rsid w:val="00D62683"/>
    <w:rsid w:val="00D63071"/>
    <w:rsid w:val="00D63168"/>
    <w:rsid w:val="00D6371F"/>
    <w:rsid w:val="00D63AC4"/>
    <w:rsid w:val="00D64177"/>
    <w:rsid w:val="00D659D1"/>
    <w:rsid w:val="00D67B5C"/>
    <w:rsid w:val="00D71E55"/>
    <w:rsid w:val="00D7378B"/>
    <w:rsid w:val="00D76AA8"/>
    <w:rsid w:val="00D76F37"/>
    <w:rsid w:val="00D80EEF"/>
    <w:rsid w:val="00D82343"/>
    <w:rsid w:val="00D831F4"/>
    <w:rsid w:val="00D848C9"/>
    <w:rsid w:val="00D8716B"/>
    <w:rsid w:val="00D87C7B"/>
    <w:rsid w:val="00D87DD6"/>
    <w:rsid w:val="00D90FD4"/>
    <w:rsid w:val="00D926FE"/>
    <w:rsid w:val="00D96F96"/>
    <w:rsid w:val="00D9713E"/>
    <w:rsid w:val="00D972C6"/>
    <w:rsid w:val="00D974E9"/>
    <w:rsid w:val="00DA006A"/>
    <w:rsid w:val="00DA068D"/>
    <w:rsid w:val="00DA192F"/>
    <w:rsid w:val="00DA2238"/>
    <w:rsid w:val="00DA2A33"/>
    <w:rsid w:val="00DA2AFB"/>
    <w:rsid w:val="00DA2BEA"/>
    <w:rsid w:val="00DA3D3B"/>
    <w:rsid w:val="00DA4CDB"/>
    <w:rsid w:val="00DA67C4"/>
    <w:rsid w:val="00DB0FC9"/>
    <w:rsid w:val="00DB26FE"/>
    <w:rsid w:val="00DB3EFF"/>
    <w:rsid w:val="00DB44BA"/>
    <w:rsid w:val="00DB730A"/>
    <w:rsid w:val="00DC18C1"/>
    <w:rsid w:val="00DC228B"/>
    <w:rsid w:val="00DC3A8B"/>
    <w:rsid w:val="00DC4537"/>
    <w:rsid w:val="00DC50F5"/>
    <w:rsid w:val="00DC68FF"/>
    <w:rsid w:val="00DC7132"/>
    <w:rsid w:val="00DC7905"/>
    <w:rsid w:val="00DD0CB9"/>
    <w:rsid w:val="00DD23D2"/>
    <w:rsid w:val="00DD32F6"/>
    <w:rsid w:val="00DD3703"/>
    <w:rsid w:val="00DD4D7F"/>
    <w:rsid w:val="00DD4DA8"/>
    <w:rsid w:val="00DE7388"/>
    <w:rsid w:val="00DE7D23"/>
    <w:rsid w:val="00DF1363"/>
    <w:rsid w:val="00DF4FB3"/>
    <w:rsid w:val="00DF51E4"/>
    <w:rsid w:val="00DF6346"/>
    <w:rsid w:val="00DF7210"/>
    <w:rsid w:val="00E006AA"/>
    <w:rsid w:val="00E01D93"/>
    <w:rsid w:val="00E02383"/>
    <w:rsid w:val="00E0242F"/>
    <w:rsid w:val="00E02E57"/>
    <w:rsid w:val="00E03667"/>
    <w:rsid w:val="00E0425E"/>
    <w:rsid w:val="00E04F66"/>
    <w:rsid w:val="00E05D9F"/>
    <w:rsid w:val="00E05F74"/>
    <w:rsid w:val="00E0712A"/>
    <w:rsid w:val="00E07D95"/>
    <w:rsid w:val="00E10554"/>
    <w:rsid w:val="00E11326"/>
    <w:rsid w:val="00E11FE0"/>
    <w:rsid w:val="00E12766"/>
    <w:rsid w:val="00E16CFC"/>
    <w:rsid w:val="00E206FE"/>
    <w:rsid w:val="00E20B0E"/>
    <w:rsid w:val="00E24730"/>
    <w:rsid w:val="00E2574E"/>
    <w:rsid w:val="00E263D1"/>
    <w:rsid w:val="00E27B01"/>
    <w:rsid w:val="00E31BA9"/>
    <w:rsid w:val="00E31C62"/>
    <w:rsid w:val="00E321DD"/>
    <w:rsid w:val="00E3253E"/>
    <w:rsid w:val="00E348E1"/>
    <w:rsid w:val="00E352E9"/>
    <w:rsid w:val="00E35F65"/>
    <w:rsid w:val="00E36E17"/>
    <w:rsid w:val="00E37AEB"/>
    <w:rsid w:val="00E421D0"/>
    <w:rsid w:val="00E42E1A"/>
    <w:rsid w:val="00E443D9"/>
    <w:rsid w:val="00E46CD4"/>
    <w:rsid w:val="00E47DE4"/>
    <w:rsid w:val="00E47FD1"/>
    <w:rsid w:val="00E50C0A"/>
    <w:rsid w:val="00E529D9"/>
    <w:rsid w:val="00E53157"/>
    <w:rsid w:val="00E54279"/>
    <w:rsid w:val="00E55ADE"/>
    <w:rsid w:val="00E56733"/>
    <w:rsid w:val="00E56766"/>
    <w:rsid w:val="00E578F8"/>
    <w:rsid w:val="00E63FD4"/>
    <w:rsid w:val="00E643D8"/>
    <w:rsid w:val="00E66C8C"/>
    <w:rsid w:val="00E66D78"/>
    <w:rsid w:val="00E70151"/>
    <w:rsid w:val="00E7072D"/>
    <w:rsid w:val="00E71E35"/>
    <w:rsid w:val="00E721E4"/>
    <w:rsid w:val="00E72F81"/>
    <w:rsid w:val="00E77000"/>
    <w:rsid w:val="00E809E1"/>
    <w:rsid w:val="00E80DF5"/>
    <w:rsid w:val="00E82BAB"/>
    <w:rsid w:val="00E8465F"/>
    <w:rsid w:val="00E84746"/>
    <w:rsid w:val="00E85757"/>
    <w:rsid w:val="00E859C8"/>
    <w:rsid w:val="00E85B73"/>
    <w:rsid w:val="00E87B7F"/>
    <w:rsid w:val="00E87CC1"/>
    <w:rsid w:val="00E87E43"/>
    <w:rsid w:val="00E909BE"/>
    <w:rsid w:val="00E956A4"/>
    <w:rsid w:val="00E95EA7"/>
    <w:rsid w:val="00E97DF0"/>
    <w:rsid w:val="00EA0BA1"/>
    <w:rsid w:val="00EA0C70"/>
    <w:rsid w:val="00EA11C4"/>
    <w:rsid w:val="00EA1239"/>
    <w:rsid w:val="00EA190D"/>
    <w:rsid w:val="00EA7EEF"/>
    <w:rsid w:val="00EB1EE8"/>
    <w:rsid w:val="00EB39CB"/>
    <w:rsid w:val="00EB4ABD"/>
    <w:rsid w:val="00EB5234"/>
    <w:rsid w:val="00EB5316"/>
    <w:rsid w:val="00EB6B96"/>
    <w:rsid w:val="00EB6FDD"/>
    <w:rsid w:val="00EB7161"/>
    <w:rsid w:val="00EC04D2"/>
    <w:rsid w:val="00EC05C8"/>
    <w:rsid w:val="00EC5DCA"/>
    <w:rsid w:val="00EC7F9F"/>
    <w:rsid w:val="00ED2D91"/>
    <w:rsid w:val="00ED3D23"/>
    <w:rsid w:val="00ED423E"/>
    <w:rsid w:val="00ED4EA6"/>
    <w:rsid w:val="00ED56AA"/>
    <w:rsid w:val="00ED6567"/>
    <w:rsid w:val="00EE138E"/>
    <w:rsid w:val="00EE1E92"/>
    <w:rsid w:val="00EE27FD"/>
    <w:rsid w:val="00EE2B2B"/>
    <w:rsid w:val="00EE4436"/>
    <w:rsid w:val="00EE4592"/>
    <w:rsid w:val="00EF06C4"/>
    <w:rsid w:val="00EF0A01"/>
    <w:rsid w:val="00EF1FED"/>
    <w:rsid w:val="00EF4669"/>
    <w:rsid w:val="00F00380"/>
    <w:rsid w:val="00F01C45"/>
    <w:rsid w:val="00F02EBE"/>
    <w:rsid w:val="00F02EE8"/>
    <w:rsid w:val="00F03B94"/>
    <w:rsid w:val="00F04161"/>
    <w:rsid w:val="00F05574"/>
    <w:rsid w:val="00F06A01"/>
    <w:rsid w:val="00F07944"/>
    <w:rsid w:val="00F10E37"/>
    <w:rsid w:val="00F1180F"/>
    <w:rsid w:val="00F1343F"/>
    <w:rsid w:val="00F14DE1"/>
    <w:rsid w:val="00F16ACB"/>
    <w:rsid w:val="00F21E30"/>
    <w:rsid w:val="00F232C9"/>
    <w:rsid w:val="00F270AE"/>
    <w:rsid w:val="00F27AC2"/>
    <w:rsid w:val="00F33C19"/>
    <w:rsid w:val="00F34AD0"/>
    <w:rsid w:val="00F36F3E"/>
    <w:rsid w:val="00F36F90"/>
    <w:rsid w:val="00F374C6"/>
    <w:rsid w:val="00F4046A"/>
    <w:rsid w:val="00F425AC"/>
    <w:rsid w:val="00F45579"/>
    <w:rsid w:val="00F45C62"/>
    <w:rsid w:val="00F50933"/>
    <w:rsid w:val="00F5694F"/>
    <w:rsid w:val="00F579C0"/>
    <w:rsid w:val="00F57F4C"/>
    <w:rsid w:val="00F6130D"/>
    <w:rsid w:val="00F62FBF"/>
    <w:rsid w:val="00F63D2A"/>
    <w:rsid w:val="00F64BB1"/>
    <w:rsid w:val="00F64C2C"/>
    <w:rsid w:val="00F67E1E"/>
    <w:rsid w:val="00F70AFF"/>
    <w:rsid w:val="00F70BE2"/>
    <w:rsid w:val="00F741E1"/>
    <w:rsid w:val="00F74E89"/>
    <w:rsid w:val="00F7698F"/>
    <w:rsid w:val="00F771A0"/>
    <w:rsid w:val="00F801B2"/>
    <w:rsid w:val="00F81F9D"/>
    <w:rsid w:val="00F83887"/>
    <w:rsid w:val="00F84897"/>
    <w:rsid w:val="00F86A1E"/>
    <w:rsid w:val="00F87AFE"/>
    <w:rsid w:val="00F91043"/>
    <w:rsid w:val="00F91A92"/>
    <w:rsid w:val="00F932CA"/>
    <w:rsid w:val="00F93FE1"/>
    <w:rsid w:val="00FA0EA6"/>
    <w:rsid w:val="00FA1D72"/>
    <w:rsid w:val="00FA4124"/>
    <w:rsid w:val="00FA5832"/>
    <w:rsid w:val="00FA7125"/>
    <w:rsid w:val="00FB0B5D"/>
    <w:rsid w:val="00FB403B"/>
    <w:rsid w:val="00FB4BD1"/>
    <w:rsid w:val="00FB4F22"/>
    <w:rsid w:val="00FB5514"/>
    <w:rsid w:val="00FB5870"/>
    <w:rsid w:val="00FB66AB"/>
    <w:rsid w:val="00FC06B0"/>
    <w:rsid w:val="00FC1BB1"/>
    <w:rsid w:val="00FC3418"/>
    <w:rsid w:val="00FC6F9E"/>
    <w:rsid w:val="00FC737D"/>
    <w:rsid w:val="00FD0922"/>
    <w:rsid w:val="00FD246B"/>
    <w:rsid w:val="00FD31F9"/>
    <w:rsid w:val="00FD45F1"/>
    <w:rsid w:val="00FD5405"/>
    <w:rsid w:val="00FD5604"/>
    <w:rsid w:val="00FD5651"/>
    <w:rsid w:val="00FE1CED"/>
    <w:rsid w:val="00FE31E0"/>
    <w:rsid w:val="00FE535D"/>
    <w:rsid w:val="00FE72DA"/>
    <w:rsid w:val="00FF0048"/>
    <w:rsid w:val="00FF0D5A"/>
    <w:rsid w:val="00FF2AD5"/>
    <w:rsid w:val="00FF2D9F"/>
    <w:rsid w:val="00FF349E"/>
    <w:rsid w:val="00FF4D29"/>
    <w:rsid w:val="00FF679C"/>
    <w:rsid w:val="00FF71DF"/>
    <w:rsid w:val="00FF7CA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BA9EB3"/>
  <w15:docId w15:val="{EB3F7D41-798C-4341-BCCA-54795695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32D3"/>
    <w:pPr>
      <w:spacing w:after="0" w:line="310" w:lineRule="auto"/>
    </w:pPr>
    <w:rPr>
      <w:rFonts w:ascii="Arial" w:hAnsi="Arial"/>
      <w:spacing w:val="3"/>
      <w:sz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906DD3"/>
    <w:pPr>
      <w:tabs>
        <w:tab w:val="center" w:pos="4513"/>
        <w:tab w:val="right" w:pos="9026"/>
      </w:tabs>
      <w:spacing w:line="240" w:lineRule="auto"/>
    </w:pPr>
  </w:style>
  <w:style w:type="character" w:styleId="HeaderChar" w:customStyle="1">
    <w:name w:val="Header Char"/>
    <w:basedOn w:val="DefaultParagraphFont"/>
    <w:link w:val="Header"/>
    <w:uiPriority w:val="99"/>
    <w:semiHidden/>
    <w:rsid w:val="00906DD3"/>
    <w:rPr>
      <w:rFonts w:ascii="Arial" w:hAnsi="Arial"/>
      <w:spacing w:val="3"/>
      <w:sz w:val="19"/>
    </w:rPr>
  </w:style>
  <w:style w:type="paragraph" w:styleId="Footer">
    <w:name w:val="footer"/>
    <w:basedOn w:val="Normal"/>
    <w:link w:val="FooterChar"/>
    <w:uiPriority w:val="99"/>
    <w:rsid w:val="00906DD3"/>
    <w:pPr>
      <w:tabs>
        <w:tab w:val="center" w:pos="4513"/>
        <w:tab w:val="right" w:pos="9026"/>
      </w:tabs>
      <w:spacing w:line="240" w:lineRule="auto"/>
    </w:pPr>
  </w:style>
  <w:style w:type="character" w:styleId="FooterChar" w:customStyle="1">
    <w:name w:val="Footer Char"/>
    <w:basedOn w:val="DefaultParagraphFont"/>
    <w:link w:val="Footer"/>
    <w:uiPriority w:val="99"/>
    <w:rsid w:val="00906DD3"/>
    <w:rPr>
      <w:rFonts w:ascii="Arial" w:hAnsi="Arial"/>
      <w:spacing w:val="3"/>
      <w:sz w:val="19"/>
    </w:rPr>
  </w:style>
  <w:style w:type="paragraph" w:styleId="ListParagraph">
    <w:name w:val="List Paragraph"/>
    <w:basedOn w:val="Normal"/>
    <w:uiPriority w:val="34"/>
    <w:qFormat/>
    <w:rsid w:val="008569D9"/>
    <w:pPr>
      <w:ind w:left="720"/>
      <w:contextualSpacing/>
    </w:pPr>
  </w:style>
  <w:style w:type="character" w:styleId="Hyperlink">
    <w:name w:val="Hyperlink"/>
    <w:basedOn w:val="DefaultParagraphFont"/>
    <w:uiPriority w:val="99"/>
    <w:semiHidden/>
    <w:rsid w:val="002C22A6"/>
    <w:rPr>
      <w:color w:val="0000FF" w:themeColor="hyperlink"/>
      <w:u w:val="single"/>
    </w:rPr>
  </w:style>
  <w:style w:type="character" w:styleId="UnresolvedMention1" w:customStyle="1">
    <w:name w:val="Unresolved Mention1"/>
    <w:basedOn w:val="DefaultParagraphFont"/>
    <w:uiPriority w:val="99"/>
    <w:semiHidden/>
    <w:unhideWhenUsed/>
    <w:rsid w:val="002C22A6"/>
    <w:rPr>
      <w:color w:val="605E5C"/>
      <w:shd w:val="clear" w:color="auto" w:fill="E1DFDD"/>
    </w:rPr>
  </w:style>
  <w:style w:type="paragraph" w:styleId="Brauwcitaat" w:customStyle="1">
    <w:name w:val="Brauw citaat"/>
    <w:basedOn w:val="Normal"/>
    <w:qFormat/>
    <w:rsid w:val="002C22A6"/>
    <w:pPr>
      <w:numPr>
        <w:numId w:val="2"/>
      </w:numPr>
      <w:tabs>
        <w:tab w:val="clear" w:pos="0"/>
      </w:tabs>
      <w:spacing w:after="240" w:line="240" w:lineRule="auto"/>
      <w:jc w:val="both"/>
    </w:pPr>
    <w:rPr>
      <w:rFonts w:eastAsia="Calibri" w:cs="Times New Roman"/>
      <w:i/>
      <w:sz w:val="17"/>
      <w:lang w:eastAsia="en-US"/>
    </w:rPr>
  </w:style>
  <w:style w:type="character" w:styleId="CommentReference">
    <w:name w:val="annotation reference"/>
    <w:basedOn w:val="DefaultParagraphFont"/>
    <w:uiPriority w:val="99"/>
    <w:semiHidden/>
    <w:rsid w:val="0013051E"/>
    <w:rPr>
      <w:sz w:val="16"/>
      <w:szCs w:val="16"/>
    </w:rPr>
  </w:style>
  <w:style w:type="paragraph" w:styleId="CommentText">
    <w:name w:val="annotation text"/>
    <w:basedOn w:val="Normal"/>
    <w:link w:val="CommentTextChar"/>
    <w:uiPriority w:val="99"/>
    <w:semiHidden/>
    <w:rsid w:val="0013051E"/>
    <w:pPr>
      <w:spacing w:line="240" w:lineRule="auto"/>
    </w:pPr>
    <w:rPr>
      <w:sz w:val="20"/>
      <w:szCs w:val="20"/>
    </w:rPr>
  </w:style>
  <w:style w:type="character" w:styleId="CommentTextChar" w:customStyle="1">
    <w:name w:val="Comment Text Char"/>
    <w:basedOn w:val="DefaultParagraphFont"/>
    <w:link w:val="CommentText"/>
    <w:uiPriority w:val="99"/>
    <w:semiHidden/>
    <w:rsid w:val="0013051E"/>
    <w:rPr>
      <w:rFonts w:ascii="Arial" w:hAnsi="Arial"/>
      <w:spacing w:val="3"/>
      <w:sz w:val="20"/>
      <w:szCs w:val="20"/>
    </w:rPr>
  </w:style>
  <w:style w:type="paragraph" w:styleId="CommentSubject">
    <w:name w:val="annotation subject"/>
    <w:basedOn w:val="CommentText"/>
    <w:next w:val="CommentText"/>
    <w:link w:val="CommentSubjectChar"/>
    <w:uiPriority w:val="99"/>
    <w:semiHidden/>
    <w:rsid w:val="0013051E"/>
    <w:rPr>
      <w:b/>
      <w:bCs/>
    </w:rPr>
  </w:style>
  <w:style w:type="character" w:styleId="CommentSubjectChar" w:customStyle="1">
    <w:name w:val="Comment Subject Char"/>
    <w:basedOn w:val="CommentTextChar"/>
    <w:link w:val="CommentSubject"/>
    <w:uiPriority w:val="99"/>
    <w:semiHidden/>
    <w:rsid w:val="0013051E"/>
    <w:rPr>
      <w:rFonts w:ascii="Arial" w:hAnsi="Arial"/>
      <w:b/>
      <w:bCs/>
      <w:spacing w:val="3"/>
      <w:sz w:val="20"/>
      <w:szCs w:val="20"/>
    </w:rPr>
  </w:style>
  <w:style w:type="paragraph" w:styleId="BalloonText">
    <w:name w:val="Balloon Text"/>
    <w:basedOn w:val="Normal"/>
    <w:link w:val="BalloonTextChar"/>
    <w:uiPriority w:val="99"/>
    <w:semiHidden/>
    <w:unhideWhenUsed/>
    <w:rsid w:val="0013051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051E"/>
    <w:rPr>
      <w:rFonts w:ascii="Segoe UI" w:hAnsi="Segoe UI" w:cs="Segoe UI"/>
      <w:spacing w:val="3"/>
      <w:sz w:val="18"/>
      <w:szCs w:val="18"/>
    </w:rPr>
  </w:style>
  <w:style w:type="paragraph" w:styleId="FootnoteText">
    <w:name w:val="footnote text"/>
    <w:basedOn w:val="Normal"/>
    <w:link w:val="FootnoteTextChar"/>
    <w:rsid w:val="004C6425"/>
    <w:pPr>
      <w:spacing w:line="240" w:lineRule="auto"/>
      <w:jc w:val="both"/>
    </w:pPr>
    <w:rPr>
      <w:rFonts w:eastAsia="Calibri" w:cs="Times New Roman"/>
      <w:sz w:val="16"/>
      <w:szCs w:val="20"/>
      <w:lang w:eastAsia="en-US"/>
    </w:rPr>
  </w:style>
  <w:style w:type="character" w:styleId="FootnoteTextChar" w:customStyle="1">
    <w:name w:val="Footnote Text Char"/>
    <w:basedOn w:val="DefaultParagraphFont"/>
    <w:link w:val="FootnoteText"/>
    <w:rsid w:val="004C6425"/>
    <w:rPr>
      <w:rFonts w:ascii="Arial" w:hAnsi="Arial" w:eastAsia="Calibri" w:cs="Times New Roman"/>
      <w:spacing w:val="3"/>
      <w:sz w:val="16"/>
      <w:szCs w:val="20"/>
      <w:lang w:eastAsia="en-US"/>
    </w:rPr>
  </w:style>
  <w:style w:type="character" w:styleId="FootnoteReference">
    <w:name w:val="footnote reference"/>
    <w:basedOn w:val="DefaultParagraphFont"/>
    <w:rsid w:val="00644C5A"/>
    <w:rPr>
      <w:vertAlign w:val="superscript"/>
      <w:lang w:val="en-GB"/>
    </w:rPr>
  </w:style>
  <w:style w:type="character" w:styleId="UnresolvedMention2" w:customStyle="1">
    <w:name w:val="Unresolved Mention2"/>
    <w:basedOn w:val="DefaultParagraphFont"/>
    <w:uiPriority w:val="99"/>
    <w:semiHidden/>
    <w:unhideWhenUsed/>
    <w:rsid w:val="0019509C"/>
    <w:rPr>
      <w:color w:val="605E5C"/>
      <w:shd w:val="clear" w:color="auto" w:fill="E1DFDD"/>
    </w:rPr>
  </w:style>
  <w:style w:type="paragraph" w:styleId="Revision">
    <w:name w:val="Revision"/>
    <w:hidden/>
    <w:uiPriority w:val="99"/>
    <w:semiHidden/>
    <w:rsid w:val="004909F7"/>
    <w:pPr>
      <w:spacing w:after="0" w:line="240" w:lineRule="auto"/>
    </w:pPr>
    <w:rPr>
      <w:rFonts w:ascii="Arial" w:hAnsi="Arial"/>
      <w:spacing w:val="3"/>
      <w:sz w:val="19"/>
    </w:rPr>
  </w:style>
  <w:style w:type="paragraph" w:styleId="Default" w:customStyle="1">
    <w:name w:val="Default"/>
    <w:rsid w:val="00F741E1"/>
    <w:pPr>
      <w:autoSpaceDE w:val="0"/>
      <w:autoSpaceDN w:val="0"/>
      <w:adjustRightInd w:val="0"/>
      <w:spacing w:after="0" w:line="240" w:lineRule="auto"/>
    </w:pPr>
    <w:rPr>
      <w:rFonts w:ascii="Arial" w:hAnsi="Arial" w:cs="Arial"/>
      <w:color w:val="000000"/>
      <w:sz w:val="24"/>
      <w:szCs w:val="24"/>
    </w:rPr>
  </w:style>
  <w:style w:type="paragraph" w:styleId="BrauwB3" w:customStyle="1">
    <w:name w:val="Brauw B3"/>
    <w:basedOn w:val="Normal"/>
    <w:next w:val="Normal"/>
    <w:qFormat/>
    <w:rsid w:val="00D32D6A"/>
    <w:pPr>
      <w:numPr>
        <w:ilvl w:val="2"/>
        <w:numId w:val="17"/>
      </w:numPr>
      <w:spacing w:after="240" w:line="312" w:lineRule="auto"/>
      <w:jc w:val="both"/>
    </w:pPr>
    <w:rPr>
      <w:rFonts w:eastAsia="Calibri" w:cs="Times New Roman"/>
      <w:lang w:eastAsia="en-US"/>
    </w:rPr>
  </w:style>
  <w:style w:type="paragraph" w:styleId="BrauwB2" w:customStyle="1">
    <w:name w:val="Brauw B2"/>
    <w:basedOn w:val="Normal"/>
    <w:next w:val="Normal"/>
    <w:link w:val="BrauwB2Char"/>
    <w:qFormat/>
    <w:rsid w:val="00D32D6A"/>
    <w:pPr>
      <w:numPr>
        <w:ilvl w:val="1"/>
        <w:numId w:val="17"/>
      </w:numPr>
      <w:spacing w:after="240" w:line="312" w:lineRule="auto"/>
      <w:jc w:val="both"/>
    </w:pPr>
    <w:rPr>
      <w:rFonts w:eastAsia="Calibri" w:cs="Times New Roman"/>
      <w:lang w:eastAsia="en-US"/>
    </w:rPr>
  </w:style>
  <w:style w:type="paragraph" w:styleId="BrauwB1" w:customStyle="1">
    <w:name w:val="Brauw B1"/>
    <w:basedOn w:val="Normal"/>
    <w:next w:val="Normal"/>
    <w:qFormat/>
    <w:rsid w:val="00D32D6A"/>
    <w:pPr>
      <w:keepNext/>
      <w:numPr>
        <w:numId w:val="17"/>
      </w:numPr>
      <w:spacing w:after="240" w:line="312" w:lineRule="auto"/>
      <w:jc w:val="both"/>
    </w:pPr>
    <w:rPr>
      <w:rFonts w:eastAsia="Calibri" w:cs="Times New Roman"/>
      <w:b/>
      <w:lang w:eastAsia="en-US"/>
    </w:rPr>
  </w:style>
  <w:style w:type="character" w:styleId="BrauwB2Char" w:customStyle="1">
    <w:name w:val="Brauw B2 Char"/>
    <w:basedOn w:val="DefaultParagraphFont"/>
    <w:link w:val="BrauwB2"/>
    <w:rsid w:val="00B946B4"/>
    <w:rPr>
      <w:rFonts w:ascii="Arial" w:hAnsi="Arial" w:eastAsia="Calibri" w:cs="Times New Roman"/>
      <w:spacing w:val="3"/>
      <w:sz w:val="19"/>
      <w:lang w:eastAsia="en-US"/>
    </w:rPr>
  </w:style>
  <w:style w:type="character" w:styleId="UnresolvedMention3" w:customStyle="1">
    <w:name w:val="Unresolved Mention3"/>
    <w:basedOn w:val="DefaultParagraphFont"/>
    <w:uiPriority w:val="99"/>
    <w:semiHidden/>
    <w:unhideWhenUsed/>
    <w:rsid w:val="00FC737D"/>
    <w:rPr>
      <w:color w:val="605E5C"/>
      <w:shd w:val="clear" w:color="auto" w:fill="E1DFDD"/>
    </w:rPr>
  </w:style>
  <w:style w:type="paragraph" w:styleId="NNIntro" w:customStyle="1">
    <w:name w:val="NN Intro"/>
    <w:basedOn w:val="Normal"/>
    <w:uiPriority w:val="4"/>
    <w:qFormat/>
    <w:rsid w:val="00A14997"/>
    <w:pPr>
      <w:spacing w:before="320" w:after="660" w:line="300" w:lineRule="atLeast"/>
      <w:contextualSpacing/>
    </w:pPr>
    <w:rPr>
      <w:rFonts w:asciiTheme="minorHAnsi" w:hAnsiTheme="minorHAnsi" w:eastAsiaTheme="minorHAnsi"/>
      <w:spacing w:val="0"/>
      <w:sz w:val="24"/>
      <w:szCs w:val="24"/>
      <w:lang w:val="en-GB" w:eastAsia="en-US"/>
    </w:rPr>
  </w:style>
  <w:style w:type="paragraph" w:styleId="AODocTxt" w:customStyle="1">
    <w:name w:val="AODocTxt"/>
    <w:basedOn w:val="Normal"/>
    <w:link w:val="AODocTxtChar"/>
    <w:qFormat/>
    <w:rsid w:val="00B25D90"/>
    <w:pPr>
      <w:spacing w:before="240" w:line="260" w:lineRule="atLeast"/>
      <w:jc w:val="both"/>
    </w:pPr>
    <w:rPr>
      <w:rFonts w:ascii="Times New Roman" w:hAnsi="Times New Roman" w:cs="Times New Roman" w:eastAsiaTheme="minorHAnsi"/>
      <w:spacing w:val="0"/>
      <w:sz w:val="22"/>
      <w:lang w:val="en-GB" w:eastAsia="en-US"/>
    </w:rPr>
  </w:style>
  <w:style w:type="character" w:styleId="AODocTxtChar" w:customStyle="1">
    <w:name w:val="AODocTxt Char"/>
    <w:basedOn w:val="DefaultParagraphFont"/>
    <w:link w:val="AODocTxt"/>
    <w:rsid w:val="00B25D90"/>
    <w:rPr>
      <w:rFonts w:ascii="Times New Roman" w:hAnsi="Times New Roman" w:cs="Times New Roman" w:eastAsiaTheme="minorHAnsi"/>
      <w:lang w:val="en-GB" w:eastAsia="en-US"/>
    </w:rPr>
  </w:style>
  <w:style w:type="paragraph" w:styleId="DmFooter" w:customStyle="1">
    <w:name w:val="DmFooter"/>
    <w:basedOn w:val="Normal"/>
    <w:link w:val="DmFooterChar"/>
    <w:rsid w:val="00A678DD"/>
    <w:pPr>
      <w:jc w:val="right"/>
    </w:pPr>
    <w:rPr>
      <w:rFonts w:cs="Arial"/>
      <w:sz w:val="11"/>
      <w:szCs w:val="19"/>
      <w:lang w:val="en-GB"/>
    </w:rPr>
  </w:style>
  <w:style w:type="character" w:styleId="DmFooterChar" w:customStyle="1">
    <w:name w:val="DmFooter Char"/>
    <w:basedOn w:val="DefaultParagraphFont"/>
    <w:link w:val="DmFooter"/>
    <w:rsid w:val="00A678DD"/>
    <w:rPr>
      <w:rFonts w:ascii="Arial" w:hAnsi="Arial" w:cs="Arial"/>
      <w:spacing w:val="3"/>
      <w:sz w:val="11"/>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25499">
      <w:bodyDiv w:val="1"/>
      <w:marLeft w:val="0"/>
      <w:marRight w:val="0"/>
      <w:marTop w:val="0"/>
      <w:marBottom w:val="0"/>
      <w:divBdr>
        <w:top w:val="none" w:sz="0" w:space="0" w:color="auto"/>
        <w:left w:val="none" w:sz="0" w:space="0" w:color="auto"/>
        <w:bottom w:val="none" w:sz="0" w:space="0" w:color="auto"/>
        <w:right w:val="none" w:sz="0" w:space="0" w:color="auto"/>
      </w:divBdr>
    </w:div>
    <w:div w:id="314649711">
      <w:bodyDiv w:val="1"/>
      <w:marLeft w:val="0"/>
      <w:marRight w:val="0"/>
      <w:marTop w:val="0"/>
      <w:marBottom w:val="0"/>
      <w:divBdr>
        <w:top w:val="none" w:sz="0" w:space="0" w:color="auto"/>
        <w:left w:val="none" w:sz="0" w:space="0" w:color="auto"/>
        <w:bottom w:val="none" w:sz="0" w:space="0" w:color="auto"/>
        <w:right w:val="none" w:sz="0" w:space="0" w:color="auto"/>
      </w:divBdr>
    </w:div>
    <w:div w:id="420417549">
      <w:bodyDiv w:val="1"/>
      <w:marLeft w:val="0"/>
      <w:marRight w:val="0"/>
      <w:marTop w:val="0"/>
      <w:marBottom w:val="0"/>
      <w:divBdr>
        <w:top w:val="none" w:sz="0" w:space="0" w:color="auto"/>
        <w:left w:val="none" w:sz="0" w:space="0" w:color="auto"/>
        <w:bottom w:val="none" w:sz="0" w:space="0" w:color="auto"/>
        <w:right w:val="none" w:sz="0" w:space="0" w:color="auto"/>
      </w:divBdr>
    </w:div>
    <w:div w:id="424425629">
      <w:bodyDiv w:val="1"/>
      <w:marLeft w:val="0"/>
      <w:marRight w:val="0"/>
      <w:marTop w:val="0"/>
      <w:marBottom w:val="0"/>
      <w:divBdr>
        <w:top w:val="none" w:sz="0" w:space="0" w:color="auto"/>
        <w:left w:val="none" w:sz="0" w:space="0" w:color="auto"/>
        <w:bottom w:val="none" w:sz="0" w:space="0" w:color="auto"/>
        <w:right w:val="none" w:sz="0" w:space="0" w:color="auto"/>
      </w:divBdr>
      <w:divsChild>
        <w:div w:id="17509272">
          <w:marLeft w:val="0"/>
          <w:marRight w:val="0"/>
          <w:marTop w:val="1080"/>
          <w:marBottom w:val="0"/>
          <w:divBdr>
            <w:top w:val="none" w:sz="0" w:space="0" w:color="auto"/>
            <w:left w:val="none" w:sz="0" w:space="0" w:color="auto"/>
            <w:bottom w:val="none" w:sz="0" w:space="0" w:color="auto"/>
            <w:right w:val="none" w:sz="0" w:space="0" w:color="auto"/>
          </w:divBdr>
        </w:div>
        <w:div w:id="74935454">
          <w:marLeft w:val="0"/>
          <w:marRight w:val="0"/>
          <w:marTop w:val="1080"/>
          <w:marBottom w:val="0"/>
          <w:divBdr>
            <w:top w:val="none" w:sz="0" w:space="0" w:color="auto"/>
            <w:left w:val="none" w:sz="0" w:space="0" w:color="auto"/>
            <w:bottom w:val="none" w:sz="0" w:space="0" w:color="auto"/>
            <w:right w:val="none" w:sz="0" w:space="0" w:color="auto"/>
          </w:divBdr>
        </w:div>
      </w:divsChild>
    </w:div>
    <w:div w:id="541749809">
      <w:bodyDiv w:val="1"/>
      <w:marLeft w:val="0"/>
      <w:marRight w:val="0"/>
      <w:marTop w:val="0"/>
      <w:marBottom w:val="0"/>
      <w:divBdr>
        <w:top w:val="none" w:sz="0" w:space="0" w:color="auto"/>
        <w:left w:val="none" w:sz="0" w:space="0" w:color="auto"/>
        <w:bottom w:val="none" w:sz="0" w:space="0" w:color="auto"/>
        <w:right w:val="none" w:sz="0" w:space="0" w:color="auto"/>
      </w:divBdr>
    </w:div>
    <w:div w:id="866216579">
      <w:bodyDiv w:val="1"/>
      <w:marLeft w:val="0"/>
      <w:marRight w:val="0"/>
      <w:marTop w:val="0"/>
      <w:marBottom w:val="0"/>
      <w:divBdr>
        <w:top w:val="none" w:sz="0" w:space="0" w:color="auto"/>
        <w:left w:val="none" w:sz="0" w:space="0" w:color="auto"/>
        <w:bottom w:val="none" w:sz="0" w:space="0" w:color="auto"/>
        <w:right w:val="none" w:sz="0" w:space="0" w:color="auto"/>
      </w:divBdr>
    </w:div>
    <w:div w:id="1040544798">
      <w:bodyDiv w:val="1"/>
      <w:marLeft w:val="0"/>
      <w:marRight w:val="0"/>
      <w:marTop w:val="0"/>
      <w:marBottom w:val="0"/>
      <w:divBdr>
        <w:top w:val="none" w:sz="0" w:space="0" w:color="auto"/>
        <w:left w:val="none" w:sz="0" w:space="0" w:color="auto"/>
        <w:bottom w:val="none" w:sz="0" w:space="0" w:color="auto"/>
        <w:right w:val="none" w:sz="0" w:space="0" w:color="auto"/>
      </w:divBdr>
    </w:div>
    <w:div w:id="1354499086">
      <w:bodyDiv w:val="1"/>
      <w:marLeft w:val="0"/>
      <w:marRight w:val="0"/>
      <w:marTop w:val="0"/>
      <w:marBottom w:val="0"/>
      <w:divBdr>
        <w:top w:val="none" w:sz="0" w:space="0" w:color="auto"/>
        <w:left w:val="none" w:sz="0" w:space="0" w:color="auto"/>
        <w:bottom w:val="none" w:sz="0" w:space="0" w:color="auto"/>
        <w:right w:val="none" w:sz="0" w:space="0" w:color="auto"/>
      </w:divBdr>
    </w:div>
    <w:div w:id="1509714676">
      <w:bodyDiv w:val="1"/>
      <w:marLeft w:val="0"/>
      <w:marRight w:val="0"/>
      <w:marTop w:val="0"/>
      <w:marBottom w:val="0"/>
      <w:divBdr>
        <w:top w:val="none" w:sz="0" w:space="0" w:color="auto"/>
        <w:left w:val="none" w:sz="0" w:space="0" w:color="auto"/>
        <w:bottom w:val="none" w:sz="0" w:space="0" w:color="auto"/>
        <w:right w:val="none" w:sz="0" w:space="0" w:color="auto"/>
      </w:divBdr>
      <w:divsChild>
        <w:div w:id="483352632">
          <w:marLeft w:val="562"/>
          <w:marRight w:val="0"/>
          <w:marTop w:val="0"/>
          <w:marBottom w:val="120"/>
          <w:divBdr>
            <w:top w:val="none" w:sz="0" w:space="0" w:color="auto"/>
            <w:left w:val="none" w:sz="0" w:space="0" w:color="auto"/>
            <w:bottom w:val="none" w:sz="0" w:space="0" w:color="auto"/>
            <w:right w:val="none" w:sz="0" w:space="0" w:color="auto"/>
          </w:divBdr>
        </w:div>
      </w:divsChild>
    </w:div>
    <w:div w:id="1712028602">
      <w:bodyDiv w:val="1"/>
      <w:marLeft w:val="0"/>
      <w:marRight w:val="0"/>
      <w:marTop w:val="0"/>
      <w:marBottom w:val="0"/>
      <w:divBdr>
        <w:top w:val="none" w:sz="0" w:space="0" w:color="auto"/>
        <w:left w:val="none" w:sz="0" w:space="0" w:color="auto"/>
        <w:bottom w:val="none" w:sz="0" w:space="0" w:color="auto"/>
        <w:right w:val="none" w:sz="0" w:space="0" w:color="auto"/>
      </w:divBdr>
    </w:div>
    <w:div w:id="19854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yselectronics.c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customXml" Target="../customXml/item6.xml"/><Relationship Id="rId7" Type="http://schemas.openxmlformats.org/officeDocument/2006/relationships/hyperlink" Target="http://www.infestos.com"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ayselectronic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festos.com"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infesto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100125092</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BHM040-2-1259</_dlc_DocId>
    <_dlc_DocIdUrl xmlns="81be1571-23cc-4441-bcee-e1dd7fa8d1c6">
      <Url>https://dms1.stelan.nl/instellingen/BHM040/_layouts/15/DocIdRedir.aspx?ID=BHM040-2-1259</Url>
      <Description>BHM040-2-1259</Description>
    </_dlc_DocIdUrl>
    <Scandatum xmlns="936c9f6d-703f-4492-b10b-5967c53212d1">2021-08-31T02:25:11+00:00</Scandatum>
    <Afzender xmlns="936c9f6d-703f-4492-b10b-5967c53212d1">Neways Electronics International N.V.</Afzender>
    <Registratienummer xmlns="936c9f6d-703f-4492-b10b-5967c53212d1">68488</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07E9BFF2-21CC-4B78-9353-AEAC00D1FB8D}"/>
</file>

<file path=customXml/itemProps2.xml><?xml version="1.0" encoding="utf-8"?>
<ds:datastoreItem xmlns:ds="http://schemas.openxmlformats.org/officeDocument/2006/customXml" ds:itemID="{2E3985A5-4F4A-45F2-A05E-2ECB09534180}"/>
</file>

<file path=customXml/itemProps3.xml><?xml version="1.0" encoding="utf-8"?>
<ds:datastoreItem xmlns:ds="http://schemas.openxmlformats.org/officeDocument/2006/customXml" ds:itemID="{FDA64A0B-1481-4F85-B44C-167CF64AEB85}"/>
</file>

<file path=customXml/itemProps4.xml><?xml version="1.0" encoding="utf-8"?>
<ds:datastoreItem xmlns:ds="http://schemas.openxmlformats.org/officeDocument/2006/customXml" ds:itemID="{82944E17-5CF4-44FE-9DB8-6216AFC5478A}"/>
</file>

<file path=customXml/itemProps5.xml><?xml version="1.0" encoding="utf-8"?>
<ds:datastoreItem xmlns:ds="http://schemas.openxmlformats.org/officeDocument/2006/customXml" ds:itemID="{C4698BE3-55A4-48A5-AB15-D934A77CBD4C}"/>
</file>

<file path=customXml/itemProps6.xml><?xml version="1.0" encoding="utf-8"?>
<ds:datastoreItem xmlns:ds="http://schemas.openxmlformats.org/officeDocument/2006/customXml" ds:itemID="{5D66BB20-F7B9-46BE-AA2B-E5A1AAC6195E}"/>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68488_Press release launch offer.docx</dc:title>
  <cp:lastPrinted>1899-12-31T23:00:00Z</cp:lastPrinted>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0x010100AF3C3E63A8E348D0B83574E1B1F453E5003929ED3A8D04456685ACF4C22313EE1B003179F0876C424676AC6F62DFF7F73A17005C4C239F1DBB5046B74F8CE92636D179</vt:lpwstr>
  </property>
  <property fmtid="{D5CDD505-2E9C-101B-9397-08002B2CF9AE}" pid="3" name="MSIP_Label_42e67a54-274b-43d7-8098-b3ba5f50e576_Enabled">
    <vt:lpwstr>True</vt:lpwstr>
  </property>
  <property fmtid="{D5CDD505-2E9C-101B-9397-08002B2CF9AE}" pid="4" name="MSIP_Label_42e67a54-274b-43d7-8098-b3ba5f50e576_SiteId">
    <vt:lpwstr>7f0b44d2-04f8-4672-bf5d-4676796468a3</vt:lpwstr>
  </property>
  <property fmtid="{D5CDD505-2E9C-101B-9397-08002B2CF9AE}" pid="5" name="MSIP_Label_42e67a54-274b-43d7-8098-b3ba5f50e576_Owner">
    <vt:lpwstr>Stephanie.Horowitz@allenovery.com</vt:lpwstr>
  </property>
  <property fmtid="{D5CDD505-2E9C-101B-9397-08002B2CF9AE}" pid="6" name="MSIP_Label_42e67a54-274b-43d7-8098-b3ba5f50e576_SetDate">
    <vt:lpwstr>2021-03-04T09:24:31.8006965Z</vt:lpwstr>
  </property>
  <property fmtid="{D5CDD505-2E9C-101B-9397-08002B2CF9AE}" pid="7" name="MSIP_Label_42e67a54-274b-43d7-8098-b3ba5f50e576_Name">
    <vt:lpwstr>Restricted</vt:lpwstr>
  </property>
  <property fmtid="{D5CDD505-2E9C-101B-9397-08002B2CF9AE}" pid="8" name="MSIP_Label_42e67a54-274b-43d7-8098-b3ba5f50e576_Application">
    <vt:lpwstr>Microsoft Azure Information Protection</vt:lpwstr>
  </property>
  <property fmtid="{D5CDD505-2E9C-101B-9397-08002B2CF9AE}" pid="9" name="MSIP_Label_42e67a54-274b-43d7-8098-b3ba5f50e576_ActionId">
    <vt:lpwstr>12ed6736-db4d-48df-b6e4-9bc6bfe58100</vt:lpwstr>
  </property>
  <property fmtid="{D5CDD505-2E9C-101B-9397-08002B2CF9AE}" pid="10" name="MSIP_Label_42e67a54-274b-43d7-8098-b3ba5f50e576_Extended_MSFT_Method">
    <vt:lpwstr>Automatic</vt:lpwstr>
  </property>
  <property fmtid="{D5CDD505-2E9C-101B-9397-08002B2CF9AE}" pid="11" name="WorksiteMatterNumber">
    <vt:lpwstr>20725540</vt:lpwstr>
  </property>
  <property fmtid="{D5CDD505-2E9C-101B-9397-08002B2CF9AE}" pid="15" name="Client">
    <vt:lpwstr>0119480</vt:lpwstr>
  </property>
  <property fmtid="{D5CDD505-2E9C-101B-9397-08002B2CF9AE}" pid="16" name="Matter">
    <vt:lpwstr>0000002</vt:lpwstr>
  </property>
  <property fmtid="{D5CDD505-2E9C-101B-9397-08002B2CF9AE}" pid="17" name="cpDocRef">
    <vt:lpwstr>EUO3: 2005317185.12</vt:lpwstr>
  </property>
  <property fmtid="{D5CDD505-2E9C-101B-9397-08002B2CF9AE}" pid="18" name="cpClientMatter">
    <vt:lpwstr>0119480-0000002</vt:lpwstr>
  </property>
  <property fmtid="{D5CDD505-2E9C-101B-9397-08002B2CF9AE}" pid="19" name="cpCombinedRef">
    <vt:lpwstr>0119480-0000002 EUO3: 2005317185.12</vt:lpwstr>
  </property>
  <property fmtid="{D5CDD505-2E9C-101B-9397-08002B2CF9AE}" pid="20" name="VertrouwelijkheidTaxHTField0">
    <vt:lpwstr>B - AFM intern|7b7ff21d-0bb8-4cab-b8de-f0e80c0220e6</vt:lpwstr>
  </property>
  <property fmtid="{D5CDD505-2E9C-101B-9397-08002B2CF9AE}" pid="21" name="TaxKeyword">
    <vt:lpwstr/>
  </property>
  <property fmtid="{D5CDD505-2E9C-101B-9397-08002B2CF9AE}" pid="22" name="Kanaal">
    <vt:lpwstr>13;#Loket|2d658804-9364-49db-8388-b19b0f75bc5e</vt:lpwstr>
  </property>
  <property fmtid="{D5CDD505-2E9C-101B-9397-08002B2CF9AE}" pid="23" name="Toezichtstaak">
    <vt:lpwstr/>
  </property>
  <property fmtid="{D5CDD505-2E9C-101B-9397-08002B2CF9AE}" pid="24" name="Documenttype">
    <vt:lpwstr/>
  </property>
  <property fmtid="{D5CDD505-2E9C-101B-9397-08002B2CF9AE}" pid="25" name="Organisatieonderdeel">
    <vt:lpwstr>12;#DIV|60ad375a-4acb-46c1-99e9-7f617816c991</vt:lpwstr>
  </property>
  <property fmtid="{D5CDD505-2E9C-101B-9397-08002B2CF9AE}" pid="26" name="Proces">
    <vt:lpwstr/>
  </property>
  <property fmtid="{D5CDD505-2E9C-101B-9397-08002B2CF9AE}" pid="27" name="Vertrouwelijkheid">
    <vt:lpwstr>1;#B - AFM intern|7b7ff21d-0bb8-4cab-b8de-f0e80c0220e6</vt:lpwstr>
  </property>
  <property fmtid="{D5CDD505-2E9C-101B-9397-08002B2CF9AE}" pid="28" name="_dlc_DocIdItemGuid">
    <vt:lpwstr>f3f40a26-1535-44ad-936b-f95f42e64cbc</vt:lpwstr>
  </property>
</Properties>
</file>