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15" w:rsidRPr="00354E15" w:rsidRDefault="00134A33" w:rsidP="00134A33">
      <w:pPr>
        <w:pStyle w:val="Normal1"/>
        <w:jc w:val="both"/>
        <w:rPr>
          <w:i/>
          <w:sz w:val="16"/>
          <w:szCs w:val="16"/>
        </w:rPr>
      </w:pPr>
      <w:bookmarkStart w:id="0" w:name="_GoBack"/>
      <w:bookmarkEnd w:id="0"/>
      <w:r w:rsidRPr="00134A33">
        <w:rPr>
          <w:i/>
          <w:sz w:val="16"/>
          <w:szCs w:val="16"/>
        </w:rPr>
        <w:t>This is a public announcement by Pon Holdings B.V. ("Pon Holdings") pursuant to Section 5</w:t>
      </w:r>
      <w:r w:rsidR="006B45B1">
        <w:rPr>
          <w:i/>
          <w:sz w:val="16"/>
          <w:szCs w:val="16"/>
        </w:rPr>
        <w:t xml:space="preserve"> </w:t>
      </w:r>
      <w:r w:rsidRPr="00134A33">
        <w:rPr>
          <w:i/>
          <w:sz w:val="16"/>
          <w:szCs w:val="16"/>
        </w:rPr>
        <w:t xml:space="preserve">paragraph </w:t>
      </w:r>
      <w:r w:rsidR="00142500">
        <w:rPr>
          <w:i/>
          <w:sz w:val="16"/>
          <w:szCs w:val="16"/>
        </w:rPr>
        <w:t>4</w:t>
      </w:r>
      <w:r w:rsidRPr="00134A33">
        <w:rPr>
          <w:i/>
          <w:sz w:val="16"/>
          <w:szCs w:val="16"/>
        </w:rPr>
        <w:t>, of the Dutch Decree on Public Takeover Bids</w:t>
      </w:r>
      <w:r w:rsidR="006B45B1">
        <w:rPr>
          <w:i/>
          <w:sz w:val="16"/>
          <w:szCs w:val="16"/>
        </w:rPr>
        <w:t xml:space="preserve"> </w:t>
      </w:r>
      <w:r w:rsidRPr="00134A33">
        <w:rPr>
          <w:i/>
          <w:sz w:val="16"/>
          <w:szCs w:val="16"/>
        </w:rPr>
        <w:t>(</w:t>
      </w:r>
      <w:proofErr w:type="spellStart"/>
      <w:r w:rsidRPr="00134A33">
        <w:rPr>
          <w:i/>
          <w:sz w:val="16"/>
          <w:szCs w:val="16"/>
        </w:rPr>
        <w:t>Besluit</w:t>
      </w:r>
      <w:proofErr w:type="spellEnd"/>
      <w:r w:rsidRPr="00134A33">
        <w:rPr>
          <w:i/>
          <w:sz w:val="16"/>
          <w:szCs w:val="16"/>
        </w:rPr>
        <w:t xml:space="preserve"> </w:t>
      </w:r>
      <w:proofErr w:type="spellStart"/>
      <w:r w:rsidRPr="00134A33">
        <w:rPr>
          <w:i/>
          <w:sz w:val="16"/>
          <w:szCs w:val="16"/>
        </w:rPr>
        <w:t>openbare</w:t>
      </w:r>
      <w:proofErr w:type="spellEnd"/>
      <w:r w:rsidRPr="00134A33">
        <w:rPr>
          <w:i/>
          <w:sz w:val="16"/>
          <w:szCs w:val="16"/>
        </w:rPr>
        <w:t xml:space="preserve"> </w:t>
      </w:r>
      <w:proofErr w:type="spellStart"/>
      <w:r w:rsidRPr="00134A33">
        <w:rPr>
          <w:i/>
          <w:sz w:val="16"/>
          <w:szCs w:val="16"/>
        </w:rPr>
        <w:t>biedingen</w:t>
      </w:r>
      <w:proofErr w:type="spellEnd"/>
      <w:r w:rsidRPr="00134A33">
        <w:rPr>
          <w:i/>
          <w:sz w:val="16"/>
          <w:szCs w:val="16"/>
        </w:rPr>
        <w:t xml:space="preserve"> </w:t>
      </w:r>
      <w:proofErr w:type="spellStart"/>
      <w:r w:rsidRPr="00134A33">
        <w:rPr>
          <w:i/>
          <w:sz w:val="16"/>
          <w:szCs w:val="16"/>
        </w:rPr>
        <w:t>Wft</w:t>
      </w:r>
      <w:proofErr w:type="spellEnd"/>
      <w:r w:rsidRPr="00134A33">
        <w:rPr>
          <w:i/>
          <w:sz w:val="16"/>
          <w:szCs w:val="16"/>
        </w:rPr>
        <w:t>). This announcement and related information do not constitute a public offer</w:t>
      </w:r>
      <w:r w:rsidR="006B45B1">
        <w:rPr>
          <w:i/>
          <w:sz w:val="16"/>
          <w:szCs w:val="16"/>
        </w:rPr>
        <w:t xml:space="preserve"> </w:t>
      </w:r>
      <w:r w:rsidRPr="00134A33">
        <w:rPr>
          <w:i/>
          <w:sz w:val="16"/>
          <w:szCs w:val="16"/>
        </w:rPr>
        <w:t>to sell or the solicitation of an offer to buy, acquire or subscribe for any securities. Any offer will be made only</w:t>
      </w:r>
      <w:r w:rsidR="006B45B1">
        <w:rPr>
          <w:i/>
          <w:sz w:val="16"/>
          <w:szCs w:val="16"/>
        </w:rPr>
        <w:t xml:space="preserve"> </w:t>
      </w:r>
      <w:r w:rsidRPr="00134A33">
        <w:rPr>
          <w:i/>
          <w:sz w:val="16"/>
          <w:szCs w:val="16"/>
        </w:rPr>
        <w:t>by means of an offer memorandum, subject to the conditions and terms as may be included in such offer</w:t>
      </w:r>
      <w:r w:rsidR="006B45B1">
        <w:rPr>
          <w:i/>
          <w:sz w:val="16"/>
          <w:szCs w:val="16"/>
        </w:rPr>
        <w:t xml:space="preserve"> </w:t>
      </w:r>
      <w:r w:rsidRPr="00134A33">
        <w:rPr>
          <w:i/>
          <w:sz w:val="16"/>
          <w:szCs w:val="16"/>
        </w:rPr>
        <w:t>memorandum.</w:t>
      </w:r>
    </w:p>
    <w:p w:rsidR="00354E15" w:rsidRDefault="00354E15" w:rsidP="00354E15">
      <w:pPr>
        <w:pStyle w:val="Normal1"/>
        <w:jc w:val="both"/>
        <w:rPr>
          <w:i/>
          <w:sz w:val="16"/>
          <w:szCs w:val="16"/>
        </w:rPr>
      </w:pPr>
    </w:p>
    <w:p w:rsidR="004070AD" w:rsidRDefault="004070AD" w:rsidP="00FD688A">
      <w:pPr>
        <w:pStyle w:val="Normal1"/>
        <w:jc w:val="both"/>
        <w:rPr>
          <w:i/>
          <w:sz w:val="16"/>
          <w:szCs w:val="16"/>
        </w:rPr>
      </w:pPr>
    </w:p>
    <w:p w:rsidR="006962AA" w:rsidRDefault="00796096" w:rsidP="007610D5">
      <w:pPr>
        <w:pStyle w:val="Normal1"/>
        <w:rPr>
          <w:b/>
          <w:sz w:val="28"/>
          <w:szCs w:val="24"/>
        </w:rPr>
      </w:pPr>
      <w:r>
        <w:rPr>
          <w:b/>
          <w:sz w:val="28"/>
          <w:szCs w:val="24"/>
        </w:rPr>
        <w:t>Pon Holdings</w:t>
      </w:r>
      <w:r w:rsidRPr="00796096">
        <w:rPr>
          <w:b/>
          <w:sz w:val="28"/>
          <w:szCs w:val="24"/>
        </w:rPr>
        <w:t xml:space="preserve"> </w:t>
      </w:r>
      <w:r w:rsidR="00C263F0">
        <w:rPr>
          <w:b/>
          <w:sz w:val="28"/>
          <w:szCs w:val="24"/>
        </w:rPr>
        <w:t xml:space="preserve">increases stake in </w:t>
      </w:r>
      <w:r w:rsidR="004A6ABA">
        <w:rPr>
          <w:b/>
          <w:sz w:val="28"/>
          <w:szCs w:val="24"/>
        </w:rPr>
        <w:t>Accell Group</w:t>
      </w:r>
      <w:r w:rsidR="005F416D">
        <w:rPr>
          <w:b/>
          <w:sz w:val="28"/>
          <w:szCs w:val="24"/>
        </w:rPr>
        <w:t xml:space="preserve"> N.V.</w:t>
      </w:r>
      <w:r w:rsidR="00C263F0">
        <w:rPr>
          <w:b/>
          <w:sz w:val="28"/>
          <w:szCs w:val="24"/>
        </w:rPr>
        <w:t xml:space="preserve"> </w:t>
      </w:r>
    </w:p>
    <w:p w:rsidR="00796096" w:rsidRPr="007610D5" w:rsidRDefault="00796096" w:rsidP="007610D5">
      <w:pPr>
        <w:pStyle w:val="Normal1"/>
      </w:pPr>
    </w:p>
    <w:p w:rsidR="00593091" w:rsidRPr="00593091" w:rsidRDefault="00593091" w:rsidP="00593091">
      <w:pPr>
        <w:spacing w:line="240" w:lineRule="auto"/>
        <w:rPr>
          <w:rFonts w:ascii="Times New Roman" w:eastAsia="Times New Roman" w:hAnsi="Times New Roman" w:cs="Times New Roman"/>
          <w:color w:val="auto"/>
          <w:sz w:val="24"/>
          <w:szCs w:val="24"/>
          <w:lang w:eastAsia="nl-NL"/>
        </w:rPr>
      </w:pPr>
      <w:r w:rsidRPr="00593091">
        <w:rPr>
          <w:rFonts w:eastAsia="Times New Roman"/>
          <w:b/>
          <w:bCs/>
          <w:shd w:val="clear" w:color="auto" w:fill="FFFFFF"/>
          <w:lang w:eastAsia="nl-NL"/>
        </w:rPr>
        <w:t xml:space="preserve">Almere, The Netherlands, </w:t>
      </w:r>
      <w:r w:rsidR="00CD683E">
        <w:rPr>
          <w:rFonts w:eastAsia="Times New Roman"/>
          <w:b/>
          <w:bCs/>
          <w:shd w:val="clear" w:color="auto" w:fill="FFFFFF"/>
          <w:lang w:eastAsia="nl-NL"/>
        </w:rPr>
        <w:t>19</w:t>
      </w:r>
      <w:r w:rsidR="0012229C">
        <w:rPr>
          <w:rFonts w:eastAsia="Times New Roman"/>
          <w:b/>
          <w:bCs/>
          <w:shd w:val="clear" w:color="auto" w:fill="FFFFFF"/>
          <w:lang w:eastAsia="nl-NL"/>
        </w:rPr>
        <w:t xml:space="preserve"> </w:t>
      </w:r>
      <w:r w:rsidRPr="0012229C">
        <w:rPr>
          <w:rFonts w:eastAsia="Times New Roman"/>
          <w:b/>
          <w:bCs/>
          <w:shd w:val="clear" w:color="auto" w:fill="FFFFFF"/>
          <w:lang w:eastAsia="nl-NL"/>
        </w:rPr>
        <w:t>November</w:t>
      </w:r>
      <w:r w:rsidRPr="00593091">
        <w:rPr>
          <w:rFonts w:eastAsia="Times New Roman"/>
          <w:b/>
          <w:bCs/>
          <w:shd w:val="clear" w:color="auto" w:fill="FFFFFF"/>
          <w:lang w:eastAsia="nl-NL"/>
        </w:rPr>
        <w:t xml:space="preserve"> 2018 – Pon Holdings announces that on </w:t>
      </w:r>
      <w:r w:rsidR="00CD683E">
        <w:rPr>
          <w:rFonts w:eastAsia="Times New Roman"/>
          <w:b/>
          <w:bCs/>
          <w:shd w:val="clear" w:color="auto" w:fill="FFFFFF"/>
          <w:lang w:eastAsia="nl-NL"/>
        </w:rPr>
        <w:t>19</w:t>
      </w:r>
      <w:r w:rsidRPr="00593091">
        <w:rPr>
          <w:rFonts w:eastAsia="Times New Roman"/>
          <w:b/>
          <w:bCs/>
          <w:shd w:val="clear" w:color="auto" w:fill="FFFFFF"/>
          <w:lang w:eastAsia="nl-NL"/>
        </w:rPr>
        <w:t xml:space="preserve"> November 2018 it </w:t>
      </w:r>
      <w:r w:rsidR="00834B03">
        <w:rPr>
          <w:rFonts w:eastAsia="Times New Roman"/>
          <w:b/>
          <w:bCs/>
          <w:shd w:val="clear" w:color="auto" w:fill="FFFFFF"/>
          <w:lang w:eastAsia="nl-NL"/>
        </w:rPr>
        <w:t xml:space="preserve">purchased </w:t>
      </w:r>
      <w:r w:rsidR="00CD683E">
        <w:rPr>
          <w:rFonts w:eastAsia="Times New Roman"/>
          <w:b/>
          <w:bCs/>
          <w:shd w:val="clear" w:color="auto" w:fill="FFFFFF"/>
          <w:lang w:eastAsia="nl-NL"/>
        </w:rPr>
        <w:t>45,818</w:t>
      </w:r>
      <w:r w:rsidRPr="00593091">
        <w:rPr>
          <w:rFonts w:eastAsia="Times New Roman"/>
          <w:b/>
          <w:bCs/>
          <w:shd w:val="clear" w:color="auto" w:fill="FFFFFF"/>
          <w:lang w:eastAsia="nl-NL"/>
        </w:rPr>
        <w:t xml:space="preserve"> ordinary shares in Accell Group N.V. (“Accell Group”) and </w:t>
      </w:r>
      <w:r w:rsidR="00834B03">
        <w:rPr>
          <w:rFonts w:eastAsia="Times New Roman"/>
          <w:b/>
          <w:bCs/>
          <w:shd w:val="clear" w:color="auto" w:fill="FFFFFF"/>
          <w:lang w:eastAsia="nl-NL"/>
        </w:rPr>
        <w:t xml:space="preserve">that it has </w:t>
      </w:r>
      <w:r w:rsidRPr="00593091">
        <w:rPr>
          <w:rFonts w:eastAsia="Times New Roman"/>
          <w:b/>
          <w:bCs/>
          <w:shd w:val="clear" w:color="auto" w:fill="FFFFFF"/>
          <w:lang w:eastAsia="nl-NL"/>
        </w:rPr>
        <w:t xml:space="preserve">now </w:t>
      </w:r>
      <w:r w:rsidR="00834B03">
        <w:rPr>
          <w:rFonts w:eastAsia="Times New Roman"/>
          <w:b/>
          <w:bCs/>
          <w:shd w:val="clear" w:color="auto" w:fill="FFFFFF"/>
          <w:lang w:eastAsia="nl-NL"/>
        </w:rPr>
        <w:t>purchased</w:t>
      </w:r>
      <w:r w:rsidR="00834B03" w:rsidRPr="00593091">
        <w:rPr>
          <w:rFonts w:eastAsia="Times New Roman"/>
          <w:b/>
          <w:bCs/>
          <w:shd w:val="clear" w:color="auto" w:fill="FFFFFF"/>
          <w:lang w:eastAsia="nl-NL"/>
        </w:rPr>
        <w:t xml:space="preserve"> </w:t>
      </w:r>
      <w:r w:rsidRPr="00593091">
        <w:rPr>
          <w:rFonts w:eastAsia="Times New Roman"/>
          <w:b/>
          <w:bCs/>
          <w:shd w:val="clear" w:color="auto" w:fill="FFFFFF"/>
          <w:lang w:eastAsia="nl-NL"/>
        </w:rPr>
        <w:t>a total of</w:t>
      </w:r>
      <w:r w:rsidR="0012229C">
        <w:rPr>
          <w:rFonts w:eastAsia="Times New Roman"/>
          <w:b/>
          <w:bCs/>
          <w:shd w:val="clear" w:color="auto" w:fill="FFFFFF"/>
          <w:lang w:eastAsia="nl-NL"/>
        </w:rPr>
        <w:t xml:space="preserve"> </w:t>
      </w:r>
      <w:r w:rsidR="00CD683E">
        <w:rPr>
          <w:rFonts w:eastAsia="Times New Roman"/>
          <w:b/>
          <w:bCs/>
          <w:shd w:val="clear" w:color="auto" w:fill="FFFFFF"/>
          <w:lang w:eastAsia="nl-NL"/>
        </w:rPr>
        <w:t>4,994,648</w:t>
      </w:r>
      <w:r w:rsidRPr="00593091">
        <w:rPr>
          <w:rFonts w:eastAsia="Times New Roman"/>
          <w:b/>
          <w:bCs/>
          <w:shd w:val="clear" w:color="auto" w:fill="FFFFFF"/>
          <w:lang w:eastAsia="nl-NL"/>
        </w:rPr>
        <w:t> ordinary shares in Accell Group</w:t>
      </w:r>
      <w:r w:rsidR="0012229C">
        <w:rPr>
          <w:rFonts w:eastAsia="Times New Roman"/>
          <w:b/>
          <w:bCs/>
          <w:shd w:val="clear" w:color="auto" w:fill="FFFFFF"/>
          <w:lang w:eastAsia="nl-NL"/>
        </w:rPr>
        <w:t xml:space="preserve">, representing </w:t>
      </w:r>
      <w:r w:rsidR="00CD683E">
        <w:rPr>
          <w:rFonts w:eastAsia="Times New Roman"/>
          <w:b/>
          <w:bCs/>
          <w:shd w:val="clear" w:color="auto" w:fill="FFFFFF"/>
          <w:lang w:eastAsia="nl-NL"/>
        </w:rPr>
        <w:t>18.8</w:t>
      </w:r>
      <w:r w:rsidR="0012229C">
        <w:rPr>
          <w:rFonts w:eastAsia="Times New Roman"/>
          <w:b/>
          <w:bCs/>
          <w:shd w:val="clear" w:color="auto" w:fill="FFFFFF"/>
          <w:lang w:eastAsia="nl-NL"/>
        </w:rPr>
        <w:t>%</w:t>
      </w:r>
      <w:r w:rsidR="0012229C" w:rsidRPr="0012229C">
        <w:t xml:space="preserve"> </w:t>
      </w:r>
      <w:r w:rsidR="0012229C" w:rsidRPr="0012229C">
        <w:rPr>
          <w:b/>
        </w:rPr>
        <w:t>of the issued and outstanding share capital</w:t>
      </w:r>
      <w:r w:rsidRPr="0012229C">
        <w:rPr>
          <w:rFonts w:eastAsia="Times New Roman"/>
          <w:b/>
          <w:bCs/>
          <w:shd w:val="clear" w:color="auto" w:fill="FFFFFF"/>
          <w:lang w:eastAsia="nl-NL"/>
        </w:rPr>
        <w:t>.</w:t>
      </w:r>
    </w:p>
    <w:p w:rsidR="004A6ABA" w:rsidRDefault="004A6ABA" w:rsidP="007610D5">
      <w:pPr>
        <w:pStyle w:val="Normal1"/>
        <w:rPr>
          <w:b/>
        </w:rPr>
      </w:pPr>
    </w:p>
    <w:p w:rsidR="004A6ABA" w:rsidRPr="004A6ABA" w:rsidRDefault="004A6ABA" w:rsidP="00883C5D">
      <w:pPr>
        <w:pStyle w:val="Normal1"/>
      </w:pPr>
      <w:r>
        <w:t xml:space="preserve">Reference is made to the press release by Pon Holdings dated </w:t>
      </w:r>
      <w:r w:rsidRPr="00134A33">
        <w:t>1</w:t>
      </w:r>
      <w:r w:rsidR="00134A33" w:rsidRPr="00134A33">
        <w:t>3</w:t>
      </w:r>
      <w:r>
        <w:t xml:space="preserve"> November 2018 regarding the </w:t>
      </w:r>
      <w:r w:rsidR="006155CC">
        <w:t>I</w:t>
      </w:r>
      <w:r w:rsidR="00142500">
        <w:t xml:space="preserve">ntended </w:t>
      </w:r>
      <w:r w:rsidR="006155CC">
        <w:t>P</w:t>
      </w:r>
      <w:r w:rsidR="00883C5D">
        <w:t xml:space="preserve">artial </w:t>
      </w:r>
      <w:r w:rsidR="006155CC">
        <w:t>O</w:t>
      </w:r>
      <w:r w:rsidR="00883C5D">
        <w:t>ffer (the "Intended Partial Offer") in cash for a number of ordinary shares in Accell Group. This number, together with all ordinary shares currently held or otherwise purchased by Pon Holdings or its affiliates outside the Intended Partial Offer, is currently set at 20% of the issued and outstanding ordinary shares of Accell Group, and will be finally determined prior to launch of the Intended Partial Offer. The offer price is €19.00 per share.</w:t>
      </w:r>
    </w:p>
    <w:p w:rsidR="004A6ABA" w:rsidRDefault="004A6ABA" w:rsidP="007610D5">
      <w:pPr>
        <w:pStyle w:val="Normal1"/>
        <w:rPr>
          <w:b/>
        </w:rPr>
      </w:pPr>
    </w:p>
    <w:p w:rsidR="00DB03AB" w:rsidRDefault="004A6ABA" w:rsidP="00DB03AB">
      <w:pPr>
        <w:pStyle w:val="Normal1"/>
      </w:pPr>
      <w:r w:rsidRPr="00DB03AB">
        <w:t xml:space="preserve">Pon Holdings </w:t>
      </w:r>
      <w:r w:rsidR="00DB03AB" w:rsidRPr="00DB03AB">
        <w:t>announces that, on</w:t>
      </w:r>
      <w:r w:rsidR="0012229C">
        <w:t xml:space="preserve"> </w:t>
      </w:r>
      <w:r w:rsidR="00CD683E">
        <w:rPr>
          <w:rFonts w:eastAsia="Times New Roman"/>
          <w:bCs/>
          <w:shd w:val="clear" w:color="auto" w:fill="FFFFFF"/>
          <w:lang w:eastAsia="nl-NL"/>
        </w:rPr>
        <w:t>19</w:t>
      </w:r>
      <w:r w:rsidR="006D78A5" w:rsidRPr="006D78A5">
        <w:rPr>
          <w:rFonts w:eastAsia="Times New Roman"/>
          <w:bCs/>
          <w:shd w:val="clear" w:color="auto" w:fill="FFFFFF"/>
          <w:lang w:eastAsia="nl-NL"/>
        </w:rPr>
        <w:t xml:space="preserve"> </w:t>
      </w:r>
      <w:r w:rsidR="00DB03AB">
        <w:t xml:space="preserve">November 2018, Pon </w:t>
      </w:r>
      <w:r w:rsidR="00DB03AB" w:rsidRPr="007841AB">
        <w:t xml:space="preserve">Holdings and its affiliates or brokers (acting as agents for Pon Holdings or its affiliates, as applicable) </w:t>
      </w:r>
      <w:r w:rsidR="00834B03">
        <w:t xml:space="preserve">purchased </w:t>
      </w:r>
      <w:r w:rsidR="00DB03AB">
        <w:t>a total of</w:t>
      </w:r>
      <w:r w:rsidR="0012229C">
        <w:t xml:space="preserve"> </w:t>
      </w:r>
      <w:r w:rsidR="00CD683E" w:rsidRPr="00CD683E">
        <w:t>45,818</w:t>
      </w:r>
      <w:r w:rsidR="00DB03AB">
        <w:t xml:space="preserve"> ordinary shares in the open market at a volume weighted average price of </w:t>
      </w:r>
      <w:r w:rsidR="00CA203B" w:rsidRPr="004A6ABA">
        <w:t>€</w:t>
      </w:r>
      <w:r w:rsidR="00CD683E">
        <w:rPr>
          <w:rFonts w:eastAsia="Times New Roman"/>
          <w:bCs/>
          <w:shd w:val="clear" w:color="auto" w:fill="FFFFFF"/>
          <w:lang w:eastAsia="nl-NL"/>
        </w:rPr>
        <w:t>19.00</w:t>
      </w:r>
      <w:r w:rsidR="0012229C">
        <w:t>.</w:t>
      </w:r>
    </w:p>
    <w:p w:rsidR="00DB03AB" w:rsidRDefault="00DB03AB" w:rsidP="00DB03AB">
      <w:pPr>
        <w:pStyle w:val="Normal1"/>
      </w:pPr>
    </w:p>
    <w:tbl>
      <w:tblPr>
        <w:tblStyle w:val="TableGrid"/>
        <w:tblW w:w="9072" w:type="dxa"/>
        <w:tblCellMar>
          <w:left w:w="29" w:type="dxa"/>
          <w:right w:w="29" w:type="dxa"/>
        </w:tblCellMar>
        <w:tblLook w:val="04A0" w:firstRow="1" w:lastRow="0" w:firstColumn="1" w:lastColumn="0" w:noHBand="0" w:noVBand="1"/>
      </w:tblPr>
      <w:tblGrid>
        <w:gridCol w:w="2160"/>
        <w:gridCol w:w="1584"/>
        <w:gridCol w:w="1584"/>
        <w:gridCol w:w="1584"/>
        <w:gridCol w:w="2160"/>
      </w:tblGrid>
      <w:tr w:rsidR="00CA203B" w:rsidTr="00CA203B">
        <w:trPr>
          <w:trHeight w:val="576"/>
        </w:trPr>
        <w:tc>
          <w:tcPr>
            <w:tcW w:w="2160" w:type="dxa"/>
            <w:shd w:val="clear" w:color="auto" w:fill="999999"/>
            <w:vAlign w:val="bottom"/>
          </w:tcPr>
          <w:p w:rsidR="00DB03AB" w:rsidRPr="00CA203B" w:rsidRDefault="00DB03AB" w:rsidP="00DB03AB">
            <w:pPr>
              <w:pStyle w:val="Normal1"/>
              <w:rPr>
                <w:b/>
                <w:color w:val="FFFFFF" w:themeColor="background1"/>
              </w:rPr>
            </w:pPr>
            <w:r w:rsidRPr="00CA203B">
              <w:rPr>
                <w:b/>
                <w:color w:val="FFFFFF" w:themeColor="background1"/>
              </w:rPr>
              <w:t>Date</w:t>
            </w:r>
          </w:p>
        </w:tc>
        <w:tc>
          <w:tcPr>
            <w:tcW w:w="1584" w:type="dxa"/>
            <w:shd w:val="clear" w:color="auto" w:fill="999999"/>
            <w:vAlign w:val="bottom"/>
          </w:tcPr>
          <w:p w:rsidR="00DB03AB" w:rsidRPr="00CA203B" w:rsidRDefault="00DB03AB" w:rsidP="00DB03AB">
            <w:pPr>
              <w:pStyle w:val="Normal1"/>
              <w:rPr>
                <w:b/>
                <w:color w:val="FFFFFF" w:themeColor="background1"/>
              </w:rPr>
            </w:pPr>
            <w:r w:rsidRPr="00CA203B">
              <w:rPr>
                <w:b/>
                <w:color w:val="FFFFFF" w:themeColor="background1"/>
              </w:rPr>
              <w:t>Transaction</w:t>
            </w:r>
          </w:p>
        </w:tc>
        <w:tc>
          <w:tcPr>
            <w:tcW w:w="1584" w:type="dxa"/>
            <w:shd w:val="clear" w:color="auto" w:fill="999999"/>
            <w:vAlign w:val="bottom"/>
          </w:tcPr>
          <w:p w:rsidR="00DB03AB" w:rsidRPr="00CA203B" w:rsidRDefault="00DB03AB" w:rsidP="00DB03AB">
            <w:pPr>
              <w:pStyle w:val="Normal1"/>
              <w:rPr>
                <w:b/>
                <w:color w:val="FFFFFF" w:themeColor="background1"/>
              </w:rPr>
            </w:pPr>
            <w:r w:rsidRPr="00CA203B">
              <w:rPr>
                <w:b/>
                <w:color w:val="FFFFFF" w:themeColor="background1"/>
              </w:rPr>
              <w:t>Total number of shares</w:t>
            </w:r>
          </w:p>
        </w:tc>
        <w:tc>
          <w:tcPr>
            <w:tcW w:w="1584" w:type="dxa"/>
            <w:shd w:val="clear" w:color="auto" w:fill="999999"/>
            <w:vAlign w:val="bottom"/>
          </w:tcPr>
          <w:p w:rsidR="00DB03AB" w:rsidRPr="00CA203B" w:rsidRDefault="00DB03AB" w:rsidP="00DB03AB">
            <w:pPr>
              <w:pStyle w:val="Normal1"/>
              <w:rPr>
                <w:b/>
                <w:color w:val="FFFFFF" w:themeColor="background1"/>
              </w:rPr>
            </w:pPr>
            <w:r w:rsidRPr="00CA203B">
              <w:rPr>
                <w:b/>
                <w:color w:val="FFFFFF" w:themeColor="background1"/>
              </w:rPr>
              <w:t>Type of shares</w:t>
            </w:r>
          </w:p>
        </w:tc>
        <w:tc>
          <w:tcPr>
            <w:tcW w:w="2160" w:type="dxa"/>
            <w:shd w:val="clear" w:color="auto" w:fill="999999"/>
            <w:vAlign w:val="bottom"/>
          </w:tcPr>
          <w:p w:rsidR="00DB03AB" w:rsidRPr="00CA203B" w:rsidRDefault="00DB03AB" w:rsidP="00CA203B">
            <w:pPr>
              <w:pStyle w:val="Normal1"/>
              <w:rPr>
                <w:b/>
                <w:color w:val="FFFFFF" w:themeColor="background1"/>
              </w:rPr>
            </w:pPr>
            <w:r w:rsidRPr="00CA203B">
              <w:rPr>
                <w:b/>
                <w:color w:val="FFFFFF" w:themeColor="background1"/>
              </w:rPr>
              <w:t>Volume weighted average price</w:t>
            </w:r>
            <w:r w:rsidR="00CA203B">
              <w:rPr>
                <w:b/>
                <w:color w:val="FFFFFF" w:themeColor="background1"/>
              </w:rPr>
              <w:t xml:space="preserve"> </w:t>
            </w:r>
            <w:r w:rsidRPr="00CA203B">
              <w:rPr>
                <w:b/>
                <w:color w:val="FFFFFF" w:themeColor="background1"/>
              </w:rPr>
              <w:t>in €</w:t>
            </w:r>
          </w:p>
        </w:tc>
      </w:tr>
      <w:tr w:rsidR="00CA203B" w:rsidTr="00CA203B">
        <w:trPr>
          <w:trHeight w:val="576"/>
        </w:trPr>
        <w:tc>
          <w:tcPr>
            <w:tcW w:w="2160" w:type="dxa"/>
            <w:shd w:val="clear" w:color="auto" w:fill="auto"/>
            <w:vAlign w:val="center"/>
          </w:tcPr>
          <w:p w:rsidR="00CA203B" w:rsidRPr="00CA203B" w:rsidRDefault="00CD683E" w:rsidP="00CA203B">
            <w:pPr>
              <w:pStyle w:val="Normal1"/>
              <w:rPr>
                <w:color w:val="auto"/>
              </w:rPr>
            </w:pPr>
            <w:r>
              <w:rPr>
                <w:rFonts w:eastAsia="Times New Roman"/>
                <w:bCs/>
                <w:shd w:val="clear" w:color="auto" w:fill="FFFFFF"/>
                <w:lang w:eastAsia="nl-NL"/>
              </w:rPr>
              <w:t>19</w:t>
            </w:r>
            <w:r w:rsidR="006D78A5">
              <w:rPr>
                <w:rFonts w:eastAsia="Times New Roman"/>
                <w:bCs/>
                <w:shd w:val="clear" w:color="auto" w:fill="FFFFFF"/>
                <w:lang w:eastAsia="nl-NL"/>
              </w:rPr>
              <w:t xml:space="preserve"> </w:t>
            </w:r>
            <w:r w:rsidR="00CA203B" w:rsidRPr="00CA203B">
              <w:rPr>
                <w:color w:val="auto"/>
              </w:rPr>
              <w:t>November 2018</w:t>
            </w:r>
          </w:p>
        </w:tc>
        <w:tc>
          <w:tcPr>
            <w:tcW w:w="1584" w:type="dxa"/>
            <w:shd w:val="clear" w:color="auto" w:fill="auto"/>
            <w:vAlign w:val="center"/>
          </w:tcPr>
          <w:p w:rsidR="00CA203B" w:rsidRPr="00CA203B" w:rsidRDefault="00CA203B" w:rsidP="00CA203B">
            <w:pPr>
              <w:pStyle w:val="Normal1"/>
              <w:rPr>
                <w:color w:val="auto"/>
              </w:rPr>
            </w:pPr>
            <w:r w:rsidRPr="00CA203B">
              <w:rPr>
                <w:color w:val="auto"/>
              </w:rPr>
              <w:t>Purchase</w:t>
            </w:r>
          </w:p>
        </w:tc>
        <w:tc>
          <w:tcPr>
            <w:tcW w:w="1584" w:type="dxa"/>
            <w:shd w:val="clear" w:color="auto" w:fill="auto"/>
            <w:vAlign w:val="center"/>
          </w:tcPr>
          <w:p w:rsidR="00CA203B" w:rsidRPr="00CA203B" w:rsidRDefault="00CD683E" w:rsidP="00CA203B">
            <w:pPr>
              <w:pStyle w:val="Normal1"/>
              <w:rPr>
                <w:color w:val="auto"/>
              </w:rPr>
            </w:pPr>
            <w:r w:rsidRPr="00CD683E">
              <w:t>45,818</w:t>
            </w:r>
          </w:p>
        </w:tc>
        <w:tc>
          <w:tcPr>
            <w:tcW w:w="1584" w:type="dxa"/>
            <w:shd w:val="clear" w:color="auto" w:fill="auto"/>
            <w:vAlign w:val="center"/>
          </w:tcPr>
          <w:p w:rsidR="00CA203B" w:rsidRPr="00CA203B" w:rsidRDefault="00CA203B" w:rsidP="00CA203B">
            <w:pPr>
              <w:pStyle w:val="Normal1"/>
              <w:rPr>
                <w:color w:val="auto"/>
              </w:rPr>
            </w:pPr>
            <w:r w:rsidRPr="00CA203B">
              <w:rPr>
                <w:color w:val="auto"/>
              </w:rPr>
              <w:t>Ordinary</w:t>
            </w:r>
          </w:p>
        </w:tc>
        <w:tc>
          <w:tcPr>
            <w:tcW w:w="2160" w:type="dxa"/>
            <w:shd w:val="clear" w:color="auto" w:fill="auto"/>
            <w:vAlign w:val="center"/>
          </w:tcPr>
          <w:p w:rsidR="00CA203B" w:rsidRPr="00CA203B" w:rsidRDefault="00CD683E" w:rsidP="00CA203B">
            <w:pPr>
              <w:pStyle w:val="Normal1"/>
              <w:rPr>
                <w:color w:val="auto"/>
              </w:rPr>
            </w:pPr>
            <w:r>
              <w:rPr>
                <w:rFonts w:eastAsia="Times New Roman"/>
                <w:bCs/>
                <w:shd w:val="clear" w:color="auto" w:fill="FFFFFF"/>
                <w:lang w:eastAsia="nl-NL"/>
              </w:rPr>
              <w:t>19.00</w:t>
            </w:r>
          </w:p>
        </w:tc>
      </w:tr>
    </w:tbl>
    <w:p w:rsidR="00DB03AB" w:rsidRDefault="00DB03AB" w:rsidP="00DB03AB">
      <w:pPr>
        <w:pStyle w:val="Normal1"/>
      </w:pPr>
    </w:p>
    <w:p w:rsidR="004A6ABA" w:rsidRDefault="00DB03AB" w:rsidP="00DB03AB">
      <w:pPr>
        <w:pStyle w:val="Normal1"/>
      </w:pPr>
      <w:r>
        <w:t>The highest price per ordinary share paid in a transaction conducted on</w:t>
      </w:r>
      <w:r w:rsidR="0012229C">
        <w:t xml:space="preserve"> </w:t>
      </w:r>
      <w:r w:rsidR="00CD683E">
        <w:rPr>
          <w:rFonts w:eastAsia="Times New Roman"/>
          <w:bCs/>
          <w:shd w:val="clear" w:color="auto" w:fill="FFFFFF"/>
          <w:lang w:eastAsia="nl-NL"/>
        </w:rPr>
        <w:t>19</w:t>
      </w:r>
      <w:r w:rsidR="0012229C">
        <w:t xml:space="preserve"> </w:t>
      </w:r>
      <w:r>
        <w:t xml:space="preserve">November 2018 was </w:t>
      </w:r>
      <w:r w:rsidR="00CD683E">
        <w:t>€19.00</w:t>
      </w:r>
      <w:r w:rsidR="0012229C" w:rsidRPr="0012229C">
        <w:t>.</w:t>
      </w:r>
    </w:p>
    <w:p w:rsidR="00CA203B" w:rsidRDefault="00CA203B" w:rsidP="00DB03AB">
      <w:pPr>
        <w:pStyle w:val="Normal1"/>
      </w:pPr>
    </w:p>
    <w:p w:rsidR="00CA203B" w:rsidRDefault="00CA203B" w:rsidP="00DB03AB">
      <w:pPr>
        <w:pStyle w:val="Normal1"/>
      </w:pPr>
      <w:r>
        <w:t>Following</w:t>
      </w:r>
      <w:r w:rsidR="0012229C">
        <w:t xml:space="preserve"> </w:t>
      </w:r>
      <w:r>
        <w:t>the</w:t>
      </w:r>
      <w:r w:rsidR="00707666">
        <w:t>se</w:t>
      </w:r>
      <w:r>
        <w:t xml:space="preserve"> </w:t>
      </w:r>
      <w:r w:rsidRPr="00134A33">
        <w:t xml:space="preserve">transactions, Pon Holdings and its affiliates or brokers </w:t>
      </w:r>
      <w:r w:rsidR="00707666">
        <w:t xml:space="preserve">have now </w:t>
      </w:r>
      <w:r w:rsidR="00834B03">
        <w:t xml:space="preserve">purchased </w:t>
      </w:r>
      <w:r>
        <w:t xml:space="preserve">a total of </w:t>
      </w:r>
      <w:r w:rsidR="00CD683E" w:rsidRPr="00CD683E">
        <w:t>4,994,648</w:t>
      </w:r>
      <w:r w:rsidR="005F416D">
        <w:t xml:space="preserve"> ordinary shares in Accell Group, representing </w:t>
      </w:r>
      <w:r w:rsidR="00CD683E" w:rsidRPr="00CD683E">
        <w:t>18.8</w:t>
      </w:r>
      <w:r w:rsidR="0012229C" w:rsidRPr="0012229C">
        <w:t>%</w:t>
      </w:r>
      <w:r w:rsidR="005F416D">
        <w:t xml:space="preserve"> of the issued and outstanding share capital of Accell Group.</w:t>
      </w:r>
    </w:p>
    <w:p w:rsidR="00825C12" w:rsidRDefault="00825C12" w:rsidP="00DB449F">
      <w:pPr>
        <w:pStyle w:val="Normal1"/>
        <w:rPr>
          <w:b/>
        </w:rPr>
      </w:pPr>
    </w:p>
    <w:p w:rsidR="00DB449F" w:rsidRPr="00E2229B" w:rsidRDefault="00DB449F" w:rsidP="00DB449F">
      <w:pPr>
        <w:pStyle w:val="Normal1"/>
        <w:rPr>
          <w:u w:val="single"/>
        </w:rPr>
      </w:pPr>
      <w:r w:rsidRPr="00E2229B">
        <w:rPr>
          <w:u w:val="single"/>
        </w:rPr>
        <w:t>About Pon Holdings</w:t>
      </w:r>
    </w:p>
    <w:p w:rsidR="00F82714" w:rsidRPr="00DB449F" w:rsidRDefault="00134A33" w:rsidP="00134A33">
      <w:pPr>
        <w:pStyle w:val="Normal1"/>
      </w:pPr>
      <w:r>
        <w:t>Pon Holdings – one of the Netherlands’ biggest family businesses – is a leading global</w:t>
      </w:r>
      <w:r w:rsidR="0015235E">
        <w:t xml:space="preserve"> </w:t>
      </w:r>
      <w:r>
        <w:t>company with nearly 13,000 employees operating in 32 countries. It supplies high-end</w:t>
      </w:r>
      <w:r w:rsidR="0015235E">
        <w:t xml:space="preserve"> </w:t>
      </w:r>
      <w:r>
        <w:t>products and solutions, develops and manufactures bicycles (approximately 800.000 under</w:t>
      </w:r>
      <w:r w:rsidR="0015235E">
        <w:t xml:space="preserve"> </w:t>
      </w:r>
      <w:r>
        <w:t>10 premium brands), and offers engineering solutions in several market segments. Pon</w:t>
      </w:r>
      <w:r w:rsidR="0015235E">
        <w:t xml:space="preserve"> </w:t>
      </w:r>
      <w:r>
        <w:t>operates in a large number of markets, from private and commercial vehicles and bicycles,</w:t>
      </w:r>
      <w:r w:rsidR="0015235E">
        <w:t xml:space="preserve"> </w:t>
      </w:r>
      <w:r>
        <w:t>to forklift trucks, tires, road and earthmoving machinery, generators, and total solutions for</w:t>
      </w:r>
      <w:r w:rsidR="0015235E">
        <w:t xml:space="preserve"> </w:t>
      </w:r>
      <w:r>
        <w:t>the shipping industry.</w:t>
      </w:r>
    </w:p>
    <w:p w:rsidR="00134A33" w:rsidRPr="0012229C" w:rsidRDefault="0012229C" w:rsidP="00134A33">
      <w:pPr>
        <w:pStyle w:val="Normal1"/>
        <w:pBdr>
          <w:bottom w:val="single" w:sz="12" w:space="1" w:color="auto"/>
        </w:pBdr>
        <w:rPr>
          <w:u w:val="single"/>
        </w:rPr>
      </w:pPr>
      <w:r>
        <w:rPr>
          <w:b/>
        </w:rPr>
        <w:br/>
      </w:r>
      <w:r w:rsidR="007E1592" w:rsidRPr="00E2229B">
        <w:rPr>
          <w:u w:val="single"/>
        </w:rPr>
        <w:t>Other</w:t>
      </w:r>
      <w:r>
        <w:rPr>
          <w:u w:val="single"/>
        </w:rPr>
        <w:br/>
      </w:r>
      <w:r w:rsidR="00134A33">
        <w:t>This announcement is for information purposes only and does not constitute an offer or an</w:t>
      </w:r>
      <w:r w:rsidR="0015235E">
        <w:t xml:space="preserve"> </w:t>
      </w:r>
      <w:r w:rsidR="00134A33">
        <w:lastRenderedPageBreak/>
        <w:t>invitation to acquire or dispose of any securities or investment advice or an inducement to</w:t>
      </w:r>
      <w:r w:rsidR="0015235E">
        <w:t xml:space="preserve"> </w:t>
      </w:r>
      <w:r w:rsidR="00134A33">
        <w:t>enter into investment activity. This announcement does not constitute an offer to sell or</w:t>
      </w:r>
      <w:r w:rsidR="0015235E">
        <w:t xml:space="preserve"> </w:t>
      </w:r>
      <w:r w:rsidR="00134A33">
        <w:t>issue or the solicitation of an offer to buy, acquire or subscribe for any securities of Accell</w:t>
      </w:r>
      <w:r w:rsidR="0015235E">
        <w:t xml:space="preserve"> </w:t>
      </w:r>
      <w:r w:rsidR="00134A33">
        <w:t>Group N.V. in any jurisdiction.</w:t>
      </w:r>
    </w:p>
    <w:p w:rsidR="00134A33" w:rsidRDefault="00134A33" w:rsidP="00134A33">
      <w:pPr>
        <w:pStyle w:val="Normal1"/>
        <w:pBdr>
          <w:bottom w:val="single" w:sz="12" w:space="1" w:color="auto"/>
        </w:pBdr>
      </w:pPr>
    </w:p>
    <w:p w:rsidR="007E1592" w:rsidRPr="007E1592" w:rsidRDefault="00134A33" w:rsidP="00134A33">
      <w:pPr>
        <w:pStyle w:val="Normal1"/>
        <w:pBdr>
          <w:bottom w:val="single" w:sz="12" w:space="1" w:color="auto"/>
        </w:pBdr>
      </w:pPr>
      <w:r>
        <w:t>The distribution of this press release may, in some countries such as the United States,</w:t>
      </w:r>
      <w:r w:rsidR="0015235E">
        <w:t xml:space="preserve"> </w:t>
      </w:r>
      <w:r>
        <w:t>Canada or Japan, be restricted by law or regulation. Accordingly, persons who come into</w:t>
      </w:r>
      <w:r w:rsidR="0015235E">
        <w:t xml:space="preserve"> </w:t>
      </w:r>
      <w:r>
        <w:t>possession of this document should inform themselves of and observe these restrictions. To</w:t>
      </w:r>
      <w:r w:rsidR="0015235E">
        <w:t xml:space="preserve"> </w:t>
      </w:r>
      <w:r>
        <w:t>the fullest extent permitted by applicable law, Pon Holdings disclaims any responsibility or</w:t>
      </w:r>
      <w:r w:rsidR="0015235E">
        <w:t xml:space="preserve"> </w:t>
      </w:r>
      <w:r>
        <w:t>liability for the violation of any such restrictions by any person. Any failure to comply with</w:t>
      </w:r>
      <w:r w:rsidR="0015235E">
        <w:t xml:space="preserve"> </w:t>
      </w:r>
      <w:r>
        <w:t>these restrictions may constitute a violation of the securities laws of that jurisdiction.</w:t>
      </w:r>
      <w:r w:rsidR="0015235E">
        <w:t xml:space="preserve"> </w:t>
      </w:r>
      <w:r>
        <w:t>Neither Pon Holdings nor any of its affiliates or advisors assumes any responsibility for any</w:t>
      </w:r>
      <w:r w:rsidR="0015235E">
        <w:t xml:space="preserve"> </w:t>
      </w:r>
      <w:r>
        <w:t>violation by any person of any of these restrictions. Certain of the statements contained</w:t>
      </w:r>
      <w:r w:rsidR="0015235E">
        <w:t xml:space="preserve"> </w:t>
      </w:r>
      <w:r>
        <w:t>herein are not historical facts, including, without limitation, certain statements made of</w:t>
      </w:r>
      <w:r w:rsidR="0015235E">
        <w:t xml:space="preserve"> </w:t>
      </w:r>
      <w:r>
        <w:t>future expectations and other forward-looking statements that are based on current views</w:t>
      </w:r>
      <w:r w:rsidR="0015235E">
        <w:t xml:space="preserve"> </w:t>
      </w:r>
      <w:r>
        <w:t>and assumptions and involve known and unknown risks and uncertainties that could cause</w:t>
      </w:r>
      <w:r w:rsidR="0015235E">
        <w:t xml:space="preserve"> </w:t>
      </w:r>
      <w:r>
        <w:t>actual results, performance or events to differ materially from those expressed or implied in</w:t>
      </w:r>
      <w:r w:rsidR="0015235E">
        <w:t xml:space="preserve"> </w:t>
      </w:r>
      <w:r>
        <w:t>such statements.</w:t>
      </w:r>
    </w:p>
    <w:p w:rsidR="00DB449F" w:rsidRDefault="00DB449F" w:rsidP="007610D5">
      <w:pPr>
        <w:pStyle w:val="Normal1"/>
        <w:pBdr>
          <w:bottom w:val="single" w:sz="12" w:space="1" w:color="auto"/>
        </w:pBdr>
      </w:pPr>
    </w:p>
    <w:p w:rsidR="006A7D33" w:rsidRPr="0058474F" w:rsidRDefault="006A7D33" w:rsidP="007610D5">
      <w:pPr>
        <w:pStyle w:val="Normal1"/>
      </w:pPr>
    </w:p>
    <w:p w:rsidR="006A7D33" w:rsidRPr="00EE7A1F" w:rsidRDefault="00EE7A1F" w:rsidP="007610D5">
      <w:pPr>
        <w:pStyle w:val="Normal1"/>
      </w:pPr>
      <w:r w:rsidRPr="00EE7A1F">
        <w:t xml:space="preserve">Editorial note, not for </w:t>
      </w:r>
      <w:r w:rsidR="009B76DF" w:rsidRPr="00EE7A1F">
        <w:t>publicati</w:t>
      </w:r>
      <w:r w:rsidRPr="00EE7A1F">
        <w:t>on</w:t>
      </w:r>
      <w:r w:rsidR="009B76DF" w:rsidRPr="00EE7A1F">
        <w:t xml:space="preserve"> </w:t>
      </w:r>
    </w:p>
    <w:p w:rsidR="00F347DD" w:rsidRDefault="00F347DD" w:rsidP="00F347DD">
      <w:pPr>
        <w:pStyle w:val="Normal1"/>
      </w:pPr>
    </w:p>
    <w:p w:rsidR="00F347DD" w:rsidRDefault="00F347DD" w:rsidP="00F347DD">
      <w:pPr>
        <w:pStyle w:val="Normal1"/>
      </w:pPr>
      <w:r>
        <w:t>For more information please contact:</w:t>
      </w:r>
    </w:p>
    <w:p w:rsidR="00F347DD" w:rsidRPr="00F36DE3" w:rsidRDefault="00F347DD" w:rsidP="007610D5">
      <w:pPr>
        <w:pStyle w:val="Normal1"/>
      </w:pPr>
    </w:p>
    <w:p w:rsidR="008D46AA" w:rsidRPr="007E1592" w:rsidRDefault="007E1592" w:rsidP="007610D5">
      <w:pPr>
        <w:pStyle w:val="Normal1"/>
        <w:rPr>
          <w:lang w:val="nl-NL"/>
        </w:rPr>
      </w:pPr>
      <w:r w:rsidRPr="007E1592">
        <w:rPr>
          <w:lang w:val="nl-NL"/>
        </w:rPr>
        <w:t>Frans van der Grint</w:t>
      </w:r>
    </w:p>
    <w:p w:rsidR="00600941" w:rsidRPr="00EE7A1F" w:rsidRDefault="007E1592" w:rsidP="00A45B56">
      <w:r>
        <w:t xml:space="preserve">+ 31 (0) </w:t>
      </w:r>
      <w:r w:rsidR="00134A33" w:rsidRPr="00134A33">
        <w:t>6 290 44 053</w:t>
      </w:r>
    </w:p>
    <w:sectPr w:rsidR="00600941" w:rsidRPr="00EE7A1F" w:rsidSect="00593091">
      <w:headerReference w:type="even" r:id="rId7"/>
      <w:headerReference w:type="default" r:id="rId8"/>
      <w:footerReference w:type="even" r:id="rId9"/>
      <w:footerReference w:type="default" r:id="rId10"/>
      <w:headerReference w:type="first" r:id="rId11"/>
      <w:footerReference w:type="first" r:id="rId12"/>
      <w:pgSz w:w="11909" w:h="16834"/>
      <w:pgMar w:top="1817"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23" w:rsidRPr="004E12B7" w:rsidRDefault="00DC0D23" w:rsidP="000B1627">
      <w:pPr>
        <w:spacing w:line="240" w:lineRule="auto"/>
      </w:pPr>
      <w:r>
        <w:separator/>
      </w:r>
    </w:p>
  </w:endnote>
  <w:endnote w:type="continuationSeparator" w:id="0">
    <w:p w:rsidR="00DC0D23" w:rsidRPr="004E12B7" w:rsidRDefault="00DC0D23" w:rsidP="000B1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03" w:rsidRDefault="00834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03" w:rsidRDefault="00834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03" w:rsidRDefault="0083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23" w:rsidRPr="004E12B7" w:rsidRDefault="00DC0D23" w:rsidP="000B1627">
      <w:pPr>
        <w:spacing w:line="240" w:lineRule="auto"/>
      </w:pPr>
      <w:r>
        <w:separator/>
      </w:r>
    </w:p>
  </w:footnote>
  <w:footnote w:type="continuationSeparator" w:id="0">
    <w:p w:rsidR="00DC0D23" w:rsidRPr="004E12B7" w:rsidRDefault="00DC0D23" w:rsidP="000B16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03" w:rsidRDefault="00834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D7D" w:rsidRDefault="00593091">
    <w:pPr>
      <w:pStyle w:val="Header"/>
    </w:pPr>
    <w:r>
      <w:rPr>
        <w:noProof/>
        <w:lang w:val="nl-NL" w:eastAsia="nl-NL"/>
      </w:rPr>
      <w:drawing>
        <wp:anchor distT="0" distB="0" distL="114300" distR="114300" simplePos="0" relativeHeight="251658240" behindDoc="0" locked="0" layoutInCell="1" allowOverlap="1" wp14:anchorId="2FB7D414">
          <wp:simplePos x="0" y="0"/>
          <wp:positionH relativeFrom="column">
            <wp:posOffset>3610316</wp:posOffset>
          </wp:positionH>
          <wp:positionV relativeFrom="paragraph">
            <wp:posOffset>452277</wp:posOffset>
          </wp:positionV>
          <wp:extent cx="2165350" cy="358140"/>
          <wp:effectExtent l="0" t="0" r="6350" b="0"/>
          <wp:wrapThrough wrapText="bothSides">
            <wp:wrapPolygon edited="0">
              <wp:start x="0" y="0"/>
              <wp:lineTo x="0" y="20681"/>
              <wp:lineTo x="21537" y="20681"/>
              <wp:lineTo x="21537" y="0"/>
              <wp:lineTo x="0" y="0"/>
            </wp:wrapPolygon>
          </wp:wrapThrough>
          <wp:docPr id="2" name="image1.png" descr="Pon"/>
          <wp:cNvGraphicFramePr/>
          <a:graphic xmlns:a="http://schemas.openxmlformats.org/drawingml/2006/main">
            <a:graphicData uri="http://schemas.openxmlformats.org/drawingml/2006/picture">
              <pic:pic xmlns:pic="http://schemas.openxmlformats.org/drawingml/2006/picture">
                <pic:nvPicPr>
                  <pic:cNvPr id="0" name="image1.png" descr="Po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5350" cy="35814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03" w:rsidRDefault="00834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60BEE"/>
    <w:multiLevelType w:val="hybridMultilevel"/>
    <w:tmpl w:val="EDECFE3E"/>
    <w:lvl w:ilvl="0" w:tplc="04741FE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41689F"/>
    <w:multiLevelType w:val="multilevel"/>
    <w:tmpl w:val="CE24B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AA"/>
    <w:rsid w:val="0000218A"/>
    <w:rsid w:val="00014A41"/>
    <w:rsid w:val="00021275"/>
    <w:rsid w:val="00041381"/>
    <w:rsid w:val="00081380"/>
    <w:rsid w:val="000A3D18"/>
    <w:rsid w:val="000B1627"/>
    <w:rsid w:val="001067D1"/>
    <w:rsid w:val="00110479"/>
    <w:rsid w:val="0012229C"/>
    <w:rsid w:val="00134A33"/>
    <w:rsid w:val="00142500"/>
    <w:rsid w:val="0015235E"/>
    <w:rsid w:val="00156B5B"/>
    <w:rsid w:val="00160232"/>
    <w:rsid w:val="001800C5"/>
    <w:rsid w:val="00184D96"/>
    <w:rsid w:val="00190231"/>
    <w:rsid w:val="00196C82"/>
    <w:rsid w:val="001A2C9F"/>
    <w:rsid w:val="001B0136"/>
    <w:rsid w:val="001C351E"/>
    <w:rsid w:val="001D3846"/>
    <w:rsid w:val="001E20C3"/>
    <w:rsid w:val="001E26A3"/>
    <w:rsid w:val="00213757"/>
    <w:rsid w:val="00217D68"/>
    <w:rsid w:val="002350EF"/>
    <w:rsid w:val="00262F52"/>
    <w:rsid w:val="002C1BE7"/>
    <w:rsid w:val="002F0D4A"/>
    <w:rsid w:val="003010CC"/>
    <w:rsid w:val="00354E15"/>
    <w:rsid w:val="00355C04"/>
    <w:rsid w:val="003569F2"/>
    <w:rsid w:val="00392E32"/>
    <w:rsid w:val="003C17CC"/>
    <w:rsid w:val="003E4FB9"/>
    <w:rsid w:val="003F1538"/>
    <w:rsid w:val="00400114"/>
    <w:rsid w:val="004070AD"/>
    <w:rsid w:val="004178D5"/>
    <w:rsid w:val="00424C07"/>
    <w:rsid w:val="00443F1E"/>
    <w:rsid w:val="004575D6"/>
    <w:rsid w:val="0048709B"/>
    <w:rsid w:val="004A6ABA"/>
    <w:rsid w:val="004C1E0A"/>
    <w:rsid w:val="004D103B"/>
    <w:rsid w:val="004F7E0E"/>
    <w:rsid w:val="00502993"/>
    <w:rsid w:val="00522AD1"/>
    <w:rsid w:val="005264F0"/>
    <w:rsid w:val="00530257"/>
    <w:rsid w:val="005417FF"/>
    <w:rsid w:val="0058474F"/>
    <w:rsid w:val="00593091"/>
    <w:rsid w:val="00594F90"/>
    <w:rsid w:val="005B332D"/>
    <w:rsid w:val="005B4788"/>
    <w:rsid w:val="005D69DB"/>
    <w:rsid w:val="005F416D"/>
    <w:rsid w:val="00600941"/>
    <w:rsid w:val="0060339D"/>
    <w:rsid w:val="00611B78"/>
    <w:rsid w:val="006155CC"/>
    <w:rsid w:val="006962AA"/>
    <w:rsid w:val="006A7D33"/>
    <w:rsid w:val="006B152D"/>
    <w:rsid w:val="006B45B1"/>
    <w:rsid w:val="006C5ABC"/>
    <w:rsid w:val="006D78A5"/>
    <w:rsid w:val="00707666"/>
    <w:rsid w:val="007167CA"/>
    <w:rsid w:val="0072540C"/>
    <w:rsid w:val="00727026"/>
    <w:rsid w:val="007610D5"/>
    <w:rsid w:val="007841AB"/>
    <w:rsid w:val="007909A1"/>
    <w:rsid w:val="00796096"/>
    <w:rsid w:val="007B5FFF"/>
    <w:rsid w:val="007B6F05"/>
    <w:rsid w:val="007C3C79"/>
    <w:rsid w:val="007D3707"/>
    <w:rsid w:val="007E1592"/>
    <w:rsid w:val="007F17F7"/>
    <w:rsid w:val="007F1D86"/>
    <w:rsid w:val="00800A36"/>
    <w:rsid w:val="00825028"/>
    <w:rsid w:val="00825C12"/>
    <w:rsid w:val="00834B03"/>
    <w:rsid w:val="00834DDE"/>
    <w:rsid w:val="00851ADE"/>
    <w:rsid w:val="00856ABA"/>
    <w:rsid w:val="008822BC"/>
    <w:rsid w:val="00883C5D"/>
    <w:rsid w:val="008A01E4"/>
    <w:rsid w:val="008D46AA"/>
    <w:rsid w:val="008D6A92"/>
    <w:rsid w:val="008D6BA2"/>
    <w:rsid w:val="00902430"/>
    <w:rsid w:val="009219C7"/>
    <w:rsid w:val="00932294"/>
    <w:rsid w:val="009455B2"/>
    <w:rsid w:val="00952917"/>
    <w:rsid w:val="009A12AF"/>
    <w:rsid w:val="009A6C22"/>
    <w:rsid w:val="009B2692"/>
    <w:rsid w:val="009B3DC3"/>
    <w:rsid w:val="009B76DF"/>
    <w:rsid w:val="009E25DC"/>
    <w:rsid w:val="00A25CD8"/>
    <w:rsid w:val="00A31288"/>
    <w:rsid w:val="00A45B56"/>
    <w:rsid w:val="00A7378B"/>
    <w:rsid w:val="00A91D7D"/>
    <w:rsid w:val="00A920DA"/>
    <w:rsid w:val="00AB4CA3"/>
    <w:rsid w:val="00AC55AA"/>
    <w:rsid w:val="00B15043"/>
    <w:rsid w:val="00B273F1"/>
    <w:rsid w:val="00B5194C"/>
    <w:rsid w:val="00B67BF2"/>
    <w:rsid w:val="00B8250C"/>
    <w:rsid w:val="00B93632"/>
    <w:rsid w:val="00B95A09"/>
    <w:rsid w:val="00BA4CD3"/>
    <w:rsid w:val="00C263F0"/>
    <w:rsid w:val="00C6463D"/>
    <w:rsid w:val="00C64667"/>
    <w:rsid w:val="00C649CD"/>
    <w:rsid w:val="00C91313"/>
    <w:rsid w:val="00CA203B"/>
    <w:rsid w:val="00CC4182"/>
    <w:rsid w:val="00CD683E"/>
    <w:rsid w:val="00CE34A5"/>
    <w:rsid w:val="00CF3A0C"/>
    <w:rsid w:val="00D5093F"/>
    <w:rsid w:val="00D51FE5"/>
    <w:rsid w:val="00D85A4B"/>
    <w:rsid w:val="00D86580"/>
    <w:rsid w:val="00D87C68"/>
    <w:rsid w:val="00DA62EA"/>
    <w:rsid w:val="00DA78FD"/>
    <w:rsid w:val="00DB03AB"/>
    <w:rsid w:val="00DB449F"/>
    <w:rsid w:val="00DC0D23"/>
    <w:rsid w:val="00DC4E99"/>
    <w:rsid w:val="00DF756D"/>
    <w:rsid w:val="00E13D01"/>
    <w:rsid w:val="00E2229B"/>
    <w:rsid w:val="00E225C3"/>
    <w:rsid w:val="00E36A4B"/>
    <w:rsid w:val="00E550AE"/>
    <w:rsid w:val="00E56D1E"/>
    <w:rsid w:val="00E67B8D"/>
    <w:rsid w:val="00E711CF"/>
    <w:rsid w:val="00E73B1C"/>
    <w:rsid w:val="00EB0713"/>
    <w:rsid w:val="00EC1298"/>
    <w:rsid w:val="00ED53CC"/>
    <w:rsid w:val="00ED5D24"/>
    <w:rsid w:val="00EE44ED"/>
    <w:rsid w:val="00EE45FF"/>
    <w:rsid w:val="00EE54DE"/>
    <w:rsid w:val="00EE7348"/>
    <w:rsid w:val="00EE7863"/>
    <w:rsid w:val="00EE7A1F"/>
    <w:rsid w:val="00F12326"/>
    <w:rsid w:val="00F152FA"/>
    <w:rsid w:val="00F273AE"/>
    <w:rsid w:val="00F347DD"/>
    <w:rsid w:val="00F36DE3"/>
    <w:rsid w:val="00F4242F"/>
    <w:rsid w:val="00F43DDC"/>
    <w:rsid w:val="00F76F3E"/>
    <w:rsid w:val="00F81777"/>
    <w:rsid w:val="00F82714"/>
    <w:rsid w:val="00F83B19"/>
    <w:rsid w:val="00F94B52"/>
    <w:rsid w:val="00FB51C0"/>
    <w:rsid w:val="00FB57C9"/>
    <w:rsid w:val="00FD4A23"/>
    <w:rsid w:val="00FD688A"/>
    <w:rsid w:val="00FE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2BCD6D-FF77-41FF-ADF7-C5B612AB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B2"/>
  </w:style>
  <w:style w:type="paragraph" w:styleId="Heading1">
    <w:name w:val="heading 1"/>
    <w:basedOn w:val="Normal1"/>
    <w:next w:val="Normal1"/>
    <w:rsid w:val="006962AA"/>
    <w:pPr>
      <w:keepNext/>
      <w:keepLines/>
      <w:spacing w:before="400" w:after="120"/>
      <w:contextualSpacing/>
      <w:outlineLvl w:val="0"/>
    </w:pPr>
    <w:rPr>
      <w:sz w:val="40"/>
      <w:szCs w:val="40"/>
    </w:rPr>
  </w:style>
  <w:style w:type="paragraph" w:styleId="Heading2">
    <w:name w:val="heading 2"/>
    <w:basedOn w:val="Normal1"/>
    <w:next w:val="Normal1"/>
    <w:rsid w:val="006962AA"/>
    <w:pPr>
      <w:keepNext/>
      <w:keepLines/>
      <w:spacing w:before="360" w:after="120"/>
      <w:contextualSpacing/>
      <w:outlineLvl w:val="1"/>
    </w:pPr>
    <w:rPr>
      <w:sz w:val="32"/>
      <w:szCs w:val="32"/>
    </w:rPr>
  </w:style>
  <w:style w:type="paragraph" w:styleId="Heading3">
    <w:name w:val="heading 3"/>
    <w:basedOn w:val="Normal1"/>
    <w:next w:val="Normal1"/>
    <w:rsid w:val="006962AA"/>
    <w:pPr>
      <w:keepNext/>
      <w:keepLines/>
      <w:spacing w:before="320" w:after="80"/>
      <w:contextualSpacing/>
      <w:outlineLvl w:val="2"/>
    </w:pPr>
    <w:rPr>
      <w:color w:val="434343"/>
      <w:sz w:val="28"/>
      <w:szCs w:val="28"/>
    </w:rPr>
  </w:style>
  <w:style w:type="paragraph" w:styleId="Heading4">
    <w:name w:val="heading 4"/>
    <w:basedOn w:val="Normal1"/>
    <w:next w:val="Normal1"/>
    <w:rsid w:val="006962AA"/>
    <w:pPr>
      <w:keepNext/>
      <w:keepLines/>
      <w:spacing w:before="280" w:after="80"/>
      <w:contextualSpacing/>
      <w:outlineLvl w:val="3"/>
    </w:pPr>
    <w:rPr>
      <w:color w:val="666666"/>
      <w:sz w:val="24"/>
      <w:szCs w:val="24"/>
    </w:rPr>
  </w:style>
  <w:style w:type="paragraph" w:styleId="Heading5">
    <w:name w:val="heading 5"/>
    <w:basedOn w:val="Normal1"/>
    <w:next w:val="Normal1"/>
    <w:rsid w:val="006962AA"/>
    <w:pPr>
      <w:keepNext/>
      <w:keepLines/>
      <w:spacing w:before="240" w:after="80"/>
      <w:contextualSpacing/>
      <w:outlineLvl w:val="4"/>
    </w:pPr>
    <w:rPr>
      <w:color w:val="666666"/>
    </w:rPr>
  </w:style>
  <w:style w:type="paragraph" w:styleId="Heading6">
    <w:name w:val="heading 6"/>
    <w:basedOn w:val="Normal1"/>
    <w:next w:val="Normal1"/>
    <w:rsid w:val="006962A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62AA"/>
  </w:style>
  <w:style w:type="paragraph" w:styleId="Title">
    <w:name w:val="Title"/>
    <w:basedOn w:val="Normal1"/>
    <w:next w:val="Normal1"/>
    <w:rsid w:val="006962AA"/>
    <w:pPr>
      <w:keepNext/>
      <w:keepLines/>
      <w:spacing w:after="60"/>
      <w:contextualSpacing/>
    </w:pPr>
    <w:rPr>
      <w:sz w:val="52"/>
      <w:szCs w:val="52"/>
    </w:rPr>
  </w:style>
  <w:style w:type="paragraph" w:styleId="Subtitle">
    <w:name w:val="Subtitle"/>
    <w:basedOn w:val="Normal1"/>
    <w:next w:val="Normal1"/>
    <w:rsid w:val="006962AA"/>
    <w:pPr>
      <w:keepNext/>
      <w:keepLines/>
      <w:spacing w:after="320"/>
      <w:contextualSpacing/>
    </w:pPr>
    <w:rPr>
      <w:color w:val="666666"/>
      <w:sz w:val="30"/>
      <w:szCs w:val="30"/>
    </w:rPr>
  </w:style>
  <w:style w:type="paragraph" w:styleId="Header">
    <w:name w:val="header"/>
    <w:basedOn w:val="Normal"/>
    <w:link w:val="HeaderChar"/>
    <w:uiPriority w:val="99"/>
    <w:unhideWhenUsed/>
    <w:rsid w:val="000B1627"/>
    <w:pPr>
      <w:tabs>
        <w:tab w:val="center" w:pos="4680"/>
        <w:tab w:val="right" w:pos="9360"/>
      </w:tabs>
      <w:spacing w:line="240" w:lineRule="auto"/>
    </w:pPr>
  </w:style>
  <w:style w:type="character" w:customStyle="1" w:styleId="HeaderChar">
    <w:name w:val="Header Char"/>
    <w:basedOn w:val="DefaultParagraphFont"/>
    <w:link w:val="Header"/>
    <w:uiPriority w:val="99"/>
    <w:rsid w:val="000B1627"/>
  </w:style>
  <w:style w:type="paragraph" w:styleId="Footer">
    <w:name w:val="footer"/>
    <w:basedOn w:val="Normal"/>
    <w:link w:val="FooterChar"/>
    <w:uiPriority w:val="99"/>
    <w:unhideWhenUsed/>
    <w:rsid w:val="000B1627"/>
    <w:pPr>
      <w:tabs>
        <w:tab w:val="center" w:pos="4680"/>
        <w:tab w:val="right" w:pos="9360"/>
      </w:tabs>
      <w:spacing w:line="240" w:lineRule="auto"/>
    </w:pPr>
  </w:style>
  <w:style w:type="character" w:customStyle="1" w:styleId="FooterChar">
    <w:name w:val="Footer Char"/>
    <w:basedOn w:val="DefaultParagraphFont"/>
    <w:link w:val="Footer"/>
    <w:uiPriority w:val="99"/>
    <w:rsid w:val="000B1627"/>
  </w:style>
  <w:style w:type="paragraph" w:styleId="FootnoteText">
    <w:name w:val="footnote text"/>
    <w:basedOn w:val="Normal"/>
    <w:link w:val="FootnoteTextChar"/>
    <w:uiPriority w:val="99"/>
    <w:semiHidden/>
    <w:unhideWhenUsed/>
    <w:rsid w:val="003010CC"/>
    <w:pPr>
      <w:spacing w:line="240" w:lineRule="auto"/>
    </w:pPr>
    <w:rPr>
      <w:sz w:val="20"/>
      <w:szCs w:val="20"/>
    </w:rPr>
  </w:style>
  <w:style w:type="character" w:customStyle="1" w:styleId="FootnoteTextChar">
    <w:name w:val="Footnote Text Char"/>
    <w:basedOn w:val="DefaultParagraphFont"/>
    <w:link w:val="FootnoteText"/>
    <w:uiPriority w:val="99"/>
    <w:semiHidden/>
    <w:rsid w:val="003010CC"/>
    <w:rPr>
      <w:sz w:val="20"/>
      <w:szCs w:val="20"/>
    </w:rPr>
  </w:style>
  <w:style w:type="character" w:styleId="FootnoteReference">
    <w:name w:val="footnote reference"/>
    <w:basedOn w:val="DefaultParagraphFont"/>
    <w:uiPriority w:val="99"/>
    <w:semiHidden/>
    <w:unhideWhenUsed/>
    <w:rsid w:val="003010CC"/>
    <w:rPr>
      <w:vertAlign w:val="superscript"/>
    </w:rPr>
  </w:style>
  <w:style w:type="character" w:styleId="Hyperlink">
    <w:name w:val="Hyperlink"/>
    <w:basedOn w:val="DefaultParagraphFont"/>
    <w:uiPriority w:val="99"/>
    <w:semiHidden/>
    <w:unhideWhenUsed/>
    <w:rsid w:val="0060339D"/>
    <w:rPr>
      <w:color w:val="0000FF" w:themeColor="hyperlink"/>
      <w:u w:val="single"/>
    </w:rPr>
  </w:style>
  <w:style w:type="paragraph" w:styleId="BalloonText">
    <w:name w:val="Balloon Text"/>
    <w:basedOn w:val="Normal"/>
    <w:link w:val="BalloonTextChar"/>
    <w:uiPriority w:val="99"/>
    <w:semiHidden/>
    <w:unhideWhenUsed/>
    <w:rsid w:val="00F34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DD"/>
    <w:rPr>
      <w:rFonts w:ascii="Tahoma" w:hAnsi="Tahoma" w:cs="Tahoma"/>
      <w:sz w:val="16"/>
      <w:szCs w:val="16"/>
    </w:rPr>
  </w:style>
  <w:style w:type="table" w:styleId="TableGrid">
    <w:name w:val="Table Grid"/>
    <w:basedOn w:val="TableNormal"/>
    <w:uiPriority w:val="59"/>
    <w:rsid w:val="00DB0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16D"/>
    <w:pPr>
      <w:autoSpaceDE w:val="0"/>
      <w:autoSpaceDN w:val="0"/>
      <w:adjustRightInd w:val="0"/>
      <w:spacing w:line="240" w:lineRule="auto"/>
    </w:pPr>
    <w:rPr>
      <w:rFonts w:ascii="Calibri" w:hAnsi="Calibri" w:cs="Calibri"/>
      <w:sz w:val="24"/>
      <w:szCs w:val="24"/>
      <w:lang w:val="en-GB"/>
    </w:rPr>
  </w:style>
  <w:style w:type="character" w:styleId="CommentReference">
    <w:name w:val="annotation reference"/>
    <w:basedOn w:val="DefaultParagraphFont"/>
    <w:uiPriority w:val="99"/>
    <w:semiHidden/>
    <w:unhideWhenUsed/>
    <w:rsid w:val="00F82714"/>
    <w:rPr>
      <w:sz w:val="16"/>
      <w:szCs w:val="16"/>
    </w:rPr>
  </w:style>
  <w:style w:type="paragraph" w:styleId="CommentText">
    <w:name w:val="annotation text"/>
    <w:basedOn w:val="Normal"/>
    <w:link w:val="CommentTextChar"/>
    <w:uiPriority w:val="99"/>
    <w:semiHidden/>
    <w:unhideWhenUsed/>
    <w:rsid w:val="00F82714"/>
    <w:pPr>
      <w:spacing w:line="240" w:lineRule="auto"/>
    </w:pPr>
    <w:rPr>
      <w:sz w:val="20"/>
      <w:szCs w:val="20"/>
    </w:rPr>
  </w:style>
  <w:style w:type="character" w:customStyle="1" w:styleId="CommentTextChar">
    <w:name w:val="Comment Text Char"/>
    <w:basedOn w:val="DefaultParagraphFont"/>
    <w:link w:val="CommentText"/>
    <w:uiPriority w:val="99"/>
    <w:semiHidden/>
    <w:rsid w:val="00F827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6824">
      <w:bodyDiv w:val="1"/>
      <w:marLeft w:val="0"/>
      <w:marRight w:val="0"/>
      <w:marTop w:val="0"/>
      <w:marBottom w:val="0"/>
      <w:divBdr>
        <w:top w:val="none" w:sz="0" w:space="0" w:color="auto"/>
        <w:left w:val="none" w:sz="0" w:space="0" w:color="auto"/>
        <w:bottom w:val="none" w:sz="0" w:space="0" w:color="auto"/>
        <w:right w:val="none" w:sz="0" w:space="0" w:color="auto"/>
      </w:divBdr>
    </w:div>
    <w:div w:id="409348030">
      <w:bodyDiv w:val="1"/>
      <w:marLeft w:val="0"/>
      <w:marRight w:val="0"/>
      <w:marTop w:val="0"/>
      <w:marBottom w:val="0"/>
      <w:divBdr>
        <w:top w:val="none" w:sz="0" w:space="0" w:color="auto"/>
        <w:left w:val="none" w:sz="0" w:space="0" w:color="auto"/>
        <w:bottom w:val="none" w:sz="0" w:space="0" w:color="auto"/>
        <w:right w:val="none" w:sz="0" w:space="0" w:color="auto"/>
      </w:divBdr>
    </w:div>
    <w:div w:id="1085150953">
      <w:bodyDiv w:val="1"/>
      <w:marLeft w:val="0"/>
      <w:marRight w:val="0"/>
      <w:marTop w:val="0"/>
      <w:marBottom w:val="0"/>
      <w:divBdr>
        <w:top w:val="none" w:sz="0" w:space="0" w:color="auto"/>
        <w:left w:val="none" w:sz="0" w:space="0" w:color="auto"/>
        <w:bottom w:val="none" w:sz="0" w:space="0" w:color="auto"/>
        <w:right w:val="none" w:sz="0" w:space="0" w:color="auto"/>
      </w:divBdr>
    </w:div>
    <w:div w:id="1748110290">
      <w:bodyDiv w:val="1"/>
      <w:marLeft w:val="0"/>
      <w:marRight w:val="0"/>
      <w:marTop w:val="0"/>
      <w:marBottom w:val="0"/>
      <w:divBdr>
        <w:top w:val="none" w:sz="0" w:space="0" w:color="auto"/>
        <w:left w:val="none" w:sz="0" w:space="0" w:color="auto"/>
        <w:bottom w:val="none" w:sz="0" w:space="0" w:color="auto"/>
        <w:right w:val="none" w:sz="0" w:space="0" w:color="auto"/>
      </w:divBdr>
    </w:div>
    <w:div w:id="2142189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65E7A3A1AEFA438D563FCAD3AA6AFD" ma:contentTypeVersion="259" ma:contentTypeDescription="Een nieuw document maken." ma:contentTypeScope="" ma:versionID="a9f6faecbbf1607ca1e5469e8a4b1a50">
  <xsd:schema xmlns:xsd="http://www.w3.org/2001/XMLSchema" xmlns:xs="http://www.w3.org/2001/XMLSchema" xmlns:p="http://schemas.microsoft.com/office/2006/metadata/properties" xmlns:ns1="http://schemas.microsoft.com/sharepoint/v3" xmlns:ns3="936c9f6d-703f-4492-b10b-5967c53212d1" xmlns:ns4="d412437c-a386-4efa-941a-aa3e2fde1a44" targetNamespace="http://schemas.microsoft.com/office/2006/metadata/properties" ma:root="true" ma:fieldsID="577f4297d2f6088cadd50592f1745a21" ns1:_="" ns3:_="" ns4:_="">
    <xsd:import namespace="http://schemas.microsoft.com/sharepoint/v3"/>
    <xsd:import namespace="936c9f6d-703f-4492-b10b-5967c53212d1"/>
    <xsd:import namespace="d412437c-a386-4efa-941a-aa3e2fde1a44"/>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90235199-1d26-4395-951b-320ab5a106c6}" ma:internalName="TaxCatchAllLabel" ma:readOnly="true" ma:showField="CatchAllDataLabel" ma:web="d412437c-a386-4efa-941a-aa3e2fde1a44">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90235199-1d26-4395-951b-320ab5a106c6}" ma:internalName="TaxCatchAll" ma:showField="CatchAllData" ma:web="d412437c-a386-4efa-941a-aa3e2fde1a44">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12437c-a386-4efa-941a-aa3e2fde1a44"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Value>
      <Value>14</Value>
    </TaxCatchAll>
    <OrigineleLLLocatie xmlns="936c9f6d-703f-4492-b10b-5967c53212d1" xsi:nil="true"/>
    <OrigineleLLObjectId xmlns="936c9f6d-703f-4492-b10b-5967c53212d1">100095559</OrigineleLLObjectId>
    <Relatienummer xmlns="936c9f6d-703f-4492-b10b-5967c53212d1">BHL748</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d412437c-a386-4efa-941a-aa3e2fde1a44">BHL748-2-1174</_dlc_DocId>
    <_dlc_DocIdUrl xmlns="d412437c-a386-4efa-941a-aa3e2fde1a44">
      <Url>http://dms.stelan.nl/instellingen/BHL748/_layouts/15/DocIdRedir.aspx?ID=BHL748-2-1174</Url>
      <Description>BHL748-2-1174</Description>
    </_dlc_DocIdUrl>
    <Scandatum xmlns="936c9f6d-703f-4492-b10b-5967c53212d1">2018-11-20T11:35:35+00:00</Scandatum>
    <Afzender xmlns="936c9f6d-703f-4492-b10b-5967c53212d1">Accell Group N.V.</Afzender>
    <Registratienummer xmlns="936c9f6d-703f-4492-b10b-5967c53212d1">39090</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98805F60-CA36-4681-934E-E813EF8F41B9}"/>
</file>

<file path=customXml/itemProps2.xml><?xml version="1.0" encoding="utf-8"?>
<ds:datastoreItem xmlns:ds="http://schemas.openxmlformats.org/officeDocument/2006/customXml" ds:itemID="{FAC5A2E2-13AC-4BAB-B7C4-26B338F4330F}"/>
</file>

<file path=customXml/itemProps3.xml><?xml version="1.0" encoding="utf-8"?>
<ds:datastoreItem xmlns:ds="http://schemas.openxmlformats.org/officeDocument/2006/customXml" ds:itemID="{039FE71B-6C1E-479A-AB3E-5DB1927519FB}"/>
</file>

<file path=customXml/itemProps4.xml><?xml version="1.0" encoding="utf-8"?>
<ds:datastoreItem xmlns:ds="http://schemas.openxmlformats.org/officeDocument/2006/customXml" ds:itemID="{A52162AD-752E-4D2B-AED3-CEB29E475CBC}"/>
</file>

<file path=customXml/itemProps5.xml><?xml version="1.0" encoding="utf-8"?>
<ds:datastoreItem xmlns:ds="http://schemas.openxmlformats.org/officeDocument/2006/customXml" ds:itemID="{5A0F3DF1-C79E-4CAC-B22A-CCD52FC66337}"/>
</file>

<file path=customXml/itemProps6.xml><?xml version="1.0" encoding="utf-8"?>
<ds:datastoreItem xmlns:ds="http://schemas.openxmlformats.org/officeDocument/2006/customXml" ds:itemID="{E6B2B52E-1D2F-4FB0-9BD4-1ABE450663B2}"/>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39090_181119 - Press Release Pon Holdings on Acquired Shares.docx</dc:title>
  <dc:creator>Lurvink, Jacqueline</dc:creator>
  <cp:lastModifiedBy>Lurvink, Jacqueline</cp:lastModifiedBy>
  <cp:revision>2</cp:revision>
  <dcterms:created xsi:type="dcterms:W3CDTF">2018-11-20T11:34:00Z</dcterms:created>
  <dcterms:modified xsi:type="dcterms:W3CDTF">2018-11-20T11:34:00Z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0x010100AF3C3E63A8E348D0B83574E1B1F453E5003929ED3A8D04456685ACF4C22313EE1B003179F0876C424676AC6F62DFF7F73A17005C65E7A3A1AEFA438D563FCAD3AA6AFD</vt:lpwstr>
  </property>
  <property fmtid="{D5CDD505-2E9C-101B-9397-08002B2CF9AE}" pid="3" name="VertrouwelijkheidTaxHTField0">
    <vt:lpwstr>B - AFM intern|7b7ff21d-0bb8-4cab-b8de-f0e80c0220e6</vt:lpwstr>
  </property>
  <property fmtid="{D5CDD505-2E9C-101B-9397-08002B2CF9AE}" pid="4" name="_dlc_DocIdItemGuid">
    <vt:lpwstr>7569ad0d-a577-4ce2-8112-f892b24566c2</vt:lpwstr>
  </property>
  <property fmtid="{D5CDD505-2E9C-101B-9397-08002B2CF9AE}" pid="5" name="Vertrouwelijkheid">
    <vt:lpwstr>1;#B - AFM intern|7b7ff21d-0bb8-4cab-b8de-f0e80c0220e6</vt:lpwstr>
  </property>
  <property fmtid="{D5CDD505-2E9C-101B-9397-08002B2CF9AE}" pid="6" name="TaxKeyword">
    <vt:lpwstr/>
  </property>
  <property fmtid="{D5CDD505-2E9C-101B-9397-08002B2CF9AE}" pid="7" name="Kanaal">
    <vt:lpwstr>14;#Loket|2d658804-9364-49db-8388-b19b0f75bc5e</vt:lpwstr>
  </property>
  <property fmtid="{D5CDD505-2E9C-101B-9397-08002B2CF9AE}" pid="8" name="Toezichtstaak">
    <vt:lpwstr/>
  </property>
  <property fmtid="{D5CDD505-2E9C-101B-9397-08002B2CF9AE}" pid="9" name="Documenttype">
    <vt:lpwstr/>
  </property>
  <property fmtid="{D5CDD505-2E9C-101B-9397-08002B2CF9AE}" pid="10" name="Organisatieonderdeel">
    <vt:lpwstr>13;#DIV|60ad375a-4acb-46c1-99e9-7f617816c991</vt:lpwstr>
  </property>
  <property fmtid="{D5CDD505-2E9C-101B-9397-08002B2CF9AE}" pid="11" name="Proces">
    <vt:lpwstr/>
  </property>
</Properties>
</file>