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D1" w:rsidRDefault="000E0122" w:rsidP="004678D1">
      <w:pPr>
        <w:spacing w:line="240" w:lineRule="auto"/>
        <w:rPr>
          <w:rFonts w:cs="Arial"/>
          <w:color w:val="000000" w:themeColor="text1"/>
          <w:szCs w:val="24"/>
          <w:lang w:val="en-US"/>
        </w:rPr>
      </w:pPr>
      <w:bookmarkStart w:id="0" w:name="OLE_LINK1"/>
      <w:bookmarkStart w:id="1" w:name="OLE_LINK2"/>
      <w:bookmarkStart w:id="2" w:name="_GoBack"/>
      <w:bookmarkEnd w:id="2"/>
      <w:r>
        <w:rPr>
          <w:noProof/>
          <w:lang w:val="en-US"/>
        </w:rPr>
        <w:t>March</w:t>
      </w:r>
      <w:r w:rsidR="007B0BBC">
        <w:rPr>
          <w:noProof/>
          <w:lang w:val="en-US"/>
        </w:rPr>
        <w:t xml:space="preserve"> </w:t>
      </w:r>
      <w:r w:rsidR="000236E4">
        <w:rPr>
          <w:noProof/>
          <w:lang w:val="en-US"/>
        </w:rPr>
        <w:t>2</w:t>
      </w:r>
      <w:r w:rsidR="00035315">
        <w:rPr>
          <w:noProof/>
          <w:lang w:val="en-US"/>
        </w:rPr>
        <w:t>7</w:t>
      </w:r>
      <w:r w:rsidR="001E0764">
        <w:rPr>
          <w:noProof/>
          <w:lang w:val="en-US"/>
        </w:rPr>
        <w:t xml:space="preserve">, </w:t>
      </w:r>
      <w:r w:rsidR="004678D1" w:rsidRPr="001E2CE7">
        <w:rPr>
          <w:rFonts w:cs="Arial"/>
          <w:color w:val="000000" w:themeColor="text1"/>
          <w:szCs w:val="24"/>
          <w:lang w:val="en-US"/>
        </w:rPr>
        <w:t>201</w:t>
      </w:r>
      <w:r w:rsidR="00500EAF">
        <w:rPr>
          <w:rFonts w:cs="Arial"/>
          <w:color w:val="000000" w:themeColor="text1"/>
          <w:szCs w:val="24"/>
          <w:lang w:val="en-US"/>
        </w:rPr>
        <w:t>7</w:t>
      </w:r>
    </w:p>
    <w:p w:rsidR="00C5784E" w:rsidRPr="001E2CE7" w:rsidRDefault="00C5784E" w:rsidP="004678D1">
      <w:pPr>
        <w:spacing w:line="240" w:lineRule="auto"/>
        <w:rPr>
          <w:rFonts w:cs="Arial"/>
          <w:color w:val="000000" w:themeColor="text1"/>
          <w:szCs w:val="24"/>
          <w:lang w:val="en-US"/>
        </w:rPr>
      </w:pPr>
    </w:p>
    <w:p w:rsidR="00C5784E" w:rsidRPr="00C5784E" w:rsidRDefault="00C5784E" w:rsidP="00C5784E">
      <w:pPr>
        <w:autoSpaceDE w:val="0"/>
        <w:autoSpaceDN w:val="0"/>
        <w:adjustRightInd w:val="0"/>
        <w:spacing w:after="0" w:line="240" w:lineRule="auto"/>
        <w:rPr>
          <w:rFonts w:cs="Arial"/>
          <w:b/>
          <w:bCs/>
          <w:sz w:val="24"/>
          <w:szCs w:val="24"/>
          <w:lang w:val="en-US"/>
        </w:rPr>
      </w:pPr>
      <w:r>
        <w:rPr>
          <w:rFonts w:cs="Arial"/>
          <w:b/>
          <w:bCs/>
          <w:sz w:val="24"/>
          <w:szCs w:val="24"/>
          <w:lang w:val="en-US"/>
        </w:rPr>
        <w:t>AkzoNobel share</w:t>
      </w:r>
      <w:r w:rsidRPr="00C5784E">
        <w:rPr>
          <w:rFonts w:cs="Arial"/>
          <w:b/>
          <w:bCs/>
          <w:sz w:val="24"/>
          <w:szCs w:val="24"/>
          <w:lang w:val="en-US"/>
        </w:rPr>
        <w:t xml:space="preserve"> repurchase (</w:t>
      </w:r>
      <w:r w:rsidR="00B11AAA">
        <w:rPr>
          <w:rFonts w:cs="Arial"/>
          <w:b/>
          <w:bCs/>
          <w:sz w:val="24"/>
          <w:szCs w:val="24"/>
          <w:lang w:val="en-US"/>
        </w:rPr>
        <w:t>March</w:t>
      </w:r>
      <w:r w:rsidR="00205B0D">
        <w:rPr>
          <w:rFonts w:cs="Arial"/>
          <w:b/>
          <w:bCs/>
          <w:sz w:val="24"/>
          <w:szCs w:val="24"/>
          <w:lang w:val="en-US"/>
        </w:rPr>
        <w:t xml:space="preserve"> </w:t>
      </w:r>
      <w:r w:rsidR="00035315">
        <w:rPr>
          <w:rFonts w:cs="Arial"/>
          <w:b/>
          <w:bCs/>
          <w:sz w:val="24"/>
          <w:szCs w:val="24"/>
          <w:lang w:val="en-US"/>
        </w:rPr>
        <w:t>20</w:t>
      </w:r>
      <w:r>
        <w:rPr>
          <w:rFonts w:cs="Arial"/>
          <w:b/>
          <w:bCs/>
          <w:sz w:val="24"/>
          <w:szCs w:val="24"/>
          <w:lang w:val="en-US"/>
        </w:rPr>
        <w:t xml:space="preserve">, 2017 – </w:t>
      </w:r>
      <w:r w:rsidR="000E0122">
        <w:rPr>
          <w:rFonts w:cs="Arial"/>
          <w:b/>
          <w:bCs/>
          <w:sz w:val="24"/>
          <w:szCs w:val="24"/>
          <w:lang w:val="en-US"/>
        </w:rPr>
        <w:t>March</w:t>
      </w:r>
      <w:r w:rsidR="007B0BBC">
        <w:rPr>
          <w:rFonts w:cs="Arial"/>
          <w:b/>
          <w:bCs/>
          <w:sz w:val="24"/>
          <w:szCs w:val="24"/>
          <w:lang w:val="en-US"/>
        </w:rPr>
        <w:t xml:space="preserve"> </w:t>
      </w:r>
      <w:r w:rsidR="00035315">
        <w:rPr>
          <w:rFonts w:cs="Arial"/>
          <w:b/>
          <w:bCs/>
          <w:sz w:val="24"/>
          <w:szCs w:val="24"/>
          <w:lang w:val="en-US"/>
        </w:rPr>
        <w:t>24</w:t>
      </w:r>
      <w:r>
        <w:rPr>
          <w:rFonts w:cs="Arial"/>
          <w:b/>
          <w:bCs/>
          <w:sz w:val="24"/>
          <w:szCs w:val="24"/>
          <w:lang w:val="en-US"/>
        </w:rPr>
        <w:t xml:space="preserve">, </w:t>
      </w:r>
      <w:r w:rsidRPr="00C5784E">
        <w:rPr>
          <w:rFonts w:cs="Arial"/>
          <w:b/>
          <w:bCs/>
          <w:sz w:val="24"/>
          <w:szCs w:val="24"/>
          <w:lang w:val="en-US"/>
        </w:rPr>
        <w:t>201</w:t>
      </w:r>
      <w:r>
        <w:rPr>
          <w:rFonts w:cs="Arial"/>
          <w:b/>
          <w:bCs/>
          <w:sz w:val="24"/>
          <w:szCs w:val="24"/>
          <w:lang w:val="en-US"/>
        </w:rPr>
        <w:t>7)</w:t>
      </w:r>
    </w:p>
    <w:p w:rsidR="00C5784E" w:rsidRPr="00C5784E" w:rsidRDefault="00C5784E" w:rsidP="00C5784E">
      <w:pPr>
        <w:autoSpaceDE w:val="0"/>
        <w:autoSpaceDN w:val="0"/>
        <w:adjustRightInd w:val="0"/>
        <w:spacing w:after="0" w:line="240" w:lineRule="auto"/>
        <w:rPr>
          <w:rFonts w:cs="Arial"/>
          <w:b/>
          <w:bCs/>
          <w:szCs w:val="20"/>
          <w:lang w:val="en-US"/>
        </w:rPr>
      </w:pPr>
    </w:p>
    <w:p w:rsidR="000A1A13" w:rsidRPr="003C4FD2" w:rsidRDefault="000A1A13" w:rsidP="000A1A13">
      <w:pPr>
        <w:spacing w:after="0" w:line="240" w:lineRule="auto"/>
        <w:rPr>
          <w:b/>
          <w:szCs w:val="20"/>
          <w:lang w:val="en-US"/>
        </w:rPr>
      </w:pPr>
      <w:proofErr w:type="spellStart"/>
      <w:r>
        <w:rPr>
          <w:b/>
          <w:szCs w:val="20"/>
          <w:lang w:val="en-US"/>
        </w:rPr>
        <w:t>Akzo</w:t>
      </w:r>
      <w:proofErr w:type="spellEnd"/>
      <w:r>
        <w:rPr>
          <w:b/>
          <w:szCs w:val="20"/>
          <w:lang w:val="en-US"/>
        </w:rPr>
        <w:t xml:space="preserve"> </w:t>
      </w:r>
      <w:r w:rsidRPr="003C4FD2">
        <w:rPr>
          <w:b/>
          <w:szCs w:val="20"/>
          <w:lang w:val="en-US"/>
        </w:rPr>
        <w:t>Nobel N.V. (AKZA.AS; AKZOY)</w:t>
      </w:r>
    </w:p>
    <w:p w:rsidR="000A1A13" w:rsidRDefault="000A1A13" w:rsidP="00C5784E">
      <w:pPr>
        <w:autoSpaceDE w:val="0"/>
        <w:autoSpaceDN w:val="0"/>
        <w:adjustRightInd w:val="0"/>
        <w:spacing w:after="0" w:line="240" w:lineRule="auto"/>
        <w:rPr>
          <w:rFonts w:cs="Arial"/>
          <w:bCs/>
          <w:szCs w:val="20"/>
          <w:lang w:val="en-US"/>
        </w:rPr>
      </w:pPr>
    </w:p>
    <w:p w:rsidR="00C5784E" w:rsidRDefault="00C5784E" w:rsidP="00C5784E">
      <w:pPr>
        <w:autoSpaceDE w:val="0"/>
        <w:autoSpaceDN w:val="0"/>
        <w:adjustRightInd w:val="0"/>
        <w:spacing w:after="0" w:line="240" w:lineRule="auto"/>
        <w:rPr>
          <w:rFonts w:cs="Arial"/>
          <w:bCs/>
          <w:szCs w:val="20"/>
          <w:lang w:val="en-US"/>
        </w:rPr>
      </w:pPr>
      <w:r>
        <w:rPr>
          <w:rFonts w:cs="Arial"/>
          <w:bCs/>
          <w:szCs w:val="20"/>
          <w:lang w:val="en-US"/>
        </w:rPr>
        <w:t>AkzoNobel</w:t>
      </w:r>
      <w:r w:rsidRPr="004B4549">
        <w:rPr>
          <w:rFonts w:cs="Arial"/>
          <w:bCs/>
          <w:szCs w:val="20"/>
          <w:lang w:val="en-US"/>
        </w:rPr>
        <w:t xml:space="preserve"> has repurchased </w:t>
      </w:r>
      <w:r w:rsidR="00035315">
        <w:rPr>
          <w:rFonts w:cs="Arial"/>
          <w:bCs/>
          <w:szCs w:val="20"/>
          <w:lang w:val="en-US"/>
        </w:rPr>
        <w:t>263</w:t>
      </w:r>
      <w:r w:rsidR="007B0BBC" w:rsidRPr="004B4549">
        <w:rPr>
          <w:rFonts w:cs="Arial"/>
          <w:bCs/>
          <w:szCs w:val="20"/>
          <w:lang w:val="en-US"/>
        </w:rPr>
        <w:t xml:space="preserve">,000 </w:t>
      </w:r>
      <w:r w:rsidRPr="004B4549">
        <w:rPr>
          <w:rFonts w:cs="Arial"/>
          <w:bCs/>
          <w:szCs w:val="20"/>
          <w:lang w:val="en-US"/>
        </w:rPr>
        <w:t>of its</w:t>
      </w:r>
      <w:r>
        <w:rPr>
          <w:rFonts w:cs="Arial"/>
          <w:bCs/>
          <w:szCs w:val="20"/>
          <w:lang w:val="en-US"/>
        </w:rPr>
        <w:t xml:space="preserve"> own </w:t>
      </w:r>
      <w:r w:rsidR="00D130FA">
        <w:rPr>
          <w:rFonts w:cs="Arial"/>
          <w:bCs/>
          <w:szCs w:val="20"/>
          <w:lang w:val="en-US"/>
        </w:rPr>
        <w:t xml:space="preserve">ordinary </w:t>
      </w:r>
      <w:r>
        <w:rPr>
          <w:rFonts w:cs="Arial"/>
          <w:bCs/>
          <w:szCs w:val="20"/>
          <w:lang w:val="en-US"/>
        </w:rPr>
        <w:t>sha</w:t>
      </w:r>
      <w:r w:rsidR="007B0BBC">
        <w:rPr>
          <w:rFonts w:cs="Arial"/>
          <w:bCs/>
          <w:szCs w:val="20"/>
          <w:lang w:val="en-US"/>
        </w:rPr>
        <w:t xml:space="preserve">res in the period from </w:t>
      </w:r>
      <w:r w:rsidR="00B11AAA">
        <w:rPr>
          <w:rFonts w:cs="Arial"/>
          <w:bCs/>
          <w:szCs w:val="20"/>
          <w:lang w:val="en-US"/>
        </w:rPr>
        <w:t>March</w:t>
      </w:r>
      <w:r w:rsidR="00205B0D">
        <w:rPr>
          <w:rFonts w:cs="Arial"/>
          <w:bCs/>
          <w:szCs w:val="20"/>
          <w:lang w:val="en-US"/>
        </w:rPr>
        <w:t xml:space="preserve"> </w:t>
      </w:r>
      <w:r w:rsidR="00035315">
        <w:rPr>
          <w:rFonts w:cs="Arial"/>
          <w:bCs/>
          <w:szCs w:val="20"/>
          <w:lang w:val="en-US"/>
        </w:rPr>
        <w:t>20</w:t>
      </w:r>
      <w:r>
        <w:rPr>
          <w:rFonts w:cs="Arial"/>
          <w:bCs/>
          <w:szCs w:val="20"/>
          <w:lang w:val="en-US"/>
        </w:rPr>
        <w:t>, 2017 up to an</w:t>
      </w:r>
      <w:r w:rsidRPr="00C5784E">
        <w:rPr>
          <w:rFonts w:cs="Arial"/>
          <w:bCs/>
          <w:szCs w:val="20"/>
          <w:lang w:val="en-US"/>
        </w:rPr>
        <w:t xml:space="preserve">d including </w:t>
      </w:r>
      <w:r w:rsidR="00BC76CE">
        <w:rPr>
          <w:rFonts w:cs="Arial"/>
          <w:bCs/>
          <w:szCs w:val="20"/>
          <w:lang w:val="en-US"/>
        </w:rPr>
        <w:t>March</w:t>
      </w:r>
      <w:r w:rsidR="007B0BBC">
        <w:rPr>
          <w:rFonts w:cs="Arial"/>
          <w:bCs/>
          <w:szCs w:val="20"/>
          <w:lang w:val="en-US"/>
        </w:rPr>
        <w:t xml:space="preserve"> </w:t>
      </w:r>
      <w:r w:rsidR="00035315">
        <w:rPr>
          <w:rFonts w:cs="Arial"/>
          <w:bCs/>
          <w:szCs w:val="20"/>
          <w:lang w:val="en-US"/>
        </w:rPr>
        <w:t>24</w:t>
      </w:r>
      <w:r w:rsidR="002640A3">
        <w:rPr>
          <w:rFonts w:cs="Arial"/>
          <w:bCs/>
          <w:szCs w:val="20"/>
          <w:lang w:val="en-US"/>
        </w:rPr>
        <w:t>,</w:t>
      </w:r>
      <w:r>
        <w:rPr>
          <w:rFonts w:cs="Arial"/>
          <w:bCs/>
          <w:szCs w:val="20"/>
          <w:lang w:val="en-US"/>
        </w:rPr>
        <w:t xml:space="preserve"> 2017, at an average </w:t>
      </w:r>
      <w:r w:rsidRPr="00C5784E">
        <w:rPr>
          <w:rFonts w:cs="Arial"/>
          <w:bCs/>
          <w:szCs w:val="20"/>
          <w:lang w:val="en-US"/>
        </w:rPr>
        <w:t xml:space="preserve">price of </w:t>
      </w:r>
      <w:r w:rsidRPr="004B4549">
        <w:rPr>
          <w:rFonts w:cs="Arial"/>
          <w:bCs/>
          <w:szCs w:val="20"/>
          <w:lang w:val="en-US"/>
        </w:rPr>
        <w:t>€</w:t>
      </w:r>
      <w:r w:rsidR="000236E4">
        <w:rPr>
          <w:rFonts w:cs="Arial"/>
          <w:bCs/>
          <w:szCs w:val="20"/>
          <w:lang w:val="en-US"/>
        </w:rPr>
        <w:t>7</w:t>
      </w:r>
      <w:r w:rsidR="00035315">
        <w:rPr>
          <w:rFonts w:cs="Arial"/>
          <w:bCs/>
          <w:szCs w:val="20"/>
          <w:lang w:val="en-US"/>
        </w:rPr>
        <w:t>6</w:t>
      </w:r>
      <w:r w:rsidR="002640A3" w:rsidRPr="004B4549">
        <w:rPr>
          <w:rFonts w:cs="Arial"/>
          <w:bCs/>
          <w:szCs w:val="20"/>
          <w:lang w:val="en-US"/>
        </w:rPr>
        <w:t>.</w:t>
      </w:r>
      <w:r w:rsidR="000236E4">
        <w:rPr>
          <w:rFonts w:cs="Arial"/>
          <w:bCs/>
          <w:szCs w:val="20"/>
          <w:lang w:val="en-US"/>
        </w:rPr>
        <w:t>4</w:t>
      </w:r>
      <w:r w:rsidR="00035315">
        <w:rPr>
          <w:rFonts w:cs="Arial"/>
          <w:bCs/>
          <w:szCs w:val="20"/>
          <w:lang w:val="en-US"/>
        </w:rPr>
        <w:t>9</w:t>
      </w:r>
      <w:r w:rsidR="00BF25B1">
        <w:rPr>
          <w:rFonts w:cs="Arial"/>
          <w:bCs/>
          <w:szCs w:val="20"/>
          <w:lang w:val="en-US"/>
        </w:rPr>
        <w:t xml:space="preserve"> per share</w:t>
      </w:r>
      <w:r>
        <w:rPr>
          <w:rFonts w:cs="Arial"/>
          <w:bCs/>
          <w:szCs w:val="20"/>
          <w:lang w:val="en-US"/>
        </w:rPr>
        <w:t>.</w:t>
      </w:r>
      <w:r w:rsidR="001E0764">
        <w:rPr>
          <w:rFonts w:cs="Arial"/>
          <w:bCs/>
          <w:szCs w:val="20"/>
          <w:lang w:val="en-US"/>
        </w:rPr>
        <w:t xml:space="preserve"> </w:t>
      </w:r>
      <w:r w:rsidRPr="00C5784E">
        <w:rPr>
          <w:rFonts w:cs="Arial"/>
          <w:bCs/>
          <w:szCs w:val="20"/>
          <w:lang w:val="en-US"/>
        </w:rPr>
        <w:t xml:space="preserve">The consideration of </w:t>
      </w:r>
      <w:r w:rsidR="001E0764">
        <w:rPr>
          <w:rFonts w:cs="Arial"/>
          <w:bCs/>
          <w:szCs w:val="20"/>
          <w:lang w:val="en-US"/>
        </w:rPr>
        <w:t>the</w:t>
      </w:r>
      <w:r w:rsidRPr="00C5784E">
        <w:rPr>
          <w:rFonts w:cs="Arial"/>
          <w:bCs/>
          <w:szCs w:val="20"/>
          <w:lang w:val="en-US"/>
        </w:rPr>
        <w:t xml:space="preserve"> repurchase was </w:t>
      </w:r>
      <w:r w:rsidRPr="004B4549">
        <w:rPr>
          <w:rFonts w:cs="Arial"/>
          <w:bCs/>
          <w:szCs w:val="20"/>
          <w:lang w:val="en-US"/>
        </w:rPr>
        <w:t>€</w:t>
      </w:r>
      <w:r w:rsidR="000236E4">
        <w:rPr>
          <w:rFonts w:cs="Arial"/>
          <w:bCs/>
          <w:szCs w:val="20"/>
          <w:lang w:val="en-US"/>
        </w:rPr>
        <w:t>1</w:t>
      </w:r>
      <w:r w:rsidR="00035315">
        <w:rPr>
          <w:rFonts w:cs="Arial"/>
          <w:bCs/>
          <w:szCs w:val="20"/>
          <w:lang w:val="en-US"/>
        </w:rPr>
        <w:t>9</w:t>
      </w:r>
      <w:r w:rsidR="004B4549" w:rsidRPr="004B4549">
        <w:rPr>
          <w:rFonts w:cs="Arial"/>
          <w:bCs/>
          <w:szCs w:val="20"/>
          <w:lang w:val="en-US"/>
        </w:rPr>
        <w:t>.</w:t>
      </w:r>
      <w:r w:rsidR="00035315">
        <w:rPr>
          <w:rFonts w:cs="Arial"/>
          <w:bCs/>
          <w:szCs w:val="20"/>
          <w:lang w:val="en-US"/>
        </w:rPr>
        <w:t>80</w:t>
      </w:r>
      <w:r w:rsidR="000A479C">
        <w:rPr>
          <w:rFonts w:cs="Arial"/>
          <w:bCs/>
          <w:szCs w:val="20"/>
          <w:lang w:val="en-US"/>
        </w:rPr>
        <w:t xml:space="preserve"> </w:t>
      </w:r>
      <w:r w:rsidRPr="00C5784E">
        <w:rPr>
          <w:rFonts w:cs="Arial"/>
          <w:bCs/>
          <w:szCs w:val="20"/>
          <w:lang w:val="en-US"/>
        </w:rPr>
        <w:t>million.</w:t>
      </w:r>
    </w:p>
    <w:p w:rsidR="00672482" w:rsidRDefault="00672482" w:rsidP="00C5784E">
      <w:pPr>
        <w:autoSpaceDE w:val="0"/>
        <w:autoSpaceDN w:val="0"/>
        <w:adjustRightInd w:val="0"/>
        <w:spacing w:after="0" w:line="240" w:lineRule="auto"/>
        <w:rPr>
          <w:rFonts w:cs="Arial"/>
          <w:bCs/>
          <w:szCs w:val="20"/>
          <w:lang w:val="en-US"/>
        </w:rPr>
      </w:pPr>
    </w:p>
    <w:bookmarkEnd w:id="0"/>
    <w:bookmarkEnd w:id="1"/>
    <w:p w:rsidR="007B0BBC" w:rsidRDefault="007B0BBC" w:rsidP="007B0BBC">
      <w:pPr>
        <w:autoSpaceDE w:val="0"/>
        <w:autoSpaceDN w:val="0"/>
        <w:adjustRightInd w:val="0"/>
        <w:spacing w:after="0" w:line="240" w:lineRule="auto"/>
        <w:rPr>
          <w:rFonts w:cs="Arial"/>
          <w:szCs w:val="20"/>
          <w:lang w:val="en-US"/>
        </w:rPr>
      </w:pPr>
      <w:r w:rsidRPr="00432883">
        <w:rPr>
          <w:rFonts w:cs="Arial"/>
          <w:bCs/>
          <w:szCs w:val="20"/>
          <w:lang w:val="en-US"/>
        </w:rPr>
        <w:t xml:space="preserve">This is part of a repurchase program announced on December 12, 2016. </w:t>
      </w:r>
      <w:r w:rsidRPr="00432883">
        <w:rPr>
          <w:rFonts w:cs="Arial"/>
          <w:szCs w:val="20"/>
          <w:lang w:val="en-US"/>
        </w:rPr>
        <w:t xml:space="preserve">The total number of shares repurchased under this program to date is </w:t>
      </w:r>
      <w:r w:rsidR="00063F14" w:rsidRPr="004B4549">
        <w:rPr>
          <w:rFonts w:cs="Arial"/>
          <w:szCs w:val="20"/>
          <w:lang w:val="en-US"/>
        </w:rPr>
        <w:t>1.</w:t>
      </w:r>
      <w:r w:rsidR="00035315">
        <w:rPr>
          <w:rFonts w:cs="Arial"/>
          <w:szCs w:val="20"/>
          <w:lang w:val="en-US"/>
        </w:rPr>
        <w:t>99</w:t>
      </w:r>
      <w:r w:rsidR="00063F14" w:rsidRPr="004B4549">
        <w:rPr>
          <w:rFonts w:cs="Arial"/>
          <w:szCs w:val="20"/>
          <w:lang w:val="en-US"/>
        </w:rPr>
        <w:t xml:space="preserve"> million</w:t>
      </w:r>
      <w:r w:rsidRPr="00432883">
        <w:rPr>
          <w:rFonts w:cs="Arial"/>
          <w:szCs w:val="20"/>
          <w:lang w:val="en-US"/>
        </w:rPr>
        <w:t xml:space="preserve"> ordinary shares for a total consideration of </w:t>
      </w:r>
      <w:r w:rsidRPr="00DD6112">
        <w:rPr>
          <w:rFonts w:cs="Arial"/>
          <w:szCs w:val="20"/>
          <w:lang w:val="en-US"/>
        </w:rPr>
        <w:t>€</w:t>
      </w:r>
      <w:r w:rsidR="00035315">
        <w:rPr>
          <w:rFonts w:cs="Arial"/>
          <w:szCs w:val="20"/>
          <w:lang w:val="en-US"/>
        </w:rPr>
        <w:t>129</w:t>
      </w:r>
      <w:r w:rsidR="00CE26B7" w:rsidRPr="00DD6112">
        <w:rPr>
          <w:rFonts w:cs="Arial"/>
          <w:szCs w:val="20"/>
          <w:lang w:val="en-US"/>
        </w:rPr>
        <w:t>.</w:t>
      </w:r>
      <w:r w:rsidR="00035315">
        <w:rPr>
          <w:rFonts w:cs="Arial"/>
          <w:szCs w:val="20"/>
          <w:lang w:val="en-US"/>
        </w:rPr>
        <w:t>80</w:t>
      </w:r>
      <w:r w:rsidRPr="00432883">
        <w:rPr>
          <w:rFonts w:cs="Arial"/>
          <w:szCs w:val="20"/>
          <w:lang w:val="en-US"/>
        </w:rPr>
        <w:t xml:space="preserve"> million.</w:t>
      </w:r>
    </w:p>
    <w:p w:rsidR="000A1A13" w:rsidRDefault="000A1A13" w:rsidP="007B0BBC">
      <w:pPr>
        <w:autoSpaceDE w:val="0"/>
        <w:autoSpaceDN w:val="0"/>
        <w:adjustRightInd w:val="0"/>
        <w:spacing w:after="0" w:line="240" w:lineRule="auto"/>
        <w:rPr>
          <w:rFonts w:cs="Arial"/>
          <w:szCs w:val="20"/>
          <w:lang w:val="en-US"/>
        </w:rPr>
      </w:pPr>
    </w:p>
    <w:p w:rsidR="000A1A13" w:rsidRDefault="000A1A13" w:rsidP="007B0BBC">
      <w:pPr>
        <w:autoSpaceDE w:val="0"/>
        <w:autoSpaceDN w:val="0"/>
        <w:adjustRightInd w:val="0"/>
        <w:spacing w:after="0" w:line="240" w:lineRule="auto"/>
        <w:rPr>
          <w:rFonts w:cs="Arial"/>
          <w:szCs w:val="20"/>
          <w:lang w:val="en-US"/>
        </w:rPr>
      </w:pPr>
      <w:r w:rsidRPr="001B03A9">
        <w:rPr>
          <w:lang w:val="en-GB"/>
        </w:rPr>
        <w:t xml:space="preserve">In the period from March 9, 2017 up to and including March 24, 2017, AkzoNobel has repurchased </w:t>
      </w:r>
      <w:r>
        <w:rPr>
          <w:lang w:val="en-GB"/>
        </w:rPr>
        <w:t>418,000</w:t>
      </w:r>
      <w:r w:rsidRPr="001B03A9">
        <w:rPr>
          <w:lang w:val="en-GB"/>
        </w:rPr>
        <w:t xml:space="preserve"> of its own ordinary shares at an average price of €</w:t>
      </w:r>
      <w:r>
        <w:rPr>
          <w:lang w:val="en-GB"/>
        </w:rPr>
        <w:t xml:space="preserve">75.74 </w:t>
      </w:r>
      <w:r w:rsidRPr="001B03A9">
        <w:rPr>
          <w:lang w:val="en-GB"/>
        </w:rPr>
        <w:t>per share. The total consideration of the repurchases i</w:t>
      </w:r>
      <w:r>
        <w:rPr>
          <w:lang w:val="en-GB"/>
        </w:rPr>
        <w:t>n this period was €31.46 million.</w:t>
      </w:r>
    </w:p>
    <w:p w:rsidR="00BF25B1" w:rsidRDefault="00BF25B1" w:rsidP="00B116A5">
      <w:pPr>
        <w:rPr>
          <w:rFonts w:cs="Arial"/>
          <w:color w:val="000000" w:themeColor="text1"/>
          <w:szCs w:val="20"/>
          <w:lang w:val="en-US"/>
        </w:rPr>
      </w:pPr>
    </w:p>
    <w:p w:rsidR="00D6493C" w:rsidRDefault="00107FF2" w:rsidP="00B116A5">
      <w:pPr>
        <w:rPr>
          <w:rFonts w:cs="Arial"/>
          <w:color w:val="000000" w:themeColor="text1"/>
          <w:szCs w:val="20"/>
          <w:lang w:val="en-US"/>
        </w:rPr>
      </w:pPr>
      <w:r>
        <w:rPr>
          <w:rFonts w:cs="Arial"/>
          <w:color w:val="000000" w:themeColor="text1"/>
          <w:szCs w:val="20"/>
          <w:lang w:val="en-US"/>
        </w:rPr>
        <w:t>The purpose of th</w:t>
      </w:r>
      <w:r w:rsidR="00D8076A">
        <w:rPr>
          <w:rFonts w:cs="Arial"/>
          <w:color w:val="000000" w:themeColor="text1"/>
          <w:szCs w:val="20"/>
          <w:lang w:val="en-US"/>
        </w:rPr>
        <w:t>e</w:t>
      </w:r>
      <w:r>
        <w:rPr>
          <w:rFonts w:cs="Arial"/>
          <w:color w:val="000000" w:themeColor="text1"/>
          <w:szCs w:val="20"/>
          <w:lang w:val="en-US"/>
        </w:rPr>
        <w:t xml:space="preserve"> program is</w:t>
      </w:r>
      <w:r w:rsidR="00B116A5" w:rsidRPr="00B116A5">
        <w:rPr>
          <w:rFonts w:cs="Arial"/>
          <w:color w:val="000000" w:themeColor="text1"/>
          <w:szCs w:val="20"/>
          <w:lang w:val="en-US"/>
        </w:rPr>
        <w:t xml:space="preserve"> to neutralize</w:t>
      </w:r>
      <w:r w:rsidR="00B116A5">
        <w:rPr>
          <w:rFonts w:cs="Arial"/>
          <w:color w:val="000000" w:themeColor="text1"/>
          <w:szCs w:val="20"/>
          <w:lang w:val="en-US"/>
        </w:rPr>
        <w:t xml:space="preserve"> the dilutive effect of stock dividends paid in 2016</w:t>
      </w:r>
      <w:r w:rsidR="00D6493C">
        <w:rPr>
          <w:rFonts w:cs="Arial"/>
          <w:color w:val="000000" w:themeColor="text1"/>
          <w:szCs w:val="20"/>
          <w:lang w:val="en-US"/>
        </w:rPr>
        <w:t>.</w:t>
      </w:r>
      <w:r>
        <w:rPr>
          <w:rFonts w:cs="Arial"/>
          <w:color w:val="000000" w:themeColor="text1"/>
          <w:szCs w:val="20"/>
          <w:lang w:val="en-US"/>
        </w:rPr>
        <w:t xml:space="preserve"> </w:t>
      </w:r>
    </w:p>
    <w:p w:rsidR="001E0764" w:rsidRDefault="001E0764" w:rsidP="00D6493C">
      <w:pPr>
        <w:rPr>
          <w:rFonts w:cs="Arial"/>
          <w:color w:val="000000" w:themeColor="text1"/>
          <w:szCs w:val="20"/>
          <w:lang w:val="en-US"/>
        </w:rPr>
      </w:pPr>
    </w:p>
    <w:p w:rsidR="001B791D" w:rsidRDefault="001E0764" w:rsidP="00E3408E">
      <w:pPr>
        <w:rPr>
          <w:lang w:val="en-US"/>
        </w:rPr>
      </w:pPr>
      <w:r>
        <w:rPr>
          <w:rFonts w:cs="Arial"/>
          <w:color w:val="000000" w:themeColor="text1"/>
          <w:szCs w:val="20"/>
          <w:lang w:val="en-US"/>
        </w:rPr>
        <w:t xml:space="preserve">For more information, visit </w:t>
      </w:r>
      <w:hyperlink r:id="rId8" w:history="1">
        <w:r w:rsidR="001B791D" w:rsidRPr="008C148F">
          <w:rPr>
            <w:rStyle w:val="Hyperlink"/>
            <w:lang w:val="en-US"/>
          </w:rPr>
          <w:t>https://www.akzonobel.com/for-investors/shares/share-buyback-overview</w:t>
        </w:r>
      </w:hyperlink>
      <w:r w:rsidR="001B791D">
        <w:rPr>
          <w:lang w:val="en-US"/>
        </w:rPr>
        <w:t xml:space="preserve"> </w:t>
      </w:r>
    </w:p>
    <w:p w:rsidR="000A1A13" w:rsidRDefault="000A1A13" w:rsidP="00E3408E">
      <w:pPr>
        <w:rPr>
          <w:lang w:val="en-US"/>
        </w:rPr>
      </w:pPr>
    </w:p>
    <w:p w:rsidR="000A1A13" w:rsidRDefault="000A1A13" w:rsidP="000A1A13">
      <w:pPr>
        <w:rPr>
          <w:i/>
          <w:iCs/>
          <w:lang w:val="en-GB"/>
        </w:rPr>
      </w:pPr>
      <w:r w:rsidRPr="001B03A9">
        <w:rPr>
          <w:i/>
          <w:iCs/>
          <w:lang w:val="en-GB"/>
        </w:rPr>
        <w:t xml:space="preserve">This is a press release by </w:t>
      </w:r>
      <w:proofErr w:type="spellStart"/>
      <w:r w:rsidRPr="001B03A9">
        <w:rPr>
          <w:i/>
          <w:iCs/>
          <w:lang w:val="en-GB"/>
        </w:rPr>
        <w:t>Akzo</w:t>
      </w:r>
      <w:proofErr w:type="spellEnd"/>
      <w:r w:rsidRPr="001B03A9">
        <w:rPr>
          <w:i/>
          <w:iCs/>
          <w:lang w:val="en-GB"/>
        </w:rPr>
        <w:t xml:space="preserve"> Nobel N.V. pursuant to Section 5, paragraph 4 of the Netherlands Decree on Public Takeover Bids.</w:t>
      </w:r>
    </w:p>
    <w:p w:rsidR="00B70046" w:rsidRDefault="001B791D" w:rsidP="00E3408E">
      <w:pPr>
        <w:rPr>
          <w:rFonts w:cs="Arial"/>
          <w:color w:val="000000" w:themeColor="text1"/>
          <w:szCs w:val="20"/>
          <w:lang w:val="en-US"/>
        </w:rPr>
      </w:pPr>
      <w:r w:rsidRPr="008C148F" w:rsidDel="001B791D">
        <w:rPr>
          <w:lang w:val="en-US"/>
        </w:rPr>
        <w:t xml:space="preserve"> </w:t>
      </w:r>
    </w:p>
    <w:p w:rsidR="00FD1F06" w:rsidRPr="00922498" w:rsidRDefault="00FD1F06" w:rsidP="00FD1F06">
      <w:pPr>
        <w:spacing w:after="0"/>
        <w:rPr>
          <w:rFonts w:eastAsia="Arial" w:cs="Times New Roman"/>
          <w:b/>
          <w:lang w:val="en-US"/>
        </w:rPr>
      </w:pPr>
      <w:r w:rsidRPr="00922498">
        <w:rPr>
          <w:rFonts w:eastAsia="Arial" w:cs="Arial"/>
          <w:color w:val="000000"/>
          <w:lang w:val="en-US"/>
        </w:rPr>
        <w:t>- - -</w:t>
      </w:r>
    </w:p>
    <w:p w:rsidR="00FD1F06" w:rsidRPr="00922498" w:rsidRDefault="00FD1F06" w:rsidP="00FD1F06">
      <w:pPr>
        <w:spacing w:after="0" w:line="160" w:lineRule="exact"/>
        <w:jc w:val="both"/>
        <w:rPr>
          <w:rFonts w:eastAsia="Arial" w:cs="Arial"/>
          <w:color w:val="000000"/>
          <w:spacing w:val="-1"/>
          <w:sz w:val="14"/>
          <w:szCs w:val="14"/>
          <w:lang w:val="en-US"/>
        </w:rPr>
      </w:pPr>
    </w:p>
    <w:p w:rsidR="00F76033" w:rsidRDefault="00F76033" w:rsidP="00C76BC8">
      <w:pPr>
        <w:spacing w:before="90" w:after="0" w:line="160" w:lineRule="exact"/>
        <w:rPr>
          <w:rFonts w:eastAsia="Arial" w:cs="Arial"/>
          <w:color w:val="000000"/>
          <w:spacing w:val="-1"/>
          <w:sz w:val="14"/>
          <w:szCs w:val="14"/>
          <w:lang w:val="en-GB"/>
        </w:rPr>
      </w:pPr>
      <w:r w:rsidRPr="003F6D43">
        <w:rPr>
          <w:rFonts w:eastAsia="Arial" w:cs="Arial"/>
          <w:color w:val="000000"/>
          <w:spacing w:val="-1"/>
          <w:sz w:val="14"/>
          <w:szCs w:val="14"/>
          <w:lang w:val="en-GB"/>
        </w:rPr>
        <w:t xml:space="preserve">AkzoNobel creates everyday essentials to make people’s lives more liveable and inspiring. As a leading global paints and </w:t>
      </w:r>
      <w:proofErr w:type="gramStart"/>
      <w:r w:rsidRPr="003F6D43">
        <w:rPr>
          <w:rFonts w:eastAsia="Arial" w:cs="Arial"/>
          <w:color w:val="000000"/>
          <w:spacing w:val="-1"/>
          <w:sz w:val="14"/>
          <w:szCs w:val="14"/>
          <w:lang w:val="en-GB"/>
        </w:rPr>
        <w:t>coatings company</w:t>
      </w:r>
      <w:proofErr w:type="gramEnd"/>
      <w:r w:rsidRPr="003F6D43">
        <w:rPr>
          <w:rFonts w:eastAsia="Arial" w:cs="Arial"/>
          <w:color w:val="000000"/>
          <w:spacing w:val="-1"/>
          <w:sz w:val="14"/>
          <w:szCs w:val="14"/>
          <w:lang w:val="en-GB"/>
        </w:rPr>
        <w:t xml:space="preserve"> and a major producer of specialty chemicals, we supply essential ingredients, essential protection and essential </w:t>
      </w:r>
      <w:proofErr w:type="spellStart"/>
      <w:r w:rsidRPr="003F6D43">
        <w:rPr>
          <w:rFonts w:eastAsia="Arial" w:cs="Arial"/>
          <w:color w:val="000000"/>
          <w:spacing w:val="-1"/>
          <w:sz w:val="14"/>
          <w:szCs w:val="14"/>
          <w:lang w:val="en-GB"/>
        </w:rPr>
        <w:t>color</w:t>
      </w:r>
      <w:proofErr w:type="spellEnd"/>
      <w:r w:rsidRPr="003F6D43">
        <w:rPr>
          <w:rFonts w:eastAsia="Arial" w:cs="Arial"/>
          <w:color w:val="000000"/>
          <w:spacing w:val="-1"/>
          <w:sz w:val="14"/>
          <w:szCs w:val="14"/>
          <w:lang w:val="en-GB"/>
        </w:rPr>
        <w:t xml:space="preserve"> to industries and consumers worldwide. Backed by a pioneering heritage, our innovative products and sustainable technologies are designed to meet the growing demands of our fast-changing planet, while making life easier. Headquartered in Amsterdam, the Netherlands, we have approximately </w:t>
      </w:r>
      <w:r w:rsidRPr="008C5897">
        <w:rPr>
          <w:rFonts w:eastAsia="Arial" w:cs="Arial"/>
          <w:color w:val="000000"/>
          <w:spacing w:val="-1"/>
          <w:sz w:val="14"/>
          <w:szCs w:val="14"/>
          <w:lang w:val="en-GB"/>
        </w:rPr>
        <w:t>4</w:t>
      </w:r>
      <w:r w:rsidR="00CB76AD">
        <w:rPr>
          <w:rFonts w:eastAsia="Arial" w:cs="Arial"/>
          <w:color w:val="000000"/>
          <w:spacing w:val="-1"/>
          <w:sz w:val="14"/>
          <w:szCs w:val="14"/>
          <w:lang w:val="en-GB"/>
        </w:rPr>
        <w:t>6</w:t>
      </w:r>
      <w:r w:rsidRPr="008C5897">
        <w:rPr>
          <w:rFonts w:eastAsia="Arial" w:cs="Arial"/>
          <w:color w:val="000000"/>
          <w:spacing w:val="-1"/>
          <w:sz w:val="14"/>
          <w:szCs w:val="14"/>
          <w:lang w:val="en-GB"/>
        </w:rPr>
        <w:t>,000</w:t>
      </w:r>
      <w:r w:rsidRPr="003F6D43">
        <w:rPr>
          <w:rFonts w:eastAsia="Arial" w:cs="Arial"/>
          <w:color w:val="000000"/>
          <w:spacing w:val="-1"/>
          <w:sz w:val="14"/>
          <w:szCs w:val="14"/>
          <w:lang w:val="en-GB"/>
        </w:rPr>
        <w:t xml:space="preserve"> people in around 80 countries, while our portfolio includes well-known brands such as Dulux, </w:t>
      </w:r>
      <w:proofErr w:type="spellStart"/>
      <w:r w:rsidRPr="003F6D43">
        <w:rPr>
          <w:rFonts w:eastAsia="Arial" w:cs="Arial"/>
          <w:color w:val="000000"/>
          <w:spacing w:val="-1"/>
          <w:sz w:val="14"/>
          <w:szCs w:val="14"/>
          <w:lang w:val="en-GB"/>
        </w:rPr>
        <w:t>Sikkens</w:t>
      </w:r>
      <w:proofErr w:type="spellEnd"/>
      <w:r w:rsidRPr="003F6D43">
        <w:rPr>
          <w:rFonts w:eastAsia="Arial" w:cs="Arial"/>
          <w:color w:val="000000"/>
          <w:spacing w:val="-1"/>
          <w:sz w:val="14"/>
          <w:szCs w:val="14"/>
          <w:lang w:val="en-GB"/>
        </w:rPr>
        <w:t xml:space="preserve">, International, </w:t>
      </w:r>
      <w:proofErr w:type="spellStart"/>
      <w:r w:rsidRPr="003F6D43">
        <w:rPr>
          <w:rFonts w:eastAsia="Arial" w:cs="Arial"/>
          <w:color w:val="000000"/>
          <w:spacing w:val="-1"/>
          <w:sz w:val="14"/>
          <w:szCs w:val="14"/>
          <w:lang w:val="en-GB"/>
        </w:rPr>
        <w:t>Interpon</w:t>
      </w:r>
      <w:proofErr w:type="spellEnd"/>
      <w:r w:rsidRPr="003F6D43">
        <w:rPr>
          <w:rFonts w:eastAsia="Arial" w:cs="Arial"/>
          <w:color w:val="000000"/>
          <w:spacing w:val="-1"/>
          <w:sz w:val="14"/>
          <w:szCs w:val="14"/>
          <w:lang w:val="en-GB"/>
        </w:rPr>
        <w:t xml:space="preserve"> and </w:t>
      </w:r>
      <w:proofErr w:type="spellStart"/>
      <w:r w:rsidRPr="003F6D43">
        <w:rPr>
          <w:rFonts w:eastAsia="Arial" w:cs="Arial"/>
          <w:color w:val="000000"/>
          <w:spacing w:val="-1"/>
          <w:sz w:val="14"/>
          <w:szCs w:val="14"/>
          <w:lang w:val="en-GB"/>
        </w:rPr>
        <w:t>Eka</w:t>
      </w:r>
      <w:proofErr w:type="spellEnd"/>
      <w:r w:rsidRPr="003F6D43">
        <w:rPr>
          <w:rFonts w:eastAsia="Arial" w:cs="Arial"/>
          <w:color w:val="000000"/>
          <w:spacing w:val="-1"/>
          <w:sz w:val="14"/>
          <w:szCs w:val="14"/>
          <w:lang w:val="en-GB"/>
        </w:rPr>
        <w:t xml:space="preserve">. Consistently ranked as a leader in sustainability, we are dedicated to energizing cities and communities while creating a protected, </w:t>
      </w:r>
      <w:proofErr w:type="spellStart"/>
      <w:r w:rsidRPr="003F6D43">
        <w:rPr>
          <w:rFonts w:eastAsia="Arial" w:cs="Arial"/>
          <w:color w:val="000000"/>
          <w:spacing w:val="-1"/>
          <w:sz w:val="14"/>
          <w:szCs w:val="14"/>
          <w:lang w:val="en-GB"/>
        </w:rPr>
        <w:t>colorful</w:t>
      </w:r>
      <w:proofErr w:type="spellEnd"/>
      <w:r w:rsidRPr="003F6D43">
        <w:rPr>
          <w:rFonts w:eastAsia="Arial" w:cs="Arial"/>
          <w:color w:val="000000"/>
          <w:spacing w:val="-1"/>
          <w:sz w:val="14"/>
          <w:szCs w:val="14"/>
          <w:lang w:val="en-GB"/>
        </w:rPr>
        <w:t xml:space="preserve"> world where life is improved by what we do.</w:t>
      </w:r>
    </w:p>
    <w:p w:rsidR="00F76033" w:rsidRDefault="00F76033" w:rsidP="00FD1F06">
      <w:pPr>
        <w:spacing w:before="90" w:after="0" w:line="160" w:lineRule="exact"/>
        <w:jc w:val="both"/>
        <w:rPr>
          <w:rFonts w:eastAsia="Arial" w:cs="Arial"/>
          <w:b/>
          <w:color w:val="000000"/>
          <w:spacing w:val="2"/>
          <w:sz w:val="14"/>
          <w:szCs w:val="14"/>
          <w:u w:val="single"/>
          <w:lang w:val="en-GB"/>
        </w:rPr>
      </w:pPr>
    </w:p>
    <w:p w:rsidR="00FD1F06" w:rsidRPr="00922498" w:rsidRDefault="00FD1F06" w:rsidP="00FD1F06">
      <w:pPr>
        <w:spacing w:before="90" w:after="0" w:line="160" w:lineRule="exact"/>
        <w:jc w:val="both"/>
        <w:rPr>
          <w:rFonts w:eastAsia="Arial" w:cs="Arial"/>
          <w:b/>
          <w:color w:val="000000"/>
          <w:spacing w:val="2"/>
          <w:sz w:val="14"/>
          <w:szCs w:val="14"/>
          <w:u w:val="single"/>
          <w:lang w:val="en-US"/>
        </w:rPr>
      </w:pPr>
      <w:r w:rsidRPr="00922498">
        <w:rPr>
          <w:rFonts w:eastAsia="Arial" w:cs="Arial"/>
          <w:b/>
          <w:color w:val="000000"/>
          <w:spacing w:val="2"/>
          <w:sz w:val="14"/>
          <w:szCs w:val="14"/>
          <w:u w:val="single"/>
          <w:lang w:val="en-US"/>
        </w:rPr>
        <w:t>Not for publication – for more information</w:t>
      </w:r>
    </w:p>
    <w:p w:rsidR="00FD1F06" w:rsidRPr="00922498" w:rsidRDefault="00FD1F06" w:rsidP="00FD1F06">
      <w:pPr>
        <w:widowControl w:val="0"/>
        <w:spacing w:after="0" w:line="240" w:lineRule="auto"/>
        <w:rPr>
          <w:rFonts w:eastAsia="Times New Roman" w:cs="Times New Roman"/>
          <w:b/>
          <w:bCs/>
          <w:sz w:val="14"/>
          <w:szCs w:val="14"/>
          <w:u w:val="single"/>
          <w:lang w:val="en-US"/>
        </w:rPr>
      </w:pPr>
    </w:p>
    <w:tbl>
      <w:tblPr>
        <w:tblW w:w="0" w:type="auto"/>
        <w:tblLayout w:type="fixed"/>
        <w:tblLook w:val="00A0" w:firstRow="1" w:lastRow="0" w:firstColumn="1" w:lastColumn="0" w:noHBand="0" w:noVBand="0"/>
      </w:tblPr>
      <w:tblGrid>
        <w:gridCol w:w="4502"/>
        <w:gridCol w:w="4503"/>
      </w:tblGrid>
      <w:tr w:rsidR="00FD1F06" w:rsidRPr="00922498" w:rsidTr="005063CE">
        <w:tc>
          <w:tcPr>
            <w:tcW w:w="4502" w:type="dxa"/>
          </w:tcPr>
          <w:p w:rsidR="00FD1F06" w:rsidRPr="00F76033" w:rsidRDefault="00FD1F06" w:rsidP="00FD1F06">
            <w:pPr>
              <w:widowControl w:val="0"/>
              <w:spacing w:after="0" w:line="240" w:lineRule="auto"/>
              <w:rPr>
                <w:rFonts w:eastAsia="Times New Roman" w:cs="Times New Roman"/>
                <w:sz w:val="14"/>
                <w:szCs w:val="14"/>
                <w:lang w:val="en-US"/>
              </w:rPr>
            </w:pPr>
            <w:r w:rsidRPr="00F76033">
              <w:rPr>
                <w:rFonts w:eastAsia="Times New Roman" w:cs="Times New Roman"/>
                <w:noProof/>
                <w:sz w:val="14"/>
                <w:szCs w:val="14"/>
                <w:lang w:val="en-US"/>
              </w:rPr>
              <w:t>Corporate Media Relations</w:t>
            </w:r>
          </w:p>
        </w:tc>
        <w:tc>
          <w:tcPr>
            <w:tcW w:w="4503" w:type="dxa"/>
          </w:tcPr>
          <w:p w:rsidR="00FD1F06" w:rsidRPr="00F76033" w:rsidRDefault="00FD1F06" w:rsidP="00FD1F06">
            <w:pPr>
              <w:widowControl w:val="0"/>
              <w:spacing w:after="0" w:line="240" w:lineRule="auto"/>
              <w:rPr>
                <w:rFonts w:eastAsia="Times New Roman" w:cs="Times New Roman"/>
                <w:sz w:val="14"/>
                <w:szCs w:val="14"/>
                <w:vertAlign w:val="subscript"/>
                <w:lang w:val="en-US"/>
              </w:rPr>
            </w:pPr>
            <w:r w:rsidRPr="00F76033">
              <w:rPr>
                <w:rFonts w:eastAsia="Times New Roman" w:cs="Times New Roman"/>
                <w:noProof/>
                <w:sz w:val="14"/>
                <w:szCs w:val="14"/>
                <w:lang w:val="en-US"/>
              </w:rPr>
              <w:t>Corporate Investor Relations</w:t>
            </w:r>
          </w:p>
        </w:tc>
      </w:tr>
      <w:tr w:rsidR="00FD1F06" w:rsidRPr="00922498" w:rsidTr="005063CE">
        <w:tc>
          <w:tcPr>
            <w:tcW w:w="4502" w:type="dxa"/>
            <w:shd w:val="clear" w:color="auto" w:fill="auto"/>
          </w:tcPr>
          <w:p w:rsidR="00FD1F06" w:rsidRPr="00F76033" w:rsidRDefault="00F76033" w:rsidP="00F76033">
            <w:pPr>
              <w:widowControl w:val="0"/>
              <w:spacing w:after="0" w:line="240" w:lineRule="auto"/>
              <w:rPr>
                <w:rFonts w:eastAsia="Times New Roman" w:cs="Times New Roman"/>
                <w:noProof/>
                <w:sz w:val="14"/>
                <w:szCs w:val="14"/>
                <w:lang w:val="en-US"/>
              </w:rPr>
            </w:pPr>
            <w:r>
              <w:rPr>
                <w:rFonts w:eastAsia="Times New Roman" w:cs="Times New Roman"/>
                <w:noProof/>
                <w:sz w:val="14"/>
                <w:szCs w:val="14"/>
                <w:lang w:val="en-US"/>
              </w:rPr>
              <w:t>T +</w:t>
            </w:r>
            <w:r w:rsidRPr="00A810C5">
              <w:rPr>
                <w:rFonts w:eastAsia="Times New Roman" w:cs="Times New Roman"/>
                <w:noProof/>
                <w:sz w:val="14"/>
                <w:szCs w:val="14"/>
                <w:lang w:val="en-US"/>
              </w:rPr>
              <w:t>31 (0)88 – 969 7833</w:t>
            </w:r>
          </w:p>
        </w:tc>
        <w:tc>
          <w:tcPr>
            <w:tcW w:w="4503" w:type="dxa"/>
            <w:shd w:val="clear" w:color="auto" w:fill="auto"/>
          </w:tcPr>
          <w:p w:rsidR="00FD1F06" w:rsidRPr="00F76033" w:rsidRDefault="00FD1F06" w:rsidP="00FD1F06">
            <w:pPr>
              <w:widowControl w:val="0"/>
              <w:spacing w:after="0" w:line="240" w:lineRule="auto"/>
              <w:rPr>
                <w:rFonts w:eastAsia="Times New Roman" w:cs="Times New Roman"/>
                <w:noProof/>
                <w:sz w:val="14"/>
                <w:szCs w:val="14"/>
                <w:lang w:val="en-US"/>
              </w:rPr>
            </w:pPr>
            <w:r w:rsidRPr="00F76033">
              <w:rPr>
                <w:rFonts w:eastAsia="Times New Roman" w:cs="Times New Roman"/>
                <w:noProof/>
                <w:sz w:val="14"/>
                <w:szCs w:val="14"/>
                <w:lang w:val="en-US"/>
              </w:rPr>
              <w:t xml:space="preserve">T </w:t>
            </w:r>
            <w:r w:rsidR="00F76033" w:rsidRPr="00A810C5">
              <w:rPr>
                <w:rFonts w:eastAsia="Times New Roman" w:cs="Times New Roman"/>
                <w:noProof/>
                <w:sz w:val="14"/>
                <w:szCs w:val="14"/>
                <w:lang w:val="en-US"/>
              </w:rPr>
              <w:t>+31 (0)88 – 969 7590</w:t>
            </w:r>
            <w:r w:rsidR="00DB5287">
              <w:rPr>
                <w:rFonts w:eastAsia="Times New Roman" w:cs="Times New Roman"/>
                <w:noProof/>
                <w:sz w:val="14"/>
                <w:szCs w:val="14"/>
                <w:lang w:val="en-US"/>
              </w:rPr>
              <w:t xml:space="preserve"> </w:t>
            </w:r>
          </w:p>
        </w:tc>
      </w:tr>
      <w:tr w:rsidR="00FD1F06" w:rsidRPr="00922498" w:rsidTr="005063CE">
        <w:tc>
          <w:tcPr>
            <w:tcW w:w="4502" w:type="dxa"/>
            <w:shd w:val="clear" w:color="auto" w:fill="auto"/>
          </w:tcPr>
          <w:p w:rsidR="00FD1F06" w:rsidRPr="00922498" w:rsidRDefault="00FD1F06" w:rsidP="00101F5B">
            <w:pPr>
              <w:widowControl w:val="0"/>
              <w:spacing w:after="0" w:line="240" w:lineRule="auto"/>
              <w:rPr>
                <w:rFonts w:eastAsia="Times New Roman" w:cs="Times New Roman"/>
                <w:sz w:val="14"/>
                <w:szCs w:val="14"/>
                <w:lang w:val="en-US"/>
              </w:rPr>
            </w:pPr>
            <w:r w:rsidRPr="00922498">
              <w:rPr>
                <w:rFonts w:eastAsia="Times New Roman" w:cs="Times New Roman"/>
                <w:noProof/>
                <w:sz w:val="14"/>
                <w:szCs w:val="14"/>
                <w:lang w:val="en-US"/>
              </w:rPr>
              <w:t>Contact:</w:t>
            </w:r>
            <w:r w:rsidRPr="00922498">
              <w:rPr>
                <w:rFonts w:eastAsia="Times New Roman" w:cs="Times New Roman"/>
                <w:sz w:val="14"/>
                <w:szCs w:val="14"/>
                <w:lang w:val="en-US"/>
              </w:rPr>
              <w:t xml:space="preserve"> </w:t>
            </w:r>
            <w:r w:rsidR="00101F5B">
              <w:rPr>
                <w:rFonts w:eastAsia="Times New Roman" w:cs="Times New Roman"/>
                <w:noProof/>
                <w:sz w:val="14"/>
                <w:szCs w:val="14"/>
                <w:lang w:val="en-US"/>
              </w:rPr>
              <w:t>Andrew Wood</w:t>
            </w:r>
          </w:p>
        </w:tc>
        <w:tc>
          <w:tcPr>
            <w:tcW w:w="4503" w:type="dxa"/>
            <w:shd w:val="clear" w:color="auto" w:fill="auto"/>
          </w:tcPr>
          <w:p w:rsidR="00FD1F06" w:rsidRPr="00922498" w:rsidRDefault="00FD1F06" w:rsidP="00FD1F06">
            <w:pPr>
              <w:widowControl w:val="0"/>
              <w:spacing w:after="0" w:line="240" w:lineRule="auto"/>
              <w:rPr>
                <w:rFonts w:eastAsia="Times New Roman" w:cs="Times New Roman"/>
                <w:sz w:val="14"/>
                <w:szCs w:val="14"/>
                <w:lang w:val="en-US"/>
              </w:rPr>
            </w:pPr>
            <w:r w:rsidRPr="00922498">
              <w:rPr>
                <w:rFonts w:eastAsia="Times New Roman" w:cs="Times New Roman"/>
                <w:noProof/>
                <w:sz w:val="14"/>
                <w:szCs w:val="14"/>
                <w:lang w:val="en-US"/>
              </w:rPr>
              <w:t>Contact:</w:t>
            </w:r>
            <w:r w:rsidRPr="00922498">
              <w:rPr>
                <w:rFonts w:eastAsia="Times New Roman" w:cs="Times New Roman"/>
                <w:sz w:val="14"/>
                <w:szCs w:val="14"/>
                <w:lang w:val="en-US"/>
              </w:rPr>
              <w:t xml:space="preserve"> Lloyd Midwinter</w:t>
            </w:r>
          </w:p>
        </w:tc>
      </w:tr>
    </w:tbl>
    <w:p w:rsidR="00FD1F06" w:rsidRPr="00922498" w:rsidRDefault="00FD1F06" w:rsidP="00FD1F06">
      <w:pPr>
        <w:tabs>
          <w:tab w:val="left" w:pos="4340"/>
        </w:tabs>
        <w:spacing w:after="0" w:line="160" w:lineRule="exact"/>
        <w:jc w:val="both"/>
        <w:rPr>
          <w:rFonts w:eastAsia="Arial" w:cs="Arial"/>
          <w:color w:val="000000"/>
          <w:spacing w:val="-1"/>
          <w:sz w:val="14"/>
          <w:szCs w:val="14"/>
          <w:lang w:val="en-US"/>
        </w:rPr>
      </w:pPr>
      <w:r w:rsidRPr="00922498">
        <w:rPr>
          <w:rFonts w:eastAsia="Arial" w:cs="Arial"/>
          <w:color w:val="000000"/>
          <w:spacing w:val="-1"/>
          <w:sz w:val="14"/>
          <w:szCs w:val="14"/>
          <w:lang w:val="en-US"/>
        </w:rPr>
        <w:tab/>
      </w:r>
    </w:p>
    <w:p w:rsidR="00C76BC8" w:rsidRDefault="00C76BC8" w:rsidP="00FD1F06">
      <w:pPr>
        <w:spacing w:after="0" w:line="160" w:lineRule="exact"/>
        <w:jc w:val="both"/>
        <w:rPr>
          <w:rFonts w:eastAsia="Arial" w:cs="Arial"/>
          <w:b/>
          <w:color w:val="000000"/>
          <w:spacing w:val="-1"/>
          <w:sz w:val="14"/>
          <w:szCs w:val="14"/>
          <w:lang w:val="en-US"/>
        </w:rPr>
      </w:pPr>
    </w:p>
    <w:p w:rsidR="00FD1F06" w:rsidRPr="00922498" w:rsidRDefault="00FD1F06" w:rsidP="00FD1F06">
      <w:pPr>
        <w:spacing w:after="0" w:line="160" w:lineRule="exact"/>
        <w:jc w:val="both"/>
        <w:rPr>
          <w:rFonts w:eastAsia="Arial" w:cs="Arial"/>
          <w:b/>
          <w:color w:val="000000"/>
          <w:spacing w:val="-1"/>
          <w:sz w:val="14"/>
          <w:szCs w:val="14"/>
          <w:lang w:val="en-US"/>
        </w:rPr>
      </w:pPr>
      <w:r w:rsidRPr="00922498">
        <w:rPr>
          <w:rFonts w:eastAsia="Arial" w:cs="Arial"/>
          <w:b/>
          <w:color w:val="000000"/>
          <w:spacing w:val="-1"/>
          <w:sz w:val="14"/>
          <w:szCs w:val="14"/>
          <w:lang w:val="en-US"/>
        </w:rPr>
        <w:t>Safe Harbor Statement</w:t>
      </w:r>
    </w:p>
    <w:p w:rsidR="00517D6E" w:rsidRDefault="00FD1F06" w:rsidP="00517D6E">
      <w:pPr>
        <w:spacing w:after="0" w:line="160" w:lineRule="exact"/>
        <w:rPr>
          <w:rFonts w:eastAsia="Arial" w:cs="Arial"/>
          <w:color w:val="000000"/>
          <w:spacing w:val="-1"/>
          <w:sz w:val="14"/>
          <w:szCs w:val="14"/>
          <w:lang w:val="en-US"/>
        </w:rPr>
      </w:pPr>
      <w:r w:rsidRPr="00517D6E">
        <w:rPr>
          <w:rFonts w:eastAsia="Arial" w:cs="Arial"/>
          <w:color w:val="000000"/>
          <w:spacing w:val="-1"/>
          <w:sz w:val="14"/>
          <w:szCs w:val="14"/>
          <w:lang w:val="en-US"/>
        </w:rPr>
        <w:t xml:space="preserve">This press release contains statements which address key issues such as AkzoNobel’s growth strategy, future financial results, market positions, product development, </w:t>
      </w:r>
      <w:proofErr w:type="gramStart"/>
      <w:r w:rsidRPr="00517D6E">
        <w:rPr>
          <w:rFonts w:eastAsia="Arial" w:cs="Arial"/>
          <w:color w:val="000000"/>
          <w:spacing w:val="-1"/>
          <w:sz w:val="14"/>
          <w:szCs w:val="14"/>
          <w:lang w:val="en-US"/>
        </w:rPr>
        <w:t>products</w:t>
      </w:r>
      <w:proofErr w:type="gramEnd"/>
      <w:r w:rsidRPr="00517D6E">
        <w:rPr>
          <w:rFonts w:eastAsia="Arial" w:cs="Arial"/>
          <w:color w:val="000000"/>
          <w:spacing w:val="-1"/>
          <w:sz w:val="14"/>
          <w:szCs w:val="14"/>
          <w:lang w:val="en-US"/>
        </w:rPr>
        <w:t xml:space="preserve"> in the pipeline and product approvals. Such statements should be carefully considered, and it should be understood that many factors could cause forecasted and actual results to differ from these statements. These factors include, but are not limited to, price fluctuations, currency fluctuations, developments in raw material and personnel costs, pensions, physical and environmental risks, legal issues, and legislative, fiscal, and other regulatory measures. Stated competitive positions are based on management estimates supported by information provided by specialized external agencies. For a more comprehensive discussion of the risk factors affecting our business please see our latest annual report, a copy of which can be found on our website</w:t>
      </w:r>
      <w:r w:rsidR="00517D6E">
        <w:rPr>
          <w:rFonts w:eastAsia="Arial" w:cs="Arial"/>
          <w:color w:val="000000"/>
          <w:spacing w:val="-1"/>
          <w:sz w:val="14"/>
          <w:szCs w:val="14"/>
          <w:lang w:val="en-US"/>
        </w:rPr>
        <w:t xml:space="preserve">: </w:t>
      </w:r>
      <w:hyperlink r:id="rId9" w:history="1">
        <w:r w:rsidR="00517D6E" w:rsidRPr="00737836">
          <w:rPr>
            <w:rStyle w:val="Hyperlink"/>
            <w:rFonts w:eastAsia="Arial" w:cs="Arial"/>
            <w:spacing w:val="-1"/>
            <w:sz w:val="14"/>
            <w:szCs w:val="14"/>
            <w:lang w:val="en-US"/>
          </w:rPr>
          <w:t>www.akzonobel.com</w:t>
        </w:r>
      </w:hyperlink>
      <w:r w:rsidR="00517D6E">
        <w:rPr>
          <w:rFonts w:eastAsia="Arial" w:cs="Arial"/>
          <w:color w:val="000000"/>
          <w:spacing w:val="-1"/>
          <w:sz w:val="14"/>
          <w:szCs w:val="14"/>
          <w:lang w:val="en-US"/>
        </w:rPr>
        <w:t>.</w:t>
      </w:r>
    </w:p>
    <w:p w:rsidR="003918C4" w:rsidRPr="005548F1" w:rsidRDefault="00D11496" w:rsidP="00517D6E">
      <w:pPr>
        <w:spacing w:after="0" w:line="160" w:lineRule="exact"/>
        <w:rPr>
          <w:lang w:val="en-US"/>
        </w:rPr>
      </w:pPr>
      <w:r>
        <w:rPr>
          <w:rFonts w:eastAsia="Arial" w:cs="Arial"/>
          <w:color w:val="000000"/>
          <w:spacing w:val="-1"/>
          <w:sz w:val="14"/>
          <w:szCs w:val="14"/>
          <w:lang w:val="en-US"/>
        </w:rPr>
        <w:t xml:space="preserve"> </w:t>
      </w:r>
      <w:r w:rsidR="00FD1F06" w:rsidRPr="00FD1F06">
        <w:rPr>
          <w:rFonts w:eastAsia="Arial" w:cs="Arial"/>
          <w:color w:val="000000"/>
          <w:spacing w:val="-1"/>
          <w:sz w:val="14"/>
          <w:szCs w:val="14"/>
          <w:lang w:val="en-US"/>
        </w:rPr>
        <w:t xml:space="preserve"> </w:t>
      </w:r>
    </w:p>
    <w:sectPr w:rsidR="003918C4" w:rsidRPr="005548F1" w:rsidSect="000B4554">
      <w:headerReference w:type="default" r:id="rId10"/>
      <w:footerReference w:type="default" r:id="rId11"/>
      <w:headerReference w:type="first" r:id="rId12"/>
      <w:pgSz w:w="11906" w:h="16838" w:code="9"/>
      <w:pgMar w:top="2977" w:right="1416" w:bottom="1135" w:left="1701" w:header="567" w:footer="1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D2" w:rsidRDefault="00833DD2" w:rsidP="002E6499">
      <w:pPr>
        <w:spacing w:after="0"/>
      </w:pPr>
      <w:r>
        <w:separator/>
      </w:r>
    </w:p>
  </w:endnote>
  <w:endnote w:type="continuationSeparator" w:id="0">
    <w:p w:rsidR="00833DD2" w:rsidRDefault="00833DD2" w:rsidP="002E6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charset w:val="00"/>
    <w:family w:val="auto"/>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334"/>
      <w:docPartObj>
        <w:docPartGallery w:val="Page Numbers (Bottom of Page)"/>
        <w:docPartUnique/>
      </w:docPartObj>
    </w:sdtPr>
    <w:sdtEndPr/>
    <w:sdtContent>
      <w:p w:rsidR="00A07A91" w:rsidRDefault="006E44E2" w:rsidP="00E71A66">
        <w:pPr>
          <w:pStyle w:val="ANPagenumber"/>
          <w:framePr w:wrap="around"/>
        </w:pPr>
        <w:r>
          <w:fldChar w:fldCharType="begin"/>
        </w:r>
        <w:r>
          <w:instrText xml:space="preserve"> PAGE   \* MERGEFORMAT </w:instrText>
        </w:r>
        <w:r>
          <w:fldChar w:fldCharType="separate"/>
        </w:r>
        <w:r w:rsidR="00C5784E">
          <w:rPr>
            <w:noProof/>
          </w:rPr>
          <w:t>2</w:t>
        </w:r>
        <w:r>
          <w:rPr>
            <w:noProof/>
          </w:rPr>
          <w:fldChar w:fldCharType="end"/>
        </w:r>
      </w:p>
    </w:sdtContent>
  </w:sdt>
  <w:p w:rsidR="00A07A91" w:rsidRDefault="00A07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D2" w:rsidRDefault="00833DD2" w:rsidP="002E6499">
      <w:pPr>
        <w:spacing w:after="0"/>
      </w:pPr>
      <w:r>
        <w:separator/>
      </w:r>
    </w:p>
  </w:footnote>
  <w:footnote w:type="continuationSeparator" w:id="0">
    <w:p w:rsidR="00833DD2" w:rsidRDefault="00833DD2" w:rsidP="002E64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1" w:rsidRDefault="00A07A91">
    <w:pPr>
      <w:pStyle w:val="Header"/>
    </w:pPr>
    <w:r w:rsidRPr="008A475D">
      <w:rPr>
        <w:noProof/>
        <w:lang w:eastAsia="nl-NL"/>
      </w:rPr>
      <w:drawing>
        <wp:anchor distT="0" distB="0" distL="114300" distR="114300" simplePos="0" relativeHeight="251661312" behindDoc="1" locked="1" layoutInCell="0" allowOverlap="1" wp14:anchorId="466B6494" wp14:editId="20FE6C64">
          <wp:simplePos x="0" y="0"/>
          <wp:positionH relativeFrom="page">
            <wp:posOffset>2540</wp:posOffset>
          </wp:positionH>
          <wp:positionV relativeFrom="page">
            <wp:posOffset>558165</wp:posOffset>
          </wp:positionV>
          <wp:extent cx="7561580" cy="572770"/>
          <wp:effectExtent l="1905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1" w:rsidRPr="00E954E7" w:rsidRDefault="00A07A91" w:rsidP="004678D1">
    <w:pPr>
      <w:pStyle w:val="ANLegalEntity"/>
      <w:framePr w:wrap="around" w:y="1126"/>
      <w:rPr>
        <w:lang w:val="en-US"/>
      </w:rPr>
    </w:pPr>
    <w:r w:rsidRPr="00712CAB">
      <w:rPr>
        <w:noProof/>
        <w:lang w:eastAsia="nl-NL"/>
      </w:rPr>
      <w:drawing>
        <wp:anchor distT="0" distB="0" distL="114300" distR="114300" simplePos="0" relativeHeight="251659264" behindDoc="1" locked="1" layoutInCell="0" allowOverlap="1" wp14:anchorId="5B90FE03" wp14:editId="646D9014">
          <wp:simplePos x="0" y="0"/>
          <wp:positionH relativeFrom="page">
            <wp:posOffset>2540</wp:posOffset>
          </wp:positionH>
          <wp:positionV relativeFrom="page">
            <wp:posOffset>558165</wp:posOffset>
          </wp:positionV>
          <wp:extent cx="7561580" cy="572770"/>
          <wp:effectExtent l="19050" t="0" r="1270" b="0"/>
          <wp:wrapNone/>
          <wp:docPr id="6"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r w:rsidRPr="00E954E7">
      <w:rPr>
        <w:lang w:val="en-US"/>
      </w:rPr>
      <w:t>Akzo Nobel N.V.</w:t>
    </w:r>
  </w:p>
  <w:p w:rsidR="00A07A91" w:rsidRPr="00E954E7" w:rsidRDefault="001A7DAB" w:rsidP="004678D1">
    <w:pPr>
      <w:pStyle w:val="ANDepartment"/>
      <w:framePr w:wrap="around" w:y="1126"/>
      <w:rPr>
        <w:lang w:val="en-US"/>
      </w:rPr>
    </w:pPr>
    <w:r>
      <w:rPr>
        <w:lang w:val="en-US"/>
      </w:rPr>
      <w:t>Global</w:t>
    </w:r>
    <w:r w:rsidR="00A07A91" w:rsidRPr="00E954E7">
      <w:rPr>
        <w:lang w:val="en-US"/>
      </w:rPr>
      <w:t xml:space="preserve"> Communications</w:t>
    </w:r>
  </w:p>
  <w:p w:rsidR="00A07A91" w:rsidRPr="00E954E7" w:rsidRDefault="00B122E5" w:rsidP="008706DF">
    <w:pPr>
      <w:pStyle w:val="ANTitle"/>
      <w:framePr w:w="10066" w:h="886" w:hRule="exact" w:wrap="around" w:y="1845"/>
      <w:rPr>
        <w:lang w:val="en-US"/>
      </w:rPr>
    </w:pPr>
    <w:r>
      <w:rPr>
        <w:lang w:val="en-US"/>
      </w:rPr>
      <w:t>Media</w:t>
    </w:r>
    <w:r w:rsidR="00A07A91" w:rsidRPr="00E954E7">
      <w:rPr>
        <w:lang w:val="en-US"/>
      </w:rPr>
      <w:t xml:space="preserve"> release</w:t>
    </w:r>
  </w:p>
  <w:p w:rsidR="00234881" w:rsidRPr="00F97195" w:rsidRDefault="00234881" w:rsidP="00817303">
    <w:pPr>
      <w:framePr w:w="8826" w:h="939" w:hRule="exact" w:wrap="around" w:vAnchor="page" w:hAnchor="page" w:x="1681" w:y="15678"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Christian Neefestraat 2</w:t>
    </w:r>
    <w:r w:rsidRPr="00F97195">
      <w:rPr>
        <w:rFonts w:eastAsia="SimHei" w:cs="Arial"/>
        <w:snapToGrid w:val="0"/>
        <w:color w:val="005192"/>
        <w:spacing w:val="-1"/>
        <w:sz w:val="16"/>
        <w:szCs w:val="16"/>
        <w:lang w:val="en-US"/>
      </w:rPr>
      <w:tab/>
    </w:r>
    <w:r w:rsidRPr="00F97195">
      <w:rPr>
        <w:rFonts w:eastAsia="Times New Roman" w:cs="Arial"/>
        <w:noProof/>
        <w:snapToGrid w:val="0"/>
        <w:color w:val="005192"/>
        <w:spacing w:val="-1"/>
        <w:sz w:val="16"/>
        <w:szCs w:val="16"/>
        <w:lang w:val="en-US"/>
      </w:rPr>
      <w:t>T</w:t>
    </w:r>
    <w:r w:rsidRPr="00F97195">
      <w:rPr>
        <w:rFonts w:eastAsia="Times New Roman" w:cs="Arial"/>
        <w:snapToGrid w:val="0"/>
        <w:color w:val="005192"/>
        <w:spacing w:val="-1"/>
        <w:sz w:val="16"/>
        <w:szCs w:val="16"/>
        <w:lang w:val="en-US"/>
      </w:rPr>
      <w:tab/>
      <w:t>+31 088 969 7833</w:t>
    </w:r>
  </w:p>
  <w:p w:rsidR="00234881" w:rsidRPr="00F97195" w:rsidRDefault="00234881" w:rsidP="00817303">
    <w:pPr>
      <w:framePr w:w="8826" w:h="939" w:hRule="exact" w:wrap="around" w:vAnchor="page" w:hAnchor="page" w:x="1681" w:y="15678"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1077 WW  Amsterdam</w:t>
    </w:r>
    <w:r w:rsidRPr="00F97195">
      <w:rPr>
        <w:rFonts w:eastAsia="Times New Roman" w:cs="Arial"/>
        <w:noProof/>
        <w:snapToGrid w:val="0"/>
        <w:color w:val="005192"/>
        <w:spacing w:val="-1"/>
        <w:sz w:val="16"/>
        <w:szCs w:val="16"/>
        <w:lang w:val="en-US"/>
      </w:rPr>
      <w:tab/>
      <w:t>E</w:t>
    </w:r>
    <w:r w:rsidRPr="00F97195">
      <w:rPr>
        <w:rFonts w:eastAsia="Times New Roman" w:cs="Arial"/>
        <w:noProof/>
        <w:snapToGrid w:val="0"/>
        <w:color w:val="005192"/>
        <w:spacing w:val="-1"/>
        <w:sz w:val="16"/>
        <w:szCs w:val="16"/>
        <w:lang w:val="en-US"/>
      </w:rPr>
      <w:tab/>
      <w:t>media.relations@akzonobel.com</w:t>
    </w:r>
  </w:p>
  <w:p w:rsidR="00234881" w:rsidRPr="00F97195" w:rsidRDefault="00234881" w:rsidP="00817303">
    <w:pPr>
      <w:framePr w:w="8826" w:h="939" w:hRule="exact" w:wrap="around" w:vAnchor="page" w:hAnchor="page" w:x="1681" w:y="15678"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P.O. Box 75730</w:t>
    </w:r>
    <w:r w:rsidRPr="00F97195">
      <w:rPr>
        <w:rFonts w:eastAsia="Times New Roman" w:cs="Arial"/>
        <w:noProof/>
        <w:snapToGrid w:val="0"/>
        <w:color w:val="005192"/>
        <w:spacing w:val="-1"/>
        <w:sz w:val="16"/>
        <w:szCs w:val="16"/>
        <w:lang w:val="en-US"/>
      </w:rPr>
      <w:tab/>
      <w:t>www.akzonobel.com</w:t>
    </w:r>
  </w:p>
  <w:p w:rsidR="00234881" w:rsidRPr="00F97195" w:rsidRDefault="00234881" w:rsidP="00817303">
    <w:pPr>
      <w:framePr w:w="8826" w:h="939" w:hRule="exact" w:wrap="around" w:vAnchor="page" w:hAnchor="page" w:x="1681" w:y="15678"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1070 AS  Amsterdam</w:t>
    </w:r>
    <w:r w:rsidRPr="00F97195">
      <w:rPr>
        <w:rFonts w:eastAsia="SimHei" w:cs="Arial"/>
        <w:snapToGrid w:val="0"/>
        <w:color w:val="005192"/>
        <w:spacing w:val="-1"/>
        <w:sz w:val="16"/>
        <w:szCs w:val="16"/>
        <w:lang w:val="en-US"/>
      </w:rPr>
      <w:tab/>
    </w:r>
  </w:p>
  <w:p w:rsidR="00234881" w:rsidRPr="00F97195" w:rsidRDefault="00234881" w:rsidP="00817303">
    <w:pPr>
      <w:framePr w:w="8826" w:h="939" w:hRule="exact" w:wrap="around" w:vAnchor="page" w:hAnchor="page" w:x="1681" w:y="15678" w:anchorLock="1"/>
      <w:tabs>
        <w:tab w:val="left" w:pos="2268"/>
        <w:tab w:val="left" w:pos="2410"/>
      </w:tabs>
      <w:spacing w:after="0" w:line="180" w:lineRule="exact"/>
      <w:rPr>
        <w:rFonts w:ascii="Times New Roman" w:eastAsia="Times New Roman" w:hAnsi="Times New Roman" w:cs="Times New Roman"/>
        <w:snapToGrid w:val="0"/>
        <w:color w:val="005192"/>
        <w:spacing w:val="-1"/>
        <w:sz w:val="16"/>
        <w:szCs w:val="16"/>
        <w:lang w:val="en-US"/>
      </w:rPr>
    </w:pPr>
    <w:r w:rsidRPr="00F97195">
      <w:rPr>
        <w:rFonts w:eastAsia="Times New Roman" w:cs="Arial"/>
        <w:noProof/>
        <w:snapToGrid w:val="0"/>
        <w:color w:val="005192"/>
        <w:spacing w:val="-1"/>
        <w:sz w:val="16"/>
        <w:szCs w:val="16"/>
        <w:lang w:val="en-US"/>
      </w:rPr>
      <w:t>Netherlands</w:t>
    </w:r>
  </w:p>
  <w:p w:rsidR="00A07A91" w:rsidRPr="004678D1" w:rsidRDefault="00A07A91" w:rsidP="00E954E7">
    <w:pPr>
      <w:pStyle w:val="ANRegister"/>
      <w:framePr w:wrap="aroun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7C23EA"/>
    <w:multiLevelType w:val="hybridMultilevel"/>
    <w:tmpl w:val="DFDA6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7"/>
    <w:rsid w:val="000020F3"/>
    <w:rsid w:val="0001053E"/>
    <w:rsid w:val="00022F5B"/>
    <w:rsid w:val="000236E4"/>
    <w:rsid w:val="00027651"/>
    <w:rsid w:val="00027BA0"/>
    <w:rsid w:val="0003131C"/>
    <w:rsid w:val="00032D64"/>
    <w:rsid w:val="00033D84"/>
    <w:rsid w:val="00035315"/>
    <w:rsid w:val="00040118"/>
    <w:rsid w:val="000424D3"/>
    <w:rsid w:val="00043B65"/>
    <w:rsid w:val="0004428D"/>
    <w:rsid w:val="000442F7"/>
    <w:rsid w:val="00044569"/>
    <w:rsid w:val="00054312"/>
    <w:rsid w:val="00056048"/>
    <w:rsid w:val="00057EB3"/>
    <w:rsid w:val="00057F9D"/>
    <w:rsid w:val="00061B39"/>
    <w:rsid w:val="00062EAD"/>
    <w:rsid w:val="0006337C"/>
    <w:rsid w:val="00063F14"/>
    <w:rsid w:val="000646ED"/>
    <w:rsid w:val="000669F9"/>
    <w:rsid w:val="00066F06"/>
    <w:rsid w:val="00067569"/>
    <w:rsid w:val="0007314C"/>
    <w:rsid w:val="000751CB"/>
    <w:rsid w:val="00075279"/>
    <w:rsid w:val="00080B6F"/>
    <w:rsid w:val="00081A25"/>
    <w:rsid w:val="00085BB5"/>
    <w:rsid w:val="000922D5"/>
    <w:rsid w:val="000938DD"/>
    <w:rsid w:val="000951D1"/>
    <w:rsid w:val="000958F2"/>
    <w:rsid w:val="00095A44"/>
    <w:rsid w:val="00095A6D"/>
    <w:rsid w:val="000A1A13"/>
    <w:rsid w:val="000A3B2D"/>
    <w:rsid w:val="000A479C"/>
    <w:rsid w:val="000A4F4A"/>
    <w:rsid w:val="000B3A31"/>
    <w:rsid w:val="000B4554"/>
    <w:rsid w:val="000B6B43"/>
    <w:rsid w:val="000B6E9F"/>
    <w:rsid w:val="000B7258"/>
    <w:rsid w:val="000C0D40"/>
    <w:rsid w:val="000C178E"/>
    <w:rsid w:val="000C1C62"/>
    <w:rsid w:val="000C1E38"/>
    <w:rsid w:val="000C230D"/>
    <w:rsid w:val="000C5DC9"/>
    <w:rsid w:val="000C6BDC"/>
    <w:rsid w:val="000C7D47"/>
    <w:rsid w:val="000D11B0"/>
    <w:rsid w:val="000D3595"/>
    <w:rsid w:val="000E0122"/>
    <w:rsid w:val="000E5990"/>
    <w:rsid w:val="000E6926"/>
    <w:rsid w:val="000E7C62"/>
    <w:rsid w:val="000F1525"/>
    <w:rsid w:val="000F7A52"/>
    <w:rsid w:val="001006B3"/>
    <w:rsid w:val="00101F5B"/>
    <w:rsid w:val="00102141"/>
    <w:rsid w:val="00103655"/>
    <w:rsid w:val="0010640D"/>
    <w:rsid w:val="00106A98"/>
    <w:rsid w:val="00107FF2"/>
    <w:rsid w:val="00111833"/>
    <w:rsid w:val="001119FB"/>
    <w:rsid w:val="001139D6"/>
    <w:rsid w:val="001173A5"/>
    <w:rsid w:val="00122861"/>
    <w:rsid w:val="00122C0A"/>
    <w:rsid w:val="001235D0"/>
    <w:rsid w:val="00124C58"/>
    <w:rsid w:val="00126898"/>
    <w:rsid w:val="0014071D"/>
    <w:rsid w:val="00143C44"/>
    <w:rsid w:val="001445B5"/>
    <w:rsid w:val="00146266"/>
    <w:rsid w:val="00151603"/>
    <w:rsid w:val="00155517"/>
    <w:rsid w:val="001568CB"/>
    <w:rsid w:val="0016276B"/>
    <w:rsid w:val="00163100"/>
    <w:rsid w:val="001641F9"/>
    <w:rsid w:val="00183977"/>
    <w:rsid w:val="00185187"/>
    <w:rsid w:val="001869EA"/>
    <w:rsid w:val="00190EAB"/>
    <w:rsid w:val="001A1269"/>
    <w:rsid w:val="001A3C2E"/>
    <w:rsid w:val="001A77D7"/>
    <w:rsid w:val="001A780A"/>
    <w:rsid w:val="001A7DAB"/>
    <w:rsid w:val="001B0DC9"/>
    <w:rsid w:val="001B14C6"/>
    <w:rsid w:val="001B791D"/>
    <w:rsid w:val="001C0829"/>
    <w:rsid w:val="001C0FFD"/>
    <w:rsid w:val="001C1B9B"/>
    <w:rsid w:val="001C34A2"/>
    <w:rsid w:val="001C44AF"/>
    <w:rsid w:val="001C5786"/>
    <w:rsid w:val="001C5F86"/>
    <w:rsid w:val="001E0764"/>
    <w:rsid w:val="001E1D44"/>
    <w:rsid w:val="001E2CE7"/>
    <w:rsid w:val="001E5EE5"/>
    <w:rsid w:val="001F1B61"/>
    <w:rsid w:val="001F583E"/>
    <w:rsid w:val="00200EE9"/>
    <w:rsid w:val="002034FF"/>
    <w:rsid w:val="00205B0D"/>
    <w:rsid w:val="00205D49"/>
    <w:rsid w:val="00212222"/>
    <w:rsid w:val="00217C4C"/>
    <w:rsid w:val="00220626"/>
    <w:rsid w:val="00222FFC"/>
    <w:rsid w:val="00234881"/>
    <w:rsid w:val="00234FE8"/>
    <w:rsid w:val="002372A0"/>
    <w:rsid w:val="002411DD"/>
    <w:rsid w:val="00243B7A"/>
    <w:rsid w:val="00247510"/>
    <w:rsid w:val="00254574"/>
    <w:rsid w:val="002640A3"/>
    <w:rsid w:val="00264EC8"/>
    <w:rsid w:val="002712F8"/>
    <w:rsid w:val="002713ED"/>
    <w:rsid w:val="00277896"/>
    <w:rsid w:val="00277D07"/>
    <w:rsid w:val="002805E3"/>
    <w:rsid w:val="002812DC"/>
    <w:rsid w:val="002814F2"/>
    <w:rsid w:val="002854EF"/>
    <w:rsid w:val="00292942"/>
    <w:rsid w:val="002A0ABB"/>
    <w:rsid w:val="002A1027"/>
    <w:rsid w:val="002A57AA"/>
    <w:rsid w:val="002A5BC9"/>
    <w:rsid w:val="002C0E79"/>
    <w:rsid w:val="002C2348"/>
    <w:rsid w:val="002D056A"/>
    <w:rsid w:val="002D0619"/>
    <w:rsid w:val="002D1CF9"/>
    <w:rsid w:val="002E1FC3"/>
    <w:rsid w:val="002E4281"/>
    <w:rsid w:val="002E4973"/>
    <w:rsid w:val="002E6499"/>
    <w:rsid w:val="002E6995"/>
    <w:rsid w:val="002E720D"/>
    <w:rsid w:val="002E7D52"/>
    <w:rsid w:val="002F231C"/>
    <w:rsid w:val="002F2852"/>
    <w:rsid w:val="002F3F09"/>
    <w:rsid w:val="002F4B36"/>
    <w:rsid w:val="00300E5F"/>
    <w:rsid w:val="003168FB"/>
    <w:rsid w:val="00325F5A"/>
    <w:rsid w:val="00327EC7"/>
    <w:rsid w:val="00330DD2"/>
    <w:rsid w:val="0033375B"/>
    <w:rsid w:val="00342617"/>
    <w:rsid w:val="0034328A"/>
    <w:rsid w:val="003453C4"/>
    <w:rsid w:val="00346E4B"/>
    <w:rsid w:val="0035091E"/>
    <w:rsid w:val="00351BFE"/>
    <w:rsid w:val="003548C5"/>
    <w:rsid w:val="00354EF2"/>
    <w:rsid w:val="00355DCE"/>
    <w:rsid w:val="00357526"/>
    <w:rsid w:val="0036112A"/>
    <w:rsid w:val="003629C1"/>
    <w:rsid w:val="00363BD4"/>
    <w:rsid w:val="003679F5"/>
    <w:rsid w:val="00374AAD"/>
    <w:rsid w:val="00376369"/>
    <w:rsid w:val="003770D6"/>
    <w:rsid w:val="00387183"/>
    <w:rsid w:val="003918C4"/>
    <w:rsid w:val="003920AA"/>
    <w:rsid w:val="0039318E"/>
    <w:rsid w:val="0039369E"/>
    <w:rsid w:val="003A0B53"/>
    <w:rsid w:val="003A15D4"/>
    <w:rsid w:val="003A1785"/>
    <w:rsid w:val="003A3FFB"/>
    <w:rsid w:val="003B012D"/>
    <w:rsid w:val="003B232B"/>
    <w:rsid w:val="003B2B57"/>
    <w:rsid w:val="003B39D1"/>
    <w:rsid w:val="003D0C78"/>
    <w:rsid w:val="003D346A"/>
    <w:rsid w:val="003D724C"/>
    <w:rsid w:val="003E58A6"/>
    <w:rsid w:val="003E59C3"/>
    <w:rsid w:val="003E7889"/>
    <w:rsid w:val="003E7B2A"/>
    <w:rsid w:val="003F38BA"/>
    <w:rsid w:val="003F6054"/>
    <w:rsid w:val="0040450F"/>
    <w:rsid w:val="00407DDA"/>
    <w:rsid w:val="00412913"/>
    <w:rsid w:val="004158CA"/>
    <w:rsid w:val="00416B3A"/>
    <w:rsid w:val="00417407"/>
    <w:rsid w:val="00420C38"/>
    <w:rsid w:val="00423BED"/>
    <w:rsid w:val="004258B1"/>
    <w:rsid w:val="00427ED5"/>
    <w:rsid w:val="00433702"/>
    <w:rsid w:val="004370E9"/>
    <w:rsid w:val="00437E24"/>
    <w:rsid w:val="00442232"/>
    <w:rsid w:val="0044400B"/>
    <w:rsid w:val="00444A41"/>
    <w:rsid w:val="00450249"/>
    <w:rsid w:val="0045032C"/>
    <w:rsid w:val="00451C3B"/>
    <w:rsid w:val="00452015"/>
    <w:rsid w:val="0045211F"/>
    <w:rsid w:val="0045312F"/>
    <w:rsid w:val="004535F1"/>
    <w:rsid w:val="00453B67"/>
    <w:rsid w:val="00457995"/>
    <w:rsid w:val="004651DC"/>
    <w:rsid w:val="004678D1"/>
    <w:rsid w:val="00472AD6"/>
    <w:rsid w:val="00472B8C"/>
    <w:rsid w:val="00473B58"/>
    <w:rsid w:val="00474A79"/>
    <w:rsid w:val="004777B3"/>
    <w:rsid w:val="004807FF"/>
    <w:rsid w:val="00480DCF"/>
    <w:rsid w:val="00482620"/>
    <w:rsid w:val="00483405"/>
    <w:rsid w:val="00484726"/>
    <w:rsid w:val="00491160"/>
    <w:rsid w:val="00493607"/>
    <w:rsid w:val="004942EA"/>
    <w:rsid w:val="00495A10"/>
    <w:rsid w:val="004A69AB"/>
    <w:rsid w:val="004A757B"/>
    <w:rsid w:val="004B14A8"/>
    <w:rsid w:val="004B28D7"/>
    <w:rsid w:val="004B4549"/>
    <w:rsid w:val="004B7C40"/>
    <w:rsid w:val="004C1172"/>
    <w:rsid w:val="004C4E08"/>
    <w:rsid w:val="004D5234"/>
    <w:rsid w:val="004D62EC"/>
    <w:rsid w:val="004E2B7D"/>
    <w:rsid w:val="004E386F"/>
    <w:rsid w:val="004F2D4A"/>
    <w:rsid w:val="004F68DD"/>
    <w:rsid w:val="004F6EC8"/>
    <w:rsid w:val="004F72C1"/>
    <w:rsid w:val="00500EAF"/>
    <w:rsid w:val="00501C0B"/>
    <w:rsid w:val="00501D4D"/>
    <w:rsid w:val="00510A60"/>
    <w:rsid w:val="00512E34"/>
    <w:rsid w:val="00514195"/>
    <w:rsid w:val="00517D6E"/>
    <w:rsid w:val="0053001C"/>
    <w:rsid w:val="00530450"/>
    <w:rsid w:val="0053231F"/>
    <w:rsid w:val="005329F0"/>
    <w:rsid w:val="005331FA"/>
    <w:rsid w:val="00534730"/>
    <w:rsid w:val="00541018"/>
    <w:rsid w:val="005420E9"/>
    <w:rsid w:val="005432C8"/>
    <w:rsid w:val="005455E8"/>
    <w:rsid w:val="00547C34"/>
    <w:rsid w:val="005509DD"/>
    <w:rsid w:val="005548F1"/>
    <w:rsid w:val="005570E1"/>
    <w:rsid w:val="005608FC"/>
    <w:rsid w:val="00561657"/>
    <w:rsid w:val="0056375B"/>
    <w:rsid w:val="00564190"/>
    <w:rsid w:val="00574FD3"/>
    <w:rsid w:val="00575866"/>
    <w:rsid w:val="00577998"/>
    <w:rsid w:val="005828ED"/>
    <w:rsid w:val="005832C2"/>
    <w:rsid w:val="00584E9E"/>
    <w:rsid w:val="0058593D"/>
    <w:rsid w:val="0059036E"/>
    <w:rsid w:val="005A1FD4"/>
    <w:rsid w:val="005A2354"/>
    <w:rsid w:val="005B3E33"/>
    <w:rsid w:val="005C2252"/>
    <w:rsid w:val="005D026B"/>
    <w:rsid w:val="005D0550"/>
    <w:rsid w:val="005D5EF9"/>
    <w:rsid w:val="005E068D"/>
    <w:rsid w:val="005E3FFF"/>
    <w:rsid w:val="005E7F1A"/>
    <w:rsid w:val="005F107C"/>
    <w:rsid w:val="005F6CDF"/>
    <w:rsid w:val="006059BD"/>
    <w:rsid w:val="00607679"/>
    <w:rsid w:val="0061006E"/>
    <w:rsid w:val="006107A1"/>
    <w:rsid w:val="006131F7"/>
    <w:rsid w:val="00613209"/>
    <w:rsid w:val="0061367A"/>
    <w:rsid w:val="00617D64"/>
    <w:rsid w:val="0062408F"/>
    <w:rsid w:val="006313F4"/>
    <w:rsid w:val="00631CD6"/>
    <w:rsid w:val="0063728E"/>
    <w:rsid w:val="00642532"/>
    <w:rsid w:val="00642C26"/>
    <w:rsid w:val="00643F52"/>
    <w:rsid w:val="00645AA1"/>
    <w:rsid w:val="00652620"/>
    <w:rsid w:val="006539C9"/>
    <w:rsid w:val="00654A41"/>
    <w:rsid w:val="00657847"/>
    <w:rsid w:val="0066273F"/>
    <w:rsid w:val="00662FB2"/>
    <w:rsid w:val="00664C3F"/>
    <w:rsid w:val="00665A89"/>
    <w:rsid w:val="00672482"/>
    <w:rsid w:val="00675BBB"/>
    <w:rsid w:val="00676D7A"/>
    <w:rsid w:val="00680729"/>
    <w:rsid w:val="00681BA8"/>
    <w:rsid w:val="0068476E"/>
    <w:rsid w:val="006872C8"/>
    <w:rsid w:val="00687944"/>
    <w:rsid w:val="00695E5E"/>
    <w:rsid w:val="00697381"/>
    <w:rsid w:val="006A025F"/>
    <w:rsid w:val="006A1717"/>
    <w:rsid w:val="006A2657"/>
    <w:rsid w:val="006A3314"/>
    <w:rsid w:val="006A5446"/>
    <w:rsid w:val="006A5D53"/>
    <w:rsid w:val="006B3A74"/>
    <w:rsid w:val="006B542A"/>
    <w:rsid w:val="006C08C0"/>
    <w:rsid w:val="006C22CE"/>
    <w:rsid w:val="006C22F5"/>
    <w:rsid w:val="006C4017"/>
    <w:rsid w:val="006C4117"/>
    <w:rsid w:val="006C47BD"/>
    <w:rsid w:val="006D79A8"/>
    <w:rsid w:val="006E321E"/>
    <w:rsid w:val="006E44E2"/>
    <w:rsid w:val="006E55AD"/>
    <w:rsid w:val="006F0EC0"/>
    <w:rsid w:val="006F4495"/>
    <w:rsid w:val="006F5683"/>
    <w:rsid w:val="006F5DB3"/>
    <w:rsid w:val="006F6BFF"/>
    <w:rsid w:val="00700C20"/>
    <w:rsid w:val="0070120B"/>
    <w:rsid w:val="00701B42"/>
    <w:rsid w:val="00704188"/>
    <w:rsid w:val="0070781F"/>
    <w:rsid w:val="00707CDD"/>
    <w:rsid w:val="00710952"/>
    <w:rsid w:val="00712CAB"/>
    <w:rsid w:val="00725C35"/>
    <w:rsid w:val="00727985"/>
    <w:rsid w:val="007305E4"/>
    <w:rsid w:val="00732E95"/>
    <w:rsid w:val="00734D4B"/>
    <w:rsid w:val="00741775"/>
    <w:rsid w:val="0074420F"/>
    <w:rsid w:val="0075099D"/>
    <w:rsid w:val="0075186E"/>
    <w:rsid w:val="0075458F"/>
    <w:rsid w:val="0075470A"/>
    <w:rsid w:val="00756029"/>
    <w:rsid w:val="00762ACB"/>
    <w:rsid w:val="0077629C"/>
    <w:rsid w:val="007764FD"/>
    <w:rsid w:val="007773F0"/>
    <w:rsid w:val="00782B6B"/>
    <w:rsid w:val="007855E9"/>
    <w:rsid w:val="0078662C"/>
    <w:rsid w:val="00787B74"/>
    <w:rsid w:val="00793ECF"/>
    <w:rsid w:val="007A210E"/>
    <w:rsid w:val="007A30D7"/>
    <w:rsid w:val="007A31BD"/>
    <w:rsid w:val="007A3685"/>
    <w:rsid w:val="007A4347"/>
    <w:rsid w:val="007A46CE"/>
    <w:rsid w:val="007A4BDF"/>
    <w:rsid w:val="007A5329"/>
    <w:rsid w:val="007A757C"/>
    <w:rsid w:val="007B0BBC"/>
    <w:rsid w:val="007B1BBB"/>
    <w:rsid w:val="007B341A"/>
    <w:rsid w:val="007B37ED"/>
    <w:rsid w:val="007B4CE7"/>
    <w:rsid w:val="007B4EA0"/>
    <w:rsid w:val="007C6788"/>
    <w:rsid w:val="007C692F"/>
    <w:rsid w:val="007D15DC"/>
    <w:rsid w:val="007D6059"/>
    <w:rsid w:val="007E0305"/>
    <w:rsid w:val="007E0F6F"/>
    <w:rsid w:val="007E1174"/>
    <w:rsid w:val="007E39C4"/>
    <w:rsid w:val="007E3FAA"/>
    <w:rsid w:val="007E4345"/>
    <w:rsid w:val="007E691F"/>
    <w:rsid w:val="007F02DC"/>
    <w:rsid w:val="007F5E0F"/>
    <w:rsid w:val="00802650"/>
    <w:rsid w:val="00803EE9"/>
    <w:rsid w:val="00812DD7"/>
    <w:rsid w:val="00816820"/>
    <w:rsid w:val="00817303"/>
    <w:rsid w:val="0082001C"/>
    <w:rsid w:val="00824022"/>
    <w:rsid w:val="008268A4"/>
    <w:rsid w:val="00831174"/>
    <w:rsid w:val="0083279F"/>
    <w:rsid w:val="00833DD2"/>
    <w:rsid w:val="0083557E"/>
    <w:rsid w:val="00836DE2"/>
    <w:rsid w:val="00837BE0"/>
    <w:rsid w:val="00837C5B"/>
    <w:rsid w:val="00842A57"/>
    <w:rsid w:val="008445B0"/>
    <w:rsid w:val="00846304"/>
    <w:rsid w:val="0085025F"/>
    <w:rsid w:val="00853B10"/>
    <w:rsid w:val="008551E7"/>
    <w:rsid w:val="00860889"/>
    <w:rsid w:val="00864CCA"/>
    <w:rsid w:val="008706DF"/>
    <w:rsid w:val="00871849"/>
    <w:rsid w:val="00871B20"/>
    <w:rsid w:val="008724E3"/>
    <w:rsid w:val="008809BF"/>
    <w:rsid w:val="00880D19"/>
    <w:rsid w:val="00881BBD"/>
    <w:rsid w:val="00883EDF"/>
    <w:rsid w:val="008905F3"/>
    <w:rsid w:val="00893A1C"/>
    <w:rsid w:val="008949F7"/>
    <w:rsid w:val="008A475D"/>
    <w:rsid w:val="008A503F"/>
    <w:rsid w:val="008B1400"/>
    <w:rsid w:val="008B35B2"/>
    <w:rsid w:val="008B42BF"/>
    <w:rsid w:val="008C148F"/>
    <w:rsid w:val="008C47B7"/>
    <w:rsid w:val="008C4C51"/>
    <w:rsid w:val="008C5897"/>
    <w:rsid w:val="008C630F"/>
    <w:rsid w:val="008C68DB"/>
    <w:rsid w:val="008D3E76"/>
    <w:rsid w:val="008D6ACF"/>
    <w:rsid w:val="008E2477"/>
    <w:rsid w:val="008E69CA"/>
    <w:rsid w:val="008F0C9E"/>
    <w:rsid w:val="008F2B46"/>
    <w:rsid w:val="008F5DA9"/>
    <w:rsid w:val="009014F8"/>
    <w:rsid w:val="00903AD0"/>
    <w:rsid w:val="00906D6B"/>
    <w:rsid w:val="00907E73"/>
    <w:rsid w:val="00910A94"/>
    <w:rsid w:val="00911804"/>
    <w:rsid w:val="009125A5"/>
    <w:rsid w:val="00912B67"/>
    <w:rsid w:val="00916E91"/>
    <w:rsid w:val="00917D44"/>
    <w:rsid w:val="00922498"/>
    <w:rsid w:val="00922EAA"/>
    <w:rsid w:val="009277A9"/>
    <w:rsid w:val="009316BC"/>
    <w:rsid w:val="0093676B"/>
    <w:rsid w:val="009377EB"/>
    <w:rsid w:val="00940423"/>
    <w:rsid w:val="009448A4"/>
    <w:rsid w:val="0094661E"/>
    <w:rsid w:val="00947D4A"/>
    <w:rsid w:val="00954FAB"/>
    <w:rsid w:val="0096414C"/>
    <w:rsid w:val="00971EE6"/>
    <w:rsid w:val="0098045C"/>
    <w:rsid w:val="0098531E"/>
    <w:rsid w:val="0099175C"/>
    <w:rsid w:val="00994EA4"/>
    <w:rsid w:val="00994FFC"/>
    <w:rsid w:val="009A150A"/>
    <w:rsid w:val="009A15DB"/>
    <w:rsid w:val="009A3954"/>
    <w:rsid w:val="009A3CA4"/>
    <w:rsid w:val="009A3FA9"/>
    <w:rsid w:val="009A694F"/>
    <w:rsid w:val="009A6CBB"/>
    <w:rsid w:val="009B2259"/>
    <w:rsid w:val="009B336F"/>
    <w:rsid w:val="009B3856"/>
    <w:rsid w:val="009B4D95"/>
    <w:rsid w:val="009B5D3E"/>
    <w:rsid w:val="009C538D"/>
    <w:rsid w:val="009C7C84"/>
    <w:rsid w:val="009D5075"/>
    <w:rsid w:val="009E1F8E"/>
    <w:rsid w:val="009E3B13"/>
    <w:rsid w:val="009E7531"/>
    <w:rsid w:val="009E776F"/>
    <w:rsid w:val="009F05A3"/>
    <w:rsid w:val="009F1CCB"/>
    <w:rsid w:val="009F46BC"/>
    <w:rsid w:val="009F5911"/>
    <w:rsid w:val="009F7151"/>
    <w:rsid w:val="00A01942"/>
    <w:rsid w:val="00A01C83"/>
    <w:rsid w:val="00A030B9"/>
    <w:rsid w:val="00A07A91"/>
    <w:rsid w:val="00A120F7"/>
    <w:rsid w:val="00A175F7"/>
    <w:rsid w:val="00A17A3B"/>
    <w:rsid w:val="00A17D02"/>
    <w:rsid w:val="00A20B32"/>
    <w:rsid w:val="00A227B4"/>
    <w:rsid w:val="00A273B3"/>
    <w:rsid w:val="00A30C45"/>
    <w:rsid w:val="00A320A6"/>
    <w:rsid w:val="00A331E4"/>
    <w:rsid w:val="00A3332C"/>
    <w:rsid w:val="00A423C4"/>
    <w:rsid w:val="00A476CF"/>
    <w:rsid w:val="00A479DB"/>
    <w:rsid w:val="00A47D1D"/>
    <w:rsid w:val="00A60798"/>
    <w:rsid w:val="00A71E59"/>
    <w:rsid w:val="00A74EB0"/>
    <w:rsid w:val="00A7678C"/>
    <w:rsid w:val="00A80722"/>
    <w:rsid w:val="00A83547"/>
    <w:rsid w:val="00A8368B"/>
    <w:rsid w:val="00A85B4A"/>
    <w:rsid w:val="00A867A1"/>
    <w:rsid w:val="00A92237"/>
    <w:rsid w:val="00A925F9"/>
    <w:rsid w:val="00A93DB4"/>
    <w:rsid w:val="00AA1ABF"/>
    <w:rsid w:val="00AA1D57"/>
    <w:rsid w:val="00AA2259"/>
    <w:rsid w:val="00AA546F"/>
    <w:rsid w:val="00AA5C95"/>
    <w:rsid w:val="00AA63F4"/>
    <w:rsid w:val="00AB14E7"/>
    <w:rsid w:val="00AB287C"/>
    <w:rsid w:val="00AB2DCB"/>
    <w:rsid w:val="00AB4CE3"/>
    <w:rsid w:val="00AB64E8"/>
    <w:rsid w:val="00AD07FD"/>
    <w:rsid w:val="00AD1EE5"/>
    <w:rsid w:val="00AD2A26"/>
    <w:rsid w:val="00AD5B31"/>
    <w:rsid w:val="00AD5E13"/>
    <w:rsid w:val="00AD75F1"/>
    <w:rsid w:val="00AE01F9"/>
    <w:rsid w:val="00AE1987"/>
    <w:rsid w:val="00AE3E62"/>
    <w:rsid w:val="00AE4B1E"/>
    <w:rsid w:val="00AE58E1"/>
    <w:rsid w:val="00AE7A11"/>
    <w:rsid w:val="00AE7A8F"/>
    <w:rsid w:val="00AF07EE"/>
    <w:rsid w:val="00AF5BEF"/>
    <w:rsid w:val="00AF74D2"/>
    <w:rsid w:val="00AF7EEF"/>
    <w:rsid w:val="00B01CA0"/>
    <w:rsid w:val="00B03248"/>
    <w:rsid w:val="00B03D9F"/>
    <w:rsid w:val="00B06B6C"/>
    <w:rsid w:val="00B1024C"/>
    <w:rsid w:val="00B116A5"/>
    <w:rsid w:val="00B11AAA"/>
    <w:rsid w:val="00B12282"/>
    <w:rsid w:val="00B122E5"/>
    <w:rsid w:val="00B12F5E"/>
    <w:rsid w:val="00B13B26"/>
    <w:rsid w:val="00B162D5"/>
    <w:rsid w:val="00B21FB3"/>
    <w:rsid w:val="00B237B1"/>
    <w:rsid w:val="00B23B21"/>
    <w:rsid w:val="00B32E37"/>
    <w:rsid w:val="00B33305"/>
    <w:rsid w:val="00B33B19"/>
    <w:rsid w:val="00B34C3C"/>
    <w:rsid w:val="00B3590F"/>
    <w:rsid w:val="00B374E2"/>
    <w:rsid w:val="00B41704"/>
    <w:rsid w:val="00B47069"/>
    <w:rsid w:val="00B51670"/>
    <w:rsid w:val="00B60FE0"/>
    <w:rsid w:val="00B62462"/>
    <w:rsid w:val="00B62984"/>
    <w:rsid w:val="00B70046"/>
    <w:rsid w:val="00B7044A"/>
    <w:rsid w:val="00B74BA0"/>
    <w:rsid w:val="00B76DC8"/>
    <w:rsid w:val="00B861EA"/>
    <w:rsid w:val="00B9054A"/>
    <w:rsid w:val="00B95DD3"/>
    <w:rsid w:val="00B96089"/>
    <w:rsid w:val="00BA202A"/>
    <w:rsid w:val="00BA552E"/>
    <w:rsid w:val="00BA5812"/>
    <w:rsid w:val="00BA7D2D"/>
    <w:rsid w:val="00BB18CB"/>
    <w:rsid w:val="00BB29AF"/>
    <w:rsid w:val="00BB3CC8"/>
    <w:rsid w:val="00BB4E04"/>
    <w:rsid w:val="00BC4DBC"/>
    <w:rsid w:val="00BC70C5"/>
    <w:rsid w:val="00BC76CE"/>
    <w:rsid w:val="00BD0132"/>
    <w:rsid w:val="00BE3772"/>
    <w:rsid w:val="00BE5260"/>
    <w:rsid w:val="00BE5AEF"/>
    <w:rsid w:val="00BE685F"/>
    <w:rsid w:val="00BF1058"/>
    <w:rsid w:val="00BF25B1"/>
    <w:rsid w:val="00BF42ED"/>
    <w:rsid w:val="00BF6EB6"/>
    <w:rsid w:val="00C02C10"/>
    <w:rsid w:val="00C039B1"/>
    <w:rsid w:val="00C05299"/>
    <w:rsid w:val="00C1070E"/>
    <w:rsid w:val="00C239C8"/>
    <w:rsid w:val="00C2475C"/>
    <w:rsid w:val="00C263AE"/>
    <w:rsid w:val="00C31C23"/>
    <w:rsid w:val="00C3281E"/>
    <w:rsid w:val="00C346A9"/>
    <w:rsid w:val="00C352C4"/>
    <w:rsid w:val="00C40E8C"/>
    <w:rsid w:val="00C41187"/>
    <w:rsid w:val="00C41D79"/>
    <w:rsid w:val="00C459B7"/>
    <w:rsid w:val="00C52663"/>
    <w:rsid w:val="00C53658"/>
    <w:rsid w:val="00C54A67"/>
    <w:rsid w:val="00C557D7"/>
    <w:rsid w:val="00C5784E"/>
    <w:rsid w:val="00C62420"/>
    <w:rsid w:val="00C63B37"/>
    <w:rsid w:val="00C67BFC"/>
    <w:rsid w:val="00C703FE"/>
    <w:rsid w:val="00C71F6B"/>
    <w:rsid w:val="00C76BC8"/>
    <w:rsid w:val="00C77F43"/>
    <w:rsid w:val="00C80054"/>
    <w:rsid w:val="00C80A8F"/>
    <w:rsid w:val="00C83310"/>
    <w:rsid w:val="00C84BA6"/>
    <w:rsid w:val="00C857A3"/>
    <w:rsid w:val="00C865D7"/>
    <w:rsid w:val="00CA0068"/>
    <w:rsid w:val="00CA1FCC"/>
    <w:rsid w:val="00CA2960"/>
    <w:rsid w:val="00CA4699"/>
    <w:rsid w:val="00CA4804"/>
    <w:rsid w:val="00CA74E3"/>
    <w:rsid w:val="00CB1119"/>
    <w:rsid w:val="00CB5C64"/>
    <w:rsid w:val="00CB76AD"/>
    <w:rsid w:val="00CC2E05"/>
    <w:rsid w:val="00CD3A45"/>
    <w:rsid w:val="00CD3B1E"/>
    <w:rsid w:val="00CD3FF9"/>
    <w:rsid w:val="00CD5098"/>
    <w:rsid w:val="00CD50B5"/>
    <w:rsid w:val="00CD5313"/>
    <w:rsid w:val="00CD5DC4"/>
    <w:rsid w:val="00CD6BCC"/>
    <w:rsid w:val="00CE0624"/>
    <w:rsid w:val="00CE26B7"/>
    <w:rsid w:val="00D008C8"/>
    <w:rsid w:val="00D0174B"/>
    <w:rsid w:val="00D021D8"/>
    <w:rsid w:val="00D029AC"/>
    <w:rsid w:val="00D03E2C"/>
    <w:rsid w:val="00D03F5B"/>
    <w:rsid w:val="00D10D22"/>
    <w:rsid w:val="00D11496"/>
    <w:rsid w:val="00D130FA"/>
    <w:rsid w:val="00D136FA"/>
    <w:rsid w:val="00D15B88"/>
    <w:rsid w:val="00D20D19"/>
    <w:rsid w:val="00D2526C"/>
    <w:rsid w:val="00D32813"/>
    <w:rsid w:val="00D40BFE"/>
    <w:rsid w:val="00D43C59"/>
    <w:rsid w:val="00D44740"/>
    <w:rsid w:val="00D44872"/>
    <w:rsid w:val="00D44A14"/>
    <w:rsid w:val="00D46054"/>
    <w:rsid w:val="00D462DF"/>
    <w:rsid w:val="00D5260F"/>
    <w:rsid w:val="00D52C8F"/>
    <w:rsid w:val="00D55C76"/>
    <w:rsid w:val="00D57F49"/>
    <w:rsid w:val="00D60D66"/>
    <w:rsid w:val="00D619EB"/>
    <w:rsid w:val="00D643F9"/>
    <w:rsid w:val="00D6493C"/>
    <w:rsid w:val="00D658E4"/>
    <w:rsid w:val="00D65D73"/>
    <w:rsid w:val="00D670E6"/>
    <w:rsid w:val="00D74D96"/>
    <w:rsid w:val="00D8076A"/>
    <w:rsid w:val="00D831C3"/>
    <w:rsid w:val="00D85F39"/>
    <w:rsid w:val="00D935A8"/>
    <w:rsid w:val="00D9511B"/>
    <w:rsid w:val="00D95127"/>
    <w:rsid w:val="00D9796E"/>
    <w:rsid w:val="00DA198C"/>
    <w:rsid w:val="00DA2BA9"/>
    <w:rsid w:val="00DA33BB"/>
    <w:rsid w:val="00DA39D6"/>
    <w:rsid w:val="00DA4915"/>
    <w:rsid w:val="00DA4D9A"/>
    <w:rsid w:val="00DA7BA8"/>
    <w:rsid w:val="00DB3C67"/>
    <w:rsid w:val="00DB482E"/>
    <w:rsid w:val="00DB5287"/>
    <w:rsid w:val="00DB5D7D"/>
    <w:rsid w:val="00DC19BB"/>
    <w:rsid w:val="00DC29FC"/>
    <w:rsid w:val="00DC3391"/>
    <w:rsid w:val="00DC4DD9"/>
    <w:rsid w:val="00DC722D"/>
    <w:rsid w:val="00DC7685"/>
    <w:rsid w:val="00DD6112"/>
    <w:rsid w:val="00DE0699"/>
    <w:rsid w:val="00DE40D7"/>
    <w:rsid w:val="00DF1EF8"/>
    <w:rsid w:val="00E0212A"/>
    <w:rsid w:val="00E135C8"/>
    <w:rsid w:val="00E2014B"/>
    <w:rsid w:val="00E21798"/>
    <w:rsid w:val="00E25F85"/>
    <w:rsid w:val="00E261DC"/>
    <w:rsid w:val="00E2661F"/>
    <w:rsid w:val="00E267EC"/>
    <w:rsid w:val="00E3408E"/>
    <w:rsid w:val="00E34A4A"/>
    <w:rsid w:val="00E41EDC"/>
    <w:rsid w:val="00E43749"/>
    <w:rsid w:val="00E500F8"/>
    <w:rsid w:val="00E51ED3"/>
    <w:rsid w:val="00E53CB8"/>
    <w:rsid w:val="00E54958"/>
    <w:rsid w:val="00E57B70"/>
    <w:rsid w:val="00E61683"/>
    <w:rsid w:val="00E641E9"/>
    <w:rsid w:val="00E642CA"/>
    <w:rsid w:val="00E662EF"/>
    <w:rsid w:val="00E71A66"/>
    <w:rsid w:val="00E7337A"/>
    <w:rsid w:val="00E81D97"/>
    <w:rsid w:val="00E8207F"/>
    <w:rsid w:val="00E8348C"/>
    <w:rsid w:val="00E8500A"/>
    <w:rsid w:val="00E850D6"/>
    <w:rsid w:val="00E85297"/>
    <w:rsid w:val="00E85B4F"/>
    <w:rsid w:val="00E85FEC"/>
    <w:rsid w:val="00E87551"/>
    <w:rsid w:val="00E9135D"/>
    <w:rsid w:val="00E954E7"/>
    <w:rsid w:val="00E97C5C"/>
    <w:rsid w:val="00EA141C"/>
    <w:rsid w:val="00EA156C"/>
    <w:rsid w:val="00EA5462"/>
    <w:rsid w:val="00EA6A2A"/>
    <w:rsid w:val="00EB0C7A"/>
    <w:rsid w:val="00EB1575"/>
    <w:rsid w:val="00EB62CA"/>
    <w:rsid w:val="00EB7560"/>
    <w:rsid w:val="00EC020B"/>
    <w:rsid w:val="00EC440E"/>
    <w:rsid w:val="00EC5449"/>
    <w:rsid w:val="00EC613C"/>
    <w:rsid w:val="00EC7D66"/>
    <w:rsid w:val="00ED3463"/>
    <w:rsid w:val="00ED3538"/>
    <w:rsid w:val="00ED47AB"/>
    <w:rsid w:val="00ED545C"/>
    <w:rsid w:val="00EE0136"/>
    <w:rsid w:val="00EE1458"/>
    <w:rsid w:val="00EE242F"/>
    <w:rsid w:val="00EF2D99"/>
    <w:rsid w:val="00F03F50"/>
    <w:rsid w:val="00F13D28"/>
    <w:rsid w:val="00F1512F"/>
    <w:rsid w:val="00F16F14"/>
    <w:rsid w:val="00F30E1E"/>
    <w:rsid w:val="00F3354D"/>
    <w:rsid w:val="00F36FFF"/>
    <w:rsid w:val="00F3770A"/>
    <w:rsid w:val="00F40FCE"/>
    <w:rsid w:val="00F41159"/>
    <w:rsid w:val="00F419BD"/>
    <w:rsid w:val="00F46E58"/>
    <w:rsid w:val="00F470DC"/>
    <w:rsid w:val="00F50AE8"/>
    <w:rsid w:val="00F53058"/>
    <w:rsid w:val="00F54D49"/>
    <w:rsid w:val="00F55AB3"/>
    <w:rsid w:val="00F565ED"/>
    <w:rsid w:val="00F56C13"/>
    <w:rsid w:val="00F66FE6"/>
    <w:rsid w:val="00F76033"/>
    <w:rsid w:val="00F76966"/>
    <w:rsid w:val="00F80178"/>
    <w:rsid w:val="00F82B81"/>
    <w:rsid w:val="00F84B50"/>
    <w:rsid w:val="00F8524E"/>
    <w:rsid w:val="00F8709C"/>
    <w:rsid w:val="00F87DB8"/>
    <w:rsid w:val="00F90918"/>
    <w:rsid w:val="00F90E21"/>
    <w:rsid w:val="00F918A3"/>
    <w:rsid w:val="00F93996"/>
    <w:rsid w:val="00FA7A22"/>
    <w:rsid w:val="00FB5B41"/>
    <w:rsid w:val="00FB705F"/>
    <w:rsid w:val="00FB734F"/>
    <w:rsid w:val="00FD1F06"/>
    <w:rsid w:val="00FD42EC"/>
    <w:rsid w:val="00FD50BB"/>
    <w:rsid w:val="00FD57CC"/>
    <w:rsid w:val="00FD71DD"/>
    <w:rsid w:val="00FE209D"/>
    <w:rsid w:val="00FE3347"/>
    <w:rsid w:val="00FE4F00"/>
    <w:rsid w:val="00FE698D"/>
    <w:rsid w:val="00FF2374"/>
    <w:rsid w:val="00FF376C"/>
    <w:rsid w:val="00FF6A8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94C461-923E-4262-AFCF-F1D6A1E5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D9"/>
    <w:pPr>
      <w:spacing w:after="20" w:line="250" w:lineRule="atLeast"/>
    </w:pPr>
    <w:rPr>
      <w:rFonts w:ascii="Arial" w:hAnsi="Arial"/>
      <w:sz w:val="20"/>
    </w:rPr>
  </w:style>
  <w:style w:type="paragraph" w:styleId="Heading3">
    <w:name w:val="heading 3"/>
    <w:basedOn w:val="Normal"/>
    <w:next w:val="Normal"/>
    <w:link w:val="Heading3Char"/>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42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52"/>
    <w:rPr>
      <w:rFonts w:ascii="Tahoma" w:hAnsi="Tahoma" w:cs="Tahoma"/>
      <w:sz w:val="16"/>
      <w:szCs w:val="16"/>
    </w:rPr>
  </w:style>
  <w:style w:type="paragraph" w:styleId="Header">
    <w:name w:val="header"/>
    <w:basedOn w:val="Normal"/>
    <w:link w:val="HeaderChar"/>
    <w:uiPriority w:val="99"/>
    <w:semiHidden/>
    <w:rsid w:val="002E6499"/>
    <w:pPr>
      <w:tabs>
        <w:tab w:val="center" w:pos="4536"/>
        <w:tab w:val="right" w:pos="9072"/>
      </w:tabs>
      <w:spacing w:after="0"/>
    </w:pPr>
  </w:style>
  <w:style w:type="character" w:customStyle="1" w:styleId="HeaderChar">
    <w:name w:val="Header Char"/>
    <w:basedOn w:val="DefaultParagraphFont"/>
    <w:link w:val="Header"/>
    <w:uiPriority w:val="99"/>
    <w:semiHidden/>
    <w:rsid w:val="00710952"/>
    <w:rPr>
      <w:rFonts w:ascii="HelveticaNeueLT Std" w:hAnsi="HelveticaNeueLT Std"/>
      <w:sz w:val="20"/>
    </w:rPr>
  </w:style>
  <w:style w:type="paragraph" w:styleId="Footer">
    <w:name w:val="footer"/>
    <w:basedOn w:val="Normal"/>
    <w:link w:val="FooterChar"/>
    <w:uiPriority w:val="99"/>
    <w:rsid w:val="002E6499"/>
    <w:pPr>
      <w:tabs>
        <w:tab w:val="center" w:pos="4536"/>
        <w:tab w:val="right" w:pos="9072"/>
      </w:tabs>
      <w:spacing w:after="0"/>
    </w:pPr>
  </w:style>
  <w:style w:type="character" w:customStyle="1" w:styleId="FooterChar">
    <w:name w:val="Footer Char"/>
    <w:basedOn w:val="DefaultParagraphFont"/>
    <w:link w:val="Footer"/>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Normal"/>
    <w:qFormat/>
    <w:rsid w:val="00662FB2"/>
    <w:pPr>
      <w:framePr w:w="5103" w:wrap="around" w:vAnchor="page" w:hAnchor="text" w:y="2042" w:anchorLock="1"/>
      <w:spacing w:after="0"/>
    </w:pPr>
    <w:rPr>
      <w:b/>
      <w:color w:val="005391"/>
      <w:sz w:val="40"/>
      <w:szCs w:val="16"/>
    </w:rPr>
  </w:style>
  <w:style w:type="character" w:styleId="Hyperlink">
    <w:name w:val="Hyperlink"/>
    <w:basedOn w:val="DefaultParagraphFont"/>
    <w:uiPriority w:val="99"/>
    <w:semiHidden/>
    <w:rsid w:val="00712CAB"/>
    <w:rPr>
      <w:color w:val="0000FF" w:themeColor="hyperlink"/>
      <w:u w:val="single"/>
    </w:rPr>
  </w:style>
  <w:style w:type="paragraph" w:customStyle="1" w:styleId="ANRegister">
    <w:name w:val="AN Register"/>
    <w:basedOn w:val="Header"/>
    <w:qFormat/>
    <w:rsid w:val="00FF376C"/>
    <w:pPr>
      <w:framePr w:wrap="around" w:vAnchor="page" w:hAnchor="text" w:y="16189" w:anchorLock="1"/>
      <w:spacing w:line="240" w:lineRule="auto"/>
    </w:pPr>
    <w:rPr>
      <w:color w:val="005391"/>
      <w:sz w:val="12"/>
    </w:rPr>
  </w:style>
  <w:style w:type="paragraph" w:customStyle="1" w:styleId="ANAddress">
    <w:name w:val="AN Address"/>
    <w:basedOn w:val="Header"/>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Normal"/>
    <w:qFormat/>
    <w:rsid w:val="00DC4DD9"/>
    <w:pPr>
      <w:spacing w:before="160" w:after="280"/>
    </w:pPr>
    <w:rPr>
      <w:sz w:val="24"/>
      <w:lang w:val="en-US"/>
    </w:rPr>
  </w:style>
  <w:style w:type="paragraph" w:customStyle="1" w:styleId="ANNote">
    <w:name w:val="AN Note"/>
    <w:basedOn w:val="Normal"/>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leGrid">
    <w:name w:val="Table Grid"/>
    <w:basedOn w:val="TableNormal"/>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Normal"/>
    <w:rsid w:val="004678D1"/>
    <w:pPr>
      <w:widowControl w:val="0"/>
      <w:spacing w:after="240"/>
    </w:pPr>
    <w:rPr>
      <w:rFonts w:eastAsia="Times New Roman" w:cs="Times New Roman"/>
      <w:szCs w:val="20"/>
      <w:lang w:val="en-GB"/>
    </w:rPr>
  </w:style>
  <w:style w:type="paragraph" w:customStyle="1" w:styleId="ANSignoffs">
    <w:name w:val="AN Signoffs"/>
    <w:basedOn w:val="Normal"/>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CommentReference">
    <w:name w:val="annotation reference"/>
    <w:basedOn w:val="DefaultParagraphFont"/>
    <w:uiPriority w:val="99"/>
    <w:semiHidden/>
    <w:rsid w:val="00F8524E"/>
    <w:rPr>
      <w:sz w:val="16"/>
      <w:szCs w:val="16"/>
    </w:rPr>
  </w:style>
  <w:style w:type="paragraph" w:styleId="CommentText">
    <w:name w:val="annotation text"/>
    <w:basedOn w:val="Normal"/>
    <w:link w:val="CommentTextChar"/>
    <w:uiPriority w:val="99"/>
    <w:semiHidden/>
    <w:rsid w:val="00F8524E"/>
    <w:pPr>
      <w:spacing w:line="240" w:lineRule="auto"/>
    </w:pPr>
    <w:rPr>
      <w:szCs w:val="20"/>
    </w:rPr>
  </w:style>
  <w:style w:type="character" w:customStyle="1" w:styleId="CommentTextChar">
    <w:name w:val="Comment Text Char"/>
    <w:basedOn w:val="DefaultParagraphFont"/>
    <w:link w:val="CommentText"/>
    <w:uiPriority w:val="99"/>
    <w:semiHidden/>
    <w:rsid w:val="00F8524E"/>
    <w:rPr>
      <w:rFonts w:ascii="Arial" w:hAnsi="Arial"/>
      <w:sz w:val="20"/>
      <w:szCs w:val="20"/>
    </w:rPr>
  </w:style>
  <w:style w:type="paragraph" w:styleId="CommentSubject">
    <w:name w:val="annotation subject"/>
    <w:basedOn w:val="CommentText"/>
    <w:next w:val="CommentText"/>
    <w:link w:val="CommentSubjectChar"/>
    <w:uiPriority w:val="99"/>
    <w:semiHidden/>
    <w:rsid w:val="00F8524E"/>
    <w:rPr>
      <w:b/>
      <w:bCs/>
    </w:rPr>
  </w:style>
  <w:style w:type="character" w:customStyle="1" w:styleId="CommentSubjectChar">
    <w:name w:val="Comment Subject Char"/>
    <w:basedOn w:val="CommentTextChar"/>
    <w:link w:val="CommentSubject"/>
    <w:uiPriority w:val="99"/>
    <w:semiHidden/>
    <w:rsid w:val="00F8524E"/>
    <w:rPr>
      <w:rFonts w:ascii="Arial" w:hAnsi="Arial"/>
      <w:b/>
      <w:bCs/>
      <w:sz w:val="20"/>
      <w:szCs w:val="20"/>
    </w:rPr>
  </w:style>
  <w:style w:type="character" w:customStyle="1" w:styleId="Heading3Char">
    <w:name w:val="Heading 3 Char"/>
    <w:basedOn w:val="DefaultParagraphFont"/>
    <w:link w:val="Heading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TableNormal"/>
    <w:next w:val="TableGrid"/>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C62"/>
    <w:rPr>
      <w:b/>
      <w:bCs/>
    </w:rPr>
  </w:style>
  <w:style w:type="character" w:styleId="FollowedHyperlink">
    <w:name w:val="FollowedHyperlink"/>
    <w:basedOn w:val="DefaultParagraphFont"/>
    <w:uiPriority w:val="99"/>
    <w:semiHidden/>
    <w:rsid w:val="00A17D02"/>
    <w:rPr>
      <w:color w:val="800080" w:themeColor="followedHyperlink"/>
      <w:u w:val="single"/>
    </w:rPr>
  </w:style>
  <w:style w:type="paragraph" w:styleId="Revision">
    <w:name w:val="Revision"/>
    <w:hidden/>
    <w:uiPriority w:val="99"/>
    <w:semiHidden/>
    <w:rsid w:val="008C148F"/>
    <w:pPr>
      <w:spacing w:after="0" w:line="240" w:lineRule="auto"/>
    </w:pPr>
    <w:rPr>
      <w:rFonts w:ascii="Arial" w:hAnsi="Arial"/>
      <w:sz w:val="20"/>
    </w:rPr>
  </w:style>
  <w:style w:type="paragraph" w:styleId="Date">
    <w:name w:val="Date"/>
    <w:basedOn w:val="Normal"/>
    <w:next w:val="Normal"/>
    <w:link w:val="DateChar"/>
    <w:uiPriority w:val="99"/>
    <w:semiHidden/>
    <w:rsid w:val="00C5784E"/>
  </w:style>
  <w:style w:type="character" w:customStyle="1" w:styleId="DateChar">
    <w:name w:val="Date Char"/>
    <w:basedOn w:val="DefaultParagraphFont"/>
    <w:link w:val="Date"/>
    <w:uiPriority w:val="99"/>
    <w:semiHidden/>
    <w:rsid w:val="00C5784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130">
      <w:bodyDiv w:val="1"/>
      <w:marLeft w:val="0"/>
      <w:marRight w:val="0"/>
      <w:marTop w:val="0"/>
      <w:marBottom w:val="0"/>
      <w:divBdr>
        <w:top w:val="none" w:sz="0" w:space="0" w:color="auto"/>
        <w:left w:val="none" w:sz="0" w:space="0" w:color="auto"/>
        <w:bottom w:val="none" w:sz="0" w:space="0" w:color="auto"/>
        <w:right w:val="none" w:sz="0" w:space="0" w:color="auto"/>
      </w:divBdr>
    </w:div>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238486834">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zonobel.com/for-investors/shares/share-buyback-overview"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www.akzonobe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4DF12897B375FB40A6DB7E06BCD6B26E" ma:contentTypeVersion="259" ma:contentTypeDescription="Een nieuw document maken." ma:contentTypeScope="" ma:versionID="3ee236c0bb44ca6dc4606902eed37cae">
  <xsd:schema xmlns:xsd="http://www.w3.org/2001/XMLSchema" xmlns:xs="http://www.w3.org/2001/XMLSchema" xmlns:p="http://schemas.microsoft.com/office/2006/metadata/properties" xmlns:ns1="http://schemas.microsoft.com/sharepoint/v3" xmlns:ns3="936c9f6d-703f-4492-b10b-5967c53212d1" xmlns:ns4="0189a26a-eda1-4f02-98c3-daaab8884e9e" targetNamespace="http://schemas.microsoft.com/office/2006/metadata/properties" ma:root="true" ma:fieldsID="7ca5f2341050292c89eaeabb58804260" ns1:_="" ns3:_="" ns4:_="">
    <xsd:import namespace="http://schemas.microsoft.com/sharepoint/v3"/>
    <xsd:import namespace="936c9f6d-703f-4492-b10b-5967c53212d1"/>
    <xsd:import namespace="0189a26a-eda1-4f02-98c3-daaab8884e9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0dc9c558-f6ae-4283-9928-846d04e11b74}" ma:internalName="TaxCatchAllLabel" ma:readOnly="true" ma:showField="CatchAllDataLabel" ma:web="0189a26a-eda1-4f02-98c3-daaab8884e9e">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0dc9c558-f6ae-4283-9928-846d04e11b74}" ma:internalName="TaxCatchAll" ma:showField="CatchAllData" ma:web="0189a26a-eda1-4f02-98c3-daaab8884e9e">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89a26a-eda1-4f02-98c3-daaab8884e9e"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16</Value>
      <Value>15</Value>
      <Value>1</Value>
    </TaxCatchAll>
    <OrigineleLLLocatie xmlns="936c9f6d-703f-4492-b10b-5967c53212d1" xsi:nil="true"/>
    <OrigineleLLObjectId xmlns="936c9f6d-703f-4492-b10b-5967c53212d1">100061010</OrigineleLLObjectId>
    <Relatienummer xmlns="936c9f6d-703f-4492-b10b-5967c53212d1">BHL760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0189a26a-eda1-4f02-98c3-daaab8884e9e">BHL760-2-1826</_dlc_DocId>
    <_dlc_DocIdUrl xmlns="0189a26a-eda1-4f02-98c3-daaab8884e9e">
      <Url>http://dms.stelan.nl/instellingen/BHL760/_layouts/15/DocIdRedir.aspx?ID=BHL760-2-1826</Url>
      <Description>BHL760-2-1826</Description>
    </_dlc_DocIdUrl>
    <Scandatum xmlns="936c9f6d-703f-4492-b10b-5967c53212d1">2017-03-28T06:13:00+00:00</Scandatum>
    <Afzender xmlns="936c9f6d-703f-4492-b10b-5967c53212d1">Akzo Nobel N.V.</Afzender>
    <Registratienummer xmlns="936c9f6d-703f-4492-b10b-5967c53212d1">24683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49452ED9-468F-4733-A64C-9DC0E4A46454}">
  <ds:schemaRefs>
    <ds:schemaRef ds:uri="http://schemas.openxmlformats.org/officeDocument/2006/bibliography"/>
  </ds:schemaRefs>
</ds:datastoreItem>
</file>

<file path=customXml/itemProps2.xml><?xml version="1.0" encoding="utf-8"?>
<ds:datastoreItem xmlns:ds="http://schemas.openxmlformats.org/officeDocument/2006/customXml" ds:itemID="{F8858E76-52FB-4212-A132-74466EEE88D1}"/>
</file>

<file path=customXml/itemProps3.xml><?xml version="1.0" encoding="utf-8"?>
<ds:datastoreItem xmlns:ds="http://schemas.openxmlformats.org/officeDocument/2006/customXml" ds:itemID="{DFEFCBD5-86DA-4F0A-8CEB-09E61A45C7AD}"/>
</file>

<file path=customXml/itemProps4.xml><?xml version="1.0" encoding="utf-8"?>
<ds:datastoreItem xmlns:ds="http://schemas.openxmlformats.org/officeDocument/2006/customXml" ds:itemID="{7DEB7324-B0ED-418B-B96F-4A3AA6ED0A07}"/>
</file>

<file path=customXml/itemProps5.xml><?xml version="1.0" encoding="utf-8"?>
<ds:datastoreItem xmlns:ds="http://schemas.openxmlformats.org/officeDocument/2006/customXml" ds:itemID="{E3552765-9AA4-43DD-AAB5-5F6753B62C05}"/>
</file>

<file path=customXml/itemProps6.xml><?xml version="1.0" encoding="utf-8"?>
<ds:datastoreItem xmlns:ds="http://schemas.openxmlformats.org/officeDocument/2006/customXml" ds:itemID="{C161D8D2-0C2D-4ED9-8D4D-777B5946499A}"/>
</file>

<file path=customXml/itemProps7.xml><?xml version="1.0" encoding="utf-8"?>
<ds:datastoreItem xmlns:ds="http://schemas.openxmlformats.org/officeDocument/2006/customXml" ds:itemID="{FD8FEFCD-FE69-4B22-9D81-D050E3629CB7}"/>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24683_20170327 Share buyback week12.docx</dc:title>
  <dc:creator>AkzoNobel</dc:creator>
  <cp:lastModifiedBy>lurvink</cp:lastModifiedBy>
  <cp:revision>2</cp:revision>
  <cp:lastPrinted>2017-02-26T17:11:00Z</cp:lastPrinted>
  <dcterms:created xsi:type="dcterms:W3CDTF">2017-03-28T06:11:00Z</dcterms:created>
  <dcterms:modified xsi:type="dcterms:W3CDTF">2017-03-28T06:11:00Z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27378379</vt:lpwstr>
  </property>
  <property fmtid="{D5CDD505-2E9C-101B-9397-08002B2CF9AE}" pid="4" name="WorksiteDocVersion">
    <vt:lpwstr>1</vt:lpwstr>
  </property>
  <property fmtid="{D5CDD505-2E9C-101B-9397-08002B2CF9AE}" pid="5" name="WorksiteMatterNumber">
    <vt:lpwstr>20670001</vt:lpwstr>
  </property>
  <property fmtid="{D5CDD505-2E9C-101B-9397-08002B2CF9AE}" pid="6" name="WorksiteAuthor">
    <vt:lpwstr>EXTERNAL</vt:lpwstr>
  </property>
  <property fmtid="{D5CDD505-2E9C-101B-9397-08002B2CF9AE}" pid="7" name="DOCNAAM">
    <vt:lpwstr>M27378379/1/20670001/RHK</vt:lpwstr>
  </property>
  <property fmtid="{D5CDD505-2E9C-101B-9397-08002B2CF9AE}" pid="8" name="ContentTypeId">
    <vt:lpwstr>0x010100AF3C3E63A8E348D0B83574E1B1F453E5003929ED3A8D04456685ACF4C22313EE1B003179F0876C424676AC6F62DFF7F73A17004DF12897B375FB40A6DB7E06BCD6B26E</vt:lpwstr>
  </property>
  <property fmtid="{D5CDD505-2E9C-101B-9397-08002B2CF9AE}" pid="9" name="VertrouwelijkheidTaxHTField0">
    <vt:lpwstr>B - AFM intern|7b7ff21d-0bb8-4cab-b8de-f0e80c0220e6</vt:lpwstr>
  </property>
  <property fmtid="{D5CDD505-2E9C-101B-9397-08002B2CF9AE}" pid="10" name="_dlc_DocIdItemGuid">
    <vt:lpwstr>48729433-1858-4e90-9d6c-bb1b31983e4a</vt:lpwstr>
  </property>
  <property fmtid="{D5CDD505-2E9C-101B-9397-08002B2CF9AE}" pid="11" name="TaxKeyword">
    <vt:lpwstr/>
  </property>
  <property fmtid="{D5CDD505-2E9C-101B-9397-08002B2CF9AE}" pid="12" name="Kanaal">
    <vt:lpwstr>16;#Loket|2d658804-9364-49db-8388-b19b0f75bc5e</vt:lpwstr>
  </property>
  <property fmtid="{D5CDD505-2E9C-101B-9397-08002B2CF9AE}" pid="13" name="Toezichtstaak">
    <vt:lpwstr/>
  </property>
  <property fmtid="{D5CDD505-2E9C-101B-9397-08002B2CF9AE}" pid="14" name="Documenttype">
    <vt:lpwstr/>
  </property>
  <property fmtid="{D5CDD505-2E9C-101B-9397-08002B2CF9AE}" pid="15" name="Organisatieonderdeel">
    <vt:lpwstr>15;#DIV|60ad375a-4acb-46c1-99e9-7f617816c991</vt:lpwstr>
  </property>
  <property fmtid="{D5CDD505-2E9C-101B-9397-08002B2CF9AE}" pid="16" name="Proces">
    <vt:lpwstr/>
  </property>
  <property fmtid="{D5CDD505-2E9C-101B-9397-08002B2CF9AE}" pid="17" name="Vertrouwelijkheid">
    <vt:lpwstr>1;#B - AFM intern|7b7ff21d-0bb8-4cab-b8de-f0e80c0220e6</vt:lpwstr>
  </property>
</Properties>
</file>