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C7FAE" w14:textId="52207B66" w:rsidR="00262E72" w:rsidRPr="0063395D" w:rsidRDefault="00262E72" w:rsidP="00262E72">
      <w:pPr>
        <w:spacing w:after="0" w:line="240" w:lineRule="auto"/>
        <w:rPr>
          <w:b/>
          <w:bCs/>
          <w:color w:val="8DB3E2"/>
          <w:sz w:val="20"/>
          <w:szCs w:val="20"/>
          <w:u w:color="8DB3E2"/>
          <w:lang w:val="en-GB"/>
        </w:rPr>
      </w:pPr>
      <w:bookmarkStart w:id="0" w:name="_GoBack"/>
      <w:bookmarkEnd w:id="0"/>
      <w:r w:rsidRPr="0063395D">
        <w:rPr>
          <w:b/>
          <w:bCs/>
          <w:color w:val="8DB3E2"/>
          <w:sz w:val="20"/>
          <w:szCs w:val="20"/>
          <w:u w:color="8DB3E2"/>
          <w:lang w:val="en-GB"/>
        </w:rPr>
        <w:t xml:space="preserve">PRESS RELEASE, </w:t>
      </w:r>
      <w:r w:rsidR="001B7471">
        <w:rPr>
          <w:b/>
          <w:bCs/>
          <w:color w:val="8DB3E2"/>
          <w:sz w:val="20"/>
          <w:szCs w:val="20"/>
          <w:u w:color="8DB3E2"/>
          <w:lang w:val="en-GB"/>
        </w:rPr>
        <w:t>FINAL</w:t>
      </w:r>
      <w:r w:rsidRPr="0063395D">
        <w:rPr>
          <w:b/>
          <w:bCs/>
          <w:color w:val="8DB3E2"/>
          <w:sz w:val="20"/>
          <w:szCs w:val="20"/>
          <w:u w:color="8DB3E2"/>
          <w:lang w:val="en-GB"/>
        </w:rPr>
        <w:t xml:space="preserve"> 2</w:t>
      </w:r>
      <w:r>
        <w:rPr>
          <w:b/>
          <w:bCs/>
          <w:color w:val="8DB3E2"/>
          <w:sz w:val="20"/>
          <w:szCs w:val="20"/>
          <w:u w:color="8DB3E2"/>
          <w:lang w:val="en-GB"/>
        </w:rPr>
        <w:t>6</w:t>
      </w:r>
      <w:r w:rsidRPr="0063395D">
        <w:rPr>
          <w:b/>
          <w:bCs/>
          <w:color w:val="8DB3E2"/>
          <w:sz w:val="20"/>
          <w:szCs w:val="20"/>
          <w:u w:color="8DB3E2"/>
          <w:lang w:val="en-GB"/>
        </w:rPr>
        <w:t xml:space="preserve"> MAY 2017  </w:t>
      </w:r>
    </w:p>
    <w:p w14:paraId="700B1D76" w14:textId="77777777" w:rsidR="00262E72" w:rsidRPr="0063395D" w:rsidRDefault="00262E72" w:rsidP="00262E72">
      <w:pPr>
        <w:spacing w:after="0" w:line="240" w:lineRule="auto"/>
        <w:jc w:val="right"/>
        <w:rPr>
          <w:rFonts w:ascii="Arial" w:hAnsi="Arial"/>
          <w:sz w:val="20"/>
          <w:szCs w:val="20"/>
          <w:lang w:val="en-GB"/>
        </w:rPr>
      </w:pPr>
    </w:p>
    <w:p w14:paraId="75761D64" w14:textId="77777777" w:rsidR="00262E72" w:rsidRPr="0063395D" w:rsidRDefault="00262E72" w:rsidP="00262E72">
      <w:pPr>
        <w:spacing w:after="0" w:line="240" w:lineRule="auto"/>
        <w:jc w:val="right"/>
        <w:rPr>
          <w:rFonts w:ascii="Arial" w:hAnsi="Arial"/>
          <w:sz w:val="20"/>
          <w:szCs w:val="20"/>
          <w:lang w:val="en-GB"/>
        </w:rPr>
      </w:pPr>
    </w:p>
    <w:p w14:paraId="4F528A53" w14:textId="77777777" w:rsidR="00262E72" w:rsidRDefault="00262E72" w:rsidP="00262E72">
      <w:pPr>
        <w:spacing w:after="0" w:line="240" w:lineRule="auto"/>
        <w:jc w:val="right"/>
        <w:rPr>
          <w:rFonts w:ascii="Arial" w:hAnsi="Arial"/>
          <w:sz w:val="20"/>
          <w:szCs w:val="20"/>
          <w:lang w:val="en-GB"/>
        </w:rPr>
      </w:pPr>
      <w:r w:rsidRPr="0063395D">
        <w:rPr>
          <w:rFonts w:ascii="Arial" w:hAnsi="Arial"/>
          <w:sz w:val="20"/>
          <w:szCs w:val="20"/>
          <w:lang w:val="en-GB"/>
        </w:rPr>
        <w:t>Amsterdam, xx May 2017</w:t>
      </w:r>
    </w:p>
    <w:p w14:paraId="2C917BE1" w14:textId="77777777" w:rsidR="00262E72" w:rsidRPr="0063395D" w:rsidRDefault="00262E72" w:rsidP="00262E72">
      <w:pPr>
        <w:spacing w:after="0" w:line="240" w:lineRule="auto"/>
        <w:rPr>
          <w:rFonts w:ascii="Arial" w:eastAsia="Arial" w:hAnsi="Arial" w:cs="Arial"/>
          <w:sz w:val="20"/>
          <w:szCs w:val="20"/>
          <w:lang w:val="en-GB"/>
        </w:rPr>
      </w:pPr>
    </w:p>
    <w:p w14:paraId="644A2587" w14:textId="77777777" w:rsidR="00262E72" w:rsidRPr="0063395D" w:rsidRDefault="00262E72" w:rsidP="00262E72">
      <w:pPr>
        <w:spacing w:after="0" w:line="240" w:lineRule="auto"/>
        <w:rPr>
          <w:rFonts w:ascii="Arial" w:hAnsi="Arial"/>
          <w:b/>
          <w:bCs/>
          <w:color w:val="0070C0"/>
          <w:sz w:val="36"/>
          <w:szCs w:val="36"/>
          <w:u w:color="0070C0"/>
          <w:lang w:val="en-GB"/>
        </w:rPr>
      </w:pPr>
      <w:r w:rsidRPr="0063395D">
        <w:rPr>
          <w:rFonts w:ascii="Arial" w:hAnsi="Arial"/>
          <w:b/>
          <w:bCs/>
          <w:i/>
          <w:color w:val="0070C0"/>
          <w:sz w:val="40"/>
          <w:szCs w:val="40"/>
          <w:u w:color="0070C0"/>
          <w:lang w:val="en-GB"/>
        </w:rPr>
        <w:t xml:space="preserve">TMG </w:t>
      </w:r>
      <w:r w:rsidRPr="0063395D">
        <w:rPr>
          <w:rFonts w:ascii="Arial" w:hAnsi="Arial"/>
          <w:b/>
          <w:bCs/>
          <w:i/>
          <w:color w:val="0070C0"/>
          <w:sz w:val="36"/>
          <w:szCs w:val="36"/>
          <w:u w:color="0070C0"/>
          <w:lang w:val="en-GB"/>
        </w:rPr>
        <w:t>update first four months of 2017</w:t>
      </w:r>
    </w:p>
    <w:p w14:paraId="0B8E8E21" w14:textId="77777777" w:rsidR="00262E72" w:rsidRPr="0063395D" w:rsidRDefault="00262E72" w:rsidP="00262E72">
      <w:pPr>
        <w:spacing w:after="0" w:line="240" w:lineRule="auto"/>
        <w:rPr>
          <w:rFonts w:ascii="Arial" w:hAnsi="Arial"/>
          <w:b/>
          <w:bCs/>
          <w:i/>
          <w:color w:val="0070C0"/>
          <w:sz w:val="28"/>
          <w:szCs w:val="28"/>
          <w:u w:color="0070C0"/>
          <w:lang w:val="en-GB"/>
        </w:rPr>
      </w:pPr>
    </w:p>
    <w:p w14:paraId="76EF328B" w14:textId="77777777" w:rsidR="00262E72" w:rsidRPr="0063395D" w:rsidRDefault="00262E72" w:rsidP="00262E72">
      <w:pPr>
        <w:spacing w:after="0" w:line="300" w:lineRule="exact"/>
        <w:rPr>
          <w:rFonts w:ascii="Arial" w:hAnsi="Arial" w:cs="Arial"/>
          <w:b/>
          <w:bCs/>
          <w:color w:val="auto"/>
          <w:sz w:val="20"/>
          <w:szCs w:val="20"/>
          <w:u w:color="4D4E4C"/>
          <w:lang w:val="en-GB"/>
        </w:rPr>
      </w:pPr>
      <w:r w:rsidRPr="0063395D">
        <w:rPr>
          <w:rFonts w:ascii="Arial" w:hAnsi="Arial" w:cs="Arial"/>
          <w:b/>
          <w:bCs/>
          <w:color w:val="auto"/>
          <w:sz w:val="20"/>
          <w:szCs w:val="20"/>
          <w:u w:color="4D4E4C"/>
          <w:lang w:val="en-GB"/>
        </w:rPr>
        <w:t xml:space="preserve">During the General Meeting of Shareholders (EGM) to be held on 1 June 2017, Telegraaf Media Groep N.V. (“TMG”) will provide a </w:t>
      </w:r>
      <w:r>
        <w:rPr>
          <w:rFonts w:ascii="Arial" w:hAnsi="Arial" w:cs="Arial"/>
          <w:b/>
          <w:bCs/>
          <w:color w:val="auto"/>
          <w:sz w:val="20"/>
          <w:szCs w:val="20"/>
          <w:u w:color="4D4E4C"/>
          <w:lang w:val="en-GB"/>
        </w:rPr>
        <w:t>further clarification regarding</w:t>
      </w:r>
      <w:r w:rsidRPr="0063395D">
        <w:rPr>
          <w:rFonts w:ascii="Arial" w:hAnsi="Arial" w:cs="Arial"/>
          <w:b/>
          <w:bCs/>
          <w:color w:val="auto"/>
          <w:sz w:val="20"/>
          <w:szCs w:val="20"/>
          <w:u w:color="4D4E4C"/>
          <w:lang w:val="en-GB"/>
        </w:rPr>
        <w:t xml:space="preserve"> the public </w:t>
      </w:r>
      <w:r>
        <w:rPr>
          <w:rFonts w:ascii="Arial" w:hAnsi="Arial" w:cs="Arial"/>
          <w:b/>
          <w:bCs/>
          <w:color w:val="auto"/>
          <w:sz w:val="20"/>
          <w:szCs w:val="20"/>
          <w:u w:color="4D4E4C"/>
          <w:lang w:val="en-GB"/>
        </w:rPr>
        <w:t>offer</w:t>
      </w:r>
      <w:r w:rsidRPr="0063395D">
        <w:rPr>
          <w:rFonts w:ascii="Arial" w:hAnsi="Arial" w:cs="Arial"/>
          <w:b/>
          <w:bCs/>
          <w:color w:val="auto"/>
          <w:sz w:val="20"/>
          <w:szCs w:val="20"/>
          <w:u w:color="4D4E4C"/>
          <w:lang w:val="en-GB"/>
        </w:rPr>
        <w:t xml:space="preserve"> made by Mediahuis N.V. and VP Exploitatie N.V. (together “the Consortium”). </w:t>
      </w:r>
      <w:r>
        <w:rPr>
          <w:rFonts w:ascii="Arial" w:hAnsi="Arial" w:cs="Arial"/>
          <w:b/>
          <w:bCs/>
          <w:color w:val="auto"/>
          <w:sz w:val="20"/>
          <w:szCs w:val="20"/>
          <w:u w:color="4D4E4C"/>
          <w:lang w:val="en-GB"/>
        </w:rPr>
        <w:t>TMG</w:t>
      </w:r>
      <w:r w:rsidRPr="0063395D">
        <w:rPr>
          <w:rFonts w:ascii="Arial" w:hAnsi="Arial" w:cs="Arial"/>
          <w:b/>
          <w:bCs/>
          <w:color w:val="auto"/>
          <w:sz w:val="20"/>
          <w:szCs w:val="20"/>
          <w:u w:color="4D4E4C"/>
          <w:lang w:val="en-GB"/>
        </w:rPr>
        <w:t xml:space="preserve"> is committed to </w:t>
      </w:r>
      <w:r>
        <w:rPr>
          <w:rFonts w:ascii="Arial" w:hAnsi="Arial" w:cs="Arial"/>
          <w:b/>
          <w:bCs/>
          <w:color w:val="auto"/>
          <w:sz w:val="20"/>
          <w:szCs w:val="20"/>
          <w:u w:color="4D4E4C"/>
          <w:lang w:val="en-GB"/>
        </w:rPr>
        <w:t xml:space="preserve">informing </w:t>
      </w:r>
      <w:r w:rsidRPr="0063395D">
        <w:rPr>
          <w:rFonts w:ascii="Arial" w:hAnsi="Arial" w:cs="Arial"/>
          <w:b/>
          <w:bCs/>
          <w:color w:val="auto"/>
          <w:sz w:val="20"/>
          <w:szCs w:val="20"/>
          <w:u w:color="4D4E4C"/>
          <w:lang w:val="en-GB"/>
        </w:rPr>
        <w:t xml:space="preserve">all stakeholders </w:t>
      </w:r>
      <w:r>
        <w:rPr>
          <w:rFonts w:ascii="Arial" w:hAnsi="Arial" w:cs="Arial"/>
          <w:b/>
          <w:bCs/>
          <w:color w:val="auto"/>
          <w:sz w:val="20"/>
          <w:szCs w:val="20"/>
          <w:u w:color="4D4E4C"/>
          <w:lang w:val="en-GB"/>
        </w:rPr>
        <w:t xml:space="preserve">about the latest </w:t>
      </w:r>
      <w:r w:rsidRPr="0063395D">
        <w:rPr>
          <w:rFonts w:ascii="Arial" w:hAnsi="Arial" w:cs="Arial"/>
          <w:b/>
          <w:bCs/>
          <w:color w:val="auto"/>
          <w:sz w:val="20"/>
          <w:szCs w:val="20"/>
          <w:u w:color="4D4E4C"/>
          <w:lang w:val="en-GB"/>
        </w:rPr>
        <w:t>state of affairs</w:t>
      </w:r>
      <w:r>
        <w:rPr>
          <w:rFonts w:ascii="Arial" w:hAnsi="Arial" w:cs="Arial"/>
          <w:b/>
          <w:bCs/>
          <w:color w:val="auto"/>
          <w:sz w:val="20"/>
          <w:szCs w:val="20"/>
          <w:u w:color="4D4E4C"/>
          <w:lang w:val="en-GB"/>
        </w:rPr>
        <w:t xml:space="preserve"> at that moment</w:t>
      </w:r>
      <w:r w:rsidRPr="0063395D">
        <w:rPr>
          <w:rFonts w:ascii="Arial" w:hAnsi="Arial" w:cs="Arial"/>
          <w:b/>
          <w:bCs/>
          <w:color w:val="auto"/>
          <w:sz w:val="20"/>
          <w:szCs w:val="20"/>
          <w:u w:color="4D4E4C"/>
          <w:lang w:val="en-GB"/>
        </w:rPr>
        <w:t>.</w:t>
      </w:r>
    </w:p>
    <w:p w14:paraId="5173054B" w14:textId="77777777" w:rsidR="00262E72" w:rsidRPr="0063395D" w:rsidRDefault="00262E72" w:rsidP="00262E72">
      <w:pPr>
        <w:spacing w:after="0" w:line="300" w:lineRule="exact"/>
        <w:rPr>
          <w:rFonts w:ascii="Arial" w:hAnsi="Arial" w:cs="Arial"/>
          <w:bCs/>
          <w:color w:val="4D4E4C"/>
          <w:sz w:val="20"/>
          <w:szCs w:val="20"/>
          <w:u w:color="4D4E4C"/>
          <w:lang w:val="en-GB"/>
        </w:rPr>
      </w:pPr>
    </w:p>
    <w:tbl>
      <w:tblPr>
        <w:tblW w:w="8360" w:type="dxa"/>
        <w:tblCellMar>
          <w:left w:w="70" w:type="dxa"/>
          <w:right w:w="70" w:type="dxa"/>
        </w:tblCellMar>
        <w:tblLook w:val="04A0" w:firstRow="1" w:lastRow="0" w:firstColumn="1" w:lastColumn="0" w:noHBand="0" w:noVBand="1"/>
      </w:tblPr>
      <w:tblGrid>
        <w:gridCol w:w="6120"/>
        <w:gridCol w:w="1120"/>
        <w:gridCol w:w="1120"/>
      </w:tblGrid>
      <w:tr w:rsidR="00262E72" w:rsidRPr="006B0A21" w14:paraId="26269C83" w14:textId="77777777" w:rsidTr="00234405">
        <w:trPr>
          <w:trHeight w:val="300"/>
        </w:trPr>
        <w:tc>
          <w:tcPr>
            <w:tcW w:w="6120" w:type="dxa"/>
            <w:tcBorders>
              <w:top w:val="nil"/>
              <w:left w:val="nil"/>
              <w:bottom w:val="nil"/>
              <w:right w:val="nil"/>
            </w:tcBorders>
            <w:shd w:val="clear" w:color="000000" w:fill="FFFFFF"/>
            <w:noWrap/>
            <w:hideMark/>
          </w:tcPr>
          <w:p w14:paraId="449EDF6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Pr>
                <w:rFonts w:ascii="Arial" w:hAnsi="Arial" w:cs="Arial"/>
                <w:b/>
                <w:sz w:val="20"/>
                <w:szCs w:val="20"/>
                <w:lang w:val="en-GB"/>
              </w:rPr>
              <w:t>(Unaudited) F</w:t>
            </w:r>
            <w:r w:rsidRPr="0063395D">
              <w:rPr>
                <w:rFonts w:ascii="Arial" w:hAnsi="Arial" w:cs="Arial"/>
                <w:b/>
                <w:sz w:val="20"/>
                <w:szCs w:val="20"/>
                <w:lang w:val="en-GB"/>
              </w:rPr>
              <w:t>inancial results January through April 2017</w:t>
            </w:r>
            <w:r w:rsidRPr="0063395D">
              <w:rPr>
                <w:rStyle w:val="FootnoteReference"/>
                <w:rFonts w:ascii="Arial" w:hAnsi="Arial" w:cs="Arial"/>
                <w:b/>
                <w:sz w:val="20"/>
                <w:szCs w:val="20"/>
                <w:lang w:val="en-GB"/>
              </w:rPr>
              <w:footnoteReference w:id="1"/>
            </w:r>
            <w:r w:rsidRPr="0063395D">
              <w:rPr>
                <w:rFonts w:ascii="Arial" w:eastAsia="Times New Roman" w:hAnsi="Arial" w:cs="Arial"/>
                <w:b/>
                <w:bCs/>
                <w:color w:val="auto"/>
                <w:sz w:val="20"/>
                <w:szCs w:val="20"/>
                <w:bdr w:val="none" w:sz="0" w:space="0" w:color="auto"/>
                <w:lang w:val="en-GB"/>
              </w:rPr>
              <w:t xml:space="preserve"> </w:t>
            </w:r>
          </w:p>
        </w:tc>
        <w:tc>
          <w:tcPr>
            <w:tcW w:w="1120" w:type="dxa"/>
            <w:tcBorders>
              <w:top w:val="nil"/>
              <w:left w:val="nil"/>
              <w:bottom w:val="nil"/>
              <w:right w:val="nil"/>
            </w:tcBorders>
            <w:shd w:val="clear" w:color="000000" w:fill="FFFFFF"/>
            <w:noWrap/>
            <w:vAlign w:val="bottom"/>
            <w:hideMark/>
          </w:tcPr>
          <w:p w14:paraId="1DECF4A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c>
          <w:tcPr>
            <w:tcW w:w="1120" w:type="dxa"/>
            <w:tcBorders>
              <w:top w:val="nil"/>
              <w:left w:val="nil"/>
              <w:bottom w:val="nil"/>
              <w:right w:val="nil"/>
            </w:tcBorders>
            <w:shd w:val="clear" w:color="000000" w:fill="FFFFFF"/>
            <w:noWrap/>
            <w:vAlign w:val="bottom"/>
            <w:hideMark/>
          </w:tcPr>
          <w:p w14:paraId="267308D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r>
      <w:tr w:rsidR="00262E72" w:rsidRPr="006B0A21" w14:paraId="127DA622" w14:textId="77777777" w:rsidTr="00234405">
        <w:trPr>
          <w:trHeight w:val="300"/>
        </w:trPr>
        <w:tc>
          <w:tcPr>
            <w:tcW w:w="6120" w:type="dxa"/>
            <w:tcBorders>
              <w:top w:val="nil"/>
              <w:left w:val="nil"/>
              <w:bottom w:val="nil"/>
              <w:right w:val="nil"/>
            </w:tcBorders>
            <w:shd w:val="clear" w:color="000000" w:fill="BDD7EE"/>
            <w:noWrap/>
            <w:vAlign w:val="bottom"/>
            <w:hideMark/>
          </w:tcPr>
          <w:p w14:paraId="324F0BD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c>
          <w:tcPr>
            <w:tcW w:w="1120" w:type="dxa"/>
            <w:tcBorders>
              <w:top w:val="nil"/>
              <w:left w:val="nil"/>
              <w:bottom w:val="nil"/>
              <w:right w:val="nil"/>
            </w:tcBorders>
            <w:shd w:val="clear" w:color="000000" w:fill="BDD7EE"/>
            <w:noWrap/>
            <w:vAlign w:val="bottom"/>
            <w:hideMark/>
          </w:tcPr>
          <w:p w14:paraId="1D86A83A"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c>
          <w:tcPr>
            <w:tcW w:w="1120" w:type="dxa"/>
            <w:tcBorders>
              <w:top w:val="nil"/>
              <w:left w:val="nil"/>
              <w:bottom w:val="nil"/>
              <w:right w:val="nil"/>
            </w:tcBorders>
            <w:shd w:val="clear" w:color="000000" w:fill="BDD7EE"/>
            <w:noWrap/>
            <w:vAlign w:val="bottom"/>
            <w:hideMark/>
          </w:tcPr>
          <w:p w14:paraId="51F0807A"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0"/>
                <w:szCs w:val="20"/>
                <w:bdr w:val="none" w:sz="0" w:space="0" w:color="auto"/>
                <w:lang w:val="en-GB"/>
              </w:rPr>
            </w:pPr>
            <w:r w:rsidRPr="0063395D">
              <w:rPr>
                <w:rFonts w:ascii="Arial" w:eastAsia="Times New Roman" w:hAnsi="Arial" w:cs="Arial"/>
                <w:color w:val="auto"/>
                <w:sz w:val="20"/>
                <w:szCs w:val="20"/>
                <w:bdr w:val="none" w:sz="0" w:space="0" w:color="auto"/>
                <w:lang w:val="en-GB"/>
              </w:rPr>
              <w:t> </w:t>
            </w:r>
          </w:p>
        </w:tc>
      </w:tr>
      <w:tr w:rsidR="00262E72" w:rsidRPr="0063395D" w14:paraId="56168778" w14:textId="77777777" w:rsidTr="00234405">
        <w:trPr>
          <w:trHeight w:val="300"/>
        </w:trPr>
        <w:tc>
          <w:tcPr>
            <w:tcW w:w="6120" w:type="dxa"/>
            <w:tcBorders>
              <w:top w:val="nil"/>
              <w:left w:val="nil"/>
              <w:bottom w:val="nil"/>
              <w:right w:val="nil"/>
            </w:tcBorders>
            <w:shd w:val="clear" w:color="000000" w:fill="FFFFFF"/>
            <w:noWrap/>
            <w:vAlign w:val="center"/>
            <w:hideMark/>
          </w:tcPr>
          <w:p w14:paraId="795B29B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Continued operations </w:t>
            </w:r>
          </w:p>
        </w:tc>
        <w:tc>
          <w:tcPr>
            <w:tcW w:w="1120" w:type="dxa"/>
            <w:tcBorders>
              <w:top w:val="nil"/>
              <w:left w:val="nil"/>
              <w:bottom w:val="nil"/>
              <w:right w:val="nil"/>
            </w:tcBorders>
            <w:shd w:val="clear" w:color="000000" w:fill="FFFFFF"/>
            <w:noWrap/>
            <w:vAlign w:val="center"/>
            <w:hideMark/>
          </w:tcPr>
          <w:p w14:paraId="395C104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1/1-30/4</w:t>
            </w:r>
          </w:p>
        </w:tc>
        <w:tc>
          <w:tcPr>
            <w:tcW w:w="1120" w:type="dxa"/>
            <w:tcBorders>
              <w:top w:val="nil"/>
              <w:left w:val="nil"/>
              <w:bottom w:val="nil"/>
              <w:right w:val="nil"/>
            </w:tcBorders>
            <w:shd w:val="clear" w:color="000000" w:fill="FFFFFF"/>
            <w:noWrap/>
            <w:vAlign w:val="bottom"/>
            <w:hideMark/>
          </w:tcPr>
          <w:p w14:paraId="1BE9094D"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1/1-30/4</w:t>
            </w:r>
          </w:p>
        </w:tc>
      </w:tr>
      <w:tr w:rsidR="00262E72" w:rsidRPr="0063395D" w14:paraId="03297163" w14:textId="77777777" w:rsidTr="00234405">
        <w:trPr>
          <w:trHeight w:val="300"/>
        </w:trPr>
        <w:tc>
          <w:tcPr>
            <w:tcW w:w="6120" w:type="dxa"/>
            <w:tcBorders>
              <w:top w:val="nil"/>
              <w:left w:val="nil"/>
              <w:bottom w:val="nil"/>
              <w:right w:val="nil"/>
            </w:tcBorders>
            <w:shd w:val="clear" w:color="000000" w:fill="FFFFFF"/>
            <w:noWrap/>
            <w:vAlign w:val="center"/>
            <w:hideMark/>
          </w:tcPr>
          <w:p w14:paraId="3957DEC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i/>
                <w:iCs/>
                <w:color w:val="auto"/>
                <w:sz w:val="16"/>
                <w:szCs w:val="16"/>
                <w:bdr w:val="none" w:sz="0" w:space="0" w:color="auto"/>
                <w:lang w:val="en-GB"/>
              </w:rPr>
            </w:pPr>
            <w:r w:rsidRPr="0063395D">
              <w:rPr>
                <w:rFonts w:ascii="Arial" w:eastAsia="Times New Roman" w:hAnsi="Arial" w:cs="Arial"/>
                <w:i/>
                <w:iCs/>
                <w:color w:val="auto"/>
                <w:sz w:val="16"/>
                <w:szCs w:val="16"/>
                <w:bdr w:val="none" w:sz="0" w:space="0" w:color="auto"/>
                <w:lang w:val="en-GB"/>
              </w:rPr>
              <w:t>Amounts in millions of euro</w:t>
            </w:r>
          </w:p>
        </w:tc>
        <w:tc>
          <w:tcPr>
            <w:tcW w:w="1120" w:type="dxa"/>
            <w:tcBorders>
              <w:top w:val="nil"/>
              <w:left w:val="nil"/>
              <w:bottom w:val="nil"/>
              <w:right w:val="nil"/>
            </w:tcBorders>
            <w:shd w:val="clear" w:color="000000" w:fill="FFFFFF"/>
            <w:noWrap/>
            <w:vAlign w:val="center"/>
            <w:hideMark/>
          </w:tcPr>
          <w:p w14:paraId="7B0A96D7"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2017</w:t>
            </w:r>
          </w:p>
        </w:tc>
        <w:tc>
          <w:tcPr>
            <w:tcW w:w="1120" w:type="dxa"/>
            <w:tcBorders>
              <w:top w:val="nil"/>
              <w:left w:val="nil"/>
              <w:bottom w:val="nil"/>
              <w:right w:val="nil"/>
            </w:tcBorders>
            <w:shd w:val="clear" w:color="000000" w:fill="FFFFFF"/>
            <w:noWrap/>
            <w:vAlign w:val="center"/>
            <w:hideMark/>
          </w:tcPr>
          <w:p w14:paraId="60499D6E"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2016</w:t>
            </w:r>
          </w:p>
        </w:tc>
      </w:tr>
      <w:tr w:rsidR="00262E72" w:rsidRPr="0063395D" w14:paraId="41A24AF2" w14:textId="77777777" w:rsidTr="00234405">
        <w:trPr>
          <w:trHeight w:val="300"/>
        </w:trPr>
        <w:tc>
          <w:tcPr>
            <w:tcW w:w="6120" w:type="dxa"/>
            <w:vMerge w:val="restart"/>
            <w:tcBorders>
              <w:top w:val="nil"/>
              <w:left w:val="nil"/>
              <w:bottom w:val="nil"/>
              <w:right w:val="nil"/>
            </w:tcBorders>
            <w:shd w:val="clear" w:color="000000" w:fill="BDD7EE"/>
            <w:vAlign w:val="center"/>
            <w:hideMark/>
          </w:tcPr>
          <w:p w14:paraId="67EF901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Revenue</w:t>
            </w:r>
            <w:r>
              <w:rPr>
                <w:rFonts w:ascii="Arial" w:eastAsia="Times New Roman" w:hAnsi="Arial" w:cs="Arial"/>
                <w:b/>
                <w:bCs/>
                <w:color w:val="auto"/>
                <w:sz w:val="20"/>
                <w:szCs w:val="20"/>
                <w:bdr w:val="none" w:sz="0" w:space="0" w:color="auto"/>
                <w:lang w:val="en-GB"/>
              </w:rPr>
              <w:t>s</w:t>
            </w:r>
            <w:r w:rsidRPr="0063395D">
              <w:rPr>
                <w:rFonts w:ascii="Arial" w:eastAsia="Times New Roman" w:hAnsi="Arial" w:cs="Arial"/>
                <w:b/>
                <w:bCs/>
                <w:color w:val="auto"/>
                <w:sz w:val="20"/>
                <w:szCs w:val="20"/>
                <w:bdr w:val="none" w:sz="0" w:space="0" w:color="auto"/>
                <w:lang w:val="en-GB"/>
              </w:rPr>
              <w:t xml:space="preserve"> </w:t>
            </w:r>
          </w:p>
        </w:tc>
        <w:tc>
          <w:tcPr>
            <w:tcW w:w="1120" w:type="dxa"/>
            <w:vMerge w:val="restart"/>
            <w:tcBorders>
              <w:top w:val="nil"/>
              <w:left w:val="nil"/>
              <w:bottom w:val="nil"/>
              <w:right w:val="nil"/>
            </w:tcBorders>
            <w:shd w:val="clear" w:color="000000" w:fill="BDD7EE"/>
            <w:vAlign w:val="center"/>
            <w:hideMark/>
          </w:tcPr>
          <w:p w14:paraId="6C76E9B7"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        127.2 </w:t>
            </w:r>
          </w:p>
        </w:tc>
        <w:tc>
          <w:tcPr>
            <w:tcW w:w="1120" w:type="dxa"/>
            <w:vMerge w:val="restart"/>
            <w:tcBorders>
              <w:top w:val="nil"/>
              <w:left w:val="nil"/>
              <w:bottom w:val="nil"/>
              <w:right w:val="nil"/>
            </w:tcBorders>
            <w:shd w:val="clear" w:color="000000" w:fill="BDD7EE"/>
            <w:vAlign w:val="center"/>
            <w:hideMark/>
          </w:tcPr>
          <w:p w14:paraId="28F106E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        137.6 </w:t>
            </w:r>
          </w:p>
        </w:tc>
      </w:tr>
      <w:tr w:rsidR="00262E72" w:rsidRPr="0063395D" w14:paraId="0E930CDC" w14:textId="77777777" w:rsidTr="00234405">
        <w:trPr>
          <w:trHeight w:val="300"/>
        </w:trPr>
        <w:tc>
          <w:tcPr>
            <w:tcW w:w="6120" w:type="dxa"/>
            <w:vMerge/>
            <w:tcBorders>
              <w:top w:val="nil"/>
              <w:left w:val="nil"/>
              <w:bottom w:val="nil"/>
              <w:right w:val="nil"/>
            </w:tcBorders>
            <w:vAlign w:val="center"/>
            <w:hideMark/>
          </w:tcPr>
          <w:p w14:paraId="0A21F1E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534998B6"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97452A3"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37D2C077" w14:textId="77777777" w:rsidTr="00234405">
        <w:trPr>
          <w:trHeight w:val="300"/>
        </w:trPr>
        <w:tc>
          <w:tcPr>
            <w:tcW w:w="6120" w:type="dxa"/>
            <w:vMerge w:val="restart"/>
            <w:tcBorders>
              <w:top w:val="nil"/>
              <w:left w:val="nil"/>
              <w:bottom w:val="nil"/>
              <w:right w:val="nil"/>
            </w:tcBorders>
            <w:shd w:val="clear" w:color="000000" w:fill="FFFFFF"/>
            <w:noWrap/>
            <w:vAlign w:val="center"/>
            <w:hideMark/>
          </w:tcPr>
          <w:p w14:paraId="3A611F00"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EBITDA (excl. </w:t>
            </w:r>
            <w:r>
              <w:rPr>
                <w:rFonts w:ascii="Arial" w:eastAsia="Times New Roman" w:hAnsi="Arial" w:cs="Arial"/>
                <w:b/>
                <w:bCs/>
                <w:color w:val="auto"/>
                <w:sz w:val="20"/>
                <w:szCs w:val="20"/>
                <w:bdr w:val="none" w:sz="0" w:space="0" w:color="auto"/>
                <w:lang w:val="en-GB"/>
              </w:rPr>
              <w:t>r</w:t>
            </w:r>
            <w:r w:rsidRPr="0063395D">
              <w:rPr>
                <w:rFonts w:ascii="Arial" w:eastAsia="Times New Roman" w:hAnsi="Arial" w:cs="Arial"/>
                <w:b/>
                <w:bCs/>
                <w:color w:val="auto"/>
                <w:sz w:val="20"/>
                <w:szCs w:val="20"/>
                <w:bdr w:val="none" w:sz="0" w:space="0" w:color="auto"/>
                <w:lang w:val="en-GB"/>
              </w:rPr>
              <w:t>estructuring charges and acquisition costs)</w:t>
            </w:r>
          </w:p>
        </w:tc>
        <w:tc>
          <w:tcPr>
            <w:tcW w:w="1120" w:type="dxa"/>
            <w:vMerge w:val="restart"/>
            <w:tcBorders>
              <w:top w:val="nil"/>
              <w:left w:val="nil"/>
              <w:bottom w:val="nil"/>
              <w:right w:val="nil"/>
            </w:tcBorders>
            <w:shd w:val="clear" w:color="000000" w:fill="FFFFFF"/>
            <w:noWrap/>
            <w:vAlign w:val="center"/>
            <w:hideMark/>
          </w:tcPr>
          <w:p w14:paraId="3AEF1CFD"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3.2</w:t>
            </w:r>
          </w:p>
        </w:tc>
        <w:tc>
          <w:tcPr>
            <w:tcW w:w="1120" w:type="dxa"/>
            <w:vMerge w:val="restart"/>
            <w:tcBorders>
              <w:top w:val="nil"/>
              <w:left w:val="nil"/>
              <w:bottom w:val="nil"/>
              <w:right w:val="nil"/>
            </w:tcBorders>
            <w:shd w:val="clear" w:color="000000" w:fill="FFFFFF"/>
            <w:noWrap/>
            <w:vAlign w:val="center"/>
            <w:hideMark/>
          </w:tcPr>
          <w:p w14:paraId="0237F586"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3.5</w:t>
            </w:r>
          </w:p>
        </w:tc>
      </w:tr>
      <w:tr w:rsidR="00262E72" w:rsidRPr="0063395D" w14:paraId="38E905FC" w14:textId="77777777" w:rsidTr="00234405">
        <w:trPr>
          <w:trHeight w:val="300"/>
        </w:trPr>
        <w:tc>
          <w:tcPr>
            <w:tcW w:w="6120" w:type="dxa"/>
            <w:vMerge/>
            <w:tcBorders>
              <w:top w:val="nil"/>
              <w:left w:val="nil"/>
              <w:bottom w:val="nil"/>
              <w:right w:val="nil"/>
            </w:tcBorders>
            <w:vAlign w:val="center"/>
            <w:hideMark/>
          </w:tcPr>
          <w:p w14:paraId="2B2E6435"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2DC720F8"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B488A28"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3A075587" w14:textId="77777777" w:rsidTr="00234405">
        <w:trPr>
          <w:trHeight w:val="300"/>
        </w:trPr>
        <w:tc>
          <w:tcPr>
            <w:tcW w:w="6120" w:type="dxa"/>
            <w:vMerge w:val="restart"/>
            <w:tcBorders>
              <w:top w:val="nil"/>
              <w:left w:val="nil"/>
              <w:bottom w:val="nil"/>
              <w:right w:val="nil"/>
            </w:tcBorders>
            <w:shd w:val="clear" w:color="000000" w:fill="BDD7EE"/>
            <w:vAlign w:val="center"/>
            <w:hideMark/>
          </w:tcPr>
          <w:p w14:paraId="5E976C23"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EBITDA margin (excl. </w:t>
            </w:r>
            <w:r>
              <w:rPr>
                <w:rFonts w:ascii="Arial" w:eastAsia="Times New Roman" w:hAnsi="Arial" w:cs="Arial"/>
                <w:b/>
                <w:bCs/>
                <w:color w:val="auto"/>
                <w:sz w:val="20"/>
                <w:szCs w:val="20"/>
                <w:bdr w:val="none" w:sz="0" w:space="0" w:color="auto"/>
                <w:lang w:val="en-GB"/>
              </w:rPr>
              <w:t>r</w:t>
            </w:r>
            <w:r w:rsidRPr="0063395D">
              <w:rPr>
                <w:rFonts w:ascii="Arial" w:eastAsia="Times New Roman" w:hAnsi="Arial" w:cs="Arial"/>
                <w:b/>
                <w:bCs/>
                <w:color w:val="auto"/>
                <w:sz w:val="20"/>
                <w:szCs w:val="20"/>
                <w:bdr w:val="none" w:sz="0" w:space="0" w:color="auto"/>
                <w:lang w:val="en-GB"/>
              </w:rPr>
              <w:t>estructuring charges and acquisition costs)</w:t>
            </w:r>
          </w:p>
        </w:tc>
        <w:tc>
          <w:tcPr>
            <w:tcW w:w="1120" w:type="dxa"/>
            <w:vMerge w:val="restart"/>
            <w:tcBorders>
              <w:top w:val="nil"/>
              <w:left w:val="nil"/>
              <w:bottom w:val="nil"/>
              <w:right w:val="nil"/>
            </w:tcBorders>
            <w:shd w:val="clear" w:color="000000" w:fill="BDD7EE"/>
            <w:vAlign w:val="center"/>
            <w:hideMark/>
          </w:tcPr>
          <w:p w14:paraId="721C6184"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2.5%</w:t>
            </w:r>
          </w:p>
        </w:tc>
        <w:tc>
          <w:tcPr>
            <w:tcW w:w="1120" w:type="dxa"/>
            <w:vMerge w:val="restart"/>
            <w:tcBorders>
              <w:top w:val="nil"/>
              <w:left w:val="nil"/>
              <w:bottom w:val="nil"/>
              <w:right w:val="nil"/>
            </w:tcBorders>
            <w:shd w:val="clear" w:color="000000" w:fill="BDD7EE"/>
            <w:vAlign w:val="center"/>
            <w:hideMark/>
          </w:tcPr>
          <w:p w14:paraId="45D5E6E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2.5%</w:t>
            </w:r>
          </w:p>
        </w:tc>
      </w:tr>
      <w:tr w:rsidR="00262E72" w:rsidRPr="0063395D" w14:paraId="1EB75C35" w14:textId="77777777" w:rsidTr="00234405">
        <w:trPr>
          <w:trHeight w:val="300"/>
        </w:trPr>
        <w:tc>
          <w:tcPr>
            <w:tcW w:w="6120" w:type="dxa"/>
            <w:vMerge/>
            <w:tcBorders>
              <w:top w:val="nil"/>
              <w:left w:val="nil"/>
              <w:bottom w:val="nil"/>
              <w:right w:val="nil"/>
            </w:tcBorders>
            <w:vAlign w:val="center"/>
            <w:hideMark/>
          </w:tcPr>
          <w:p w14:paraId="4668E553"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1326D5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469A0B7C"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5AE7AECF" w14:textId="77777777" w:rsidTr="00234405">
        <w:trPr>
          <w:trHeight w:val="300"/>
        </w:trPr>
        <w:tc>
          <w:tcPr>
            <w:tcW w:w="6120" w:type="dxa"/>
            <w:vMerge w:val="restart"/>
            <w:tcBorders>
              <w:top w:val="nil"/>
              <w:left w:val="nil"/>
              <w:bottom w:val="nil"/>
              <w:right w:val="nil"/>
            </w:tcBorders>
            <w:shd w:val="clear" w:color="000000" w:fill="FFFFFF"/>
            <w:noWrap/>
            <w:vAlign w:val="center"/>
            <w:hideMark/>
          </w:tcPr>
          <w:p w14:paraId="7B590DA7"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EBITDA</w:t>
            </w:r>
          </w:p>
        </w:tc>
        <w:tc>
          <w:tcPr>
            <w:tcW w:w="1120" w:type="dxa"/>
            <w:vMerge w:val="restart"/>
            <w:tcBorders>
              <w:top w:val="nil"/>
              <w:left w:val="nil"/>
              <w:bottom w:val="nil"/>
              <w:right w:val="nil"/>
            </w:tcBorders>
            <w:shd w:val="clear" w:color="000000" w:fill="FFFFFF"/>
            <w:noWrap/>
            <w:vAlign w:val="center"/>
            <w:hideMark/>
          </w:tcPr>
          <w:p w14:paraId="226DCCE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-7.1</w:t>
            </w:r>
          </w:p>
        </w:tc>
        <w:tc>
          <w:tcPr>
            <w:tcW w:w="1120" w:type="dxa"/>
            <w:vMerge w:val="restart"/>
            <w:tcBorders>
              <w:top w:val="nil"/>
              <w:left w:val="nil"/>
              <w:bottom w:val="nil"/>
              <w:right w:val="nil"/>
            </w:tcBorders>
            <w:shd w:val="clear" w:color="000000" w:fill="FFFFFF"/>
            <w:noWrap/>
            <w:vAlign w:val="center"/>
            <w:hideMark/>
          </w:tcPr>
          <w:p w14:paraId="695AC941"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3.5</w:t>
            </w:r>
          </w:p>
        </w:tc>
      </w:tr>
      <w:tr w:rsidR="00262E72" w:rsidRPr="0063395D" w14:paraId="07CBD2CF" w14:textId="77777777" w:rsidTr="00234405">
        <w:trPr>
          <w:trHeight w:val="300"/>
        </w:trPr>
        <w:tc>
          <w:tcPr>
            <w:tcW w:w="6120" w:type="dxa"/>
            <w:vMerge/>
            <w:tcBorders>
              <w:top w:val="nil"/>
              <w:left w:val="nil"/>
              <w:bottom w:val="nil"/>
              <w:right w:val="nil"/>
            </w:tcBorders>
            <w:vAlign w:val="center"/>
            <w:hideMark/>
          </w:tcPr>
          <w:p w14:paraId="052A202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3C1F5F2A"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1A92AB8C"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46F1F5D8" w14:textId="77777777" w:rsidTr="00234405">
        <w:trPr>
          <w:trHeight w:val="230"/>
        </w:trPr>
        <w:tc>
          <w:tcPr>
            <w:tcW w:w="6120" w:type="dxa"/>
            <w:vMerge w:val="restart"/>
            <w:tcBorders>
              <w:top w:val="nil"/>
              <w:left w:val="nil"/>
              <w:bottom w:val="nil"/>
              <w:right w:val="nil"/>
            </w:tcBorders>
            <w:shd w:val="clear" w:color="000000" w:fill="BDD7EE"/>
            <w:vAlign w:val="center"/>
            <w:hideMark/>
          </w:tcPr>
          <w:p w14:paraId="3163047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 xml:space="preserve">EBITDA margin </w:t>
            </w:r>
          </w:p>
        </w:tc>
        <w:tc>
          <w:tcPr>
            <w:tcW w:w="1120" w:type="dxa"/>
            <w:vMerge w:val="restart"/>
            <w:tcBorders>
              <w:top w:val="nil"/>
              <w:left w:val="nil"/>
              <w:bottom w:val="nil"/>
              <w:right w:val="nil"/>
            </w:tcBorders>
            <w:shd w:val="clear" w:color="000000" w:fill="BDD7EE"/>
            <w:vAlign w:val="center"/>
            <w:hideMark/>
          </w:tcPr>
          <w:p w14:paraId="3EAF756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-5.6%</w:t>
            </w:r>
          </w:p>
        </w:tc>
        <w:tc>
          <w:tcPr>
            <w:tcW w:w="1120" w:type="dxa"/>
            <w:vMerge w:val="restart"/>
            <w:tcBorders>
              <w:top w:val="nil"/>
              <w:left w:val="nil"/>
              <w:bottom w:val="nil"/>
              <w:right w:val="nil"/>
            </w:tcBorders>
            <w:shd w:val="clear" w:color="000000" w:fill="BDD7EE"/>
            <w:vAlign w:val="center"/>
            <w:hideMark/>
          </w:tcPr>
          <w:p w14:paraId="6C384D14"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Fonts w:ascii="Arial" w:eastAsia="Times New Roman" w:hAnsi="Arial" w:cs="Arial"/>
                <w:b/>
                <w:bCs/>
                <w:color w:val="auto"/>
                <w:sz w:val="20"/>
                <w:szCs w:val="20"/>
                <w:bdr w:val="none" w:sz="0" w:space="0" w:color="auto"/>
                <w:lang w:val="en-GB"/>
              </w:rPr>
            </w:pPr>
            <w:r w:rsidRPr="0063395D">
              <w:rPr>
                <w:rFonts w:ascii="Arial" w:eastAsia="Times New Roman" w:hAnsi="Arial" w:cs="Arial"/>
                <w:b/>
                <w:bCs/>
                <w:color w:val="auto"/>
                <w:sz w:val="20"/>
                <w:szCs w:val="20"/>
                <w:bdr w:val="none" w:sz="0" w:space="0" w:color="auto"/>
                <w:lang w:val="en-GB"/>
              </w:rPr>
              <w:t>2.5%</w:t>
            </w:r>
          </w:p>
        </w:tc>
      </w:tr>
      <w:tr w:rsidR="00262E72" w:rsidRPr="0063395D" w14:paraId="09DAFEC1" w14:textId="77777777" w:rsidTr="00234405">
        <w:trPr>
          <w:trHeight w:val="300"/>
        </w:trPr>
        <w:tc>
          <w:tcPr>
            <w:tcW w:w="6120" w:type="dxa"/>
            <w:vMerge/>
            <w:tcBorders>
              <w:top w:val="nil"/>
              <w:left w:val="nil"/>
              <w:bottom w:val="nil"/>
              <w:right w:val="nil"/>
            </w:tcBorders>
            <w:vAlign w:val="center"/>
            <w:hideMark/>
          </w:tcPr>
          <w:p w14:paraId="4B7149C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5428C0EB"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hideMark/>
          </w:tcPr>
          <w:p w14:paraId="3A7DDED9"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r w:rsidR="00262E72" w:rsidRPr="0063395D" w14:paraId="4AE1DCF8" w14:textId="77777777" w:rsidTr="00234405">
        <w:trPr>
          <w:trHeight w:val="230"/>
        </w:trPr>
        <w:tc>
          <w:tcPr>
            <w:tcW w:w="6120" w:type="dxa"/>
            <w:vMerge/>
            <w:tcBorders>
              <w:top w:val="nil"/>
              <w:left w:val="nil"/>
              <w:bottom w:val="nil"/>
              <w:right w:val="nil"/>
            </w:tcBorders>
            <w:vAlign w:val="center"/>
          </w:tcPr>
          <w:p w14:paraId="316BF660"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tcPr>
          <w:p w14:paraId="15D78690"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c>
          <w:tcPr>
            <w:tcW w:w="1120" w:type="dxa"/>
            <w:vMerge/>
            <w:tcBorders>
              <w:top w:val="nil"/>
              <w:left w:val="nil"/>
              <w:bottom w:val="nil"/>
              <w:right w:val="nil"/>
            </w:tcBorders>
            <w:vAlign w:val="center"/>
          </w:tcPr>
          <w:p w14:paraId="0851F2F2" w14:textId="77777777" w:rsidR="00262E72" w:rsidRPr="0063395D" w:rsidRDefault="00262E72" w:rsidP="0023440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bCs/>
                <w:color w:val="auto"/>
                <w:sz w:val="20"/>
                <w:szCs w:val="20"/>
                <w:bdr w:val="none" w:sz="0" w:space="0" w:color="auto"/>
                <w:lang w:val="en-GB"/>
              </w:rPr>
            </w:pPr>
          </w:p>
        </w:tc>
      </w:tr>
    </w:tbl>
    <w:p w14:paraId="55E6F2A1" w14:textId="77777777" w:rsidR="00262E72" w:rsidRPr="0063395D" w:rsidRDefault="00262E72" w:rsidP="00262E72">
      <w:pPr>
        <w:spacing w:line="300" w:lineRule="auto"/>
        <w:rPr>
          <w:rFonts w:ascii="Arial" w:hAnsi="Arial" w:cs="Arial"/>
          <w:sz w:val="20"/>
          <w:szCs w:val="20"/>
          <w:lang w:val="en-GB"/>
        </w:rPr>
      </w:pPr>
    </w:p>
    <w:p w14:paraId="17F6F0D8" w14:textId="77777777" w:rsidR="00262E72" w:rsidRPr="0063395D" w:rsidRDefault="00262E72" w:rsidP="00262E7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Revenue</w:t>
      </w:r>
      <w:r>
        <w:rPr>
          <w:rFonts w:ascii="Arial" w:hAnsi="Arial" w:cs="Arial"/>
          <w:sz w:val="20"/>
          <w:szCs w:val="20"/>
          <w:lang w:val="en-GB"/>
        </w:rPr>
        <w:t>s</w:t>
      </w:r>
      <w:r w:rsidRPr="0063395D">
        <w:rPr>
          <w:rFonts w:ascii="Arial" w:hAnsi="Arial" w:cs="Arial"/>
          <w:sz w:val="20"/>
          <w:szCs w:val="20"/>
          <w:lang w:val="en-GB"/>
        </w:rPr>
        <w:t xml:space="preserve"> fell by 7.6% to EUR 127</w:t>
      </w:r>
      <w:r>
        <w:rPr>
          <w:rFonts w:ascii="Arial" w:hAnsi="Arial" w:cs="Arial"/>
          <w:sz w:val="20"/>
          <w:szCs w:val="20"/>
          <w:lang w:val="en-GB"/>
        </w:rPr>
        <w:t>.</w:t>
      </w:r>
      <w:r w:rsidRPr="0063395D">
        <w:rPr>
          <w:rFonts w:ascii="Arial" w:hAnsi="Arial" w:cs="Arial"/>
          <w:sz w:val="20"/>
          <w:szCs w:val="20"/>
          <w:lang w:val="en-GB"/>
        </w:rPr>
        <w:t>2 million from EUR 137</w:t>
      </w:r>
      <w:r>
        <w:rPr>
          <w:rFonts w:ascii="Arial" w:hAnsi="Arial" w:cs="Arial"/>
          <w:sz w:val="20"/>
          <w:szCs w:val="20"/>
          <w:lang w:val="en-GB"/>
        </w:rPr>
        <w:t>.</w:t>
      </w:r>
      <w:r w:rsidRPr="0063395D">
        <w:rPr>
          <w:rFonts w:ascii="Arial" w:hAnsi="Arial" w:cs="Arial"/>
          <w:sz w:val="20"/>
          <w:szCs w:val="20"/>
          <w:lang w:val="en-GB"/>
        </w:rPr>
        <w:t xml:space="preserve">6, largely due to lower </w:t>
      </w:r>
      <w:r>
        <w:rPr>
          <w:rFonts w:ascii="Arial" w:hAnsi="Arial" w:cs="Arial"/>
          <w:sz w:val="20"/>
          <w:szCs w:val="20"/>
          <w:lang w:val="en-GB"/>
        </w:rPr>
        <w:t xml:space="preserve">print </w:t>
      </w:r>
      <w:r w:rsidRPr="0063395D">
        <w:rPr>
          <w:rFonts w:ascii="Arial" w:hAnsi="Arial" w:cs="Arial"/>
          <w:sz w:val="20"/>
          <w:szCs w:val="20"/>
          <w:lang w:val="en-GB"/>
        </w:rPr>
        <w:t>advertising income (-25.3%). Excluding the impact of portfolio rationalisations, revenue</w:t>
      </w:r>
      <w:r>
        <w:rPr>
          <w:rFonts w:ascii="Arial" w:hAnsi="Arial" w:cs="Arial"/>
          <w:sz w:val="20"/>
          <w:szCs w:val="20"/>
          <w:lang w:val="en-GB"/>
        </w:rPr>
        <w:t>s</w:t>
      </w:r>
      <w:r w:rsidRPr="0063395D">
        <w:rPr>
          <w:rFonts w:ascii="Arial" w:hAnsi="Arial" w:cs="Arial"/>
          <w:sz w:val="20"/>
          <w:szCs w:val="20"/>
          <w:lang w:val="en-GB"/>
        </w:rPr>
        <w:t xml:space="preserve"> </w:t>
      </w:r>
      <w:r>
        <w:rPr>
          <w:rFonts w:ascii="Arial" w:hAnsi="Arial" w:cs="Arial"/>
          <w:sz w:val="20"/>
          <w:szCs w:val="20"/>
          <w:lang w:val="en-GB"/>
        </w:rPr>
        <w:t>fell by</w:t>
      </w:r>
      <w:r w:rsidRPr="0063395D">
        <w:rPr>
          <w:rFonts w:ascii="Arial" w:hAnsi="Arial" w:cs="Arial"/>
          <w:sz w:val="20"/>
          <w:szCs w:val="20"/>
          <w:lang w:val="en-GB"/>
        </w:rPr>
        <w:t xml:space="preserve"> 6.8%.</w:t>
      </w:r>
    </w:p>
    <w:p w14:paraId="77824696" w14:textId="77777777" w:rsidR="00262E72" w:rsidRPr="0063395D" w:rsidRDefault="00262E72" w:rsidP="00262E7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 xml:space="preserve">Costs, adjusted for restructuring charges and costs related to the public </w:t>
      </w:r>
      <w:r>
        <w:rPr>
          <w:rFonts w:ascii="Arial" w:hAnsi="Arial" w:cs="Arial"/>
          <w:sz w:val="20"/>
          <w:szCs w:val="20"/>
          <w:lang w:val="en-GB"/>
        </w:rPr>
        <w:t>offer</w:t>
      </w:r>
      <w:r w:rsidRPr="0063395D">
        <w:rPr>
          <w:rFonts w:ascii="Arial" w:hAnsi="Arial" w:cs="Arial"/>
          <w:sz w:val="20"/>
          <w:szCs w:val="20"/>
          <w:lang w:val="en-GB"/>
        </w:rPr>
        <w:t>, fell by 7.5% to EUR 124.0 million from EUR 134.1 million and largely offset the drop in revenue</w:t>
      </w:r>
      <w:r>
        <w:rPr>
          <w:rFonts w:ascii="Arial" w:hAnsi="Arial" w:cs="Arial"/>
          <w:sz w:val="20"/>
          <w:szCs w:val="20"/>
          <w:lang w:val="en-GB"/>
        </w:rPr>
        <w:t>s</w:t>
      </w:r>
      <w:r w:rsidRPr="0063395D">
        <w:rPr>
          <w:rFonts w:ascii="Arial" w:hAnsi="Arial" w:cs="Arial"/>
          <w:sz w:val="20"/>
          <w:szCs w:val="20"/>
          <w:lang w:val="en-GB"/>
        </w:rPr>
        <w:t>.</w:t>
      </w:r>
    </w:p>
    <w:p w14:paraId="5BDAEA91" w14:textId="77777777" w:rsidR="00262E72" w:rsidRPr="0063395D" w:rsidRDefault="00262E72" w:rsidP="00262E7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EBITDA, a</w:t>
      </w:r>
      <w:r>
        <w:rPr>
          <w:rFonts w:ascii="Arial" w:hAnsi="Arial" w:cs="Arial"/>
          <w:sz w:val="20"/>
          <w:szCs w:val="20"/>
          <w:lang w:val="en-GB"/>
        </w:rPr>
        <w:t>d</w:t>
      </w:r>
      <w:r w:rsidRPr="0063395D">
        <w:rPr>
          <w:rFonts w:ascii="Arial" w:hAnsi="Arial" w:cs="Arial"/>
          <w:sz w:val="20"/>
          <w:szCs w:val="20"/>
          <w:lang w:val="en-GB"/>
        </w:rPr>
        <w:t xml:space="preserve">justed </w:t>
      </w:r>
      <w:r>
        <w:rPr>
          <w:rFonts w:ascii="Arial" w:hAnsi="Arial" w:cs="Arial"/>
          <w:sz w:val="20"/>
          <w:szCs w:val="20"/>
          <w:lang w:val="en-GB"/>
        </w:rPr>
        <w:t>f</w:t>
      </w:r>
      <w:r w:rsidRPr="0063395D">
        <w:rPr>
          <w:rFonts w:ascii="Arial" w:hAnsi="Arial" w:cs="Arial"/>
          <w:sz w:val="20"/>
          <w:szCs w:val="20"/>
          <w:lang w:val="en-GB"/>
        </w:rPr>
        <w:t xml:space="preserve">or restructuring charges and costs related to the public </w:t>
      </w:r>
      <w:r>
        <w:rPr>
          <w:rFonts w:ascii="Arial" w:hAnsi="Arial" w:cs="Arial"/>
          <w:sz w:val="20"/>
          <w:szCs w:val="20"/>
          <w:lang w:val="en-GB"/>
        </w:rPr>
        <w:t>offer</w:t>
      </w:r>
      <w:r w:rsidRPr="0063395D">
        <w:rPr>
          <w:rFonts w:ascii="Arial" w:hAnsi="Arial" w:cs="Arial"/>
          <w:sz w:val="20"/>
          <w:szCs w:val="20"/>
          <w:lang w:val="en-GB"/>
        </w:rPr>
        <w:t>, fell by 8.6% to EUR 3.2 million from EUR 3.5 million.</w:t>
      </w:r>
    </w:p>
    <w:p w14:paraId="7865A31A" w14:textId="77777777" w:rsidR="00262E72" w:rsidRPr="0063395D" w:rsidRDefault="00262E72" w:rsidP="00262E7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Restructuring cha</w:t>
      </w:r>
      <w:r>
        <w:rPr>
          <w:rFonts w:ascii="Arial" w:hAnsi="Arial" w:cs="Arial"/>
          <w:sz w:val="20"/>
          <w:szCs w:val="20"/>
          <w:lang w:val="en-GB"/>
        </w:rPr>
        <w:t>r</w:t>
      </w:r>
      <w:r w:rsidRPr="0063395D">
        <w:rPr>
          <w:rFonts w:ascii="Arial" w:hAnsi="Arial" w:cs="Arial"/>
          <w:sz w:val="20"/>
          <w:szCs w:val="20"/>
          <w:lang w:val="en-GB"/>
        </w:rPr>
        <w:t xml:space="preserve">ges amounted to EUR 5.0 million and were largely related to </w:t>
      </w:r>
      <w:r>
        <w:rPr>
          <w:rFonts w:ascii="Arial" w:hAnsi="Arial" w:cs="Arial"/>
          <w:sz w:val="20"/>
          <w:szCs w:val="20"/>
          <w:lang w:val="en-GB"/>
        </w:rPr>
        <w:t xml:space="preserve">charges associated with the proposed sale of the door-to-door magazines to </w:t>
      </w:r>
      <w:r w:rsidRPr="0063395D">
        <w:rPr>
          <w:rFonts w:ascii="Arial" w:hAnsi="Arial" w:cs="Arial"/>
          <w:sz w:val="20"/>
          <w:szCs w:val="20"/>
          <w:lang w:val="en-GB"/>
        </w:rPr>
        <w:t>BDUmedia</w:t>
      </w:r>
      <w:r>
        <w:rPr>
          <w:rFonts w:ascii="Arial" w:hAnsi="Arial" w:cs="Arial"/>
          <w:sz w:val="20"/>
          <w:szCs w:val="20"/>
          <w:lang w:val="en-GB"/>
        </w:rPr>
        <w:t>, plus severance costs.</w:t>
      </w:r>
      <w:r w:rsidRPr="0063395D">
        <w:rPr>
          <w:rFonts w:ascii="Arial" w:hAnsi="Arial" w:cs="Arial"/>
          <w:sz w:val="20"/>
          <w:szCs w:val="20"/>
          <w:lang w:val="en-GB"/>
        </w:rPr>
        <w:t xml:space="preserve"> </w:t>
      </w:r>
    </w:p>
    <w:p w14:paraId="6E2F01E5" w14:textId="77777777" w:rsidR="00262E72" w:rsidRPr="0063395D" w:rsidRDefault="00262E72" w:rsidP="00262E7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Pr>
          <w:rFonts w:ascii="Arial" w:hAnsi="Arial" w:cs="Arial"/>
          <w:sz w:val="20"/>
          <w:szCs w:val="20"/>
          <w:lang w:val="en-GB"/>
        </w:rPr>
        <w:t xml:space="preserve">The costs related to the public offer process </w:t>
      </w:r>
      <w:r w:rsidRPr="0063395D">
        <w:rPr>
          <w:rFonts w:ascii="Arial" w:hAnsi="Arial" w:cs="Arial"/>
          <w:sz w:val="20"/>
          <w:szCs w:val="20"/>
          <w:lang w:val="en-GB"/>
        </w:rPr>
        <w:t>(inclu</w:t>
      </w:r>
      <w:r>
        <w:rPr>
          <w:rFonts w:ascii="Arial" w:hAnsi="Arial" w:cs="Arial"/>
          <w:sz w:val="20"/>
          <w:szCs w:val="20"/>
          <w:lang w:val="en-GB"/>
        </w:rPr>
        <w:t>ding the procedures before the Enterprise Chamber)</w:t>
      </w:r>
      <w:r w:rsidRPr="0063395D">
        <w:rPr>
          <w:rFonts w:ascii="Arial" w:hAnsi="Arial" w:cs="Arial"/>
          <w:sz w:val="20"/>
          <w:szCs w:val="20"/>
          <w:lang w:val="en-GB"/>
        </w:rPr>
        <w:t xml:space="preserve"> </w:t>
      </w:r>
      <w:r>
        <w:rPr>
          <w:rFonts w:ascii="Arial" w:hAnsi="Arial" w:cs="Arial"/>
          <w:sz w:val="20"/>
          <w:szCs w:val="20"/>
          <w:lang w:val="en-GB"/>
        </w:rPr>
        <w:t xml:space="preserve">amounted to </w:t>
      </w:r>
      <w:r w:rsidRPr="0063395D">
        <w:rPr>
          <w:rFonts w:ascii="Arial" w:hAnsi="Arial" w:cs="Arial"/>
          <w:sz w:val="20"/>
          <w:szCs w:val="20"/>
          <w:lang w:val="en-GB"/>
        </w:rPr>
        <w:t>EUR 5</w:t>
      </w:r>
      <w:r>
        <w:rPr>
          <w:rFonts w:ascii="Arial" w:hAnsi="Arial" w:cs="Arial"/>
          <w:sz w:val="20"/>
          <w:szCs w:val="20"/>
          <w:lang w:val="en-GB"/>
        </w:rPr>
        <w:t>.</w:t>
      </w:r>
      <w:r w:rsidRPr="0063395D">
        <w:rPr>
          <w:rFonts w:ascii="Arial" w:hAnsi="Arial" w:cs="Arial"/>
          <w:sz w:val="20"/>
          <w:szCs w:val="20"/>
          <w:lang w:val="en-GB"/>
        </w:rPr>
        <w:t xml:space="preserve">3 </w:t>
      </w:r>
      <w:r>
        <w:rPr>
          <w:rFonts w:ascii="Arial" w:hAnsi="Arial" w:cs="Arial"/>
          <w:sz w:val="20"/>
          <w:szCs w:val="20"/>
          <w:lang w:val="en-GB"/>
        </w:rPr>
        <w:t>million and pertained largely to the costs of financial and legal advisors</w:t>
      </w:r>
      <w:r w:rsidRPr="0063395D">
        <w:rPr>
          <w:rFonts w:ascii="Arial" w:hAnsi="Arial" w:cs="Arial"/>
          <w:sz w:val="20"/>
          <w:szCs w:val="20"/>
          <w:lang w:val="en-GB"/>
        </w:rPr>
        <w:t xml:space="preserve">.  </w:t>
      </w:r>
    </w:p>
    <w:p w14:paraId="1C68AC4C" w14:textId="77777777" w:rsidR="00262E72" w:rsidRDefault="00262E72" w:rsidP="00262E7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300" w:lineRule="auto"/>
        <w:ind w:left="357" w:hanging="357"/>
        <w:rPr>
          <w:rFonts w:ascii="Arial" w:hAnsi="Arial" w:cs="Arial"/>
          <w:sz w:val="20"/>
          <w:szCs w:val="20"/>
          <w:lang w:val="en-GB"/>
        </w:rPr>
      </w:pPr>
      <w:r w:rsidRPr="0063395D">
        <w:rPr>
          <w:rFonts w:ascii="Arial" w:hAnsi="Arial" w:cs="Arial"/>
          <w:sz w:val="20"/>
          <w:szCs w:val="20"/>
          <w:lang w:val="en-GB"/>
        </w:rPr>
        <w:t>EBITDA</w:t>
      </w:r>
      <w:r>
        <w:rPr>
          <w:rFonts w:ascii="Arial" w:hAnsi="Arial" w:cs="Arial"/>
          <w:sz w:val="20"/>
          <w:szCs w:val="20"/>
          <w:lang w:val="en-GB"/>
        </w:rPr>
        <w:t xml:space="preserve"> result including restructuring charges and charges related to the public offer process declined to a negative EBITDA of EUR 7.1 million, from a positive EBITDA of EUR 3.5 million. </w:t>
      </w:r>
    </w:p>
    <w:p w14:paraId="76A6AE0E" w14:textId="77777777" w:rsidR="00262E72" w:rsidRPr="0063395D" w:rsidRDefault="00262E72" w:rsidP="00262E72">
      <w:pPr>
        <w:pStyle w:val="ListParagraph"/>
        <w:spacing w:line="300" w:lineRule="auto"/>
        <w:ind w:left="357"/>
        <w:rPr>
          <w:rFonts w:ascii="Arial" w:hAnsi="Arial" w:cs="Arial"/>
          <w:sz w:val="20"/>
          <w:szCs w:val="20"/>
          <w:lang w:val="en-GB"/>
        </w:rPr>
      </w:pPr>
    </w:p>
    <w:p w14:paraId="7370561B" w14:textId="77777777" w:rsidR="00262E72" w:rsidRPr="0063395D" w:rsidRDefault="00262E72" w:rsidP="00262E72">
      <w:pPr>
        <w:pStyle w:val="ListParagraph"/>
        <w:spacing w:line="300" w:lineRule="auto"/>
        <w:ind w:left="357"/>
        <w:rPr>
          <w:rFonts w:ascii="Arial" w:hAnsi="Arial" w:cs="Arial"/>
          <w:sz w:val="20"/>
          <w:szCs w:val="20"/>
          <w:lang w:val="en-GB"/>
        </w:rPr>
      </w:pPr>
    </w:p>
    <w:p w14:paraId="37A42FF0"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r>
        <w:rPr>
          <w:rFonts w:ascii="Arial" w:hAnsi="Arial" w:cs="Arial"/>
          <w:b/>
          <w:bCs/>
          <w:color w:val="auto"/>
          <w:sz w:val="20"/>
          <w:szCs w:val="20"/>
          <w:u w:val="single" w:color="4D4E4C"/>
          <w:lang w:val="en-GB"/>
        </w:rPr>
        <w:t xml:space="preserve">Notes to the financial results January – April </w:t>
      </w:r>
      <w:r w:rsidRPr="0063395D">
        <w:rPr>
          <w:rFonts w:ascii="Arial" w:hAnsi="Arial" w:cs="Arial"/>
          <w:b/>
          <w:bCs/>
          <w:color w:val="auto"/>
          <w:sz w:val="20"/>
          <w:szCs w:val="20"/>
          <w:u w:val="single" w:color="4D4E4C"/>
          <w:lang w:val="en-GB"/>
        </w:rPr>
        <w:t>2017</w:t>
      </w:r>
    </w:p>
    <w:p w14:paraId="30CFD3D8"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 xml:space="preserve">The decline in revenues is largely the result of a drop in income from print advertising, caused by the continuing shrinkage in the advertising market. In addition, starting in early 2017, the implementation of the restructuring in the sales and marketing organisation as a result of which less sales could be realised, also has a negative impact. Excluding the effect of portfolio rationalisation (termination of </w:t>
      </w:r>
      <w:r w:rsidRPr="0063395D">
        <w:rPr>
          <w:rFonts w:ascii="Arial" w:hAnsi="Arial" w:cs="Arial"/>
          <w:bCs/>
          <w:color w:val="auto"/>
          <w:sz w:val="20"/>
          <w:szCs w:val="20"/>
          <w:u w:color="4D4E4C"/>
          <w:lang w:val="en-GB"/>
        </w:rPr>
        <w:t xml:space="preserve">Dichtbij, </w:t>
      </w:r>
      <w:r>
        <w:rPr>
          <w:rFonts w:ascii="Arial" w:hAnsi="Arial" w:cs="Arial"/>
          <w:bCs/>
          <w:color w:val="auto"/>
          <w:sz w:val="20"/>
          <w:szCs w:val="20"/>
          <w:u w:color="4D4E4C"/>
          <w:lang w:val="en-GB"/>
        </w:rPr>
        <w:t xml:space="preserve">partial termination of </w:t>
      </w:r>
      <w:r w:rsidRPr="0063395D">
        <w:rPr>
          <w:rFonts w:ascii="Arial" w:hAnsi="Arial" w:cs="Arial"/>
          <w:bCs/>
          <w:color w:val="auto"/>
          <w:sz w:val="20"/>
          <w:szCs w:val="20"/>
          <w:u w:color="4D4E4C"/>
          <w:lang w:val="en-GB"/>
        </w:rPr>
        <w:t>Rotterdam/Utrecht</w:t>
      </w:r>
      <w:r>
        <w:rPr>
          <w:rFonts w:ascii="Arial" w:hAnsi="Arial" w:cs="Arial"/>
          <w:bCs/>
          <w:color w:val="auto"/>
          <w:sz w:val="20"/>
          <w:szCs w:val="20"/>
          <w:u w:color="4D4E4C"/>
          <w:lang w:val="en-GB"/>
        </w:rPr>
        <w:t xml:space="preserve"> activities</w:t>
      </w:r>
      <w:r w:rsidRPr="0063395D">
        <w:rPr>
          <w:rFonts w:ascii="Arial" w:hAnsi="Arial" w:cs="Arial"/>
          <w:bCs/>
          <w:color w:val="auto"/>
          <w:sz w:val="20"/>
          <w:szCs w:val="20"/>
          <w:u w:color="4D4E4C"/>
          <w:lang w:val="en-GB"/>
        </w:rPr>
        <w:t xml:space="preserve">, </w:t>
      </w:r>
      <w:r>
        <w:rPr>
          <w:rFonts w:ascii="Arial" w:hAnsi="Arial" w:cs="Arial"/>
          <w:bCs/>
          <w:color w:val="auto"/>
          <w:sz w:val="20"/>
          <w:szCs w:val="20"/>
          <w:u w:color="4D4E4C"/>
          <w:lang w:val="en-GB"/>
        </w:rPr>
        <w:t xml:space="preserve">termination of production for third parties and acquisition </w:t>
      </w:r>
      <w:r w:rsidRPr="0063395D">
        <w:rPr>
          <w:rFonts w:ascii="Arial" w:hAnsi="Arial" w:cs="Arial"/>
          <w:bCs/>
          <w:color w:val="auto"/>
          <w:sz w:val="20"/>
          <w:szCs w:val="20"/>
          <w:u w:color="4D4E4C"/>
          <w:lang w:val="en-GB"/>
        </w:rPr>
        <w:t xml:space="preserve">Fashion Week) </w:t>
      </w:r>
      <w:r>
        <w:rPr>
          <w:rFonts w:ascii="Arial" w:hAnsi="Arial" w:cs="Arial"/>
          <w:bCs/>
          <w:color w:val="auto"/>
          <w:sz w:val="20"/>
          <w:szCs w:val="20"/>
          <w:u w:color="4D4E4C"/>
          <w:lang w:val="en-GB"/>
        </w:rPr>
        <w:t xml:space="preserve">revenues are down by </w:t>
      </w:r>
      <w:r w:rsidRPr="0063395D">
        <w:rPr>
          <w:rFonts w:ascii="Arial" w:hAnsi="Arial" w:cs="Arial"/>
          <w:bCs/>
          <w:color w:val="auto"/>
          <w:sz w:val="20"/>
          <w:szCs w:val="20"/>
          <w:u w:color="4D4E4C"/>
          <w:lang w:val="en-GB"/>
        </w:rPr>
        <w:t>6</w:t>
      </w:r>
      <w:r>
        <w:rPr>
          <w:rFonts w:ascii="Arial" w:hAnsi="Arial" w:cs="Arial"/>
          <w:bCs/>
          <w:color w:val="auto"/>
          <w:sz w:val="20"/>
          <w:szCs w:val="20"/>
          <w:u w:color="4D4E4C"/>
          <w:lang w:val="en-GB"/>
        </w:rPr>
        <w:t>.</w:t>
      </w:r>
      <w:r w:rsidRPr="0063395D">
        <w:rPr>
          <w:rFonts w:ascii="Arial" w:hAnsi="Arial" w:cs="Arial"/>
          <w:bCs/>
          <w:color w:val="auto"/>
          <w:sz w:val="20"/>
          <w:szCs w:val="20"/>
          <w:u w:color="4D4E4C"/>
          <w:lang w:val="en-GB"/>
        </w:rPr>
        <w:t xml:space="preserve">8%. </w:t>
      </w:r>
    </w:p>
    <w:p w14:paraId="2FFECE27" w14:textId="77777777" w:rsidR="00262E72" w:rsidRPr="0063395D" w:rsidRDefault="00262E72" w:rsidP="00262E72">
      <w:pPr>
        <w:spacing w:after="0" w:line="300" w:lineRule="exact"/>
        <w:rPr>
          <w:rFonts w:ascii="Arial" w:hAnsi="Arial" w:cs="Arial"/>
          <w:bCs/>
          <w:color w:val="auto"/>
          <w:sz w:val="20"/>
          <w:szCs w:val="20"/>
          <w:u w:color="4D4E4C"/>
          <w:lang w:val="en-GB"/>
        </w:rPr>
      </w:pPr>
    </w:p>
    <w:p w14:paraId="5D3768FC"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 xml:space="preserve">Costs, excluding restructuring charges and costs related to the public offer, were down 7.5% at EUR 124.0 million. The decline in costs was primarily the result of lower costs for outsourced print activities, that was partly insourced, and of lower personal expenses on the back of the restructuring implemented in areas such as the printing plants and the editorial staff in 2016. </w:t>
      </w:r>
    </w:p>
    <w:p w14:paraId="31C37BF1" w14:textId="77777777" w:rsidR="00262E72" w:rsidRPr="0063395D" w:rsidRDefault="00262E72" w:rsidP="00262E72">
      <w:pPr>
        <w:spacing w:after="0" w:line="360" w:lineRule="auto"/>
        <w:rPr>
          <w:rFonts w:ascii="Arial" w:hAnsi="Arial" w:cs="Arial"/>
          <w:bCs/>
          <w:color w:val="auto"/>
          <w:sz w:val="20"/>
          <w:szCs w:val="20"/>
          <w:u w:color="4D4E4C"/>
          <w:lang w:val="en-GB"/>
        </w:rPr>
      </w:pPr>
    </w:p>
    <w:p w14:paraId="337691B6" w14:textId="77777777" w:rsidR="00262E72" w:rsidRPr="00B22C5E" w:rsidRDefault="00262E72" w:rsidP="00262E72">
      <w:pPr>
        <w:spacing w:after="0" w:line="360" w:lineRule="auto"/>
        <w:rPr>
          <w:rFonts w:ascii="Arial" w:hAnsi="Arial" w:cs="Arial"/>
          <w:sz w:val="20"/>
          <w:szCs w:val="20"/>
          <w:lang w:val="en-GB"/>
        </w:rPr>
      </w:pPr>
      <w:r w:rsidRPr="0063395D">
        <w:rPr>
          <w:rFonts w:ascii="Arial" w:hAnsi="Arial" w:cs="Arial"/>
          <w:bCs/>
          <w:color w:val="auto"/>
          <w:sz w:val="20"/>
          <w:szCs w:val="20"/>
          <w:u w:color="4D4E4C"/>
          <w:lang w:val="en-GB"/>
        </w:rPr>
        <w:t>EBITDA</w:t>
      </w:r>
      <w:r>
        <w:rPr>
          <w:rFonts w:ascii="Arial" w:hAnsi="Arial" w:cs="Arial"/>
          <w:bCs/>
          <w:color w:val="auto"/>
          <w:sz w:val="20"/>
          <w:szCs w:val="20"/>
          <w:u w:color="4D4E4C"/>
          <w:lang w:val="en-GB"/>
        </w:rPr>
        <w:t xml:space="preserve"> including extraordinary items declined to EUR -7.1 million, down from EUR 3.5 million a year earlier. </w:t>
      </w:r>
      <w:r w:rsidRPr="00B22C5E">
        <w:rPr>
          <w:rFonts w:ascii="Arial" w:hAnsi="Arial" w:cs="Arial"/>
          <w:bCs/>
          <w:color w:val="auto"/>
          <w:sz w:val="20"/>
          <w:szCs w:val="20"/>
          <w:u w:color="4D4E4C"/>
          <w:lang w:val="en-GB"/>
        </w:rPr>
        <w:t xml:space="preserve">The extraordinary items were </w:t>
      </w:r>
      <w:r w:rsidRPr="00B22C5E">
        <w:rPr>
          <w:rFonts w:ascii="Arial" w:hAnsi="Arial" w:cs="Arial"/>
          <w:sz w:val="20"/>
          <w:szCs w:val="20"/>
          <w:lang w:val="en-GB"/>
        </w:rPr>
        <w:t>related to</w:t>
      </w:r>
      <w:r>
        <w:rPr>
          <w:rFonts w:ascii="Arial" w:hAnsi="Arial" w:cs="Arial"/>
          <w:sz w:val="20"/>
          <w:szCs w:val="20"/>
          <w:lang w:val="en-GB"/>
        </w:rPr>
        <w:t xml:space="preserve"> restructuring </w:t>
      </w:r>
      <w:r w:rsidRPr="00B22C5E">
        <w:rPr>
          <w:rFonts w:ascii="Arial" w:hAnsi="Arial" w:cs="Arial"/>
          <w:sz w:val="20"/>
          <w:szCs w:val="20"/>
          <w:lang w:val="en-GB"/>
        </w:rPr>
        <w:t xml:space="preserve">charges </w:t>
      </w:r>
      <w:r>
        <w:rPr>
          <w:rFonts w:ascii="Arial" w:hAnsi="Arial" w:cs="Arial"/>
          <w:sz w:val="20"/>
          <w:szCs w:val="20"/>
          <w:lang w:val="en-GB"/>
        </w:rPr>
        <w:t xml:space="preserve">for </w:t>
      </w:r>
      <w:r w:rsidRPr="00B22C5E">
        <w:rPr>
          <w:rFonts w:ascii="Arial" w:hAnsi="Arial" w:cs="Arial"/>
          <w:sz w:val="20"/>
          <w:szCs w:val="20"/>
          <w:lang w:val="en-GB"/>
        </w:rPr>
        <w:t xml:space="preserve">the proposed sale of the door-to-door </w:t>
      </w:r>
      <w:r>
        <w:rPr>
          <w:rFonts w:ascii="Arial" w:hAnsi="Arial" w:cs="Arial"/>
          <w:sz w:val="20"/>
          <w:szCs w:val="20"/>
          <w:lang w:val="en-GB"/>
        </w:rPr>
        <w:t>magazines</w:t>
      </w:r>
      <w:r w:rsidRPr="00B22C5E">
        <w:rPr>
          <w:rFonts w:ascii="Arial" w:hAnsi="Arial" w:cs="Arial"/>
          <w:sz w:val="20"/>
          <w:szCs w:val="20"/>
          <w:lang w:val="en-GB"/>
        </w:rPr>
        <w:t xml:space="preserve"> to BDUmedia, and </w:t>
      </w:r>
      <w:r>
        <w:rPr>
          <w:rFonts w:ascii="Arial" w:hAnsi="Arial" w:cs="Arial"/>
          <w:sz w:val="20"/>
          <w:szCs w:val="20"/>
          <w:lang w:val="en-GB"/>
        </w:rPr>
        <w:t xml:space="preserve">severance payments for the Executive Board and senior managers, plus consultancy costs incurred in the context of the public offer. EBITDA excluding the restructuring charges and excluding the costs related to the public offer declined in the first four months of 2017, </w:t>
      </w:r>
      <w:r w:rsidRPr="004E6325">
        <w:rPr>
          <w:rFonts w:ascii="Arial" w:hAnsi="Arial" w:cs="Arial"/>
          <w:sz w:val="20"/>
          <w:szCs w:val="20"/>
          <w:lang w:val="en-GB"/>
        </w:rPr>
        <w:t>to</w:t>
      </w:r>
      <w:r>
        <w:rPr>
          <w:rFonts w:ascii="Arial" w:hAnsi="Arial" w:cs="Arial"/>
          <w:sz w:val="20"/>
          <w:szCs w:val="20"/>
          <w:lang w:val="en-GB"/>
        </w:rPr>
        <w:t xml:space="preserve"> EUR 3.2 million, from EUR 3.5 million in the first four months of 2016.  </w:t>
      </w:r>
      <w:r w:rsidRPr="00B22C5E">
        <w:rPr>
          <w:rFonts w:ascii="Arial" w:hAnsi="Arial" w:cs="Arial"/>
          <w:sz w:val="20"/>
          <w:szCs w:val="20"/>
          <w:lang w:val="en-GB"/>
        </w:rPr>
        <w:t xml:space="preserve"> </w:t>
      </w:r>
    </w:p>
    <w:p w14:paraId="66C0BFB1" w14:textId="3EC6D0E5"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At the end of April 2017, TMG has net debt of EUR 13.3 million</w:t>
      </w:r>
      <w:r w:rsidR="00AD2B0A">
        <w:rPr>
          <w:rFonts w:ascii="Arial" w:hAnsi="Arial" w:cs="Arial"/>
          <w:bCs/>
          <w:color w:val="auto"/>
          <w:sz w:val="20"/>
          <w:szCs w:val="20"/>
          <w:u w:color="4D4E4C"/>
          <w:lang w:val="en-GB"/>
        </w:rPr>
        <w:t xml:space="preserve"> versus a positive net cash position of EUR 14</w:t>
      </w:r>
      <w:r w:rsidR="00FD18DE">
        <w:rPr>
          <w:rFonts w:ascii="Arial" w:hAnsi="Arial" w:cs="Arial"/>
          <w:bCs/>
          <w:color w:val="auto"/>
          <w:sz w:val="20"/>
          <w:szCs w:val="20"/>
          <w:u w:color="4D4E4C"/>
          <w:lang w:val="en-GB"/>
        </w:rPr>
        <w:t>.</w:t>
      </w:r>
      <w:r w:rsidR="008627DD">
        <w:rPr>
          <w:rFonts w:ascii="Arial" w:hAnsi="Arial" w:cs="Arial"/>
          <w:bCs/>
          <w:color w:val="auto"/>
          <w:sz w:val="20"/>
          <w:szCs w:val="20"/>
          <w:u w:color="4D4E4C"/>
          <w:lang w:val="en-GB"/>
        </w:rPr>
        <w:t>5</w:t>
      </w:r>
      <w:r w:rsidR="00AD2B0A">
        <w:rPr>
          <w:rFonts w:ascii="Arial" w:hAnsi="Arial" w:cs="Arial"/>
          <w:bCs/>
          <w:color w:val="auto"/>
          <w:sz w:val="20"/>
          <w:szCs w:val="20"/>
          <w:u w:color="4D4E4C"/>
          <w:lang w:val="en-GB"/>
        </w:rPr>
        <w:t xml:space="preserve"> million as of December 31, 2016</w:t>
      </w:r>
      <w:r>
        <w:rPr>
          <w:rFonts w:ascii="Arial" w:hAnsi="Arial" w:cs="Arial"/>
          <w:bCs/>
          <w:color w:val="auto"/>
          <w:sz w:val="20"/>
          <w:szCs w:val="20"/>
          <w:u w:color="4D4E4C"/>
          <w:lang w:val="en-GB"/>
        </w:rPr>
        <w:t>. This decline is largely due to paid restructuring charges and the payment of the revalued radio Veronica licence for the period 2011-2017</w:t>
      </w:r>
      <w:r w:rsidR="00D7297A">
        <w:rPr>
          <w:rFonts w:ascii="Arial" w:hAnsi="Arial" w:cs="Arial"/>
          <w:bCs/>
          <w:color w:val="auto"/>
          <w:sz w:val="20"/>
          <w:szCs w:val="20"/>
          <w:u w:color="4D4E4C"/>
          <w:lang w:val="en-GB"/>
        </w:rPr>
        <w:t xml:space="preserve"> (EUR 14.7 including interest)</w:t>
      </w:r>
      <w:r>
        <w:rPr>
          <w:rFonts w:ascii="Arial" w:hAnsi="Arial" w:cs="Arial"/>
          <w:bCs/>
          <w:color w:val="auto"/>
          <w:sz w:val="20"/>
          <w:szCs w:val="20"/>
          <w:u w:color="4D4E4C"/>
          <w:lang w:val="en-GB"/>
        </w:rPr>
        <w:t>. There are constructive talks ongoing regarding the continuation of the current bank credit facility and together with Mediahuis adequate arrangements have been made regarding financing TMG after the bid is declared unconditional.</w:t>
      </w:r>
      <w:r w:rsidRPr="0063395D">
        <w:rPr>
          <w:rFonts w:ascii="Arial" w:hAnsi="Arial" w:cs="Arial"/>
          <w:bCs/>
          <w:color w:val="auto"/>
          <w:sz w:val="20"/>
          <w:szCs w:val="20"/>
          <w:u w:color="4D4E4C"/>
          <w:lang w:val="en-GB"/>
        </w:rPr>
        <w:t xml:space="preserve"> </w:t>
      </w:r>
    </w:p>
    <w:p w14:paraId="0B86DB92" w14:textId="77777777" w:rsidR="00262E72" w:rsidRPr="0063395D" w:rsidRDefault="00262E72" w:rsidP="00262E72">
      <w:pPr>
        <w:rPr>
          <w:rFonts w:ascii="Arial" w:hAnsi="Arial" w:cs="Arial"/>
          <w:b/>
          <w:color w:val="auto"/>
          <w:sz w:val="20"/>
          <w:szCs w:val="20"/>
          <w:lang w:val="en-GB"/>
        </w:rPr>
      </w:pPr>
    </w:p>
    <w:p w14:paraId="4FA22397"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r w:rsidRPr="0063395D">
        <w:rPr>
          <w:rFonts w:ascii="Arial" w:hAnsi="Arial" w:cs="Arial"/>
          <w:b/>
          <w:bCs/>
          <w:color w:val="auto"/>
          <w:sz w:val="20"/>
          <w:szCs w:val="20"/>
          <w:u w:val="single" w:color="4D4E4C"/>
          <w:lang w:val="en-GB"/>
        </w:rPr>
        <w:t xml:space="preserve">Governance </w:t>
      </w:r>
      <w:r>
        <w:rPr>
          <w:rFonts w:ascii="Arial" w:hAnsi="Arial" w:cs="Arial"/>
          <w:b/>
          <w:bCs/>
          <w:color w:val="auto"/>
          <w:sz w:val="20"/>
          <w:szCs w:val="20"/>
          <w:u w:val="single" w:color="4D4E4C"/>
          <w:lang w:val="en-GB"/>
        </w:rPr>
        <w:t xml:space="preserve">and business operations </w:t>
      </w:r>
    </w:p>
    <w:p w14:paraId="1A3C3080" w14:textId="77777777" w:rsidR="00262E72" w:rsidRPr="0063395D" w:rsidRDefault="00262E72" w:rsidP="00262E72">
      <w:pPr>
        <w:pStyle w:val="NormalWeb"/>
        <w:shd w:val="clear" w:color="auto" w:fill="FFFFFF"/>
        <w:spacing w:before="0" w:beforeAutospacing="0" w:after="150" w:afterAutospacing="0" w:line="330" w:lineRule="atLeast"/>
        <w:rPr>
          <w:rFonts w:ascii="Arial" w:eastAsia="Calibri" w:hAnsi="Arial" w:cs="Arial"/>
          <w:bCs/>
          <w:sz w:val="20"/>
          <w:szCs w:val="20"/>
          <w:u w:color="4D4E4C"/>
          <w:bdr w:val="nil"/>
          <w:lang w:val="en-GB"/>
        </w:rPr>
      </w:pPr>
      <w:r>
        <w:rPr>
          <w:rFonts w:ascii="Arial" w:eastAsia="Calibri" w:hAnsi="Arial" w:cs="Arial"/>
          <w:bCs/>
          <w:sz w:val="20"/>
          <w:szCs w:val="20"/>
          <w:u w:color="4D4E4C"/>
          <w:bdr w:val="nil"/>
          <w:lang w:val="en-GB"/>
        </w:rPr>
        <w:t xml:space="preserve">On </w:t>
      </w:r>
      <w:r w:rsidRPr="0063395D">
        <w:rPr>
          <w:rFonts w:ascii="Arial" w:eastAsia="Calibri" w:hAnsi="Arial" w:cs="Arial"/>
          <w:bCs/>
          <w:sz w:val="20"/>
          <w:szCs w:val="20"/>
          <w:u w:color="4D4E4C"/>
          <w:bdr w:val="nil"/>
          <w:lang w:val="en-GB"/>
        </w:rPr>
        <w:t xml:space="preserve">5 </w:t>
      </w:r>
      <w:r>
        <w:rPr>
          <w:rFonts w:ascii="Arial" w:eastAsia="Calibri" w:hAnsi="Arial" w:cs="Arial"/>
          <w:bCs/>
          <w:sz w:val="20"/>
          <w:szCs w:val="20"/>
          <w:u w:color="4D4E4C"/>
          <w:bdr w:val="nil"/>
          <w:lang w:val="en-GB"/>
        </w:rPr>
        <w:t xml:space="preserve">March, the Supervisory Board suspended the two members of the Executive Board due to a breach of trust with the Supervisory Board in the context of the policy regarding the public offers made by the </w:t>
      </w:r>
      <w:r w:rsidRPr="0063395D">
        <w:rPr>
          <w:rFonts w:ascii="Arial" w:eastAsia="Calibri" w:hAnsi="Arial" w:cs="Arial"/>
          <w:bCs/>
          <w:sz w:val="20"/>
          <w:szCs w:val="20"/>
          <w:u w:color="4D4E4C"/>
          <w:bdr w:val="nil"/>
          <w:lang w:val="en-GB"/>
        </w:rPr>
        <w:t xml:space="preserve">Consortium </w:t>
      </w:r>
      <w:r>
        <w:rPr>
          <w:rFonts w:ascii="Arial" w:eastAsia="Calibri" w:hAnsi="Arial" w:cs="Arial"/>
          <w:bCs/>
          <w:sz w:val="20"/>
          <w:szCs w:val="20"/>
          <w:u w:color="4D4E4C"/>
          <w:bdr w:val="nil"/>
          <w:lang w:val="en-GB"/>
        </w:rPr>
        <w:t xml:space="preserve">and </w:t>
      </w:r>
      <w:r w:rsidRPr="0063395D">
        <w:rPr>
          <w:rFonts w:ascii="Arial" w:eastAsia="Calibri" w:hAnsi="Arial" w:cs="Arial"/>
          <w:bCs/>
          <w:sz w:val="20"/>
          <w:szCs w:val="20"/>
          <w:u w:color="4D4E4C"/>
          <w:bdr w:val="nil"/>
          <w:lang w:val="en-GB"/>
        </w:rPr>
        <w:t>Talpa Holding N.V. (“</w:t>
      </w:r>
      <w:r w:rsidRPr="0063395D">
        <w:rPr>
          <w:rFonts w:ascii="Arial" w:eastAsia="Calibri" w:hAnsi="Arial" w:cs="Arial"/>
          <w:b/>
          <w:bCs/>
          <w:sz w:val="20"/>
          <w:szCs w:val="20"/>
          <w:u w:color="4D4E4C"/>
          <w:bdr w:val="nil"/>
          <w:lang w:val="en-GB"/>
        </w:rPr>
        <w:t>Talpa</w:t>
      </w:r>
      <w:r w:rsidRPr="0063395D">
        <w:rPr>
          <w:rFonts w:ascii="Arial" w:eastAsia="Calibri" w:hAnsi="Arial" w:cs="Arial"/>
          <w:bCs/>
          <w:sz w:val="20"/>
          <w:szCs w:val="20"/>
          <w:u w:color="4D4E4C"/>
          <w:bdr w:val="nil"/>
          <w:lang w:val="en-GB"/>
        </w:rPr>
        <w:t xml:space="preserve">”). </w:t>
      </w:r>
      <w:r>
        <w:rPr>
          <w:rFonts w:ascii="Arial" w:eastAsia="Calibri" w:hAnsi="Arial" w:cs="Arial"/>
          <w:bCs/>
          <w:sz w:val="20"/>
          <w:szCs w:val="20"/>
          <w:u w:color="4D4E4C"/>
          <w:bdr w:val="nil"/>
          <w:lang w:val="en-GB"/>
        </w:rPr>
        <w:t>Since then, the Supervisory Board</w:t>
      </w:r>
      <w:r w:rsidRPr="0063395D">
        <w:rPr>
          <w:rStyle w:val="FootnoteReference"/>
          <w:rFonts w:ascii="Arial" w:eastAsia="Calibri" w:hAnsi="Arial" w:cs="Arial"/>
          <w:b/>
          <w:sz w:val="20"/>
          <w:szCs w:val="20"/>
          <w:lang w:val="en-GB"/>
        </w:rPr>
        <w:footnoteReference w:id="2"/>
      </w:r>
      <w:r>
        <w:rPr>
          <w:rFonts w:ascii="Arial" w:eastAsia="Calibri" w:hAnsi="Arial" w:cs="Arial"/>
          <w:bCs/>
          <w:sz w:val="20"/>
          <w:szCs w:val="20"/>
          <w:u w:color="4D4E4C"/>
          <w:bdr w:val="nil"/>
          <w:lang w:val="en-GB"/>
        </w:rPr>
        <w:t xml:space="preserve"> has been temporarily charged with the management of the company, pursuant to TMG’s articles of association. Since 14 March, Mr. Hans Bakker has been in charge of the day-to-day management of the organisation, while the Supervisory Board will continue to guard within the executive function. On 1 June the Supervisory Board will notify the AGM that Messrs Marc Vangeel and Koos Boot will be appointed to lead TMG as CEO and CFO respectively after the offer made by the Consortium is declared unconditional.</w:t>
      </w:r>
    </w:p>
    <w:p w14:paraId="121D4D69" w14:textId="77777777" w:rsidR="00262E72" w:rsidRPr="0063395D" w:rsidRDefault="00262E72" w:rsidP="00262E72">
      <w:pPr>
        <w:pStyle w:val="NormalWeb"/>
        <w:shd w:val="clear" w:color="auto" w:fill="FFFFFF"/>
        <w:spacing w:before="0" w:beforeAutospacing="0" w:after="150" w:afterAutospacing="0" w:line="330" w:lineRule="atLeast"/>
        <w:rPr>
          <w:rFonts w:ascii="Arial" w:hAnsi="Arial" w:cs="Arial"/>
          <w:bCs/>
          <w:sz w:val="20"/>
          <w:szCs w:val="20"/>
          <w:u w:color="4D4E4C"/>
          <w:lang w:val="en-GB"/>
        </w:rPr>
      </w:pPr>
      <w:r>
        <w:rPr>
          <w:rFonts w:ascii="Arial" w:eastAsia="Calibri" w:hAnsi="Arial" w:cs="Arial"/>
          <w:bCs/>
          <w:sz w:val="20"/>
          <w:szCs w:val="20"/>
          <w:u w:color="4D4E4C"/>
          <w:bdr w:val="nil"/>
          <w:lang w:val="en-GB"/>
        </w:rPr>
        <w:t xml:space="preserve">As from the start of </w:t>
      </w:r>
      <w:r w:rsidRPr="0063395D">
        <w:rPr>
          <w:rFonts w:ascii="Arial" w:eastAsia="Calibri" w:hAnsi="Arial" w:cs="Arial"/>
          <w:bCs/>
          <w:sz w:val="20"/>
          <w:szCs w:val="20"/>
          <w:u w:color="4D4E4C"/>
          <w:bdr w:val="nil"/>
          <w:lang w:val="en-GB"/>
        </w:rPr>
        <w:t>2017</w:t>
      </w:r>
      <w:r>
        <w:rPr>
          <w:rFonts w:ascii="Arial" w:eastAsia="Calibri" w:hAnsi="Arial" w:cs="Arial"/>
          <w:bCs/>
          <w:sz w:val="20"/>
          <w:szCs w:val="20"/>
          <w:u w:color="4D4E4C"/>
          <w:bdr w:val="nil"/>
          <w:lang w:val="en-GB"/>
        </w:rPr>
        <w:t xml:space="preserve">, TMG continued to implement the restructuring of the company’s sales and marketing organisation, in line with the efficiency measures announced in July 2016. The new sales and </w:t>
      </w:r>
      <w:r>
        <w:rPr>
          <w:rFonts w:ascii="Arial" w:eastAsia="Calibri" w:hAnsi="Arial" w:cs="Arial"/>
          <w:bCs/>
          <w:sz w:val="20"/>
          <w:szCs w:val="20"/>
          <w:u w:color="4D4E4C"/>
          <w:bdr w:val="nil"/>
          <w:lang w:val="en-GB"/>
        </w:rPr>
        <w:lastRenderedPageBreak/>
        <w:t xml:space="preserve">marketing organisation now operates from a centralised location, targets all TMG clients and partners and works for all national and regional titles. </w:t>
      </w:r>
    </w:p>
    <w:p w14:paraId="092F5D62" w14:textId="77777777" w:rsidR="00262E72" w:rsidRPr="0063395D" w:rsidRDefault="00262E72" w:rsidP="00262E72">
      <w:pPr>
        <w:pStyle w:val="NormalWeb"/>
        <w:shd w:val="clear" w:color="auto" w:fill="FFFFFF"/>
        <w:spacing w:before="0" w:beforeAutospacing="0" w:after="150" w:afterAutospacing="0" w:line="330" w:lineRule="atLeast"/>
        <w:rPr>
          <w:rFonts w:ascii="Arial" w:hAnsi="Arial" w:cs="Arial"/>
          <w:bCs/>
          <w:sz w:val="20"/>
          <w:szCs w:val="20"/>
          <w:u w:color="4D4E4C"/>
          <w:lang w:val="en-GB"/>
        </w:rPr>
      </w:pPr>
      <w:r>
        <w:rPr>
          <w:rFonts w:ascii="Arial" w:hAnsi="Arial" w:cs="Arial"/>
          <w:bCs/>
          <w:sz w:val="20"/>
          <w:szCs w:val="20"/>
          <w:u w:color="4D4E4C"/>
          <w:lang w:val="en-GB"/>
        </w:rPr>
        <w:t>On 23 March, TMG announced the proposed sale of its door-to-door magazines to BDUmedia, also in line with the efficiency measures announced in July 2016. TMG expects to complete this transaction in the foreseeable future.</w:t>
      </w:r>
      <w:r w:rsidRPr="0063395D">
        <w:rPr>
          <w:rFonts w:ascii="Arial" w:hAnsi="Arial" w:cs="Arial"/>
          <w:bCs/>
          <w:sz w:val="20"/>
          <w:szCs w:val="20"/>
          <w:u w:color="4D4E4C"/>
          <w:lang w:val="en-GB"/>
        </w:rPr>
        <w:t xml:space="preserve"> </w:t>
      </w:r>
    </w:p>
    <w:p w14:paraId="791E40D4" w14:textId="1739E4DE" w:rsidR="00262E72" w:rsidRPr="0063395D" w:rsidRDefault="00262E72" w:rsidP="00262E72">
      <w:pPr>
        <w:pStyle w:val="NormalWeb"/>
        <w:shd w:val="clear" w:color="auto" w:fill="FFFFFF"/>
        <w:spacing w:before="0" w:beforeAutospacing="0" w:after="150" w:afterAutospacing="0" w:line="330" w:lineRule="atLeast"/>
        <w:rPr>
          <w:rFonts w:ascii="Arial" w:eastAsia="Calibri" w:hAnsi="Arial" w:cs="Arial"/>
          <w:bCs/>
          <w:sz w:val="20"/>
          <w:szCs w:val="20"/>
          <w:u w:color="4D4E4C"/>
          <w:bdr w:val="nil"/>
          <w:lang w:val="en-GB"/>
        </w:rPr>
      </w:pPr>
      <w:r>
        <w:rPr>
          <w:rFonts w:ascii="Arial" w:eastAsia="Calibri" w:hAnsi="Arial" w:cs="Arial"/>
          <w:bCs/>
          <w:sz w:val="20"/>
          <w:szCs w:val="20"/>
          <w:u w:color="4D4E4C"/>
          <w:bdr w:val="nil"/>
          <w:lang w:val="en-GB"/>
        </w:rPr>
        <w:t xml:space="preserve">In the first four months of 2017, TMG also worked hard to further strengthen its brands, primarily through optimisation of the online video offering. The most striking development was the launch on 1 May of the online video platform </w:t>
      </w:r>
      <w:r w:rsidRPr="0063395D">
        <w:rPr>
          <w:rFonts w:ascii="Arial" w:eastAsia="Calibri" w:hAnsi="Arial" w:cs="Arial"/>
          <w:bCs/>
          <w:sz w:val="20"/>
          <w:szCs w:val="20"/>
          <w:u w:color="4D4E4C"/>
          <w:bdr w:val="nil"/>
          <w:lang w:val="en-GB"/>
        </w:rPr>
        <w:t>Telegraaf VNDG</w:t>
      </w:r>
      <w:r>
        <w:rPr>
          <w:rFonts w:ascii="Arial" w:eastAsia="Calibri" w:hAnsi="Arial" w:cs="Arial"/>
          <w:bCs/>
          <w:sz w:val="20"/>
          <w:szCs w:val="20"/>
          <w:u w:color="4D4E4C"/>
          <w:bdr w:val="nil"/>
          <w:lang w:val="en-GB"/>
        </w:rPr>
        <w:t>, though which TMG and De Telegraaf, in line with the 24/7 strategy, are responding to the exponential growth of online [video] watching and the shift of advertising budgets to online media</w:t>
      </w:r>
      <w:r w:rsidRPr="0063395D">
        <w:rPr>
          <w:rFonts w:ascii="Arial" w:eastAsia="Calibri" w:hAnsi="Arial" w:cs="Arial"/>
          <w:bCs/>
          <w:sz w:val="20"/>
          <w:szCs w:val="20"/>
          <w:u w:color="4D4E4C"/>
          <w:bdr w:val="nil"/>
          <w:lang w:val="en-GB"/>
        </w:rPr>
        <w:t xml:space="preserve">. Telegraaf VNDG is </w:t>
      </w:r>
      <w:r>
        <w:rPr>
          <w:rFonts w:ascii="Arial" w:eastAsia="Calibri" w:hAnsi="Arial" w:cs="Arial"/>
          <w:bCs/>
          <w:sz w:val="20"/>
          <w:szCs w:val="20"/>
          <w:u w:color="4D4E4C"/>
          <w:bdr w:val="nil"/>
          <w:lang w:val="en-GB"/>
        </w:rPr>
        <w:t xml:space="preserve">an </w:t>
      </w:r>
      <w:r w:rsidRPr="0063395D">
        <w:rPr>
          <w:rFonts w:ascii="Arial" w:eastAsia="Calibri" w:hAnsi="Arial" w:cs="Arial"/>
          <w:bCs/>
          <w:sz w:val="20"/>
          <w:szCs w:val="20"/>
          <w:u w:color="4D4E4C"/>
          <w:bdr w:val="nil"/>
          <w:lang w:val="en-GB"/>
        </w:rPr>
        <w:t>online video</w:t>
      </w:r>
      <w:r>
        <w:rPr>
          <w:rFonts w:ascii="Arial" w:eastAsia="Calibri" w:hAnsi="Arial" w:cs="Arial"/>
          <w:bCs/>
          <w:sz w:val="20"/>
          <w:szCs w:val="20"/>
          <w:u w:color="4D4E4C"/>
          <w:bdr w:val="nil"/>
          <w:lang w:val="en-GB"/>
        </w:rPr>
        <w:t xml:space="preserve"> </w:t>
      </w:r>
      <w:r w:rsidRPr="0063395D">
        <w:rPr>
          <w:rFonts w:ascii="Arial" w:eastAsia="Calibri" w:hAnsi="Arial" w:cs="Arial"/>
          <w:bCs/>
          <w:sz w:val="20"/>
          <w:szCs w:val="20"/>
          <w:u w:color="4D4E4C"/>
          <w:bdr w:val="nil"/>
          <w:lang w:val="en-GB"/>
        </w:rPr>
        <w:t>platform</w:t>
      </w:r>
      <w:r>
        <w:rPr>
          <w:rFonts w:ascii="Arial" w:eastAsia="Calibri" w:hAnsi="Arial" w:cs="Arial"/>
          <w:bCs/>
          <w:sz w:val="20"/>
          <w:szCs w:val="20"/>
          <w:u w:color="4D4E4C"/>
          <w:bdr w:val="nil"/>
          <w:lang w:val="en-GB"/>
        </w:rPr>
        <w:t>,</w:t>
      </w:r>
      <w:r w:rsidRPr="0063395D">
        <w:rPr>
          <w:rFonts w:ascii="Arial" w:eastAsia="Calibri" w:hAnsi="Arial" w:cs="Arial"/>
          <w:bCs/>
          <w:sz w:val="20"/>
          <w:szCs w:val="20"/>
          <w:u w:color="4D4E4C"/>
          <w:bdr w:val="nil"/>
          <w:lang w:val="en-GB"/>
        </w:rPr>
        <w:t xml:space="preserve"> </w:t>
      </w:r>
      <w:r>
        <w:rPr>
          <w:rFonts w:ascii="Arial" w:eastAsia="Calibri" w:hAnsi="Arial" w:cs="Arial"/>
          <w:bCs/>
          <w:sz w:val="20"/>
          <w:szCs w:val="20"/>
          <w:u w:color="4D4E4C"/>
          <w:bdr w:val="nil"/>
          <w:lang w:val="en-GB"/>
        </w:rPr>
        <w:t>with high quality news broadcasts and short programmes</w:t>
      </w:r>
      <w:r w:rsidRPr="0063395D">
        <w:rPr>
          <w:rFonts w:ascii="Arial" w:eastAsia="Calibri" w:hAnsi="Arial" w:cs="Arial"/>
          <w:bCs/>
          <w:sz w:val="20"/>
          <w:szCs w:val="20"/>
          <w:u w:color="4D4E4C"/>
          <w:bdr w:val="nil"/>
          <w:lang w:val="en-GB"/>
        </w:rPr>
        <w:t>. </w:t>
      </w:r>
      <w:r>
        <w:rPr>
          <w:rFonts w:ascii="Arial" w:eastAsia="Calibri" w:hAnsi="Arial" w:cs="Arial"/>
          <w:bCs/>
          <w:sz w:val="20"/>
          <w:szCs w:val="20"/>
          <w:u w:color="4D4E4C"/>
          <w:bdr w:val="nil"/>
          <w:lang w:val="en-GB"/>
        </w:rPr>
        <w:t xml:space="preserve">On </w:t>
      </w:r>
      <w:r w:rsidRPr="0063395D">
        <w:rPr>
          <w:rFonts w:ascii="Arial" w:eastAsia="Calibri" w:hAnsi="Arial" w:cs="Arial"/>
          <w:bCs/>
          <w:sz w:val="20"/>
          <w:szCs w:val="20"/>
          <w:u w:color="4D4E4C"/>
          <w:bdr w:val="nil"/>
          <w:lang w:val="en-GB"/>
        </w:rPr>
        <w:t>Telegraaf VNDG</w:t>
      </w:r>
      <w:r>
        <w:rPr>
          <w:rFonts w:ascii="Arial" w:eastAsia="Calibri" w:hAnsi="Arial" w:cs="Arial"/>
          <w:bCs/>
          <w:sz w:val="20"/>
          <w:szCs w:val="20"/>
          <w:u w:color="4D4E4C"/>
          <w:bdr w:val="nil"/>
          <w:lang w:val="en-GB"/>
        </w:rPr>
        <w:t xml:space="preserve">, viewers will find familiar </w:t>
      </w:r>
      <w:r w:rsidRPr="0063395D">
        <w:rPr>
          <w:rFonts w:ascii="Arial" w:eastAsia="Calibri" w:hAnsi="Arial" w:cs="Arial"/>
          <w:bCs/>
          <w:sz w:val="20"/>
          <w:szCs w:val="20"/>
          <w:u w:color="4D4E4C"/>
          <w:bdr w:val="nil"/>
          <w:lang w:val="en-GB"/>
        </w:rPr>
        <w:t>Telegraaf</w:t>
      </w:r>
      <w:r>
        <w:rPr>
          <w:rFonts w:ascii="Arial" w:eastAsia="Calibri" w:hAnsi="Arial" w:cs="Arial"/>
          <w:bCs/>
          <w:sz w:val="20"/>
          <w:szCs w:val="20"/>
          <w:u w:color="4D4E4C"/>
          <w:bdr w:val="nil"/>
          <w:lang w:val="en-GB"/>
        </w:rPr>
        <w:t xml:space="preserve"> faces such as </w:t>
      </w:r>
      <w:r w:rsidRPr="0063395D">
        <w:rPr>
          <w:rFonts w:ascii="Arial" w:eastAsia="Calibri" w:hAnsi="Arial" w:cs="Arial"/>
          <w:bCs/>
          <w:sz w:val="20"/>
          <w:szCs w:val="20"/>
          <w:u w:color="4D4E4C"/>
          <w:bdr w:val="nil"/>
          <w:lang w:val="en-GB"/>
        </w:rPr>
        <w:t xml:space="preserve">John van den Heuvel, Maarten Steendam </w:t>
      </w:r>
      <w:r>
        <w:rPr>
          <w:rFonts w:ascii="Arial" w:eastAsia="Calibri" w:hAnsi="Arial" w:cs="Arial"/>
          <w:bCs/>
          <w:sz w:val="20"/>
          <w:szCs w:val="20"/>
          <w:u w:color="4D4E4C"/>
          <w:bdr w:val="nil"/>
          <w:lang w:val="en-GB"/>
        </w:rPr>
        <w:t xml:space="preserve">and </w:t>
      </w:r>
      <w:r w:rsidRPr="0063395D">
        <w:rPr>
          <w:rFonts w:ascii="Arial" w:eastAsia="Calibri" w:hAnsi="Arial" w:cs="Arial"/>
          <w:bCs/>
          <w:sz w:val="20"/>
          <w:szCs w:val="20"/>
          <w:u w:color="4D4E4C"/>
          <w:bdr w:val="nil"/>
          <w:lang w:val="en-GB"/>
        </w:rPr>
        <w:t>Jaap de Groot</w:t>
      </w:r>
      <w:r>
        <w:rPr>
          <w:rFonts w:ascii="Arial" w:eastAsia="Calibri" w:hAnsi="Arial" w:cs="Arial"/>
          <w:bCs/>
          <w:sz w:val="20"/>
          <w:szCs w:val="20"/>
          <w:u w:color="4D4E4C"/>
          <w:bdr w:val="nil"/>
          <w:lang w:val="en-GB"/>
        </w:rPr>
        <w:t xml:space="preserve">, either in their own programmes or as experts in other programmes. </w:t>
      </w:r>
      <w:r w:rsidRPr="0063395D">
        <w:rPr>
          <w:rFonts w:ascii="Arial" w:eastAsia="Calibri" w:hAnsi="Arial" w:cs="Arial"/>
          <w:bCs/>
          <w:sz w:val="20"/>
          <w:szCs w:val="20"/>
          <w:u w:color="4D4E4C"/>
          <w:bdr w:val="nil"/>
          <w:lang w:val="en-GB"/>
        </w:rPr>
        <w:t xml:space="preserve">Telegraaf VNDG is </w:t>
      </w:r>
      <w:r>
        <w:rPr>
          <w:rFonts w:ascii="Arial" w:eastAsia="Calibri" w:hAnsi="Arial" w:cs="Arial"/>
          <w:bCs/>
          <w:sz w:val="20"/>
          <w:szCs w:val="20"/>
          <w:u w:color="4D4E4C"/>
          <w:bdr w:val="nil"/>
          <w:lang w:val="en-GB"/>
        </w:rPr>
        <w:t xml:space="preserve">a unique supplement to the trusted printed newspaper </w:t>
      </w:r>
      <w:r w:rsidRPr="0063395D">
        <w:rPr>
          <w:rFonts w:ascii="Arial" w:eastAsia="Calibri" w:hAnsi="Arial" w:cs="Arial"/>
          <w:bCs/>
          <w:sz w:val="20"/>
          <w:szCs w:val="20"/>
          <w:u w:color="4D4E4C"/>
          <w:bdr w:val="nil"/>
          <w:lang w:val="en-GB"/>
        </w:rPr>
        <w:t xml:space="preserve">De Telegraaf </w:t>
      </w:r>
      <w:r>
        <w:rPr>
          <w:rFonts w:ascii="Arial" w:eastAsia="Calibri" w:hAnsi="Arial" w:cs="Arial"/>
          <w:bCs/>
          <w:sz w:val="20"/>
          <w:szCs w:val="20"/>
          <w:u w:color="4D4E4C"/>
          <w:bdr w:val="nil"/>
          <w:lang w:val="en-GB"/>
        </w:rPr>
        <w:t xml:space="preserve">and to </w:t>
      </w:r>
      <w:r w:rsidR="00DA615B" w:rsidRPr="00DA615B">
        <w:rPr>
          <w:rFonts w:ascii="Arial" w:eastAsia="Calibri" w:hAnsi="Arial" w:cs="Arial"/>
          <w:bCs/>
          <w:sz w:val="20"/>
          <w:szCs w:val="20"/>
          <w:u w:color="4D4E4C"/>
          <w:bdr w:val="nil"/>
          <w:lang w:val="en-GB"/>
        </w:rPr>
        <w:t>the trusted printed newspaper De Telegraaf and to Telegraaf.nl</w:t>
      </w:r>
      <w:r w:rsidR="00DA615B">
        <w:rPr>
          <w:rFonts w:ascii="Arial" w:eastAsia="Calibri" w:hAnsi="Arial" w:cs="Arial"/>
          <w:bCs/>
          <w:sz w:val="20"/>
          <w:szCs w:val="20"/>
          <w:u w:color="4D4E4C"/>
          <w:bdr w:val="nil"/>
          <w:lang w:val="en-GB"/>
        </w:rPr>
        <w:t>.</w:t>
      </w:r>
      <w:r w:rsidR="00DA615B" w:rsidRPr="00DA615B">
        <w:rPr>
          <w:rFonts w:ascii="Arial" w:eastAsia="Calibri" w:hAnsi="Arial" w:cs="Arial"/>
          <w:bCs/>
          <w:sz w:val="20"/>
          <w:szCs w:val="20"/>
          <w:u w:color="4D4E4C"/>
          <w:bdr w:val="nil"/>
          <w:lang w:val="en-GB"/>
        </w:rPr>
        <w:t xml:space="preserve"> </w:t>
      </w:r>
      <w:r>
        <w:rPr>
          <w:rFonts w:ascii="Arial" w:eastAsia="Calibri" w:hAnsi="Arial" w:cs="Arial"/>
          <w:bCs/>
          <w:sz w:val="20"/>
          <w:szCs w:val="20"/>
          <w:u w:color="4D4E4C"/>
          <w:bdr w:val="nil"/>
          <w:lang w:val="en-GB"/>
        </w:rPr>
        <w:t xml:space="preserve">The platform enables TMG to provide even better services for consumers, at any time, in any location, via computer, tablet and smartphone. The Telegraaf VNDG programmes are available via Telegraafvandaag.nl and via the </w:t>
      </w:r>
      <w:hyperlink r:id="rId8" w:tgtFrame="_blank" w:history="1">
        <w:r w:rsidRPr="0063395D">
          <w:rPr>
            <w:rFonts w:ascii="Arial" w:eastAsia="Calibri" w:hAnsi="Arial" w:cs="Arial"/>
            <w:bCs/>
            <w:sz w:val="20"/>
            <w:szCs w:val="20"/>
            <w:u w:color="4D4E4C"/>
            <w:bdr w:val="nil"/>
            <w:lang w:val="en-GB"/>
          </w:rPr>
          <w:t>iOS</w:t>
        </w:r>
      </w:hyperlink>
      <w:r>
        <w:rPr>
          <w:rFonts w:ascii="Arial" w:eastAsia="Calibri" w:hAnsi="Arial" w:cs="Arial"/>
          <w:bCs/>
          <w:sz w:val="20"/>
          <w:szCs w:val="20"/>
          <w:u w:color="4D4E4C"/>
          <w:bdr w:val="nil"/>
          <w:lang w:val="en-GB"/>
        </w:rPr>
        <w:t xml:space="preserve"> </w:t>
      </w:r>
      <w:r w:rsidRPr="0063395D">
        <w:rPr>
          <w:rFonts w:ascii="Arial" w:eastAsia="Calibri" w:hAnsi="Arial" w:cs="Arial"/>
          <w:bCs/>
          <w:sz w:val="20"/>
          <w:szCs w:val="20"/>
          <w:u w:color="4D4E4C"/>
          <w:bdr w:val="nil"/>
          <w:lang w:val="en-GB"/>
        </w:rPr>
        <w:t>/ </w:t>
      </w:r>
      <w:hyperlink r:id="rId9" w:tgtFrame="_blank" w:history="1">
        <w:r w:rsidRPr="0063395D">
          <w:rPr>
            <w:rFonts w:ascii="Arial" w:eastAsia="Calibri" w:hAnsi="Arial" w:cs="Arial"/>
            <w:bCs/>
            <w:sz w:val="20"/>
            <w:szCs w:val="20"/>
            <w:u w:color="4D4E4C"/>
            <w:bdr w:val="nil"/>
            <w:lang w:val="en-GB"/>
          </w:rPr>
          <w:t>Android</w:t>
        </w:r>
      </w:hyperlink>
      <w:r w:rsidRPr="0063395D">
        <w:rPr>
          <w:rFonts w:ascii="Arial" w:eastAsia="Calibri" w:hAnsi="Arial" w:cs="Arial"/>
          <w:bCs/>
          <w:sz w:val="20"/>
          <w:szCs w:val="20"/>
          <w:u w:color="4D4E4C"/>
          <w:bdr w:val="nil"/>
          <w:lang w:val="en-GB"/>
        </w:rPr>
        <w:t> VNDG-app.</w:t>
      </w:r>
      <w:r>
        <w:rPr>
          <w:rFonts w:ascii="Arial" w:eastAsia="Calibri" w:hAnsi="Arial" w:cs="Arial"/>
          <w:bCs/>
          <w:sz w:val="20"/>
          <w:szCs w:val="20"/>
          <w:u w:color="4D4E4C"/>
          <w:bdr w:val="nil"/>
          <w:lang w:val="en-GB"/>
        </w:rPr>
        <w:t xml:space="preserve"> </w:t>
      </w:r>
    </w:p>
    <w:p w14:paraId="18AA091E"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p>
    <w:p w14:paraId="4E2C805D" w14:textId="77777777" w:rsidR="00262E72" w:rsidRPr="0063395D" w:rsidRDefault="00262E72" w:rsidP="00262E72">
      <w:pPr>
        <w:spacing w:after="0" w:line="300" w:lineRule="exact"/>
        <w:rPr>
          <w:rFonts w:ascii="Arial" w:hAnsi="Arial" w:cs="Arial"/>
          <w:b/>
          <w:bCs/>
          <w:color w:val="auto"/>
          <w:sz w:val="20"/>
          <w:szCs w:val="20"/>
          <w:u w:val="single" w:color="4D4E4C"/>
          <w:lang w:val="en-GB"/>
        </w:rPr>
      </w:pPr>
      <w:r>
        <w:rPr>
          <w:rFonts w:ascii="Arial" w:hAnsi="Arial" w:cs="Arial"/>
          <w:b/>
          <w:bCs/>
          <w:color w:val="auto"/>
          <w:sz w:val="20"/>
          <w:szCs w:val="20"/>
          <w:u w:val="single" w:color="4D4E4C"/>
          <w:lang w:val="en-GB"/>
        </w:rPr>
        <w:t xml:space="preserve">Recommendation on the public offer from </w:t>
      </w:r>
      <w:r w:rsidRPr="0063395D">
        <w:rPr>
          <w:rFonts w:ascii="Arial" w:hAnsi="Arial" w:cs="Arial"/>
          <w:b/>
          <w:bCs/>
          <w:color w:val="auto"/>
          <w:sz w:val="20"/>
          <w:szCs w:val="20"/>
          <w:u w:val="single" w:color="4D4E4C"/>
          <w:lang w:val="en-GB"/>
        </w:rPr>
        <w:t xml:space="preserve">Mediahuis N.V. </w:t>
      </w:r>
      <w:r>
        <w:rPr>
          <w:rFonts w:ascii="Arial" w:hAnsi="Arial" w:cs="Arial"/>
          <w:b/>
          <w:bCs/>
          <w:color w:val="auto"/>
          <w:sz w:val="20"/>
          <w:szCs w:val="20"/>
          <w:u w:val="single" w:color="4D4E4C"/>
          <w:lang w:val="en-GB"/>
        </w:rPr>
        <w:t xml:space="preserve">and </w:t>
      </w:r>
      <w:r w:rsidRPr="0063395D">
        <w:rPr>
          <w:rFonts w:ascii="Arial" w:hAnsi="Arial" w:cs="Arial"/>
          <w:b/>
          <w:bCs/>
          <w:color w:val="auto"/>
          <w:sz w:val="20"/>
          <w:szCs w:val="20"/>
          <w:u w:val="single" w:color="4D4E4C"/>
          <w:lang w:val="en-GB"/>
        </w:rPr>
        <w:t>VP Exploitatie N.V.</w:t>
      </w:r>
    </w:p>
    <w:p w14:paraId="1C456008" w14:textId="77777777" w:rsidR="00262E72" w:rsidRDefault="00262E72" w:rsidP="00262E72">
      <w:pPr>
        <w:spacing w:after="0" w:line="300" w:lineRule="exact"/>
        <w:rPr>
          <w:rFonts w:ascii="Arial" w:hAnsi="Arial" w:cs="Arial"/>
          <w:bCs/>
          <w:color w:val="auto"/>
          <w:sz w:val="20"/>
          <w:szCs w:val="20"/>
          <w:u w:color="4D4E4C"/>
          <w:lang w:val="en-GB"/>
        </w:rPr>
      </w:pPr>
      <w:r w:rsidRPr="0063395D">
        <w:rPr>
          <w:rFonts w:ascii="Arial" w:hAnsi="Arial" w:cs="Arial"/>
          <w:bCs/>
          <w:color w:val="auto"/>
          <w:sz w:val="20"/>
          <w:szCs w:val="20"/>
          <w:u w:color="4D4E4C"/>
          <w:lang w:val="en-GB"/>
        </w:rPr>
        <w:t>O</w:t>
      </w:r>
      <w:r>
        <w:rPr>
          <w:rFonts w:ascii="Arial" w:hAnsi="Arial" w:cs="Arial"/>
          <w:bCs/>
          <w:color w:val="auto"/>
          <w:sz w:val="20"/>
          <w:szCs w:val="20"/>
          <w:u w:color="4D4E4C"/>
          <w:lang w:val="en-GB"/>
        </w:rPr>
        <w:t>n</w:t>
      </w:r>
      <w:r w:rsidRPr="0063395D">
        <w:rPr>
          <w:rFonts w:ascii="Arial" w:hAnsi="Arial" w:cs="Arial"/>
          <w:bCs/>
          <w:color w:val="auto"/>
          <w:sz w:val="20"/>
          <w:szCs w:val="20"/>
          <w:u w:color="4D4E4C"/>
          <w:lang w:val="en-GB"/>
        </w:rPr>
        <w:t xml:space="preserve"> 19 </w:t>
      </w:r>
      <w:r>
        <w:rPr>
          <w:rFonts w:ascii="Arial" w:hAnsi="Arial" w:cs="Arial"/>
          <w:bCs/>
          <w:color w:val="auto"/>
          <w:sz w:val="20"/>
          <w:szCs w:val="20"/>
          <w:u w:color="4D4E4C"/>
          <w:lang w:val="en-GB"/>
        </w:rPr>
        <w:t>A</w:t>
      </w:r>
      <w:r w:rsidRPr="0063395D">
        <w:rPr>
          <w:rFonts w:ascii="Arial" w:hAnsi="Arial" w:cs="Arial"/>
          <w:bCs/>
          <w:color w:val="auto"/>
          <w:sz w:val="20"/>
          <w:szCs w:val="20"/>
          <w:u w:color="4D4E4C"/>
          <w:lang w:val="en-GB"/>
        </w:rPr>
        <w:t>pril</w:t>
      </w:r>
      <w:r>
        <w:rPr>
          <w:rFonts w:ascii="Arial" w:hAnsi="Arial" w:cs="Arial"/>
          <w:bCs/>
          <w:color w:val="auto"/>
          <w:sz w:val="20"/>
          <w:szCs w:val="20"/>
          <w:u w:color="4D4E4C"/>
          <w:lang w:val="en-GB"/>
        </w:rPr>
        <w:t xml:space="preserve">, the </w:t>
      </w:r>
      <w:r w:rsidRPr="0063395D">
        <w:rPr>
          <w:rFonts w:ascii="Arial" w:hAnsi="Arial" w:cs="Arial"/>
          <w:bCs/>
          <w:color w:val="auto"/>
          <w:sz w:val="20"/>
          <w:szCs w:val="20"/>
          <w:u w:color="4D4E4C"/>
          <w:lang w:val="en-GB"/>
        </w:rPr>
        <w:t xml:space="preserve">Consortium </w:t>
      </w:r>
      <w:r>
        <w:rPr>
          <w:rFonts w:ascii="Arial" w:hAnsi="Arial" w:cs="Arial"/>
          <w:bCs/>
          <w:color w:val="auto"/>
          <w:sz w:val="20"/>
          <w:szCs w:val="20"/>
          <w:u w:color="4D4E4C"/>
          <w:lang w:val="en-GB"/>
        </w:rPr>
        <w:t>launched their public offer which is recommended by TMG.</w:t>
      </w:r>
      <w:r w:rsidRPr="0063395D">
        <w:rPr>
          <w:rFonts w:ascii="Arial" w:hAnsi="Arial" w:cs="Arial"/>
          <w:bCs/>
          <w:color w:val="auto"/>
          <w:sz w:val="20"/>
          <w:szCs w:val="20"/>
          <w:u w:color="4D4E4C"/>
          <w:lang w:val="en-GB"/>
        </w:rPr>
        <w:t xml:space="preserve"> </w:t>
      </w:r>
      <w:r>
        <w:rPr>
          <w:rFonts w:ascii="Arial" w:hAnsi="Arial" w:cs="Arial"/>
          <w:bCs/>
          <w:color w:val="auto"/>
          <w:sz w:val="20"/>
          <w:szCs w:val="20"/>
          <w:u w:color="4D4E4C"/>
          <w:lang w:val="en-GB"/>
        </w:rPr>
        <w:t>The Supervisory Board</w:t>
      </w:r>
      <w:r w:rsidRPr="0063395D">
        <w:rPr>
          <w:rStyle w:val="FootnoteReference"/>
          <w:rFonts w:ascii="Arial" w:hAnsi="Arial" w:cs="Arial"/>
          <w:b/>
          <w:sz w:val="20"/>
          <w:szCs w:val="20"/>
          <w:lang w:val="en-GB"/>
        </w:rPr>
        <w:footnoteReference w:id="3"/>
      </w:r>
      <w:r>
        <w:rPr>
          <w:rFonts w:ascii="Arial" w:hAnsi="Arial" w:cs="Arial"/>
          <w:bCs/>
          <w:color w:val="auto"/>
          <w:sz w:val="20"/>
          <w:szCs w:val="20"/>
          <w:u w:color="4D4E4C"/>
          <w:lang w:val="en-GB"/>
        </w:rPr>
        <w:t>, also temporarily charched with the executive function, has recommended the offer because the Consortium’s strategy is a close fit with TMG’s existing strategy and that the combination with Mediahuis provides the company the best future.  The combined strategy ensures the position of the core news division and focuses on digital, online, radio and video developments. The price is fair, there is a high level of deal certainty and TMG has made arrangements with the Consortium through which the interests of all stakeholders are safeguarded to the maximum extent. Together, we aim to create a leading multimedia company. The position statement with respect to the public offer is available on the TMG website.</w:t>
      </w:r>
    </w:p>
    <w:p w14:paraId="2C81CA21" w14:textId="77777777" w:rsidR="00262E72" w:rsidRDefault="00262E72" w:rsidP="00262E72">
      <w:pPr>
        <w:spacing w:after="0" w:line="300" w:lineRule="exact"/>
        <w:rPr>
          <w:rFonts w:ascii="Arial" w:hAnsi="Arial" w:cs="Arial"/>
          <w:bCs/>
          <w:color w:val="auto"/>
          <w:sz w:val="20"/>
          <w:szCs w:val="20"/>
          <w:u w:color="4D4E4C"/>
          <w:lang w:val="en-GB"/>
        </w:rPr>
      </w:pPr>
    </w:p>
    <w:p w14:paraId="0A3428D0"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The central works council supports the decision of the Supervisory Board to recommend the offer from Mediahuis and VP Exploitatie and on 1 May the Consortium received permission from the Dutch consumer and market regulatory body (</w:t>
      </w:r>
      <w:r w:rsidRPr="00CF0848">
        <w:rPr>
          <w:rFonts w:ascii="Arial" w:hAnsi="Arial" w:cs="Arial"/>
          <w:bCs/>
          <w:i/>
          <w:color w:val="auto"/>
          <w:sz w:val="20"/>
          <w:szCs w:val="20"/>
          <w:u w:color="4D4E4C"/>
          <w:lang w:val="en-GB"/>
        </w:rPr>
        <w:t xml:space="preserve">Autoriteit Consument en Markt </w:t>
      </w:r>
      <w:r>
        <w:rPr>
          <w:rFonts w:ascii="Arial" w:hAnsi="Arial" w:cs="Arial"/>
          <w:bCs/>
          <w:color w:val="auto"/>
          <w:sz w:val="20"/>
          <w:szCs w:val="20"/>
          <w:u w:color="4D4E4C"/>
          <w:lang w:val="en-GB"/>
        </w:rPr>
        <w:t xml:space="preserve">– ACM) for the acquisition of TMG. The tender period for the offer will end on 15 June at </w:t>
      </w:r>
      <w:r w:rsidRPr="0063395D">
        <w:rPr>
          <w:rFonts w:ascii="Arial" w:hAnsi="Arial" w:cs="Arial"/>
          <w:bCs/>
          <w:color w:val="auto"/>
          <w:sz w:val="20"/>
          <w:szCs w:val="20"/>
          <w:u w:color="4D4E4C"/>
          <w:lang w:val="en-GB"/>
        </w:rPr>
        <w:t>17.40</w:t>
      </w:r>
      <w:r>
        <w:rPr>
          <w:rFonts w:ascii="Arial" w:hAnsi="Arial" w:cs="Arial"/>
          <w:bCs/>
          <w:color w:val="auto"/>
          <w:sz w:val="20"/>
          <w:szCs w:val="20"/>
          <w:u w:color="4D4E4C"/>
          <w:lang w:val="en-GB"/>
        </w:rPr>
        <w:t xml:space="preserve"> hours.</w:t>
      </w:r>
      <w:r w:rsidRPr="0063395D">
        <w:rPr>
          <w:rFonts w:ascii="Arial" w:hAnsi="Arial" w:cs="Arial"/>
          <w:bCs/>
          <w:color w:val="auto"/>
          <w:sz w:val="20"/>
          <w:szCs w:val="20"/>
          <w:u w:color="4D4E4C"/>
          <w:lang w:val="en-GB"/>
        </w:rPr>
        <w:t xml:space="preserve"> </w:t>
      </w:r>
    </w:p>
    <w:p w14:paraId="0E0E585B" w14:textId="77777777" w:rsidR="00262E72" w:rsidRPr="0063395D" w:rsidRDefault="00262E72" w:rsidP="00262E72">
      <w:pPr>
        <w:spacing w:after="0" w:line="300" w:lineRule="exact"/>
        <w:rPr>
          <w:rFonts w:ascii="Arial" w:hAnsi="Arial" w:cs="Arial"/>
          <w:bCs/>
          <w:color w:val="auto"/>
          <w:sz w:val="20"/>
          <w:szCs w:val="20"/>
          <w:u w:color="4D4E4C"/>
          <w:lang w:val="en-GB"/>
        </w:rPr>
      </w:pPr>
    </w:p>
    <w:p w14:paraId="576055A7" w14:textId="77777777" w:rsidR="00262E72" w:rsidRPr="0063395D"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t xml:space="preserve">On </w:t>
      </w:r>
      <w:r w:rsidRPr="0063395D">
        <w:rPr>
          <w:rFonts w:ascii="Arial" w:hAnsi="Arial" w:cs="Arial"/>
          <w:bCs/>
          <w:color w:val="auto"/>
          <w:sz w:val="20"/>
          <w:szCs w:val="20"/>
          <w:u w:color="4D4E4C"/>
          <w:lang w:val="en-GB"/>
        </w:rPr>
        <w:t xml:space="preserve">15 </w:t>
      </w:r>
      <w:r>
        <w:rPr>
          <w:rFonts w:ascii="Arial" w:hAnsi="Arial" w:cs="Arial"/>
          <w:bCs/>
          <w:color w:val="auto"/>
          <w:sz w:val="20"/>
          <w:szCs w:val="20"/>
          <w:u w:color="4D4E4C"/>
          <w:lang w:val="en-GB"/>
        </w:rPr>
        <w:t>June, the Enterprise Chamber will hold a hearing for the remaining request from Talpa to institute an investigation in response to the signing of the merger protocol by TMG. On 21 March, the Enterprise Chamber rejected all the temporarily measures Talpa had requested. TMG is also confident about the outcome of this pending proceeding.</w:t>
      </w:r>
    </w:p>
    <w:p w14:paraId="25C2C328" w14:textId="77777777" w:rsidR="00262E72" w:rsidRPr="0063395D" w:rsidRDefault="00262E72" w:rsidP="00262E72">
      <w:pPr>
        <w:spacing w:after="0" w:line="300" w:lineRule="exact"/>
        <w:rPr>
          <w:rFonts w:ascii="Arial" w:hAnsi="Arial" w:cs="Arial"/>
          <w:bCs/>
          <w:color w:val="auto"/>
          <w:sz w:val="20"/>
          <w:szCs w:val="20"/>
          <w:u w:color="4D4E4C"/>
          <w:lang w:val="en-GB"/>
        </w:rPr>
      </w:pPr>
    </w:p>
    <w:p w14:paraId="3BC5A70E" w14:textId="77777777" w:rsidR="00262E72" w:rsidRDefault="00262E72" w:rsidP="00262E72">
      <w:pPr>
        <w:spacing w:after="0" w:line="300" w:lineRule="exact"/>
        <w:rPr>
          <w:rFonts w:ascii="Arial" w:hAnsi="Arial" w:cs="Arial"/>
          <w:bCs/>
          <w:color w:val="auto"/>
          <w:sz w:val="20"/>
          <w:szCs w:val="20"/>
          <w:u w:color="4D4E4C"/>
          <w:lang w:val="en-GB"/>
        </w:rPr>
      </w:pPr>
      <w:r>
        <w:rPr>
          <w:rFonts w:ascii="Arial" w:hAnsi="Arial" w:cs="Arial"/>
          <w:bCs/>
          <w:color w:val="auto"/>
          <w:sz w:val="20"/>
          <w:szCs w:val="20"/>
          <w:u w:color="4D4E4C"/>
          <w:lang w:val="en-GB"/>
        </w:rPr>
        <w:lastRenderedPageBreak/>
        <w:t>As described above, TMG booked costs of EUR 5.3 million in connection with these proceedings in the first four months of the year. The total costs in 2017 of the public offer, including the proceedings before the Enterprise Chamber, are expected to be of EUR 10 million and will be largely related to the costs of financial and legal advisors.</w:t>
      </w:r>
    </w:p>
    <w:p w14:paraId="28A68F8A" w14:textId="77777777" w:rsidR="00262E72" w:rsidRDefault="00262E72" w:rsidP="00262E72">
      <w:pPr>
        <w:spacing w:after="0" w:line="300" w:lineRule="exact"/>
        <w:rPr>
          <w:rFonts w:ascii="Arial" w:hAnsi="Arial" w:cs="Arial"/>
          <w:bCs/>
          <w:color w:val="auto"/>
          <w:sz w:val="20"/>
          <w:szCs w:val="20"/>
          <w:u w:color="4D4E4C"/>
          <w:lang w:val="en-GB"/>
        </w:rPr>
      </w:pPr>
    </w:p>
    <w:p w14:paraId="18DD779A" w14:textId="77777777" w:rsidR="00262E72" w:rsidRPr="00A7605B" w:rsidRDefault="00262E72" w:rsidP="00262E72">
      <w:pPr>
        <w:spacing w:after="0" w:line="300" w:lineRule="exact"/>
        <w:rPr>
          <w:rFonts w:ascii="Arial" w:hAnsi="Arial" w:cs="Arial"/>
          <w:b/>
          <w:sz w:val="20"/>
          <w:szCs w:val="20"/>
          <w:u w:val="single"/>
          <w:lang w:val="en-GB"/>
        </w:rPr>
      </w:pPr>
      <w:r w:rsidRPr="00A7605B">
        <w:rPr>
          <w:rFonts w:ascii="Arial" w:hAnsi="Arial" w:cs="Arial"/>
          <w:b/>
          <w:sz w:val="20"/>
          <w:szCs w:val="20"/>
          <w:u w:val="single"/>
          <w:lang w:val="en-GB"/>
        </w:rPr>
        <w:t>Annual General Meeting of Shareholders 1 June</w:t>
      </w:r>
    </w:p>
    <w:p w14:paraId="034219F4" w14:textId="77777777" w:rsidR="00262E72" w:rsidRDefault="00262E72" w:rsidP="00262E72">
      <w:pPr>
        <w:spacing w:after="0" w:line="300" w:lineRule="exact"/>
        <w:rPr>
          <w:rFonts w:ascii="Arial" w:hAnsi="Arial" w:cs="Arial"/>
          <w:sz w:val="20"/>
          <w:szCs w:val="20"/>
          <w:lang w:val="en-GB"/>
        </w:rPr>
      </w:pPr>
      <w:r>
        <w:rPr>
          <w:rFonts w:ascii="Arial" w:hAnsi="Arial" w:cs="Arial"/>
          <w:sz w:val="20"/>
          <w:szCs w:val="20"/>
          <w:lang w:val="en-GB"/>
        </w:rPr>
        <w:t xml:space="preserve">The Annual General Meeting of Shareholders will be held on 1 June, starting at 13:00 CET. The agenda contains the annually recurring items as well as the offer from the Consortium. </w:t>
      </w:r>
    </w:p>
    <w:p w14:paraId="19EA524D" w14:textId="77777777" w:rsidR="00262E72" w:rsidRPr="0063395D" w:rsidRDefault="00262E72" w:rsidP="00262E72">
      <w:pPr>
        <w:spacing w:after="0" w:line="300" w:lineRule="exact"/>
        <w:rPr>
          <w:rFonts w:ascii="Arial" w:hAnsi="Arial" w:cs="Arial"/>
          <w:sz w:val="20"/>
          <w:szCs w:val="20"/>
          <w:lang w:val="en-GB"/>
        </w:rPr>
      </w:pPr>
    </w:p>
    <w:p w14:paraId="4D641157" w14:textId="77777777" w:rsidR="00262E72" w:rsidRPr="00C7673D" w:rsidRDefault="00262E72" w:rsidP="00262E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Arial" w:eastAsia="Arial Unicode MS" w:hAnsi="Arial" w:cs="Arial"/>
          <w:b/>
          <w:bCs/>
          <w:sz w:val="20"/>
          <w:szCs w:val="20"/>
          <w:lang w:val="en-GB"/>
        </w:rPr>
      </w:pPr>
      <w:r w:rsidRPr="00C7673D">
        <w:rPr>
          <w:rFonts w:ascii="Arial" w:eastAsia="Arial Unicode MS" w:hAnsi="Arial" w:cs="Arial"/>
          <w:b/>
          <w:bCs/>
          <w:sz w:val="20"/>
          <w:szCs w:val="20"/>
          <w:lang w:val="en-GB"/>
        </w:rPr>
        <w:t>About TMG</w:t>
      </w:r>
    </w:p>
    <w:p w14:paraId="12FA1E62" w14:textId="77777777" w:rsidR="00262E72" w:rsidRPr="00C7673D" w:rsidRDefault="00262E72" w:rsidP="00262E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Arial" w:eastAsia="Arial Unicode MS" w:hAnsi="Arial" w:cs="Arial"/>
          <w:sz w:val="20"/>
          <w:szCs w:val="20"/>
          <w:lang w:val="en-GB"/>
        </w:rPr>
      </w:pPr>
      <w:r w:rsidRPr="00C7673D">
        <w:rPr>
          <w:rFonts w:ascii="Arial" w:eastAsia="Arial Unicode MS" w:hAnsi="Arial" w:cs="Arial"/>
          <w:sz w:val="20"/>
          <w:szCs w:val="20"/>
          <w:lang w:val="en-GB"/>
        </w:rPr>
        <w:t>TMG is one of the largest media companies in the Netherlands, with strong brands such as De Telegraaf,</w:t>
      </w:r>
      <w:r>
        <w:rPr>
          <w:rFonts w:ascii="Arial" w:eastAsia="Arial Unicode MS" w:hAnsi="Arial" w:cs="Arial"/>
          <w:sz w:val="20"/>
          <w:szCs w:val="20"/>
          <w:lang w:val="en-GB"/>
        </w:rPr>
        <w:t xml:space="preserve"> Telegraaf VNDG, </w:t>
      </w:r>
      <w:r w:rsidRPr="00C7673D">
        <w:rPr>
          <w:rFonts w:ascii="Arial" w:eastAsia="Arial Unicode MS" w:hAnsi="Arial" w:cs="Arial"/>
          <w:sz w:val="20"/>
          <w:szCs w:val="20"/>
          <w:lang w:val="en-GB"/>
        </w:rPr>
        <w:t>DFT, Telesport, Metro, Autovisie, Privé and VROUW; regional dailies such as Noordhollands Dagblad</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and de Gooi- en Eemlander; digital brands such as GeenStijl, Dumpert and Gaspedaal; Classic FM and – through a strategic collaboration</w:t>
      </w:r>
      <w:r>
        <w:rPr>
          <w:rFonts w:ascii="Arial" w:eastAsia="Arial Unicode MS" w:hAnsi="Arial" w:cs="Arial"/>
          <w:sz w:val="20"/>
          <w:szCs w:val="20"/>
          <w:lang w:val="en-GB"/>
        </w:rPr>
        <w:t xml:space="preserve"> with Talpa</w:t>
      </w:r>
      <w:r w:rsidRPr="00C7673D">
        <w:rPr>
          <w:rFonts w:ascii="Arial" w:eastAsia="Arial Unicode MS" w:hAnsi="Arial" w:cs="Arial"/>
          <w:sz w:val="20"/>
          <w:szCs w:val="20"/>
          <w:lang w:val="en-GB"/>
        </w:rPr>
        <w:t xml:space="preserve"> – national radio stations Sky Radio, Radio Veronica, Radio 538 and</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Radio 10. TMG also has dozens of other brands and titles that focus on providing local news,</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entertainment or e-commerce (e.g., GroupDeal). Through Keesing Media Group, TMG is market leader</w:t>
      </w:r>
    </w:p>
    <w:p w14:paraId="206C5F09" w14:textId="77777777" w:rsidR="00262E72" w:rsidRPr="0063395D" w:rsidRDefault="00262E72" w:rsidP="00262E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Arial" w:hAnsi="Arial" w:cs="Arial"/>
          <w:b/>
          <w:bCs/>
          <w:color w:val="auto"/>
          <w:sz w:val="20"/>
          <w:szCs w:val="20"/>
          <w:u w:color="4D4E4C"/>
          <w:lang w:val="en-GB"/>
        </w:rPr>
      </w:pPr>
      <w:r w:rsidRPr="00C7673D">
        <w:rPr>
          <w:rFonts w:ascii="Arial" w:eastAsia="Arial Unicode MS" w:hAnsi="Arial" w:cs="Arial"/>
          <w:sz w:val="20"/>
          <w:szCs w:val="20"/>
          <w:lang w:val="en-GB"/>
        </w:rPr>
        <w:t xml:space="preserve">in Europe in the field of puzzle magazines and digital puzzles. TMG’s mission </w:t>
      </w:r>
      <w:r>
        <w:rPr>
          <w:rFonts w:ascii="Arial" w:eastAsia="Arial Unicode MS" w:hAnsi="Arial" w:cs="Arial"/>
          <w:sz w:val="20"/>
          <w:szCs w:val="20"/>
          <w:lang w:val="en-GB"/>
        </w:rPr>
        <w:t xml:space="preserve">is to </w:t>
      </w:r>
      <w:r w:rsidRPr="00C7673D">
        <w:rPr>
          <w:rFonts w:ascii="Arial" w:eastAsia="Arial Unicode MS" w:hAnsi="Arial" w:cs="Arial"/>
          <w:sz w:val="20"/>
          <w:szCs w:val="20"/>
          <w:lang w:val="en-GB"/>
        </w:rPr>
        <w:t>provide consumers</w:t>
      </w:r>
      <w:r>
        <w:rPr>
          <w:rFonts w:ascii="Arial" w:eastAsia="Arial Unicode MS" w:hAnsi="Arial" w:cs="Arial"/>
          <w:sz w:val="20"/>
          <w:szCs w:val="20"/>
          <w:lang w:val="en-GB"/>
        </w:rPr>
        <w:t xml:space="preserve"> </w:t>
      </w:r>
      <w:r w:rsidRPr="00C7673D">
        <w:rPr>
          <w:rFonts w:ascii="Arial" w:eastAsia="Arial Unicode MS" w:hAnsi="Arial" w:cs="Arial"/>
          <w:sz w:val="20"/>
          <w:szCs w:val="20"/>
          <w:lang w:val="en-GB"/>
        </w:rPr>
        <w:t>with high-quality, personalised and relevant news, sport</w:t>
      </w:r>
      <w:r>
        <w:rPr>
          <w:rFonts w:ascii="Arial" w:eastAsia="Arial Unicode MS" w:hAnsi="Arial" w:cs="Arial"/>
          <w:sz w:val="20"/>
          <w:szCs w:val="20"/>
          <w:lang w:val="en-GB"/>
        </w:rPr>
        <w:t>s</w:t>
      </w:r>
      <w:r w:rsidRPr="00C7673D">
        <w:rPr>
          <w:rFonts w:ascii="Arial" w:eastAsia="Arial Unicode MS" w:hAnsi="Arial" w:cs="Arial"/>
          <w:sz w:val="20"/>
          <w:szCs w:val="20"/>
          <w:lang w:val="en-GB"/>
        </w:rPr>
        <w:t xml:space="preserve"> and entertainment 24 hours a day, 7 days a week,</w:t>
      </w:r>
      <w:r>
        <w:rPr>
          <w:rFonts w:ascii="Arial" w:eastAsia="Arial Unicode MS" w:hAnsi="Arial" w:cs="Arial"/>
          <w:sz w:val="20"/>
          <w:szCs w:val="20"/>
          <w:lang w:val="en-GB"/>
        </w:rPr>
        <w:t xml:space="preserve"> via all available forms of distribution. For more information about TMG, please go to </w:t>
      </w:r>
      <w:r>
        <w:rPr>
          <w:rFonts w:ascii="Arial" w:eastAsia="Arial Unicode MS" w:hAnsi="Arial" w:cs="Arial"/>
          <w:color w:val="0000FF"/>
          <w:sz w:val="20"/>
          <w:szCs w:val="20"/>
          <w:lang w:val="en-GB"/>
        </w:rPr>
        <w:t>www.tmg.nl</w:t>
      </w:r>
      <w:r>
        <w:rPr>
          <w:rFonts w:ascii="Arial" w:eastAsia="Arial Unicode MS" w:hAnsi="Arial" w:cs="Arial"/>
          <w:sz w:val="20"/>
          <w:szCs w:val="20"/>
          <w:lang w:val="en-GB"/>
        </w:rPr>
        <w:t>.</w:t>
      </w:r>
    </w:p>
    <w:p w14:paraId="7886900B" w14:textId="77777777" w:rsidR="00262E72" w:rsidRPr="0063395D" w:rsidRDefault="00262E72" w:rsidP="00262E72">
      <w:pPr>
        <w:spacing w:after="0" w:line="360" w:lineRule="auto"/>
        <w:rPr>
          <w:rFonts w:ascii="Arial" w:hAnsi="Arial" w:cs="Arial"/>
          <w:b/>
          <w:bCs/>
          <w:color w:val="auto"/>
          <w:sz w:val="20"/>
          <w:szCs w:val="20"/>
          <w:u w:color="4D4E4C"/>
          <w:lang w:val="en-GB"/>
        </w:rPr>
      </w:pPr>
    </w:p>
    <w:p w14:paraId="5D50E38A" w14:textId="77777777" w:rsidR="00262E72" w:rsidRPr="005C54FD" w:rsidRDefault="00262E72" w:rsidP="00262E72">
      <w:pPr>
        <w:pStyle w:val="NoSpacing"/>
        <w:spacing w:after="0" w:line="240" w:lineRule="auto"/>
        <w:jc w:val="both"/>
        <w:rPr>
          <w:rFonts w:ascii="Arial" w:eastAsia="Arial" w:hAnsi="Arial" w:cs="Arial"/>
          <w:b/>
          <w:bCs/>
          <w:sz w:val="16"/>
          <w:szCs w:val="18"/>
          <w:lang w:val="en-GB"/>
        </w:rPr>
      </w:pPr>
      <w:r w:rsidRPr="005C54FD">
        <w:rPr>
          <w:rFonts w:ascii="Arial" w:hAnsi="Arial"/>
          <w:b/>
          <w:bCs/>
          <w:sz w:val="16"/>
          <w:szCs w:val="18"/>
          <w:lang w:val="en-GB"/>
        </w:rPr>
        <w:t>NOT FOR PUBLICATION:</w:t>
      </w:r>
    </w:p>
    <w:p w14:paraId="0336148E" w14:textId="77777777" w:rsidR="00262E72" w:rsidRDefault="00262E72" w:rsidP="00262E72">
      <w:pPr>
        <w:pStyle w:val="NoSpacing"/>
        <w:spacing w:after="0" w:line="240" w:lineRule="auto"/>
        <w:jc w:val="both"/>
        <w:rPr>
          <w:rFonts w:ascii="Arial" w:hAnsi="Arial"/>
          <w:sz w:val="16"/>
          <w:szCs w:val="18"/>
          <w:lang w:val="en-GB"/>
        </w:rPr>
      </w:pPr>
      <w:r w:rsidRPr="005C54FD">
        <w:rPr>
          <w:rFonts w:ascii="Arial" w:hAnsi="Arial"/>
          <w:sz w:val="16"/>
          <w:szCs w:val="18"/>
          <w:lang w:val="en-GB"/>
        </w:rPr>
        <w:t xml:space="preserve">For additional information please contact Mr. Martijn Jonker, Director Corporate Communications &amp; Investor Relations at </w:t>
      </w:r>
      <w:r>
        <w:rPr>
          <w:rFonts w:ascii="Arial" w:hAnsi="Arial"/>
          <w:sz w:val="16"/>
          <w:szCs w:val="18"/>
          <w:lang w:val="en-GB"/>
        </w:rPr>
        <w:br/>
      </w:r>
      <w:r w:rsidRPr="005C54FD">
        <w:rPr>
          <w:rFonts w:ascii="Arial" w:hAnsi="Arial"/>
          <w:sz w:val="16"/>
          <w:szCs w:val="18"/>
          <w:lang w:val="en-GB"/>
        </w:rPr>
        <w:t xml:space="preserve">+31 (0)6-52390449 or via e-mail: </w:t>
      </w:r>
      <w:hyperlink r:id="rId10" w:history="1">
        <w:r w:rsidRPr="005C54FD">
          <w:rPr>
            <w:rStyle w:val="Hyperlink"/>
            <w:rFonts w:ascii="Arial" w:hAnsi="Arial"/>
            <w:sz w:val="16"/>
            <w:szCs w:val="18"/>
            <w:lang w:val="en-GB"/>
          </w:rPr>
          <w:t>martijn.jonker@tmg.nl</w:t>
        </w:r>
      </w:hyperlink>
      <w:r>
        <w:rPr>
          <w:rFonts w:ascii="Arial" w:hAnsi="Arial"/>
          <w:sz w:val="16"/>
          <w:szCs w:val="18"/>
          <w:lang w:val="en-GB"/>
        </w:rPr>
        <w:t>.</w:t>
      </w:r>
    </w:p>
    <w:p w14:paraId="4CBF42E2" w14:textId="77777777" w:rsidR="00262E72" w:rsidRPr="00990C4A" w:rsidRDefault="00262E72" w:rsidP="00262E72">
      <w:pPr>
        <w:pStyle w:val="NoSpacing"/>
        <w:spacing w:after="0" w:line="300" w:lineRule="exact"/>
        <w:rPr>
          <w:sz w:val="20"/>
          <w:lang w:val="en-US"/>
        </w:rPr>
      </w:pPr>
    </w:p>
    <w:p w14:paraId="622A373F" w14:textId="77777777" w:rsidR="006D66CE" w:rsidRPr="00DA615B" w:rsidRDefault="006D66CE" w:rsidP="00684913">
      <w:pPr>
        <w:pStyle w:val="NoSpacing"/>
        <w:spacing w:after="0" w:line="240" w:lineRule="auto"/>
        <w:jc w:val="both"/>
        <w:rPr>
          <w:rFonts w:ascii="Arial" w:hAnsi="Arial"/>
          <w:sz w:val="16"/>
          <w:szCs w:val="18"/>
          <w:lang w:val="en-US"/>
        </w:rPr>
      </w:pPr>
    </w:p>
    <w:p w14:paraId="34119CA3" w14:textId="77777777" w:rsidR="006D66CE" w:rsidRPr="00DA615B" w:rsidRDefault="006D66CE" w:rsidP="00684913">
      <w:pPr>
        <w:pStyle w:val="NoSpacing"/>
        <w:spacing w:after="0" w:line="240" w:lineRule="auto"/>
        <w:jc w:val="both"/>
        <w:rPr>
          <w:rFonts w:ascii="Arial" w:hAnsi="Arial"/>
          <w:sz w:val="16"/>
          <w:szCs w:val="18"/>
          <w:lang w:val="en-US"/>
        </w:rPr>
      </w:pPr>
    </w:p>
    <w:sectPr w:rsidR="006D66CE" w:rsidRPr="00DA615B" w:rsidSect="00D0280F">
      <w:headerReference w:type="default" r:id="rId11"/>
      <w:footerReference w:type="even" r:id="rId12"/>
      <w:footerReference w:type="default" r:id="rId13"/>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4E7E" w14:textId="77777777" w:rsidR="00252BA5" w:rsidRDefault="00252BA5">
      <w:pPr>
        <w:spacing w:after="0" w:line="240" w:lineRule="auto"/>
      </w:pPr>
      <w:r>
        <w:separator/>
      </w:r>
    </w:p>
  </w:endnote>
  <w:endnote w:type="continuationSeparator" w:id="0">
    <w:p w14:paraId="6C6816B8" w14:textId="77777777" w:rsidR="00252BA5" w:rsidRDefault="0025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CBAE" w14:textId="77777777" w:rsidR="00D0280F" w:rsidRDefault="00D0280F" w:rsidP="00D02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C9640" w14:textId="77777777" w:rsidR="00D0280F" w:rsidRDefault="00D0280F" w:rsidP="00D028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5DDE6" w14:textId="77777777" w:rsidR="00D0280F" w:rsidRDefault="00D0280F" w:rsidP="00D02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A21">
      <w:rPr>
        <w:rStyle w:val="PageNumber"/>
        <w:noProof/>
      </w:rPr>
      <w:t>1</w:t>
    </w:r>
    <w:r>
      <w:rPr>
        <w:rStyle w:val="PageNumber"/>
      </w:rPr>
      <w:fldChar w:fldCharType="end"/>
    </w:r>
  </w:p>
  <w:p w14:paraId="7A8E94D9" w14:textId="77777777" w:rsidR="00D0280F" w:rsidRDefault="00D0280F" w:rsidP="00D028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B5EB5" w14:textId="77777777" w:rsidR="00252BA5" w:rsidRDefault="00252BA5">
      <w:pPr>
        <w:spacing w:after="0" w:line="240" w:lineRule="auto"/>
      </w:pPr>
      <w:r>
        <w:separator/>
      </w:r>
    </w:p>
  </w:footnote>
  <w:footnote w:type="continuationSeparator" w:id="0">
    <w:p w14:paraId="71BF84B3" w14:textId="77777777" w:rsidR="00252BA5" w:rsidRDefault="00252BA5">
      <w:pPr>
        <w:spacing w:after="0" w:line="240" w:lineRule="auto"/>
      </w:pPr>
      <w:r>
        <w:continuationSeparator/>
      </w:r>
    </w:p>
  </w:footnote>
  <w:footnote w:id="1">
    <w:p w14:paraId="6075B3E4" w14:textId="77777777" w:rsidR="00262E72" w:rsidRPr="00990C4A" w:rsidRDefault="00262E72" w:rsidP="00262E72">
      <w:pPr>
        <w:rPr>
          <w:rFonts w:ascii="Arial" w:eastAsia="Times New Roman" w:hAnsi="Arial" w:cs="Arial"/>
          <w:sz w:val="18"/>
          <w:szCs w:val="18"/>
          <w:lang w:val="en-US"/>
        </w:rPr>
      </w:pPr>
      <w:r w:rsidRPr="007E5407">
        <w:rPr>
          <w:rStyle w:val="FootnoteReference"/>
          <w:rFonts w:ascii="Arial" w:hAnsi="Arial" w:cs="Arial"/>
          <w:sz w:val="18"/>
          <w:szCs w:val="18"/>
        </w:rPr>
        <w:footnoteRef/>
      </w:r>
      <w:r w:rsidRPr="00990C4A">
        <w:rPr>
          <w:rFonts w:ascii="Arial" w:hAnsi="Arial" w:cs="Arial"/>
          <w:sz w:val="18"/>
          <w:szCs w:val="18"/>
          <w:lang w:val="en-US"/>
        </w:rPr>
        <w:t xml:space="preserve"> </w:t>
      </w:r>
      <w:r>
        <w:rPr>
          <w:rFonts w:ascii="Arial" w:hAnsi="Arial" w:cs="Arial"/>
          <w:sz w:val="18"/>
          <w:szCs w:val="18"/>
          <w:lang w:val="en-US"/>
        </w:rPr>
        <w:t xml:space="preserve">These results are unaudited and the </w:t>
      </w:r>
      <w:r w:rsidRPr="00990C4A">
        <w:rPr>
          <w:rFonts w:ascii="Arial" w:eastAsia="Times New Roman" w:hAnsi="Arial" w:cs="Arial"/>
          <w:sz w:val="18"/>
          <w:szCs w:val="18"/>
          <w:lang w:val="en-US"/>
        </w:rPr>
        <w:t>2016 results are exclu</w:t>
      </w:r>
      <w:r>
        <w:rPr>
          <w:rFonts w:ascii="Arial" w:eastAsia="Times New Roman" w:hAnsi="Arial" w:cs="Arial"/>
          <w:sz w:val="18"/>
          <w:szCs w:val="18"/>
          <w:lang w:val="en-US"/>
        </w:rPr>
        <w:t>ding</w:t>
      </w:r>
      <w:r w:rsidRPr="00990C4A">
        <w:rPr>
          <w:rFonts w:ascii="Arial" w:eastAsia="Times New Roman" w:hAnsi="Arial" w:cs="Arial"/>
          <w:sz w:val="18"/>
          <w:szCs w:val="18"/>
          <w:lang w:val="en-US"/>
        </w:rPr>
        <w:t xml:space="preserve"> the results of the entities contributed to the radio partnership with </w:t>
      </w:r>
      <w:r>
        <w:rPr>
          <w:rFonts w:ascii="Arial" w:eastAsia="Times New Roman" w:hAnsi="Arial" w:cs="Arial"/>
          <w:sz w:val="18"/>
          <w:szCs w:val="18"/>
          <w:lang w:val="en-US"/>
        </w:rPr>
        <w:t xml:space="preserve">Talpa </w:t>
      </w:r>
      <w:r w:rsidRPr="00990C4A">
        <w:rPr>
          <w:rFonts w:ascii="Arial" w:eastAsia="Times New Roman" w:hAnsi="Arial" w:cs="Arial"/>
          <w:sz w:val="18"/>
          <w:szCs w:val="18"/>
          <w:lang w:val="en-US"/>
        </w:rPr>
        <w:t>(Sky Radio and Radio Veronica).</w:t>
      </w:r>
    </w:p>
    <w:p w14:paraId="1E830FDE" w14:textId="77777777" w:rsidR="00262E72" w:rsidRPr="00990C4A" w:rsidRDefault="00262E72" w:rsidP="00262E72">
      <w:pPr>
        <w:pStyle w:val="FootnoteText"/>
        <w:rPr>
          <w:lang w:val="en-US"/>
        </w:rPr>
      </w:pPr>
    </w:p>
  </w:footnote>
  <w:footnote w:id="2">
    <w:p w14:paraId="2504698D" w14:textId="77777777" w:rsidR="00262E72" w:rsidRPr="00990C4A" w:rsidRDefault="00262E72" w:rsidP="00262E72">
      <w:pPr>
        <w:rPr>
          <w:rFonts w:ascii="Arial" w:eastAsia="Times New Roman" w:hAnsi="Arial" w:cs="Arial"/>
          <w:sz w:val="18"/>
          <w:szCs w:val="18"/>
          <w:lang w:val="en-US"/>
        </w:rPr>
      </w:pPr>
      <w:r w:rsidRPr="007E5407">
        <w:rPr>
          <w:rStyle w:val="FootnoteReference"/>
          <w:rFonts w:ascii="Arial" w:hAnsi="Arial" w:cs="Arial"/>
          <w:sz w:val="18"/>
          <w:szCs w:val="18"/>
        </w:rPr>
        <w:footnoteRef/>
      </w:r>
      <w:r w:rsidRPr="00990C4A">
        <w:rPr>
          <w:rFonts w:ascii="Arial" w:hAnsi="Arial" w:cs="Arial"/>
          <w:sz w:val="18"/>
          <w:szCs w:val="18"/>
          <w:lang w:val="en-US"/>
        </w:rPr>
        <w:t xml:space="preserve"> </w:t>
      </w:r>
      <w:r>
        <w:rPr>
          <w:rFonts w:ascii="Arial" w:hAnsi="Arial" w:cs="Arial"/>
          <w:sz w:val="18"/>
          <w:szCs w:val="18"/>
          <w:lang w:val="en-US"/>
        </w:rPr>
        <w:t>The executive function has been carried out by Mr. Nooitgedagt, Mrs. Brummelhuis and Mrs. Van den Belt.</w:t>
      </w:r>
    </w:p>
    <w:p w14:paraId="35521F03" w14:textId="77777777" w:rsidR="00262E72" w:rsidRPr="00990C4A" w:rsidRDefault="00262E72" w:rsidP="00262E72">
      <w:pPr>
        <w:pStyle w:val="FootnoteText"/>
        <w:rPr>
          <w:lang w:val="en-US"/>
        </w:rPr>
      </w:pPr>
    </w:p>
  </w:footnote>
  <w:footnote w:id="3">
    <w:p w14:paraId="2A7C994C" w14:textId="77777777" w:rsidR="00262E72" w:rsidRPr="00990C4A" w:rsidRDefault="00262E72" w:rsidP="00262E72">
      <w:pPr>
        <w:rPr>
          <w:rFonts w:ascii="Arial" w:eastAsia="Times New Roman" w:hAnsi="Arial" w:cs="Arial"/>
          <w:sz w:val="18"/>
          <w:szCs w:val="18"/>
          <w:lang w:val="en-US"/>
        </w:rPr>
      </w:pPr>
      <w:r w:rsidRPr="007E5407">
        <w:rPr>
          <w:rStyle w:val="FootnoteReference"/>
          <w:rFonts w:ascii="Arial" w:hAnsi="Arial" w:cs="Arial"/>
          <w:sz w:val="18"/>
          <w:szCs w:val="18"/>
        </w:rPr>
        <w:footnoteRef/>
      </w:r>
      <w:r w:rsidRPr="00990C4A">
        <w:rPr>
          <w:rFonts w:ascii="Arial" w:hAnsi="Arial" w:cs="Arial"/>
          <w:sz w:val="18"/>
          <w:szCs w:val="18"/>
          <w:lang w:val="en-US"/>
        </w:rPr>
        <w:t xml:space="preserve"> </w:t>
      </w:r>
      <w:r>
        <w:rPr>
          <w:rFonts w:ascii="Arial" w:hAnsi="Arial" w:cs="Arial"/>
          <w:sz w:val="18"/>
          <w:szCs w:val="18"/>
          <w:lang w:val="en-US"/>
        </w:rPr>
        <w:t>Mr. van Puijenbroek has, as member of the Supervisory Board, not participated in discussions and decision-making regarding the proposal from Mediahuis and VP Exploitatie</w:t>
      </w:r>
      <w:r w:rsidRPr="00990C4A">
        <w:rPr>
          <w:rFonts w:ascii="Arial" w:eastAsia="Times New Roman" w:hAnsi="Arial" w:cs="Arial"/>
          <w:sz w:val="18"/>
          <w:szCs w:val="18"/>
          <w:lang w:val="en-US"/>
        </w:rPr>
        <w:t>.</w:t>
      </w:r>
    </w:p>
    <w:p w14:paraId="0911BEF9" w14:textId="77777777" w:rsidR="00262E72" w:rsidRPr="00990C4A" w:rsidRDefault="00262E72" w:rsidP="00262E7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7F9E" w14:textId="77777777" w:rsidR="00D0280F" w:rsidRDefault="00D0280F">
    <w:pPr>
      <w:pStyle w:val="Header"/>
      <w:tabs>
        <w:tab w:val="clear" w:pos="9072"/>
        <w:tab w:val="right" w:pos="9046"/>
      </w:tabs>
    </w:pPr>
    <w:r>
      <w:rPr>
        <w:noProof/>
      </w:rPr>
      <w:drawing>
        <wp:inline distT="0" distB="0" distL="0" distR="0" wp14:anchorId="2CC4F892" wp14:editId="1B80BCDA">
          <wp:extent cx="2999105" cy="539750"/>
          <wp:effectExtent l="0" t="0" r="0" b="0"/>
          <wp:docPr id="1073741825" name="officeArt object" descr="LOGO-TMG-XL_cmyk_15mm hoog.jpg"/>
          <wp:cNvGraphicFramePr/>
          <a:graphic xmlns:a="http://schemas.openxmlformats.org/drawingml/2006/main">
            <a:graphicData uri="http://schemas.openxmlformats.org/drawingml/2006/picture">
              <pic:pic xmlns:pic="http://schemas.openxmlformats.org/drawingml/2006/picture">
                <pic:nvPicPr>
                  <pic:cNvPr id="1073741825" name="LOGO-TMG-XL_cmyk_15mm hoog.jpeg" descr="LOGO-TMG-XL_cmyk_15mm hoog.jpg"/>
                  <pic:cNvPicPr>
                    <a:picLocks noChangeAspect="1"/>
                  </pic:cNvPicPr>
                </pic:nvPicPr>
                <pic:blipFill>
                  <a:blip r:embed="rId1"/>
                  <a:stretch>
                    <a:fillRect/>
                  </a:stretch>
                </pic:blipFill>
                <pic:spPr>
                  <a:xfrm>
                    <a:off x="0" y="0"/>
                    <a:ext cx="2999105" cy="539750"/>
                  </a:xfrm>
                  <a:prstGeom prst="rect">
                    <a:avLst/>
                  </a:prstGeom>
                  <a:ln w="12700">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60E"/>
    <w:multiLevelType w:val="hybridMultilevel"/>
    <w:tmpl w:val="AF2CB044"/>
    <w:lvl w:ilvl="0" w:tplc="B5146DAE">
      <w:start w:val="1"/>
      <w:numFmt w:val="bullet"/>
      <w:lvlText w:val=""/>
      <w:lvlJc w:val="left"/>
      <w:pPr>
        <w:ind w:left="720" w:hanging="360"/>
      </w:pPr>
      <w:rPr>
        <w:rFonts w:ascii="Symbol" w:hAnsi="Symbol" w:hint="default"/>
      </w:rPr>
    </w:lvl>
    <w:lvl w:ilvl="1" w:tplc="365E1FAE" w:tentative="1">
      <w:start w:val="1"/>
      <w:numFmt w:val="bullet"/>
      <w:lvlText w:val="o"/>
      <w:lvlJc w:val="left"/>
      <w:pPr>
        <w:ind w:left="1440" w:hanging="360"/>
      </w:pPr>
      <w:rPr>
        <w:rFonts w:ascii="Courier New" w:hAnsi="Courier New" w:cs="Courier New" w:hint="default"/>
      </w:rPr>
    </w:lvl>
    <w:lvl w:ilvl="2" w:tplc="D3724380" w:tentative="1">
      <w:start w:val="1"/>
      <w:numFmt w:val="bullet"/>
      <w:lvlText w:val=""/>
      <w:lvlJc w:val="left"/>
      <w:pPr>
        <w:ind w:left="2160" w:hanging="360"/>
      </w:pPr>
      <w:rPr>
        <w:rFonts w:ascii="Wingdings" w:hAnsi="Wingdings" w:hint="default"/>
      </w:rPr>
    </w:lvl>
    <w:lvl w:ilvl="3" w:tplc="FD16D272" w:tentative="1">
      <w:start w:val="1"/>
      <w:numFmt w:val="bullet"/>
      <w:lvlText w:val=""/>
      <w:lvlJc w:val="left"/>
      <w:pPr>
        <w:ind w:left="2880" w:hanging="360"/>
      </w:pPr>
      <w:rPr>
        <w:rFonts w:ascii="Symbol" w:hAnsi="Symbol" w:hint="default"/>
      </w:rPr>
    </w:lvl>
    <w:lvl w:ilvl="4" w:tplc="E1DA0444" w:tentative="1">
      <w:start w:val="1"/>
      <w:numFmt w:val="bullet"/>
      <w:lvlText w:val="o"/>
      <w:lvlJc w:val="left"/>
      <w:pPr>
        <w:ind w:left="3600" w:hanging="360"/>
      </w:pPr>
      <w:rPr>
        <w:rFonts w:ascii="Courier New" w:hAnsi="Courier New" w:cs="Courier New" w:hint="default"/>
      </w:rPr>
    </w:lvl>
    <w:lvl w:ilvl="5" w:tplc="E3E8FEBE" w:tentative="1">
      <w:start w:val="1"/>
      <w:numFmt w:val="bullet"/>
      <w:lvlText w:val=""/>
      <w:lvlJc w:val="left"/>
      <w:pPr>
        <w:ind w:left="4320" w:hanging="360"/>
      </w:pPr>
      <w:rPr>
        <w:rFonts w:ascii="Wingdings" w:hAnsi="Wingdings" w:hint="default"/>
      </w:rPr>
    </w:lvl>
    <w:lvl w:ilvl="6" w:tplc="739243BC" w:tentative="1">
      <w:start w:val="1"/>
      <w:numFmt w:val="bullet"/>
      <w:lvlText w:val=""/>
      <w:lvlJc w:val="left"/>
      <w:pPr>
        <w:ind w:left="5040" w:hanging="360"/>
      </w:pPr>
      <w:rPr>
        <w:rFonts w:ascii="Symbol" w:hAnsi="Symbol" w:hint="default"/>
      </w:rPr>
    </w:lvl>
    <w:lvl w:ilvl="7" w:tplc="D3C0E9F4" w:tentative="1">
      <w:start w:val="1"/>
      <w:numFmt w:val="bullet"/>
      <w:lvlText w:val="o"/>
      <w:lvlJc w:val="left"/>
      <w:pPr>
        <w:ind w:left="5760" w:hanging="360"/>
      </w:pPr>
      <w:rPr>
        <w:rFonts w:ascii="Courier New" w:hAnsi="Courier New" w:cs="Courier New" w:hint="default"/>
      </w:rPr>
    </w:lvl>
    <w:lvl w:ilvl="8" w:tplc="E6F4A5E2" w:tentative="1">
      <w:start w:val="1"/>
      <w:numFmt w:val="bullet"/>
      <w:lvlText w:val=""/>
      <w:lvlJc w:val="left"/>
      <w:pPr>
        <w:ind w:left="6480" w:hanging="360"/>
      </w:pPr>
      <w:rPr>
        <w:rFonts w:ascii="Wingdings" w:hAnsi="Wingdings" w:hint="default"/>
      </w:rPr>
    </w:lvl>
  </w:abstractNum>
  <w:abstractNum w:abstractNumId="1" w15:restartNumberingAfterBreak="0">
    <w:nsid w:val="355A7C26"/>
    <w:multiLevelType w:val="hybridMultilevel"/>
    <w:tmpl w:val="DC08CD60"/>
    <w:lvl w:ilvl="0" w:tplc="BBAE8CB8">
      <w:numFmt w:val="bullet"/>
      <w:lvlText w:val="-"/>
      <w:lvlJc w:val="left"/>
      <w:pPr>
        <w:ind w:left="720" w:hanging="360"/>
      </w:pPr>
      <w:rPr>
        <w:rFonts w:ascii="Arial" w:eastAsia="Calibri" w:hAnsi="Arial" w:cs="Arial" w:hint="default"/>
      </w:rPr>
    </w:lvl>
    <w:lvl w:ilvl="1" w:tplc="10527008" w:tentative="1">
      <w:start w:val="1"/>
      <w:numFmt w:val="bullet"/>
      <w:lvlText w:val="o"/>
      <w:lvlJc w:val="left"/>
      <w:pPr>
        <w:ind w:left="1440" w:hanging="360"/>
      </w:pPr>
      <w:rPr>
        <w:rFonts w:ascii="Courier New" w:hAnsi="Courier New" w:cs="Courier New" w:hint="default"/>
      </w:rPr>
    </w:lvl>
    <w:lvl w:ilvl="2" w:tplc="572823A4" w:tentative="1">
      <w:start w:val="1"/>
      <w:numFmt w:val="bullet"/>
      <w:lvlText w:val=""/>
      <w:lvlJc w:val="left"/>
      <w:pPr>
        <w:ind w:left="2160" w:hanging="360"/>
      </w:pPr>
      <w:rPr>
        <w:rFonts w:ascii="Wingdings" w:hAnsi="Wingdings" w:hint="default"/>
      </w:rPr>
    </w:lvl>
    <w:lvl w:ilvl="3" w:tplc="8E8297CE" w:tentative="1">
      <w:start w:val="1"/>
      <w:numFmt w:val="bullet"/>
      <w:lvlText w:val=""/>
      <w:lvlJc w:val="left"/>
      <w:pPr>
        <w:ind w:left="2880" w:hanging="360"/>
      </w:pPr>
      <w:rPr>
        <w:rFonts w:ascii="Symbol" w:hAnsi="Symbol" w:hint="default"/>
      </w:rPr>
    </w:lvl>
    <w:lvl w:ilvl="4" w:tplc="52F4DFF4" w:tentative="1">
      <w:start w:val="1"/>
      <w:numFmt w:val="bullet"/>
      <w:lvlText w:val="o"/>
      <w:lvlJc w:val="left"/>
      <w:pPr>
        <w:ind w:left="3600" w:hanging="360"/>
      </w:pPr>
      <w:rPr>
        <w:rFonts w:ascii="Courier New" w:hAnsi="Courier New" w:cs="Courier New" w:hint="default"/>
      </w:rPr>
    </w:lvl>
    <w:lvl w:ilvl="5" w:tplc="55143BB8" w:tentative="1">
      <w:start w:val="1"/>
      <w:numFmt w:val="bullet"/>
      <w:lvlText w:val=""/>
      <w:lvlJc w:val="left"/>
      <w:pPr>
        <w:ind w:left="4320" w:hanging="360"/>
      </w:pPr>
      <w:rPr>
        <w:rFonts w:ascii="Wingdings" w:hAnsi="Wingdings" w:hint="default"/>
      </w:rPr>
    </w:lvl>
    <w:lvl w:ilvl="6" w:tplc="69880A48" w:tentative="1">
      <w:start w:val="1"/>
      <w:numFmt w:val="bullet"/>
      <w:lvlText w:val=""/>
      <w:lvlJc w:val="left"/>
      <w:pPr>
        <w:ind w:left="5040" w:hanging="360"/>
      </w:pPr>
      <w:rPr>
        <w:rFonts w:ascii="Symbol" w:hAnsi="Symbol" w:hint="default"/>
      </w:rPr>
    </w:lvl>
    <w:lvl w:ilvl="7" w:tplc="A99EB4F6" w:tentative="1">
      <w:start w:val="1"/>
      <w:numFmt w:val="bullet"/>
      <w:lvlText w:val="o"/>
      <w:lvlJc w:val="left"/>
      <w:pPr>
        <w:ind w:left="5760" w:hanging="360"/>
      </w:pPr>
      <w:rPr>
        <w:rFonts w:ascii="Courier New" w:hAnsi="Courier New" w:cs="Courier New" w:hint="default"/>
      </w:rPr>
    </w:lvl>
    <w:lvl w:ilvl="8" w:tplc="D07A8A82" w:tentative="1">
      <w:start w:val="1"/>
      <w:numFmt w:val="bullet"/>
      <w:lvlText w:val=""/>
      <w:lvlJc w:val="left"/>
      <w:pPr>
        <w:ind w:left="648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4CFA6A63"/>
    <w:multiLevelType w:val="hybridMultilevel"/>
    <w:tmpl w:val="A78EA5A4"/>
    <w:lvl w:ilvl="0" w:tplc="82268D9A">
      <w:start w:val="1"/>
      <w:numFmt w:val="bullet"/>
      <w:lvlText w:val=""/>
      <w:lvlJc w:val="left"/>
      <w:pPr>
        <w:ind w:left="720" w:hanging="360"/>
      </w:pPr>
      <w:rPr>
        <w:rFonts w:ascii="Symbol" w:hAnsi="Symbol" w:hint="default"/>
      </w:rPr>
    </w:lvl>
    <w:lvl w:ilvl="1" w:tplc="F152767E" w:tentative="1">
      <w:start w:val="1"/>
      <w:numFmt w:val="bullet"/>
      <w:lvlText w:val="o"/>
      <w:lvlJc w:val="left"/>
      <w:pPr>
        <w:ind w:left="1440" w:hanging="360"/>
      </w:pPr>
      <w:rPr>
        <w:rFonts w:ascii="Courier New" w:hAnsi="Courier New" w:cs="Courier New" w:hint="default"/>
      </w:rPr>
    </w:lvl>
    <w:lvl w:ilvl="2" w:tplc="47747FEE" w:tentative="1">
      <w:start w:val="1"/>
      <w:numFmt w:val="bullet"/>
      <w:lvlText w:val=""/>
      <w:lvlJc w:val="left"/>
      <w:pPr>
        <w:ind w:left="2160" w:hanging="360"/>
      </w:pPr>
      <w:rPr>
        <w:rFonts w:ascii="Wingdings" w:hAnsi="Wingdings" w:hint="default"/>
      </w:rPr>
    </w:lvl>
    <w:lvl w:ilvl="3" w:tplc="59D22558">
      <w:start w:val="1"/>
      <w:numFmt w:val="bullet"/>
      <w:lvlText w:val=""/>
      <w:lvlJc w:val="left"/>
      <w:pPr>
        <w:ind w:left="2880" w:hanging="360"/>
      </w:pPr>
      <w:rPr>
        <w:rFonts w:ascii="Symbol" w:hAnsi="Symbol" w:hint="default"/>
      </w:rPr>
    </w:lvl>
    <w:lvl w:ilvl="4" w:tplc="1AF201E8" w:tentative="1">
      <w:start w:val="1"/>
      <w:numFmt w:val="bullet"/>
      <w:lvlText w:val="o"/>
      <w:lvlJc w:val="left"/>
      <w:pPr>
        <w:ind w:left="3600" w:hanging="360"/>
      </w:pPr>
      <w:rPr>
        <w:rFonts w:ascii="Courier New" w:hAnsi="Courier New" w:cs="Courier New" w:hint="default"/>
      </w:rPr>
    </w:lvl>
    <w:lvl w:ilvl="5" w:tplc="64A81338" w:tentative="1">
      <w:start w:val="1"/>
      <w:numFmt w:val="bullet"/>
      <w:lvlText w:val=""/>
      <w:lvlJc w:val="left"/>
      <w:pPr>
        <w:ind w:left="4320" w:hanging="360"/>
      </w:pPr>
      <w:rPr>
        <w:rFonts w:ascii="Wingdings" w:hAnsi="Wingdings" w:hint="default"/>
      </w:rPr>
    </w:lvl>
    <w:lvl w:ilvl="6" w:tplc="9A66A424" w:tentative="1">
      <w:start w:val="1"/>
      <w:numFmt w:val="bullet"/>
      <w:lvlText w:val=""/>
      <w:lvlJc w:val="left"/>
      <w:pPr>
        <w:ind w:left="5040" w:hanging="360"/>
      </w:pPr>
      <w:rPr>
        <w:rFonts w:ascii="Symbol" w:hAnsi="Symbol" w:hint="default"/>
      </w:rPr>
    </w:lvl>
    <w:lvl w:ilvl="7" w:tplc="78025976" w:tentative="1">
      <w:start w:val="1"/>
      <w:numFmt w:val="bullet"/>
      <w:lvlText w:val="o"/>
      <w:lvlJc w:val="left"/>
      <w:pPr>
        <w:ind w:left="5760" w:hanging="360"/>
      </w:pPr>
      <w:rPr>
        <w:rFonts w:ascii="Courier New" w:hAnsi="Courier New" w:cs="Courier New" w:hint="default"/>
      </w:rPr>
    </w:lvl>
    <w:lvl w:ilvl="8" w:tplc="680AA5C6" w:tentative="1">
      <w:start w:val="1"/>
      <w:numFmt w:val="bullet"/>
      <w:lvlText w:val=""/>
      <w:lvlJc w:val="left"/>
      <w:pPr>
        <w:ind w:left="6480" w:hanging="360"/>
      </w:pPr>
      <w:rPr>
        <w:rFonts w:ascii="Wingdings" w:hAnsi="Wingdings" w:hint="default"/>
      </w:rPr>
    </w:lvl>
  </w:abstractNum>
  <w:abstractNum w:abstractNumId="4" w15:restartNumberingAfterBreak="0">
    <w:nsid w:val="52AB3B9F"/>
    <w:multiLevelType w:val="hybridMultilevel"/>
    <w:tmpl w:val="F29A8356"/>
    <w:lvl w:ilvl="0" w:tplc="53C29D3C">
      <w:start w:val="1"/>
      <w:numFmt w:val="bullet"/>
      <w:lvlText w:val=""/>
      <w:lvlJc w:val="left"/>
      <w:pPr>
        <w:ind w:left="773" w:hanging="360"/>
      </w:pPr>
      <w:rPr>
        <w:rFonts w:ascii="Symbol" w:hAnsi="Symbol" w:hint="default"/>
      </w:rPr>
    </w:lvl>
    <w:lvl w:ilvl="1" w:tplc="9EACBE64" w:tentative="1">
      <w:start w:val="1"/>
      <w:numFmt w:val="bullet"/>
      <w:lvlText w:val="o"/>
      <w:lvlJc w:val="left"/>
      <w:pPr>
        <w:ind w:left="1493" w:hanging="360"/>
      </w:pPr>
      <w:rPr>
        <w:rFonts w:ascii="Courier New" w:hAnsi="Courier New" w:cs="Courier New" w:hint="default"/>
      </w:rPr>
    </w:lvl>
    <w:lvl w:ilvl="2" w:tplc="78F60A9C" w:tentative="1">
      <w:start w:val="1"/>
      <w:numFmt w:val="bullet"/>
      <w:lvlText w:val=""/>
      <w:lvlJc w:val="left"/>
      <w:pPr>
        <w:ind w:left="2213" w:hanging="360"/>
      </w:pPr>
      <w:rPr>
        <w:rFonts w:ascii="Wingdings" w:hAnsi="Wingdings" w:hint="default"/>
      </w:rPr>
    </w:lvl>
    <w:lvl w:ilvl="3" w:tplc="68D09216" w:tentative="1">
      <w:start w:val="1"/>
      <w:numFmt w:val="bullet"/>
      <w:lvlText w:val=""/>
      <w:lvlJc w:val="left"/>
      <w:pPr>
        <w:ind w:left="2933" w:hanging="360"/>
      </w:pPr>
      <w:rPr>
        <w:rFonts w:ascii="Symbol" w:hAnsi="Symbol" w:hint="default"/>
      </w:rPr>
    </w:lvl>
    <w:lvl w:ilvl="4" w:tplc="C5224CDE" w:tentative="1">
      <w:start w:val="1"/>
      <w:numFmt w:val="bullet"/>
      <w:lvlText w:val="o"/>
      <w:lvlJc w:val="left"/>
      <w:pPr>
        <w:ind w:left="3653" w:hanging="360"/>
      </w:pPr>
      <w:rPr>
        <w:rFonts w:ascii="Courier New" w:hAnsi="Courier New" w:cs="Courier New" w:hint="default"/>
      </w:rPr>
    </w:lvl>
    <w:lvl w:ilvl="5" w:tplc="66204A40" w:tentative="1">
      <w:start w:val="1"/>
      <w:numFmt w:val="bullet"/>
      <w:lvlText w:val=""/>
      <w:lvlJc w:val="left"/>
      <w:pPr>
        <w:ind w:left="4373" w:hanging="360"/>
      </w:pPr>
      <w:rPr>
        <w:rFonts w:ascii="Wingdings" w:hAnsi="Wingdings" w:hint="default"/>
      </w:rPr>
    </w:lvl>
    <w:lvl w:ilvl="6" w:tplc="C70C926A" w:tentative="1">
      <w:start w:val="1"/>
      <w:numFmt w:val="bullet"/>
      <w:lvlText w:val=""/>
      <w:lvlJc w:val="left"/>
      <w:pPr>
        <w:ind w:left="5093" w:hanging="360"/>
      </w:pPr>
      <w:rPr>
        <w:rFonts w:ascii="Symbol" w:hAnsi="Symbol" w:hint="default"/>
      </w:rPr>
    </w:lvl>
    <w:lvl w:ilvl="7" w:tplc="6EC63910" w:tentative="1">
      <w:start w:val="1"/>
      <w:numFmt w:val="bullet"/>
      <w:lvlText w:val="o"/>
      <w:lvlJc w:val="left"/>
      <w:pPr>
        <w:ind w:left="5813" w:hanging="360"/>
      </w:pPr>
      <w:rPr>
        <w:rFonts w:ascii="Courier New" w:hAnsi="Courier New" w:cs="Courier New" w:hint="default"/>
      </w:rPr>
    </w:lvl>
    <w:lvl w:ilvl="8" w:tplc="69FA19D2" w:tentative="1">
      <w:start w:val="1"/>
      <w:numFmt w:val="bullet"/>
      <w:lvlText w:val=""/>
      <w:lvlJc w:val="left"/>
      <w:pPr>
        <w:ind w:left="6533" w:hanging="360"/>
      </w:pPr>
      <w:rPr>
        <w:rFonts w:ascii="Wingdings" w:hAnsi="Wingdings" w:hint="default"/>
      </w:rPr>
    </w:lvl>
  </w:abstractNum>
  <w:abstractNum w:abstractNumId="5" w15:restartNumberingAfterBreak="0">
    <w:nsid w:val="65E95FA3"/>
    <w:multiLevelType w:val="hybridMultilevel"/>
    <w:tmpl w:val="459A983E"/>
    <w:lvl w:ilvl="0" w:tplc="A428012C">
      <w:numFmt w:val="bullet"/>
      <w:lvlText w:val="-"/>
      <w:lvlJc w:val="left"/>
      <w:pPr>
        <w:ind w:left="720" w:hanging="360"/>
      </w:pPr>
      <w:rPr>
        <w:rFonts w:ascii="Arial" w:eastAsia="Times New Roman" w:hAnsi="Arial" w:cs="Arial" w:hint="default"/>
      </w:rPr>
    </w:lvl>
    <w:lvl w:ilvl="1" w:tplc="7204A232" w:tentative="1">
      <w:start w:val="1"/>
      <w:numFmt w:val="bullet"/>
      <w:lvlText w:val="o"/>
      <w:lvlJc w:val="left"/>
      <w:pPr>
        <w:ind w:left="1440" w:hanging="360"/>
      </w:pPr>
      <w:rPr>
        <w:rFonts w:ascii="Courier New" w:hAnsi="Courier New" w:cs="Courier New" w:hint="default"/>
      </w:rPr>
    </w:lvl>
    <w:lvl w:ilvl="2" w:tplc="FD4CE6B6" w:tentative="1">
      <w:start w:val="1"/>
      <w:numFmt w:val="bullet"/>
      <w:lvlText w:val=""/>
      <w:lvlJc w:val="left"/>
      <w:pPr>
        <w:ind w:left="2160" w:hanging="360"/>
      </w:pPr>
      <w:rPr>
        <w:rFonts w:ascii="Wingdings" w:hAnsi="Wingdings" w:hint="default"/>
      </w:rPr>
    </w:lvl>
    <w:lvl w:ilvl="3" w:tplc="883E4B70" w:tentative="1">
      <w:start w:val="1"/>
      <w:numFmt w:val="bullet"/>
      <w:lvlText w:val=""/>
      <w:lvlJc w:val="left"/>
      <w:pPr>
        <w:ind w:left="2880" w:hanging="360"/>
      </w:pPr>
      <w:rPr>
        <w:rFonts w:ascii="Symbol" w:hAnsi="Symbol" w:hint="default"/>
      </w:rPr>
    </w:lvl>
    <w:lvl w:ilvl="4" w:tplc="92EC156E" w:tentative="1">
      <w:start w:val="1"/>
      <w:numFmt w:val="bullet"/>
      <w:lvlText w:val="o"/>
      <w:lvlJc w:val="left"/>
      <w:pPr>
        <w:ind w:left="3600" w:hanging="360"/>
      </w:pPr>
      <w:rPr>
        <w:rFonts w:ascii="Courier New" w:hAnsi="Courier New" w:cs="Courier New" w:hint="default"/>
      </w:rPr>
    </w:lvl>
    <w:lvl w:ilvl="5" w:tplc="8320E514" w:tentative="1">
      <w:start w:val="1"/>
      <w:numFmt w:val="bullet"/>
      <w:lvlText w:val=""/>
      <w:lvlJc w:val="left"/>
      <w:pPr>
        <w:ind w:left="4320" w:hanging="360"/>
      </w:pPr>
      <w:rPr>
        <w:rFonts w:ascii="Wingdings" w:hAnsi="Wingdings" w:hint="default"/>
      </w:rPr>
    </w:lvl>
    <w:lvl w:ilvl="6" w:tplc="C2328618" w:tentative="1">
      <w:start w:val="1"/>
      <w:numFmt w:val="bullet"/>
      <w:lvlText w:val=""/>
      <w:lvlJc w:val="left"/>
      <w:pPr>
        <w:ind w:left="5040" w:hanging="360"/>
      </w:pPr>
      <w:rPr>
        <w:rFonts w:ascii="Symbol" w:hAnsi="Symbol" w:hint="default"/>
      </w:rPr>
    </w:lvl>
    <w:lvl w:ilvl="7" w:tplc="AFB08F00" w:tentative="1">
      <w:start w:val="1"/>
      <w:numFmt w:val="bullet"/>
      <w:lvlText w:val="o"/>
      <w:lvlJc w:val="left"/>
      <w:pPr>
        <w:ind w:left="5760" w:hanging="360"/>
      </w:pPr>
      <w:rPr>
        <w:rFonts w:ascii="Courier New" w:hAnsi="Courier New" w:cs="Courier New" w:hint="default"/>
      </w:rPr>
    </w:lvl>
    <w:lvl w:ilvl="8" w:tplc="9B4C4EAC" w:tentative="1">
      <w:start w:val="1"/>
      <w:numFmt w:val="bullet"/>
      <w:lvlText w:val=""/>
      <w:lvlJc w:val="left"/>
      <w:pPr>
        <w:ind w:left="6480" w:hanging="360"/>
      </w:pPr>
      <w:rPr>
        <w:rFonts w:ascii="Wingdings" w:hAnsi="Wingdings" w:hint="default"/>
      </w:rPr>
    </w:lvl>
  </w:abstractNum>
  <w:abstractNum w:abstractNumId="6" w15:restartNumberingAfterBreak="0">
    <w:nsid w:val="70FB1265"/>
    <w:multiLevelType w:val="hybridMultilevel"/>
    <w:tmpl w:val="C63A3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3A"/>
    <w:rsid w:val="00024D72"/>
    <w:rsid w:val="0007335F"/>
    <w:rsid w:val="00081993"/>
    <w:rsid w:val="000B10D8"/>
    <w:rsid w:val="000E7766"/>
    <w:rsid w:val="000F17F8"/>
    <w:rsid w:val="000F7E76"/>
    <w:rsid w:val="00135631"/>
    <w:rsid w:val="001463FB"/>
    <w:rsid w:val="001B7471"/>
    <w:rsid w:val="001C76A8"/>
    <w:rsid w:val="001C7B18"/>
    <w:rsid w:val="002205BE"/>
    <w:rsid w:val="00252BA5"/>
    <w:rsid w:val="00262E72"/>
    <w:rsid w:val="00273966"/>
    <w:rsid w:val="002A6D27"/>
    <w:rsid w:val="002E7722"/>
    <w:rsid w:val="00347B50"/>
    <w:rsid w:val="00375E8C"/>
    <w:rsid w:val="00387444"/>
    <w:rsid w:val="0041459F"/>
    <w:rsid w:val="00452218"/>
    <w:rsid w:val="00460AD0"/>
    <w:rsid w:val="004667D8"/>
    <w:rsid w:val="004823FD"/>
    <w:rsid w:val="00483BAB"/>
    <w:rsid w:val="004B2758"/>
    <w:rsid w:val="004B5AC5"/>
    <w:rsid w:val="004C4AA0"/>
    <w:rsid w:val="00502F2C"/>
    <w:rsid w:val="00522144"/>
    <w:rsid w:val="00591677"/>
    <w:rsid w:val="005D2CAF"/>
    <w:rsid w:val="005F3A8D"/>
    <w:rsid w:val="00684913"/>
    <w:rsid w:val="006A1B31"/>
    <w:rsid w:val="006A1ED4"/>
    <w:rsid w:val="006B0A21"/>
    <w:rsid w:val="006B61C5"/>
    <w:rsid w:val="006B72EC"/>
    <w:rsid w:val="006D66CE"/>
    <w:rsid w:val="006E0819"/>
    <w:rsid w:val="006F0D7A"/>
    <w:rsid w:val="006F5CFC"/>
    <w:rsid w:val="00805BCE"/>
    <w:rsid w:val="00836236"/>
    <w:rsid w:val="00857C9C"/>
    <w:rsid w:val="008627DD"/>
    <w:rsid w:val="008F0C46"/>
    <w:rsid w:val="009874E8"/>
    <w:rsid w:val="009A64E3"/>
    <w:rsid w:val="009D573C"/>
    <w:rsid w:val="00A11903"/>
    <w:rsid w:val="00A2163A"/>
    <w:rsid w:val="00A85613"/>
    <w:rsid w:val="00A91349"/>
    <w:rsid w:val="00AB5C30"/>
    <w:rsid w:val="00AD0743"/>
    <w:rsid w:val="00AD2B0A"/>
    <w:rsid w:val="00B54FF7"/>
    <w:rsid w:val="00BA3D97"/>
    <w:rsid w:val="00BC55FC"/>
    <w:rsid w:val="00D0280F"/>
    <w:rsid w:val="00D13BFA"/>
    <w:rsid w:val="00D169FA"/>
    <w:rsid w:val="00D658D8"/>
    <w:rsid w:val="00D7297A"/>
    <w:rsid w:val="00DA615B"/>
    <w:rsid w:val="00DC070F"/>
    <w:rsid w:val="00E048DD"/>
    <w:rsid w:val="00E07FD3"/>
    <w:rsid w:val="00E11AFF"/>
    <w:rsid w:val="00E17D0C"/>
    <w:rsid w:val="00E650C6"/>
    <w:rsid w:val="00F92421"/>
    <w:rsid w:val="00FC2180"/>
    <w:rsid w:val="00FD18DE"/>
    <w:rsid w:val="00FE3E28"/>
    <w:rsid w:val="00FF5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0AE"/>
  <w15:docId w15:val="{8F7F0FE8-8EBB-48AE-9948-0DF89C9A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5441"/>
    <w:pPr>
      <w:spacing w:after="200" w:line="276" w:lineRule="auto"/>
    </w:pPr>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5441"/>
    <w:rPr>
      <w:u w:val="single"/>
    </w:rPr>
  </w:style>
  <w:style w:type="table" w:customStyle="1" w:styleId="TableNormal1">
    <w:name w:val="Table Normal1"/>
    <w:rsid w:val="00A25441"/>
    <w:tblPr>
      <w:tblInd w:w="0" w:type="dxa"/>
      <w:tblCellMar>
        <w:top w:w="0" w:type="dxa"/>
        <w:left w:w="0" w:type="dxa"/>
        <w:bottom w:w="0" w:type="dxa"/>
        <w:right w:w="0" w:type="dxa"/>
      </w:tblCellMar>
    </w:tblPr>
  </w:style>
  <w:style w:type="paragraph" w:styleId="Header">
    <w:name w:val="header"/>
    <w:rsid w:val="00A25441"/>
    <w:pPr>
      <w:tabs>
        <w:tab w:val="center" w:pos="4536"/>
        <w:tab w:val="right" w:pos="9072"/>
      </w:tabs>
      <w:spacing w:after="200" w:line="276" w:lineRule="auto"/>
    </w:pPr>
    <w:rPr>
      <w:rFonts w:ascii="Calibri" w:eastAsia="Calibri" w:hAnsi="Calibri" w:cs="Calibri"/>
      <w:color w:val="000000"/>
      <w:sz w:val="24"/>
      <w:szCs w:val="24"/>
      <w:u w:color="000000"/>
    </w:rPr>
  </w:style>
  <w:style w:type="paragraph" w:customStyle="1" w:styleId="Kop-envoettekst">
    <w:name w:val="Kop- en voettekst"/>
    <w:rsid w:val="00A25441"/>
    <w:pPr>
      <w:tabs>
        <w:tab w:val="right" w:pos="9020"/>
      </w:tabs>
    </w:pPr>
    <w:rPr>
      <w:rFonts w:ascii="Helvetica" w:hAnsi="Helvetica" w:cs="Arial Unicode MS"/>
      <w:color w:val="000000"/>
      <w:sz w:val="24"/>
      <w:szCs w:val="24"/>
    </w:rPr>
  </w:style>
  <w:style w:type="paragraph" w:styleId="NoSpacing">
    <w:name w:val="No Spacing"/>
    <w:uiPriority w:val="1"/>
    <w:qFormat/>
    <w:rsid w:val="00A25441"/>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CE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9"/>
    <w:rPr>
      <w:rFonts w:ascii="Tahoma" w:eastAsia="Calibri" w:hAnsi="Tahoma" w:cs="Tahoma"/>
      <w:color w:val="000000"/>
      <w:sz w:val="16"/>
      <w:szCs w:val="16"/>
      <w:u w:color="000000"/>
    </w:rPr>
  </w:style>
  <w:style w:type="character" w:styleId="Emphasis">
    <w:name w:val="Emphasis"/>
    <w:uiPriority w:val="20"/>
    <w:qFormat/>
    <w:rsid w:val="00FB337A"/>
    <w:rPr>
      <w:i/>
      <w:iCs/>
    </w:rPr>
  </w:style>
  <w:style w:type="character" w:styleId="CommentReference">
    <w:name w:val="annotation reference"/>
    <w:basedOn w:val="DefaultParagraphFont"/>
    <w:uiPriority w:val="99"/>
    <w:semiHidden/>
    <w:unhideWhenUsed/>
    <w:rsid w:val="003B54E6"/>
    <w:rPr>
      <w:sz w:val="18"/>
      <w:szCs w:val="18"/>
    </w:rPr>
  </w:style>
  <w:style w:type="paragraph" w:styleId="CommentText">
    <w:name w:val="annotation text"/>
    <w:basedOn w:val="Normal"/>
    <w:link w:val="CommentTextChar"/>
    <w:uiPriority w:val="99"/>
    <w:semiHidden/>
    <w:unhideWhenUsed/>
    <w:rsid w:val="003B54E6"/>
    <w:pPr>
      <w:spacing w:line="240" w:lineRule="auto"/>
    </w:pPr>
  </w:style>
  <w:style w:type="character" w:customStyle="1" w:styleId="CommentTextChar">
    <w:name w:val="Comment Text Char"/>
    <w:basedOn w:val="DefaultParagraphFont"/>
    <w:link w:val="CommentText"/>
    <w:uiPriority w:val="99"/>
    <w:semiHidden/>
    <w:rsid w:val="003B54E6"/>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3B54E6"/>
    <w:rPr>
      <w:b/>
      <w:bCs/>
      <w:sz w:val="20"/>
      <w:szCs w:val="20"/>
    </w:rPr>
  </w:style>
  <w:style w:type="character" w:customStyle="1" w:styleId="CommentSubjectChar">
    <w:name w:val="Comment Subject Char"/>
    <w:basedOn w:val="CommentTextChar"/>
    <w:link w:val="CommentSubject"/>
    <w:uiPriority w:val="99"/>
    <w:semiHidden/>
    <w:rsid w:val="003B54E6"/>
    <w:rPr>
      <w:rFonts w:ascii="Calibri" w:eastAsia="Calibri" w:hAnsi="Calibri" w:cs="Calibri"/>
      <w:b/>
      <w:bCs/>
      <w:color w:val="000000"/>
      <w:sz w:val="24"/>
      <w:szCs w:val="24"/>
      <w:u w:color="000000"/>
    </w:rPr>
  </w:style>
  <w:style w:type="character" w:styleId="FollowedHyperlink">
    <w:name w:val="FollowedHyperlink"/>
    <w:basedOn w:val="DefaultParagraphFont"/>
    <w:uiPriority w:val="99"/>
    <w:semiHidden/>
    <w:unhideWhenUsed/>
    <w:rsid w:val="00D21461"/>
    <w:rPr>
      <w:color w:val="FF00FF" w:themeColor="followedHyperlink"/>
      <w:u w:val="single"/>
    </w:rPr>
  </w:style>
  <w:style w:type="character" w:customStyle="1" w:styleId="apple-converted-space">
    <w:name w:val="apple-converted-space"/>
    <w:basedOn w:val="DefaultParagraphFont"/>
    <w:rsid w:val="003164AA"/>
  </w:style>
  <w:style w:type="paragraph" w:styleId="Footer">
    <w:name w:val="footer"/>
    <w:basedOn w:val="Normal"/>
    <w:link w:val="FooterChar"/>
    <w:uiPriority w:val="99"/>
    <w:unhideWhenUsed/>
    <w:rsid w:val="009F33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33A2"/>
    <w:rPr>
      <w:rFonts w:ascii="Calibri" w:eastAsia="Calibri" w:hAnsi="Calibri" w:cs="Calibri"/>
      <w:color w:val="000000"/>
      <w:sz w:val="24"/>
      <w:szCs w:val="24"/>
      <w:u w:color="000000"/>
    </w:rPr>
  </w:style>
  <w:style w:type="character" w:styleId="PageNumber">
    <w:name w:val="page number"/>
    <w:basedOn w:val="DefaultParagraphFont"/>
    <w:uiPriority w:val="99"/>
    <w:semiHidden/>
    <w:unhideWhenUsed/>
    <w:rsid w:val="009F33A2"/>
  </w:style>
  <w:style w:type="paragraph" w:styleId="ListParagraph">
    <w:name w:val="List Paragraph"/>
    <w:basedOn w:val="Normal"/>
    <w:uiPriority w:val="34"/>
    <w:qFormat/>
    <w:rsid w:val="007E45BF"/>
    <w:pPr>
      <w:ind w:left="720"/>
      <w:contextualSpacing/>
    </w:pPr>
  </w:style>
  <w:style w:type="paragraph" w:customStyle="1" w:styleId="AODocTxt">
    <w:name w:val="AODocTxt"/>
    <w:basedOn w:val="Normal"/>
    <w:rsid w:val="008F349E"/>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60" w:lineRule="atLeast"/>
      <w:jc w:val="both"/>
    </w:pPr>
    <w:rPr>
      <w:rFonts w:ascii="Times New Roman" w:eastAsia="SimSun" w:hAnsi="Times New Roman" w:cs="Times New Roman"/>
      <w:color w:val="auto"/>
      <w:sz w:val="22"/>
      <w:szCs w:val="22"/>
      <w:bdr w:val="none" w:sz="0" w:space="0" w:color="auto"/>
      <w:lang w:val="en-GB" w:eastAsia="en-US"/>
    </w:rPr>
  </w:style>
  <w:style w:type="paragraph" w:customStyle="1" w:styleId="AODocTxtL1">
    <w:name w:val="AODocTxtL1"/>
    <w:basedOn w:val="AODocTxt"/>
    <w:rsid w:val="008F349E"/>
    <w:pPr>
      <w:numPr>
        <w:ilvl w:val="1"/>
      </w:numPr>
    </w:pPr>
  </w:style>
  <w:style w:type="paragraph" w:customStyle="1" w:styleId="AODocTxtL2">
    <w:name w:val="AODocTxtL2"/>
    <w:basedOn w:val="AODocTxt"/>
    <w:rsid w:val="008F349E"/>
    <w:pPr>
      <w:numPr>
        <w:ilvl w:val="2"/>
      </w:numPr>
    </w:pPr>
  </w:style>
  <w:style w:type="paragraph" w:customStyle="1" w:styleId="AODocTxtL3">
    <w:name w:val="AODocTxtL3"/>
    <w:basedOn w:val="AODocTxt"/>
    <w:rsid w:val="008F349E"/>
    <w:pPr>
      <w:numPr>
        <w:ilvl w:val="3"/>
      </w:numPr>
    </w:pPr>
  </w:style>
  <w:style w:type="paragraph" w:customStyle="1" w:styleId="AODocTxtL4">
    <w:name w:val="AODocTxtL4"/>
    <w:basedOn w:val="AODocTxt"/>
    <w:rsid w:val="008F349E"/>
    <w:pPr>
      <w:numPr>
        <w:ilvl w:val="4"/>
      </w:numPr>
    </w:pPr>
  </w:style>
  <w:style w:type="paragraph" w:customStyle="1" w:styleId="AODocTxtL5">
    <w:name w:val="AODocTxtL5"/>
    <w:basedOn w:val="AODocTxt"/>
    <w:rsid w:val="008F349E"/>
    <w:pPr>
      <w:numPr>
        <w:ilvl w:val="5"/>
      </w:numPr>
    </w:pPr>
  </w:style>
  <w:style w:type="paragraph" w:customStyle="1" w:styleId="AODocTxtL6">
    <w:name w:val="AODocTxtL6"/>
    <w:basedOn w:val="AODocTxt"/>
    <w:rsid w:val="008F349E"/>
    <w:pPr>
      <w:numPr>
        <w:ilvl w:val="6"/>
      </w:numPr>
    </w:pPr>
  </w:style>
  <w:style w:type="paragraph" w:customStyle="1" w:styleId="AODocTxtL7">
    <w:name w:val="AODocTxtL7"/>
    <w:basedOn w:val="AODocTxt"/>
    <w:rsid w:val="008F349E"/>
    <w:pPr>
      <w:numPr>
        <w:ilvl w:val="7"/>
      </w:numPr>
    </w:pPr>
  </w:style>
  <w:style w:type="paragraph" w:customStyle="1" w:styleId="AODocTxtL8">
    <w:name w:val="AODocTxtL8"/>
    <w:basedOn w:val="AODocTxt"/>
    <w:rsid w:val="008F349E"/>
    <w:pPr>
      <w:numPr>
        <w:ilvl w:val="8"/>
      </w:numPr>
    </w:pPr>
  </w:style>
  <w:style w:type="paragraph" w:customStyle="1" w:styleId="AONormal">
    <w:name w:val="AONormal"/>
    <w:rsid w:val="00A73909"/>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heme="minorHAnsi"/>
      <w:sz w:val="22"/>
      <w:szCs w:val="22"/>
      <w:bdr w:val="none" w:sz="0" w:space="0" w:color="auto"/>
      <w:lang w:val="en-GB" w:eastAsia="en-US"/>
    </w:rPr>
  </w:style>
  <w:style w:type="paragraph" w:styleId="NormalWeb">
    <w:name w:val="Normal (Web)"/>
    <w:basedOn w:val="Normal"/>
    <w:uiPriority w:val="99"/>
    <w:unhideWhenUsed/>
    <w:rsid w:val="002C53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bdr w:val="none" w:sz="0" w:space="0" w:color="auto"/>
    </w:rPr>
  </w:style>
  <w:style w:type="paragraph" w:customStyle="1" w:styleId="s10">
    <w:name w:val="s10"/>
    <w:basedOn w:val="Normal"/>
    <w:rsid w:val="006D66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bdr w:val="none" w:sz="0" w:space="0" w:color="auto"/>
    </w:rPr>
  </w:style>
  <w:style w:type="character" w:customStyle="1" w:styleId="bumpedfont20">
    <w:name w:val="bumpedfont20"/>
    <w:basedOn w:val="DefaultParagraphFont"/>
    <w:rsid w:val="006D66CE"/>
  </w:style>
  <w:style w:type="paragraph" w:styleId="FootnoteText">
    <w:name w:val="footnote text"/>
    <w:basedOn w:val="Normal"/>
    <w:link w:val="FootnoteTextChar"/>
    <w:uiPriority w:val="99"/>
    <w:unhideWhenUsed/>
    <w:rsid w:val="00262E7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bdr w:val="none" w:sz="0" w:space="0" w:color="auto"/>
      <w:lang w:eastAsia="en-US"/>
    </w:rPr>
  </w:style>
  <w:style w:type="character" w:customStyle="1" w:styleId="FootnoteTextChar">
    <w:name w:val="Footnote Text Char"/>
    <w:basedOn w:val="DefaultParagraphFont"/>
    <w:link w:val="FootnoteText"/>
    <w:uiPriority w:val="99"/>
    <w:rsid w:val="00262E72"/>
    <w:rPr>
      <w:rFonts w:asciiTheme="minorHAnsi" w:eastAsiaTheme="minorHAnsi" w:hAnsiTheme="minorHAnsi" w:cstheme="minorBidi"/>
      <w:sz w:val="24"/>
      <w:szCs w:val="24"/>
      <w:u w:color="000000"/>
      <w:bdr w:val="none" w:sz="0" w:space="0" w:color="auto"/>
      <w:lang w:eastAsia="en-US"/>
    </w:rPr>
  </w:style>
  <w:style w:type="character" w:styleId="FootnoteReference">
    <w:name w:val="footnote reference"/>
    <w:basedOn w:val="DefaultParagraphFont"/>
    <w:uiPriority w:val="99"/>
    <w:unhideWhenUsed/>
    <w:rsid w:val="00262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2842">
      <w:bodyDiv w:val="1"/>
      <w:marLeft w:val="0"/>
      <w:marRight w:val="0"/>
      <w:marTop w:val="0"/>
      <w:marBottom w:val="0"/>
      <w:divBdr>
        <w:top w:val="none" w:sz="0" w:space="0" w:color="auto"/>
        <w:left w:val="none" w:sz="0" w:space="0" w:color="auto"/>
        <w:bottom w:val="none" w:sz="0" w:space="0" w:color="auto"/>
        <w:right w:val="none" w:sz="0" w:space="0" w:color="auto"/>
      </w:divBdr>
    </w:div>
    <w:div w:id="1334140529">
      <w:bodyDiv w:val="1"/>
      <w:marLeft w:val="0"/>
      <w:marRight w:val="0"/>
      <w:marTop w:val="0"/>
      <w:marBottom w:val="0"/>
      <w:divBdr>
        <w:top w:val="none" w:sz="0" w:space="0" w:color="auto"/>
        <w:left w:val="none" w:sz="0" w:space="0" w:color="auto"/>
        <w:bottom w:val="none" w:sz="0" w:space="0" w:color="auto"/>
        <w:right w:val="none" w:sz="0" w:space="0" w:color="auto"/>
      </w:divBdr>
    </w:div>
    <w:div w:id="154482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nl/app/vndg/id1210394968?mt=8"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jn.jonker@tmg.nl"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play.google.com/store/apps/details?id=nl.telegraaf.vnd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AAE1A599DE0C11488207C9E84A162EBB" ma:contentTypeVersion="265" ma:contentTypeDescription="Een nieuw document maken." ma:contentTypeScope="" ma:versionID="78b5d65036084ba25d8382890191ea31">
  <xsd:schema xmlns:xsd="http://www.w3.org/2001/XMLSchema" xmlns:xs="http://www.w3.org/2001/XMLSchema" xmlns:p="http://schemas.microsoft.com/office/2006/metadata/properties" xmlns:ns1="http://schemas.microsoft.com/sharepoint/v3" xmlns:ns3="936c9f6d-703f-4492-b10b-5967c53212d1" xmlns:ns4="b18cf177-c673-4424-bdcb-4564d8c2c782" targetNamespace="http://schemas.microsoft.com/office/2006/metadata/properties" ma:root="true" ma:fieldsID="5f257f0b32cd8cc237f718d59f2727a0" ns1:_="" ns3:_="" ns4:_="">
    <xsd:import namespace="http://schemas.microsoft.com/sharepoint/v3"/>
    <xsd:import namespace="936c9f6d-703f-4492-b10b-5967c53212d1"/>
    <xsd:import namespace="b18cf177-c673-4424-bdcb-4564d8c2c78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ae02f90-1843-44ab-ade3-8e75d817a8fa}" ma:internalName="TaxCatchAllLabel" ma:readOnly="true" ma:showField="CatchAllDataLabel" ma:web="b18cf177-c673-4424-bdcb-4564d8c2c78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ae02f90-1843-44ab-ade3-8e75d817a8fa}" ma:internalName="TaxCatchAll" ma:showField="CatchAllData" ma:web="b18cf177-c673-4424-bdcb-4564d8c2c78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cf177-c673-4424-bdcb-4564d8c2c78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100062980</OrigineleLLObjectId>
    <Relatienummer xmlns="936c9f6d-703f-4492-b10b-5967c53212d1">BHM176</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b18cf177-c673-4424-bdcb-4564d8c2c782">BHM176-2-1050</_dlc_DocId>
    <_dlc_DocIdUrl xmlns="b18cf177-c673-4424-bdcb-4564d8c2c782">
      <Url>http://dms.stelan.nl/instellingen/BHM176/_layouts/15/DocIdRedir.aspx?ID=BHM176-2-1050</Url>
      <Description>BHM176-2-1050</Description>
    </_dlc_DocIdUrl>
    <Scandatum xmlns="936c9f6d-703f-4492-b10b-5967c53212d1">2017-05-29T10:39:55+00:00</Scandatum>
    <Afzender xmlns="936c9f6d-703f-4492-b10b-5967c53212d1">Telegraaf Media Groep N.V.</Afzender>
    <Registratienummer xmlns="936c9f6d-703f-4492-b10b-5967c53212d1">26003</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94C4C177-C880-4563-9ABF-4EE5504BB2EC}">
  <ds:schemaRefs>
    <ds:schemaRef ds:uri="http://schemas.openxmlformats.org/officeDocument/2006/bibliography"/>
  </ds:schemaRefs>
</ds:datastoreItem>
</file>

<file path=customXml/itemProps2.xml><?xml version="1.0" encoding="utf-8"?>
<ds:datastoreItem xmlns:ds="http://schemas.openxmlformats.org/officeDocument/2006/customXml" ds:itemID="{3FF5724E-2D67-4B52-8FCB-21F2D30C7832}"/>
</file>

<file path=customXml/itemProps3.xml><?xml version="1.0" encoding="utf-8"?>
<ds:datastoreItem xmlns:ds="http://schemas.openxmlformats.org/officeDocument/2006/customXml" ds:itemID="{624654BA-E3FE-40EA-91B6-1B619AF244B7}"/>
</file>

<file path=customXml/itemProps4.xml><?xml version="1.0" encoding="utf-8"?>
<ds:datastoreItem xmlns:ds="http://schemas.openxmlformats.org/officeDocument/2006/customXml" ds:itemID="{C5EDC715-F9D7-4774-BD1A-CDBDC96AAAD2}"/>
</file>

<file path=customXml/itemProps5.xml><?xml version="1.0" encoding="utf-8"?>
<ds:datastoreItem xmlns:ds="http://schemas.openxmlformats.org/officeDocument/2006/customXml" ds:itemID="{F5930BE4-631D-4342-9961-1429C381B7EF}"/>
</file>

<file path=customXml/itemProps6.xml><?xml version="1.0" encoding="utf-8"?>
<ds:datastoreItem xmlns:ds="http://schemas.openxmlformats.org/officeDocument/2006/customXml" ds:itemID="{8AF623AA-5D3D-46E8-A2B2-1E5583FA38CC}"/>
</file>

<file path=customXml/itemProps7.xml><?xml version="1.0" encoding="utf-8"?>
<ds:datastoreItem xmlns:ds="http://schemas.openxmlformats.org/officeDocument/2006/customXml" ds:itemID="{28425AE5-26C6-42F7-97E7-E139BBF9797C}"/>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8597</Characters>
  <Application>Microsoft Office Word</Application>
  <DocSecurity>4</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26003_Update TMG ENG DEF DEF CLEAN.docx</dc:title>
  <dc:creator>Uneke Dekkers</dc:creator>
  <cp:lastModifiedBy>lurvink</cp:lastModifiedBy>
  <cp:revision>2</cp:revision>
  <cp:lastPrinted>2017-04-18T14:25:00Z</cp:lastPrinted>
  <dcterms:created xsi:type="dcterms:W3CDTF">2017-05-29T10:39:00Z</dcterms:created>
  <dcterms:modified xsi:type="dcterms:W3CDTF">2017-05-29T10:39:00Z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0088836</vt:lpwstr>
  </property>
  <property fmtid="{D5CDD505-2E9C-101B-9397-08002B2CF9AE}" pid="3" name="cpClientMatter">
    <vt:lpwstr>0088836-0000014</vt:lpwstr>
  </property>
  <property fmtid="{D5CDD505-2E9C-101B-9397-08002B2CF9AE}" pid="4" name="cpCombinedRef">
    <vt:lpwstr>0088836-0000014 AMCO:8975553.2</vt:lpwstr>
  </property>
  <property fmtid="{D5CDD505-2E9C-101B-9397-08002B2CF9AE}" pid="5" name="cpDocRef">
    <vt:lpwstr>AMCO:8975553.2</vt:lpwstr>
  </property>
  <property fmtid="{D5CDD505-2E9C-101B-9397-08002B2CF9AE}" pid="6" name="Matter">
    <vt:lpwstr>0000014</vt:lpwstr>
  </property>
  <property fmtid="{D5CDD505-2E9C-101B-9397-08002B2CF9AE}" pid="7" name="ContentTypeId">
    <vt:lpwstr>0x010100AF3C3E63A8E348D0B83574E1B1F453E5003929ED3A8D04456685ACF4C22313EE1B003179F0876C424676AC6F62DFF7F73A1700AAE1A599DE0C11488207C9E84A162EBB</vt:lpwstr>
  </property>
  <property fmtid="{D5CDD505-2E9C-101B-9397-08002B2CF9AE}" pid="8" name="VertrouwelijkheidTaxHTField0">
    <vt:lpwstr>B - AFM intern|7b7ff21d-0bb8-4cab-b8de-f0e80c0220e6</vt:lpwstr>
  </property>
  <property fmtid="{D5CDD505-2E9C-101B-9397-08002B2CF9AE}" pid="9" name="_dlc_DocIdItemGuid">
    <vt:lpwstr>597b723e-94d5-4c70-b90d-7ba3227ee580</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