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12B" w:rsidRPr="000F4D8C" w:rsidRDefault="000F4D8C">
      <w:pPr>
        <w:rPr>
          <w:rFonts w:ascii="Arial" w:hAnsi="Arial" w:cs="Arial"/>
          <w:b/>
          <w:bCs/>
          <w:color w:val="000000"/>
          <w:lang w:val="en-US"/>
        </w:rPr>
      </w:pPr>
      <w:r w:rsidRPr="000F4D8C">
        <w:rPr>
          <w:rFonts w:ascii="Arial" w:hAnsi="Arial" w:cs="Arial"/>
          <w:b/>
          <w:bCs/>
          <w:color w:val="000000"/>
          <w:lang w:val="en-US"/>
        </w:rPr>
        <w:t>Response to Dutch press article</w:t>
      </w:r>
    </w:p>
    <w:p w:rsidR="000F4D8C" w:rsidRPr="000F4D8C" w:rsidRDefault="000F4D8C">
      <w:pPr>
        <w:rPr>
          <w:rFonts w:ascii="Arial" w:hAnsi="Arial" w:cs="Arial"/>
          <w:b/>
          <w:bCs/>
          <w:color w:val="000000"/>
          <w:lang w:val="en-US"/>
        </w:rPr>
      </w:pPr>
    </w:p>
    <w:p w:rsidR="000F4D8C" w:rsidRPr="000F4D8C" w:rsidRDefault="000F4D8C" w:rsidP="000F4D8C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fr-FR"/>
        </w:rPr>
      </w:pPr>
      <w:r w:rsidRPr="000F4D8C">
        <w:rPr>
          <w:rFonts w:ascii="Arial" w:eastAsia="Times New Roman" w:hAnsi="Arial" w:cs="Arial"/>
          <w:sz w:val="20"/>
          <w:szCs w:val="20"/>
          <w:lang w:val="en-US" w:eastAsia="fr-FR"/>
        </w:rPr>
        <w:t xml:space="preserve">ABN AMRO has noted this morning's article in the </w:t>
      </w:r>
      <w:proofErr w:type="spellStart"/>
      <w:r w:rsidRPr="000F4D8C">
        <w:rPr>
          <w:rFonts w:ascii="Arial" w:eastAsia="Times New Roman" w:hAnsi="Arial" w:cs="Arial"/>
          <w:sz w:val="20"/>
          <w:szCs w:val="20"/>
          <w:lang w:val="en-US" w:eastAsia="fr-FR"/>
        </w:rPr>
        <w:t>Financieele</w:t>
      </w:r>
      <w:proofErr w:type="spellEnd"/>
      <w:r w:rsidRPr="000F4D8C">
        <w:rPr>
          <w:rFonts w:ascii="Arial" w:eastAsia="Times New Roman" w:hAnsi="Arial" w:cs="Arial"/>
          <w:sz w:val="20"/>
          <w:szCs w:val="20"/>
          <w:lang w:val="en-US" w:eastAsia="fr-FR"/>
        </w:rPr>
        <w:t xml:space="preserve"> </w:t>
      </w:r>
      <w:proofErr w:type="spellStart"/>
      <w:r w:rsidRPr="000F4D8C">
        <w:rPr>
          <w:rFonts w:ascii="Arial" w:eastAsia="Times New Roman" w:hAnsi="Arial" w:cs="Arial"/>
          <w:sz w:val="20"/>
          <w:szCs w:val="20"/>
          <w:lang w:val="en-US" w:eastAsia="fr-FR"/>
        </w:rPr>
        <w:t>Dagblad</w:t>
      </w:r>
      <w:proofErr w:type="spellEnd"/>
      <w:r w:rsidRPr="000F4D8C">
        <w:rPr>
          <w:rFonts w:ascii="Arial" w:eastAsia="Times New Roman" w:hAnsi="Arial" w:cs="Arial"/>
          <w:sz w:val="20"/>
          <w:szCs w:val="20"/>
          <w:lang w:val="en-US" w:eastAsia="fr-FR"/>
        </w:rPr>
        <w:t xml:space="preserve">. </w:t>
      </w:r>
      <w:proofErr w:type="spellStart"/>
      <w:r w:rsidRPr="000F4D8C">
        <w:rPr>
          <w:rFonts w:ascii="Arial" w:eastAsia="Times New Roman" w:hAnsi="Arial" w:cs="Arial"/>
          <w:sz w:val="20"/>
          <w:szCs w:val="20"/>
          <w:lang w:val="en-US" w:eastAsia="fr-FR"/>
        </w:rPr>
        <w:t>Ms</w:t>
      </w:r>
      <w:proofErr w:type="spellEnd"/>
      <w:r w:rsidRPr="000F4D8C">
        <w:rPr>
          <w:rFonts w:ascii="Arial" w:eastAsia="Times New Roman" w:hAnsi="Arial" w:cs="Arial"/>
          <w:sz w:val="20"/>
          <w:szCs w:val="20"/>
          <w:lang w:val="en-US" w:eastAsia="fr-FR"/>
        </w:rPr>
        <w:t xml:space="preserve"> </w:t>
      </w:r>
      <w:proofErr w:type="spellStart"/>
      <w:r w:rsidRPr="000F4D8C">
        <w:rPr>
          <w:rFonts w:ascii="Arial" w:eastAsia="Times New Roman" w:hAnsi="Arial" w:cs="Arial"/>
          <w:sz w:val="20"/>
          <w:szCs w:val="20"/>
          <w:lang w:val="en-US" w:eastAsia="fr-FR"/>
        </w:rPr>
        <w:t>Zoutendijk's</w:t>
      </w:r>
      <w:proofErr w:type="spellEnd"/>
      <w:r w:rsidRPr="000F4D8C">
        <w:rPr>
          <w:rFonts w:ascii="Arial" w:eastAsia="Times New Roman" w:hAnsi="Arial" w:cs="Arial"/>
          <w:sz w:val="20"/>
          <w:szCs w:val="20"/>
          <w:lang w:val="en-US" w:eastAsia="fr-FR"/>
        </w:rPr>
        <w:t xml:space="preserve"> leadership style has been a topic of discussion internally. These discussions have been part of the considerations of </w:t>
      </w:r>
      <w:proofErr w:type="spellStart"/>
      <w:proofErr w:type="gramStart"/>
      <w:r w:rsidRPr="000F4D8C">
        <w:rPr>
          <w:rFonts w:ascii="Arial" w:eastAsia="Times New Roman" w:hAnsi="Arial" w:cs="Arial"/>
          <w:sz w:val="20"/>
          <w:szCs w:val="20"/>
          <w:lang w:val="en-US" w:eastAsia="fr-FR"/>
        </w:rPr>
        <w:t>ms</w:t>
      </w:r>
      <w:proofErr w:type="spellEnd"/>
      <w:proofErr w:type="gramEnd"/>
      <w:r w:rsidRPr="000F4D8C">
        <w:rPr>
          <w:rFonts w:ascii="Arial" w:eastAsia="Times New Roman" w:hAnsi="Arial" w:cs="Arial"/>
          <w:sz w:val="20"/>
          <w:szCs w:val="20"/>
          <w:lang w:val="en-US" w:eastAsia="fr-FR"/>
        </w:rPr>
        <w:t xml:space="preserve"> </w:t>
      </w:r>
      <w:proofErr w:type="spellStart"/>
      <w:r w:rsidRPr="000F4D8C">
        <w:rPr>
          <w:rFonts w:ascii="Arial" w:eastAsia="Times New Roman" w:hAnsi="Arial" w:cs="Arial"/>
          <w:sz w:val="20"/>
          <w:szCs w:val="20"/>
          <w:lang w:val="en-US" w:eastAsia="fr-FR"/>
        </w:rPr>
        <w:t>Zoutendijk</w:t>
      </w:r>
      <w:proofErr w:type="spellEnd"/>
      <w:r w:rsidRPr="000F4D8C">
        <w:rPr>
          <w:rFonts w:ascii="Arial" w:eastAsia="Times New Roman" w:hAnsi="Arial" w:cs="Arial"/>
          <w:sz w:val="20"/>
          <w:szCs w:val="20"/>
          <w:lang w:val="en-US" w:eastAsia="fr-FR"/>
        </w:rPr>
        <w:t xml:space="preserve"> not to opt for a second term. However, the press article does not do justice to the contribution of </w:t>
      </w:r>
      <w:proofErr w:type="spellStart"/>
      <w:r w:rsidRPr="000F4D8C">
        <w:rPr>
          <w:rFonts w:ascii="Arial" w:eastAsia="Times New Roman" w:hAnsi="Arial" w:cs="Arial"/>
          <w:sz w:val="20"/>
          <w:szCs w:val="20"/>
          <w:lang w:val="en-US" w:eastAsia="fr-FR"/>
        </w:rPr>
        <w:t>Ms</w:t>
      </w:r>
      <w:proofErr w:type="spellEnd"/>
      <w:r w:rsidRPr="000F4D8C">
        <w:rPr>
          <w:rFonts w:ascii="Arial" w:eastAsia="Times New Roman" w:hAnsi="Arial" w:cs="Arial"/>
          <w:sz w:val="20"/>
          <w:szCs w:val="20"/>
          <w:lang w:val="en-US" w:eastAsia="fr-FR"/>
        </w:rPr>
        <w:t xml:space="preserve"> </w:t>
      </w:r>
      <w:proofErr w:type="spellStart"/>
      <w:r w:rsidRPr="000F4D8C">
        <w:rPr>
          <w:rFonts w:ascii="Arial" w:eastAsia="Times New Roman" w:hAnsi="Arial" w:cs="Arial"/>
          <w:sz w:val="20"/>
          <w:szCs w:val="20"/>
          <w:lang w:val="en-US" w:eastAsia="fr-FR"/>
        </w:rPr>
        <w:t>Zoutendijk</w:t>
      </w:r>
      <w:proofErr w:type="spellEnd"/>
      <w:r w:rsidRPr="000F4D8C">
        <w:rPr>
          <w:rFonts w:ascii="Arial" w:eastAsia="Times New Roman" w:hAnsi="Arial" w:cs="Arial"/>
          <w:sz w:val="20"/>
          <w:szCs w:val="20"/>
          <w:lang w:val="en-US" w:eastAsia="fr-FR"/>
        </w:rPr>
        <w:t xml:space="preserve"> to the bank.</w:t>
      </w:r>
    </w:p>
    <w:p w:rsidR="000F4D8C" w:rsidRPr="000F4D8C" w:rsidRDefault="000F4D8C" w:rsidP="000F4D8C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fr-FR"/>
        </w:rPr>
      </w:pPr>
      <w:r w:rsidRPr="000F4D8C">
        <w:rPr>
          <w:rFonts w:ascii="Arial" w:eastAsia="Times New Roman" w:hAnsi="Arial" w:cs="Arial"/>
          <w:sz w:val="20"/>
          <w:szCs w:val="20"/>
          <w:lang w:val="en-US" w:eastAsia="fr-FR"/>
        </w:rPr>
        <w:t> </w:t>
      </w:r>
    </w:p>
    <w:p w:rsidR="000F4D8C" w:rsidRPr="000F4D8C" w:rsidRDefault="000F4D8C" w:rsidP="000F4D8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val="en-US" w:eastAsia="fr-FR"/>
        </w:rPr>
      </w:pPr>
      <w:r w:rsidRPr="000F4D8C">
        <w:rPr>
          <w:rFonts w:ascii="Arial" w:eastAsia="Times New Roman" w:hAnsi="Arial" w:cs="Arial"/>
          <w:b/>
          <w:bCs/>
          <w:sz w:val="20"/>
          <w:szCs w:val="20"/>
          <w:lang w:val="en-US" w:eastAsia="fr-FR"/>
        </w:rPr>
        <w:t>ABN AMRO Press Relations                                                   ABN AMRO Investor Relations</w:t>
      </w:r>
      <w:r w:rsidRPr="000F4D8C">
        <w:rPr>
          <w:rFonts w:ascii="Arial" w:eastAsia="Times New Roman" w:hAnsi="Arial" w:cs="Arial"/>
          <w:sz w:val="20"/>
          <w:szCs w:val="20"/>
          <w:lang w:val="en-US" w:eastAsia="fr-FR"/>
        </w:rPr>
        <w:br/>
      </w:r>
      <w:proofErr w:type="spellStart"/>
      <w:r w:rsidRPr="000F4D8C">
        <w:rPr>
          <w:rFonts w:ascii="Arial" w:eastAsia="Times New Roman" w:hAnsi="Arial" w:cs="Arial"/>
          <w:sz w:val="20"/>
          <w:szCs w:val="20"/>
          <w:lang w:val="en-US" w:eastAsia="fr-FR"/>
        </w:rPr>
        <w:t>Jeroen</w:t>
      </w:r>
      <w:proofErr w:type="spellEnd"/>
      <w:r w:rsidRPr="000F4D8C">
        <w:rPr>
          <w:rFonts w:ascii="Arial" w:eastAsia="Times New Roman" w:hAnsi="Arial" w:cs="Arial"/>
          <w:sz w:val="20"/>
          <w:szCs w:val="20"/>
          <w:lang w:val="en-US" w:eastAsia="fr-FR"/>
        </w:rPr>
        <w:t xml:space="preserve"> van </w:t>
      </w:r>
      <w:proofErr w:type="spellStart"/>
      <w:r w:rsidRPr="000F4D8C">
        <w:rPr>
          <w:rFonts w:ascii="Arial" w:eastAsia="Times New Roman" w:hAnsi="Arial" w:cs="Arial"/>
          <w:sz w:val="20"/>
          <w:szCs w:val="20"/>
          <w:lang w:val="en-US" w:eastAsia="fr-FR"/>
        </w:rPr>
        <w:t>Maarschalkerweerd</w:t>
      </w:r>
      <w:proofErr w:type="spellEnd"/>
      <w:r w:rsidRPr="000F4D8C">
        <w:rPr>
          <w:rFonts w:ascii="Arial" w:eastAsia="Times New Roman" w:hAnsi="Arial" w:cs="Arial"/>
          <w:sz w:val="20"/>
          <w:szCs w:val="20"/>
          <w:lang w:val="en-US" w:eastAsia="fr-FR"/>
        </w:rPr>
        <w:t xml:space="preserve">, senior press officer                Dies </w:t>
      </w:r>
      <w:proofErr w:type="spellStart"/>
      <w:r w:rsidRPr="000F4D8C">
        <w:rPr>
          <w:rFonts w:ascii="Arial" w:eastAsia="Times New Roman" w:hAnsi="Arial" w:cs="Arial"/>
          <w:sz w:val="20"/>
          <w:szCs w:val="20"/>
          <w:lang w:val="en-US" w:eastAsia="fr-FR"/>
        </w:rPr>
        <w:t>Donker</w:t>
      </w:r>
      <w:proofErr w:type="spellEnd"/>
      <w:r w:rsidRPr="000F4D8C">
        <w:rPr>
          <w:rFonts w:ascii="Arial" w:eastAsia="Times New Roman" w:hAnsi="Arial" w:cs="Arial"/>
          <w:sz w:val="20"/>
          <w:szCs w:val="20"/>
          <w:lang w:val="en-US" w:eastAsia="fr-FR"/>
        </w:rPr>
        <w:t>, Head Investor Relations</w:t>
      </w:r>
      <w:r w:rsidRPr="000F4D8C">
        <w:rPr>
          <w:rFonts w:ascii="Arial" w:eastAsia="Times New Roman" w:hAnsi="Arial" w:cs="Arial"/>
          <w:sz w:val="20"/>
          <w:szCs w:val="20"/>
          <w:lang w:val="en-US" w:eastAsia="fr-FR"/>
        </w:rPr>
        <w:br/>
      </w:r>
      <w:hyperlink r:id="rId5" w:tgtFrame="_blank" w:history="1">
        <w:r w:rsidRPr="000F4D8C">
          <w:rPr>
            <w:rFonts w:ascii="Arial" w:eastAsia="Times New Roman" w:hAnsi="Arial" w:cs="Arial"/>
            <w:color w:val="0000FF"/>
            <w:sz w:val="20"/>
            <w:szCs w:val="20"/>
            <w:u w:val="single"/>
            <w:lang w:val="en-US" w:eastAsia="fr-FR"/>
          </w:rPr>
          <w:t>pressrelations@nl.abnamro.com</w:t>
        </w:r>
      </w:hyperlink>
      <w:r w:rsidRPr="000F4D8C">
        <w:rPr>
          <w:rFonts w:ascii="Arial" w:eastAsia="Times New Roman" w:hAnsi="Arial" w:cs="Arial"/>
          <w:sz w:val="20"/>
          <w:szCs w:val="20"/>
          <w:lang w:val="en-US" w:eastAsia="fr-FR"/>
        </w:rPr>
        <w:t>                                               </w:t>
      </w:r>
      <w:hyperlink r:id="rId6" w:tgtFrame="_blank" w:history="1">
        <w:r w:rsidRPr="000F4D8C">
          <w:rPr>
            <w:rFonts w:ascii="Arial" w:eastAsia="Times New Roman" w:hAnsi="Arial" w:cs="Arial"/>
            <w:color w:val="0000FF"/>
            <w:sz w:val="20"/>
            <w:szCs w:val="20"/>
            <w:u w:val="single"/>
            <w:lang w:val="en-US" w:eastAsia="fr-FR"/>
          </w:rPr>
          <w:t>investorrelations@nl.abnamro.com</w:t>
        </w:r>
      </w:hyperlink>
      <w:r w:rsidRPr="000F4D8C">
        <w:rPr>
          <w:rFonts w:ascii="Arial" w:eastAsia="Times New Roman" w:hAnsi="Arial" w:cs="Arial"/>
          <w:sz w:val="20"/>
          <w:szCs w:val="20"/>
          <w:lang w:val="en-US" w:eastAsia="fr-FR"/>
        </w:rPr>
        <w:br/>
        <w:t>+31 20 6288900                                                                        +31 20 6282282</w:t>
      </w:r>
    </w:p>
    <w:p w:rsidR="000F4D8C" w:rsidRPr="000F4D8C" w:rsidRDefault="000F4D8C" w:rsidP="000F4D8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val="en-US" w:eastAsia="fr-FR"/>
        </w:rPr>
      </w:pPr>
      <w:r w:rsidRPr="000F4D8C">
        <w:rPr>
          <w:rFonts w:ascii="Arial" w:eastAsia="Times New Roman" w:hAnsi="Arial" w:cs="Arial"/>
          <w:i/>
          <w:iCs/>
          <w:sz w:val="20"/>
          <w:szCs w:val="20"/>
          <w:lang w:val="en-US" w:eastAsia="fr-FR"/>
        </w:rPr>
        <w:t>This press release is published by ABN AMRO Group N.V. and contains inside information within the meaning of article 7 (1) to (4) of Regulation (EU) No 596/2014 (Market Abuse Regulation)</w:t>
      </w:r>
    </w:p>
    <w:p w:rsidR="000F4D8C" w:rsidRPr="000F4D8C" w:rsidRDefault="000F4D8C">
      <w:pPr>
        <w:rPr>
          <w:lang w:val="en-US"/>
        </w:rPr>
      </w:pPr>
      <w:bookmarkStart w:id="0" w:name="_GoBack"/>
      <w:bookmarkEnd w:id="0"/>
    </w:p>
    <w:sectPr w:rsidR="000F4D8C" w:rsidRPr="000F4D8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D8C"/>
    <w:rsid w:val="000F4D8C"/>
    <w:rsid w:val="00E67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ugin">
    <w:name w:val="hugin"/>
    <w:basedOn w:val="Normal"/>
    <w:rsid w:val="000F4D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Hyperlink">
    <w:name w:val="Hyperlink"/>
    <w:basedOn w:val="DefaultParagraphFont"/>
    <w:uiPriority w:val="99"/>
    <w:semiHidden/>
    <w:unhideWhenUsed/>
    <w:rsid w:val="000F4D8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ugin">
    <w:name w:val="hugin"/>
    <w:basedOn w:val="Normal"/>
    <w:rsid w:val="000F4D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Hyperlink">
    <w:name w:val="Hyperlink"/>
    <w:basedOn w:val="DefaultParagraphFont"/>
    <w:uiPriority w:val="99"/>
    <w:semiHidden/>
    <w:unhideWhenUsed/>
    <w:rsid w:val="000F4D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6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7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8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vestorrelations@nl.abnamro.com" TargetMode="External"/><Relationship Id="rId5" Type="http://schemas.openxmlformats.org/officeDocument/2006/relationships/hyperlink" Target="mailto:pressrelations@nl.abnamr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Nasdaq OMX Group, Inc.</Company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Ringailė Rinkūnaitė</dc:creator>
  <cp:lastModifiedBy>Ringailė Rinkūnaitė</cp:lastModifiedBy>
  <cp:revision>1</cp:revision>
  <dcterms:created xsi:type="dcterms:W3CDTF">2018-02-06T08:10:00Z</dcterms:created>
  <dcterms:modified xsi:type="dcterms:W3CDTF">2018-02-06T08:10:00Z</dcterms:modified>
</cp:coreProperties>
</file>