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FF853" w14:textId="000AE5A9" w:rsidR="002E4586" w:rsidRDefault="00F04A29" w:rsidP="00741166">
      <w:pPr>
        <w:pStyle w:val="BodyText1"/>
        <w:pageBreakBefore/>
        <w:pBdr>
          <w:top w:val="nil"/>
          <w:left w:val="nil"/>
          <w:bottom w:val="nil"/>
          <w:right w:val="nil"/>
          <w:between w:val="nil"/>
          <w:bar w:val="nil"/>
        </w:pBdr>
        <w:spacing w:after="80"/>
        <w:jc w:val="center"/>
        <w:rPr>
          <w:rFonts w:eastAsia="Calibri" w:cs="Times New Roman"/>
          <w:bdr w:val="nil"/>
        </w:rPr>
      </w:pPr>
      <w:r>
        <w:rPr>
          <w:rFonts w:eastAsia="Calibri" w:cs="Times New Roman"/>
          <w:color w:val="000000"/>
          <w:bdr w:val="nil"/>
        </w:rPr>
        <w:t>Prosus N.V. (previously Myriad International Holdings N.V.)</w:t>
      </w:r>
    </w:p>
    <w:p w14:paraId="7DD67D56" w14:textId="44EDC804" w:rsidR="002E4586" w:rsidRDefault="009B3584" w:rsidP="00741166">
      <w:pPr>
        <w:pStyle w:val="BodyText1"/>
        <w:pBdr>
          <w:top w:val="nil"/>
          <w:left w:val="nil"/>
          <w:bottom w:val="nil"/>
          <w:right w:val="nil"/>
          <w:between w:val="nil"/>
          <w:bar w:val="nil"/>
        </w:pBdr>
        <w:spacing w:after="80"/>
        <w:jc w:val="center"/>
        <w:rPr>
          <w:rFonts w:eastAsia="Calibri" w:cs="Times New Roman"/>
          <w:bdr w:val="nil"/>
        </w:rPr>
      </w:pPr>
      <w:r>
        <w:rPr>
          <w:rFonts w:eastAsia="Calibri" w:cs="Times New Roman"/>
          <w:color w:val="000000"/>
          <w:bdr w:val="nil"/>
        </w:rPr>
        <w:t xml:space="preserve">(Incorporated in the </w:t>
      </w:r>
      <w:r w:rsidR="00F04A29">
        <w:rPr>
          <w:rFonts w:eastAsia="Calibri" w:cs="Times New Roman"/>
          <w:color w:val="000000"/>
          <w:bdr w:val="nil"/>
        </w:rPr>
        <w:t>Netherlands</w:t>
      </w:r>
      <w:r>
        <w:rPr>
          <w:rFonts w:eastAsia="Calibri" w:cs="Times New Roman"/>
          <w:color w:val="000000"/>
          <w:bdr w:val="nil"/>
        </w:rPr>
        <w:t>)</w:t>
      </w:r>
    </w:p>
    <w:p w14:paraId="28934FBE" w14:textId="73554FB5" w:rsidR="002E4586" w:rsidRDefault="009B3584" w:rsidP="00741166">
      <w:pPr>
        <w:pStyle w:val="BodyText1"/>
        <w:pBdr>
          <w:top w:val="nil"/>
          <w:left w:val="nil"/>
          <w:bottom w:val="nil"/>
          <w:right w:val="nil"/>
          <w:between w:val="nil"/>
          <w:bar w:val="nil"/>
        </w:pBdr>
        <w:spacing w:after="80"/>
        <w:jc w:val="center"/>
        <w:rPr>
          <w:rFonts w:eastAsia="Calibri" w:cs="Times New Roman"/>
          <w:bdr w:val="nil"/>
        </w:rPr>
      </w:pPr>
      <w:r>
        <w:rPr>
          <w:rFonts w:eastAsia="Calibri" w:cs="Times New Roman"/>
          <w:color w:val="000000"/>
          <w:bdr w:val="nil"/>
        </w:rPr>
        <w:t>(</w:t>
      </w:r>
      <w:r w:rsidR="006D5E23">
        <w:rPr>
          <w:rFonts w:eastAsia="Calibri" w:cs="Times New Roman"/>
          <w:color w:val="000000"/>
          <w:bdr w:val="nil"/>
        </w:rPr>
        <w:t>Trade Reg No 34099856</w:t>
      </w:r>
      <w:r>
        <w:rPr>
          <w:rFonts w:eastAsia="Calibri" w:cs="Times New Roman"/>
          <w:color w:val="000000"/>
          <w:bdr w:val="nil"/>
        </w:rPr>
        <w:t>)</w:t>
      </w:r>
    </w:p>
    <w:p w14:paraId="3666FD79" w14:textId="36EFD709" w:rsidR="002E4586" w:rsidRDefault="00F04A29" w:rsidP="00741166">
      <w:pPr>
        <w:pStyle w:val="BodyText1"/>
        <w:pBdr>
          <w:top w:val="nil"/>
          <w:left w:val="nil"/>
          <w:bottom w:val="nil"/>
          <w:right w:val="nil"/>
          <w:between w:val="nil"/>
          <w:bar w:val="nil"/>
        </w:pBdr>
        <w:spacing w:after="80"/>
        <w:jc w:val="center"/>
        <w:rPr>
          <w:rFonts w:eastAsia="Calibri" w:cs="Times New Roman"/>
          <w:bdr w:val="nil"/>
        </w:rPr>
      </w:pPr>
      <w:r>
        <w:rPr>
          <w:rFonts w:eastAsia="Calibri" w:cs="Times New Roman"/>
          <w:color w:val="000000"/>
          <w:bdr w:val="nil"/>
        </w:rPr>
        <w:t>AEX</w:t>
      </w:r>
      <w:r w:rsidR="00F71617">
        <w:rPr>
          <w:rFonts w:eastAsia="Calibri" w:cs="Times New Roman"/>
          <w:color w:val="000000"/>
          <w:bdr w:val="nil"/>
        </w:rPr>
        <w:t xml:space="preserve"> and JSE</w:t>
      </w:r>
      <w:r w:rsidR="009B3584">
        <w:rPr>
          <w:rFonts w:eastAsia="Calibri" w:cs="Times New Roman"/>
          <w:color w:val="000000"/>
          <w:bdr w:val="nil"/>
        </w:rPr>
        <w:t xml:space="preserve"> Share Code: </w:t>
      </w:r>
      <w:r>
        <w:rPr>
          <w:rFonts w:eastAsia="Calibri" w:cs="Times New Roman"/>
          <w:color w:val="000000"/>
          <w:bdr w:val="nil"/>
        </w:rPr>
        <w:t>PRX</w:t>
      </w:r>
      <w:r w:rsidR="009B3584">
        <w:rPr>
          <w:rFonts w:eastAsia="Calibri" w:cs="Times New Roman"/>
          <w:color w:val="000000"/>
          <w:bdr w:val="nil"/>
        </w:rPr>
        <w:tab/>
        <w:t xml:space="preserve">ISIN: </w:t>
      </w:r>
      <w:r w:rsidRPr="00F04A29">
        <w:rPr>
          <w:rFonts w:eastAsia="Calibri" w:cs="Times New Roman"/>
          <w:color w:val="000000"/>
          <w:bdr w:val="nil"/>
        </w:rPr>
        <w:t>NL0013654783</w:t>
      </w:r>
    </w:p>
    <w:p w14:paraId="0E20FCA4" w14:textId="05EE8288" w:rsidR="002E4586" w:rsidRDefault="009B3584" w:rsidP="00741166">
      <w:pPr>
        <w:pStyle w:val="BodyText1"/>
        <w:pBdr>
          <w:top w:val="nil"/>
          <w:left w:val="nil"/>
          <w:bottom w:val="nil"/>
          <w:right w:val="nil"/>
          <w:between w:val="nil"/>
          <w:bar w:val="nil"/>
        </w:pBdr>
        <w:spacing w:after="80"/>
        <w:jc w:val="center"/>
        <w:rPr>
          <w:rFonts w:eastAsia="Calibri" w:cs="Times New Roman"/>
          <w:color w:val="000000"/>
          <w:bdr w:val="nil"/>
        </w:rPr>
      </w:pPr>
      <w:r>
        <w:rPr>
          <w:rFonts w:eastAsia="Calibri" w:cs="Times New Roman"/>
          <w:color w:val="000000"/>
          <w:bdr w:val="nil"/>
        </w:rPr>
        <w:t>(“</w:t>
      </w:r>
      <w:r w:rsidR="00F04A29">
        <w:rPr>
          <w:rFonts w:eastAsia="Calibri" w:cs="Times New Roman"/>
          <w:color w:val="000000"/>
          <w:bdr w:val="nil"/>
        </w:rPr>
        <w:t>Prosus</w:t>
      </w:r>
      <w:r>
        <w:rPr>
          <w:rFonts w:eastAsia="Calibri" w:cs="Times New Roman"/>
          <w:color w:val="000000"/>
          <w:bdr w:val="nil"/>
        </w:rPr>
        <w:t>”)</w:t>
      </w:r>
    </w:p>
    <w:p w14:paraId="2A1241EC" w14:textId="77777777" w:rsidR="00741166" w:rsidRDefault="00741166" w:rsidP="00741166">
      <w:pPr>
        <w:pStyle w:val="BodyText1"/>
        <w:pBdr>
          <w:top w:val="nil"/>
          <w:left w:val="nil"/>
          <w:bottom w:val="nil"/>
          <w:right w:val="nil"/>
          <w:between w:val="nil"/>
          <w:bar w:val="nil"/>
        </w:pBdr>
        <w:spacing w:after="80"/>
        <w:jc w:val="center"/>
        <w:rPr>
          <w:rFonts w:eastAsia="Calibri" w:cs="Times New Roman"/>
          <w:bdr w:val="nil"/>
        </w:rPr>
      </w:pPr>
    </w:p>
    <w:p w14:paraId="2288EA35" w14:textId="1977BC26" w:rsidR="002E4586" w:rsidRDefault="009B3584" w:rsidP="00741166">
      <w:pPr>
        <w:pStyle w:val="BodyText1"/>
        <w:pBdr>
          <w:top w:val="nil"/>
          <w:left w:val="nil"/>
          <w:bottom w:val="nil"/>
          <w:right w:val="nil"/>
          <w:between w:val="nil"/>
          <w:bar w:val="nil"/>
        </w:pBdr>
        <w:spacing w:after="80"/>
        <w:jc w:val="center"/>
        <w:rPr>
          <w:rFonts w:eastAsia="Calibri" w:cs="Times New Roman"/>
          <w:b/>
          <w:color w:val="000000"/>
          <w:sz w:val="22"/>
          <w:bdr w:val="nil"/>
        </w:rPr>
      </w:pPr>
      <w:r w:rsidRPr="00F23074">
        <w:rPr>
          <w:rFonts w:eastAsia="Calibri" w:cs="Times New Roman"/>
          <w:b/>
          <w:color w:val="000000"/>
          <w:sz w:val="22"/>
          <w:bdr w:val="nil"/>
        </w:rPr>
        <w:t>Trading statement</w:t>
      </w:r>
    </w:p>
    <w:p w14:paraId="2179C73D" w14:textId="77777777" w:rsidR="00741166" w:rsidRPr="00F23074" w:rsidRDefault="00741166" w:rsidP="00741166">
      <w:pPr>
        <w:pStyle w:val="BodyText1"/>
        <w:pBdr>
          <w:top w:val="nil"/>
          <w:left w:val="nil"/>
          <w:bottom w:val="nil"/>
          <w:right w:val="nil"/>
          <w:between w:val="nil"/>
          <w:bar w:val="nil"/>
        </w:pBdr>
        <w:spacing w:after="80"/>
        <w:jc w:val="center"/>
        <w:rPr>
          <w:rFonts w:eastAsia="Calibri" w:cs="Times New Roman"/>
          <w:b/>
          <w:sz w:val="22"/>
          <w:bdr w:val="nil"/>
        </w:rPr>
      </w:pPr>
    </w:p>
    <w:p w14:paraId="798DC9CB" w14:textId="7E4ADC9C" w:rsidR="002E4586" w:rsidRDefault="009B3584" w:rsidP="002E4586">
      <w:pPr>
        <w:pStyle w:val="BodyText1"/>
        <w:pBdr>
          <w:top w:val="nil"/>
          <w:left w:val="nil"/>
          <w:bottom w:val="nil"/>
          <w:right w:val="nil"/>
          <w:between w:val="nil"/>
          <w:bar w:val="nil"/>
        </w:pBdr>
        <w:rPr>
          <w:rFonts w:eastAsia="Calibri" w:cs="Times New Roman"/>
          <w:color w:val="000000"/>
          <w:bdr w:val="nil"/>
        </w:rPr>
      </w:pPr>
      <w:r>
        <w:rPr>
          <w:rFonts w:eastAsia="Calibri" w:cs="Times New Roman"/>
          <w:color w:val="000000"/>
          <w:bdr w:val="nil"/>
        </w:rPr>
        <w:t xml:space="preserve">Shareholders are advised that the </w:t>
      </w:r>
      <w:r w:rsidR="00F04A29">
        <w:rPr>
          <w:rFonts w:eastAsia="Calibri" w:cs="Times New Roman"/>
          <w:color w:val="000000"/>
          <w:bdr w:val="nil"/>
        </w:rPr>
        <w:t>Prosus</w:t>
      </w:r>
      <w:r>
        <w:rPr>
          <w:rFonts w:eastAsia="Calibri" w:cs="Times New Roman"/>
          <w:color w:val="000000"/>
          <w:bdr w:val="nil"/>
        </w:rPr>
        <w:t xml:space="preserve"> group (“the group”) is finalising its</w:t>
      </w:r>
      <w:r w:rsidR="00B61DA9">
        <w:rPr>
          <w:rFonts w:eastAsia="Calibri" w:cs="Times New Roman"/>
          <w:color w:val="000000"/>
          <w:bdr w:val="nil"/>
        </w:rPr>
        <w:t xml:space="preserve"> </w:t>
      </w:r>
      <w:r w:rsidR="003E62E3">
        <w:rPr>
          <w:rFonts w:eastAsia="Calibri" w:cs="Times New Roman"/>
          <w:color w:val="000000"/>
          <w:bdr w:val="nil"/>
        </w:rPr>
        <w:t>summarised consolidated financial statements</w:t>
      </w:r>
      <w:r w:rsidR="00B61DA9">
        <w:rPr>
          <w:rFonts w:eastAsia="Calibri" w:cs="Times New Roman"/>
          <w:color w:val="000000"/>
          <w:bdr w:val="nil"/>
        </w:rPr>
        <w:t xml:space="preserve"> and </w:t>
      </w:r>
      <w:r w:rsidR="00EF0F7C">
        <w:rPr>
          <w:rFonts w:eastAsia="Calibri" w:cs="Times New Roman"/>
          <w:color w:val="000000"/>
          <w:bdr w:val="nil"/>
        </w:rPr>
        <w:t xml:space="preserve">consolidated </w:t>
      </w:r>
      <w:r w:rsidR="008A596D">
        <w:rPr>
          <w:rFonts w:eastAsia="Calibri" w:cs="Times New Roman"/>
          <w:color w:val="000000"/>
          <w:bdr w:val="nil"/>
        </w:rPr>
        <w:t xml:space="preserve">financial statements </w:t>
      </w:r>
      <w:r>
        <w:rPr>
          <w:rFonts w:eastAsia="Calibri" w:cs="Times New Roman"/>
          <w:color w:val="000000"/>
          <w:bdr w:val="nil"/>
        </w:rPr>
        <w:t xml:space="preserve">for the </w:t>
      </w:r>
      <w:r w:rsidR="00B61DA9">
        <w:rPr>
          <w:rFonts w:eastAsia="Calibri" w:cs="Times New Roman"/>
          <w:color w:val="000000"/>
          <w:bdr w:val="nil"/>
        </w:rPr>
        <w:t xml:space="preserve">year </w:t>
      </w:r>
      <w:r w:rsidR="00EF0F7C">
        <w:rPr>
          <w:rFonts w:eastAsia="Calibri" w:cs="Times New Roman"/>
          <w:color w:val="000000"/>
          <w:bdr w:val="nil"/>
        </w:rPr>
        <w:t xml:space="preserve">ended </w:t>
      </w:r>
      <w:r w:rsidR="00B61DA9">
        <w:rPr>
          <w:rFonts w:eastAsia="Calibri" w:cs="Times New Roman"/>
          <w:color w:val="000000"/>
          <w:bdr w:val="nil"/>
        </w:rPr>
        <w:t>31 March 2020</w:t>
      </w:r>
      <w:r>
        <w:rPr>
          <w:rFonts w:eastAsia="Calibri" w:cs="Times New Roman"/>
          <w:color w:val="000000"/>
          <w:bdr w:val="nil"/>
        </w:rPr>
        <w:t xml:space="preserve">. </w:t>
      </w:r>
    </w:p>
    <w:p w14:paraId="6DC9038E" w14:textId="1EA95B05" w:rsidR="00FD00C8" w:rsidRDefault="00FD00C8" w:rsidP="00FD00C8">
      <w:pPr>
        <w:pStyle w:val="BodyText1"/>
        <w:pBdr>
          <w:top w:val="nil"/>
          <w:left w:val="nil"/>
          <w:bottom w:val="nil"/>
          <w:right w:val="nil"/>
          <w:between w:val="nil"/>
          <w:bar w:val="nil"/>
        </w:pBdr>
        <w:rPr>
          <w:rFonts w:eastAsia="Calibri" w:cs="Times New Roman"/>
          <w:color w:val="000000"/>
          <w:bdr w:val="nil"/>
        </w:rPr>
      </w:pPr>
      <w:r w:rsidRPr="00FD00C8">
        <w:rPr>
          <w:rFonts w:eastAsia="Calibri" w:cs="Times New Roman"/>
          <w:color w:val="000000"/>
          <w:bdr w:val="nil"/>
        </w:rPr>
        <w:t>Prosus is a subsidiary of Naspers</w:t>
      </w:r>
      <w:r>
        <w:rPr>
          <w:rFonts w:eastAsia="Calibri" w:cs="Times New Roman"/>
          <w:color w:val="000000"/>
          <w:bdr w:val="nil"/>
        </w:rPr>
        <w:t xml:space="preserve"> </w:t>
      </w:r>
      <w:r w:rsidRPr="00FD00C8">
        <w:rPr>
          <w:rFonts w:eastAsia="Calibri" w:cs="Times New Roman"/>
          <w:color w:val="000000"/>
          <w:bdr w:val="nil"/>
        </w:rPr>
        <w:t>Limited (</w:t>
      </w:r>
      <w:r w:rsidR="00B400BE">
        <w:rPr>
          <w:rFonts w:eastAsia="Calibri" w:cs="Times New Roman"/>
          <w:color w:val="000000"/>
          <w:bdr w:val="nil"/>
        </w:rPr>
        <w:t>“</w:t>
      </w:r>
      <w:r w:rsidRPr="00FD00C8">
        <w:rPr>
          <w:rFonts w:eastAsia="Calibri" w:cs="Times New Roman"/>
          <w:color w:val="000000"/>
          <w:bdr w:val="nil"/>
        </w:rPr>
        <w:t>Naspers</w:t>
      </w:r>
      <w:r w:rsidR="00B400BE">
        <w:rPr>
          <w:rFonts w:eastAsia="Calibri" w:cs="Times New Roman"/>
          <w:color w:val="000000"/>
          <w:bdr w:val="nil"/>
        </w:rPr>
        <w:t>”</w:t>
      </w:r>
      <w:r w:rsidRPr="00FD00C8">
        <w:rPr>
          <w:rFonts w:eastAsia="Calibri" w:cs="Times New Roman"/>
          <w:color w:val="000000"/>
          <w:bdr w:val="nil"/>
        </w:rPr>
        <w:t>), a company incorporated in South Africa</w:t>
      </w:r>
      <w:r w:rsidR="00B400BE">
        <w:rPr>
          <w:rFonts w:eastAsia="Calibri" w:cs="Times New Roman"/>
          <w:color w:val="000000"/>
          <w:bdr w:val="nil"/>
        </w:rPr>
        <w:t xml:space="preserve"> and listed on the JSE Limited stock exchange</w:t>
      </w:r>
      <w:r w:rsidR="00D20CCC">
        <w:rPr>
          <w:rFonts w:eastAsia="Calibri" w:cs="Times New Roman"/>
          <w:color w:val="000000"/>
          <w:bdr w:val="nil"/>
        </w:rPr>
        <w:t xml:space="preserve"> </w:t>
      </w:r>
      <w:r w:rsidR="00D20CCC" w:rsidRPr="00FD00C8">
        <w:rPr>
          <w:rFonts w:eastAsia="Calibri" w:cs="Times New Roman"/>
          <w:color w:val="000000"/>
          <w:bdr w:val="nil"/>
        </w:rPr>
        <w:t>in South Africa</w:t>
      </w:r>
      <w:r w:rsidR="00D20CCC">
        <w:rPr>
          <w:rFonts w:eastAsia="Calibri" w:cs="Times New Roman"/>
          <w:color w:val="000000"/>
          <w:bdr w:val="nil"/>
        </w:rPr>
        <w:t xml:space="preserve"> (“JSE”)</w:t>
      </w:r>
      <w:r w:rsidRPr="00FD00C8">
        <w:rPr>
          <w:rFonts w:eastAsia="Calibri" w:cs="Times New Roman"/>
          <w:color w:val="000000"/>
          <w:bdr w:val="nil"/>
        </w:rPr>
        <w:t>. On 11 September 2019, Prosus was listed on the Euronext</w:t>
      </w:r>
      <w:r>
        <w:rPr>
          <w:rFonts w:eastAsia="Calibri" w:cs="Times New Roman"/>
          <w:color w:val="000000"/>
          <w:bdr w:val="nil"/>
        </w:rPr>
        <w:t xml:space="preserve"> </w:t>
      </w:r>
      <w:r w:rsidRPr="00FD00C8">
        <w:rPr>
          <w:rFonts w:eastAsia="Calibri" w:cs="Times New Roman"/>
          <w:color w:val="000000"/>
          <w:bdr w:val="nil"/>
        </w:rPr>
        <w:t>Amsterdam stock exchange, with a secondary listing on the JSE.</w:t>
      </w:r>
    </w:p>
    <w:p w14:paraId="7CCB71C3" w14:textId="64372AF8" w:rsidR="001F31F5" w:rsidRDefault="001F31F5" w:rsidP="001F31F5">
      <w:pPr>
        <w:pStyle w:val="BodyText1"/>
        <w:pBdr>
          <w:top w:val="nil"/>
          <w:left w:val="nil"/>
          <w:bottom w:val="nil"/>
          <w:right w:val="nil"/>
          <w:between w:val="nil"/>
          <w:bar w:val="nil"/>
        </w:pBdr>
        <w:rPr>
          <w:rFonts w:eastAsia="Calibri" w:cs="Times New Roman"/>
          <w:bdr w:val="nil"/>
        </w:rPr>
      </w:pPr>
      <w:r w:rsidRPr="001F31F5">
        <w:rPr>
          <w:rFonts w:eastAsia="Calibri" w:cs="Times New Roman"/>
          <w:bdr w:val="nil"/>
        </w:rPr>
        <w:t>The group is a global consumer internet group and one of the largest technology investors in the world.</w:t>
      </w:r>
      <w:r>
        <w:rPr>
          <w:rFonts w:eastAsia="Calibri" w:cs="Times New Roman"/>
          <w:bdr w:val="nil"/>
        </w:rPr>
        <w:t xml:space="preserve"> </w:t>
      </w:r>
      <w:r w:rsidRPr="001F31F5">
        <w:rPr>
          <w:rFonts w:eastAsia="Calibri" w:cs="Times New Roman"/>
          <w:bdr w:val="nil"/>
        </w:rPr>
        <w:t>Operating and investing in countries and markets across the world with long-term growth potential, Prosus builds</w:t>
      </w:r>
      <w:r>
        <w:rPr>
          <w:rFonts w:eastAsia="Calibri" w:cs="Times New Roman"/>
          <w:bdr w:val="nil"/>
        </w:rPr>
        <w:t xml:space="preserve"> </w:t>
      </w:r>
      <w:r w:rsidRPr="001F31F5">
        <w:rPr>
          <w:rFonts w:eastAsia="Calibri" w:cs="Times New Roman"/>
          <w:bdr w:val="nil"/>
        </w:rPr>
        <w:t xml:space="preserve">leading companies that empower people and enrich communities. The group operates and partners with </w:t>
      </w:r>
      <w:r w:rsidR="00703729" w:rsidRPr="001F31F5">
        <w:rPr>
          <w:rFonts w:eastAsia="Calibri" w:cs="Times New Roman"/>
          <w:bdr w:val="nil"/>
        </w:rPr>
        <w:t>several</w:t>
      </w:r>
      <w:r>
        <w:rPr>
          <w:rFonts w:eastAsia="Calibri" w:cs="Times New Roman"/>
          <w:bdr w:val="nil"/>
        </w:rPr>
        <w:t xml:space="preserve"> </w:t>
      </w:r>
      <w:r w:rsidRPr="001F31F5">
        <w:rPr>
          <w:rFonts w:eastAsia="Calibri" w:cs="Times New Roman"/>
          <w:bdr w:val="nil"/>
        </w:rPr>
        <w:t xml:space="preserve">leading internet businesses across </w:t>
      </w:r>
      <w:r w:rsidR="00486F6C">
        <w:rPr>
          <w:rFonts w:eastAsia="Calibri" w:cs="Times New Roman"/>
          <w:bdr w:val="nil"/>
        </w:rPr>
        <w:t>Asia, Central</w:t>
      </w:r>
      <w:r w:rsidRPr="001F31F5">
        <w:rPr>
          <w:rFonts w:eastAsia="Calibri" w:cs="Times New Roman"/>
          <w:bdr w:val="nil"/>
        </w:rPr>
        <w:t xml:space="preserve"> and Eastern Europe, </w:t>
      </w:r>
      <w:r w:rsidR="00283C18">
        <w:rPr>
          <w:rFonts w:eastAsia="Calibri" w:cs="Times New Roman"/>
          <w:bdr w:val="nil"/>
        </w:rPr>
        <w:t>the Middle East, the Americas</w:t>
      </w:r>
      <w:r w:rsidR="0033350F">
        <w:rPr>
          <w:rFonts w:eastAsia="Calibri" w:cs="Times New Roman"/>
          <w:bdr w:val="nil"/>
        </w:rPr>
        <w:t xml:space="preserve"> and Africa</w:t>
      </w:r>
      <w:r w:rsidRPr="001F31F5">
        <w:rPr>
          <w:rFonts w:eastAsia="Calibri" w:cs="Times New Roman"/>
          <w:bdr w:val="nil"/>
        </w:rPr>
        <w:t xml:space="preserve"> in sectors including</w:t>
      </w:r>
      <w:r>
        <w:rPr>
          <w:rFonts w:eastAsia="Calibri" w:cs="Times New Roman"/>
          <w:bdr w:val="nil"/>
        </w:rPr>
        <w:t xml:space="preserve"> </w:t>
      </w:r>
      <w:r w:rsidRPr="001F31F5">
        <w:rPr>
          <w:rFonts w:eastAsia="Calibri" w:cs="Times New Roman"/>
          <w:bdr w:val="nil"/>
        </w:rPr>
        <w:t xml:space="preserve">online classifieds, food delivery, payments and fintech, education, health, </w:t>
      </w:r>
      <w:r w:rsidR="00283C18">
        <w:rPr>
          <w:rFonts w:eastAsia="Calibri" w:cs="Times New Roman"/>
          <w:bdr w:val="nil"/>
        </w:rPr>
        <w:t xml:space="preserve">etail </w:t>
      </w:r>
      <w:r w:rsidRPr="001F31F5">
        <w:rPr>
          <w:rFonts w:eastAsia="Calibri" w:cs="Times New Roman"/>
          <w:bdr w:val="nil"/>
        </w:rPr>
        <w:t>and social</w:t>
      </w:r>
      <w:r w:rsidR="0033350F">
        <w:rPr>
          <w:rFonts w:eastAsia="Calibri" w:cs="Times New Roman"/>
          <w:bdr w:val="nil"/>
        </w:rPr>
        <w:t xml:space="preserve"> </w:t>
      </w:r>
      <w:r w:rsidRPr="001F31F5">
        <w:rPr>
          <w:rFonts w:eastAsia="Calibri" w:cs="Times New Roman"/>
          <w:bdr w:val="nil"/>
        </w:rPr>
        <w:t>and internet platforms.</w:t>
      </w:r>
    </w:p>
    <w:p w14:paraId="01839338" w14:textId="4BA6C3CF" w:rsidR="00D9782E" w:rsidRDefault="00616E25" w:rsidP="00D2653B">
      <w:pPr>
        <w:pStyle w:val="BodyText1"/>
        <w:pBdr>
          <w:top w:val="nil"/>
          <w:left w:val="nil"/>
          <w:bottom w:val="nil"/>
          <w:right w:val="nil"/>
          <w:between w:val="nil"/>
          <w:bar w:val="nil"/>
        </w:pBdr>
        <w:rPr>
          <w:rFonts w:eastAsia="Calibri" w:cs="Times New Roman"/>
          <w:bdr w:val="nil"/>
          <w:lang w:val="en-US"/>
        </w:rPr>
      </w:pPr>
      <w:r>
        <w:rPr>
          <w:rFonts w:eastAsia="Calibri" w:cs="Times New Roman"/>
          <w:bdr w:val="nil"/>
          <w:lang w:val="en-US"/>
        </w:rPr>
        <w:t xml:space="preserve">In terms of the Listings Requirements of the </w:t>
      </w:r>
      <w:r w:rsidR="00D9782E">
        <w:rPr>
          <w:rFonts w:eastAsia="Calibri" w:cs="Times New Roman"/>
          <w:bdr w:val="nil"/>
          <w:lang w:val="en-US"/>
        </w:rPr>
        <w:t>JSE</w:t>
      </w:r>
      <w:r w:rsidR="00D9782E" w:rsidRPr="006F41F2">
        <w:rPr>
          <w:bdr w:val="nil"/>
          <w:lang w:val="en-US"/>
        </w:rPr>
        <w:t xml:space="preserve"> </w:t>
      </w:r>
      <w:r w:rsidRPr="006F41F2">
        <w:rPr>
          <w:bdr w:val="nil"/>
          <w:lang w:val="en-US"/>
        </w:rPr>
        <w:t xml:space="preserve">in </w:t>
      </w:r>
      <w:r>
        <w:rPr>
          <w:rFonts w:eastAsia="Calibri" w:cs="Times New Roman"/>
          <w:bdr w:val="nil"/>
          <w:lang w:val="en-US"/>
        </w:rPr>
        <w:t xml:space="preserve">South Africa, </w:t>
      </w:r>
      <w:r w:rsidR="00B400BE">
        <w:rPr>
          <w:rFonts w:eastAsia="Calibri" w:cs="Times New Roman"/>
          <w:bdr w:val="nil"/>
          <w:lang w:val="en-US"/>
        </w:rPr>
        <w:t xml:space="preserve">South African </w:t>
      </w:r>
      <w:r w:rsidR="00A71B1F">
        <w:rPr>
          <w:rFonts w:eastAsia="Calibri" w:cs="Times New Roman"/>
          <w:bdr w:val="nil"/>
          <w:lang w:val="en-US"/>
        </w:rPr>
        <w:t xml:space="preserve">listed entities </w:t>
      </w:r>
      <w:r>
        <w:rPr>
          <w:rFonts w:eastAsia="Calibri" w:cs="Times New Roman"/>
          <w:bdr w:val="nil"/>
          <w:lang w:val="en-US"/>
        </w:rPr>
        <w:t xml:space="preserve">with a primary listing are obliged </w:t>
      </w:r>
      <w:r w:rsidR="00A71B1F">
        <w:rPr>
          <w:rFonts w:eastAsia="Calibri" w:cs="Times New Roman"/>
          <w:bdr w:val="nil"/>
          <w:lang w:val="en-US"/>
        </w:rPr>
        <w:t xml:space="preserve">to issue a trading statement to </w:t>
      </w:r>
      <w:r w:rsidR="00DE717A">
        <w:rPr>
          <w:rFonts w:eastAsia="Calibri" w:cs="Times New Roman"/>
          <w:bdr w:val="nil"/>
          <w:lang w:val="en-US"/>
        </w:rPr>
        <w:t xml:space="preserve">their </w:t>
      </w:r>
      <w:r w:rsidR="00A71B1F">
        <w:rPr>
          <w:rFonts w:eastAsia="Calibri" w:cs="Times New Roman"/>
          <w:bdr w:val="nil"/>
          <w:lang w:val="en-US"/>
        </w:rPr>
        <w:t xml:space="preserve">shareholders to communicate anticipated changes to </w:t>
      </w:r>
      <w:r w:rsidR="00B400BE">
        <w:rPr>
          <w:rFonts w:eastAsia="Calibri" w:cs="Times New Roman"/>
          <w:bdr w:val="nil"/>
          <w:lang w:val="en-US"/>
        </w:rPr>
        <w:t xml:space="preserve">a </w:t>
      </w:r>
      <w:r w:rsidR="00A71B1F">
        <w:rPr>
          <w:rFonts w:eastAsia="Calibri" w:cs="Times New Roman"/>
          <w:bdr w:val="nil"/>
          <w:lang w:val="en-US"/>
        </w:rPr>
        <w:t xml:space="preserve">company’s trading position that would be relevant to the upcoming financial results release. Trading statements are generally issued to provide shareholders with a range of outcomes in respect of key </w:t>
      </w:r>
      <w:r>
        <w:rPr>
          <w:rFonts w:eastAsia="Calibri" w:cs="Times New Roman"/>
          <w:bdr w:val="nil"/>
          <w:lang w:val="en-US"/>
        </w:rPr>
        <w:t xml:space="preserve">financial </w:t>
      </w:r>
      <w:r w:rsidR="00A71B1F">
        <w:rPr>
          <w:rFonts w:eastAsia="Calibri" w:cs="Times New Roman"/>
          <w:bdr w:val="nil"/>
          <w:lang w:val="en-US"/>
        </w:rPr>
        <w:t xml:space="preserve">metrics as soon as </w:t>
      </w:r>
      <w:r w:rsidR="00B400BE">
        <w:rPr>
          <w:rFonts w:eastAsia="Calibri" w:cs="Times New Roman"/>
          <w:bdr w:val="nil"/>
          <w:lang w:val="en-US"/>
        </w:rPr>
        <w:t xml:space="preserve">a </w:t>
      </w:r>
      <w:r w:rsidR="00A71B1F">
        <w:rPr>
          <w:rFonts w:eastAsia="Calibri" w:cs="Times New Roman"/>
          <w:bdr w:val="nil"/>
          <w:lang w:val="en-US"/>
        </w:rPr>
        <w:t xml:space="preserve">company has reasonable certainty in respect of those outcomes. </w:t>
      </w:r>
    </w:p>
    <w:p w14:paraId="43827724" w14:textId="3BE71DB1" w:rsidR="00D2653B" w:rsidRDefault="00B400BE" w:rsidP="00D2653B">
      <w:pPr>
        <w:pStyle w:val="BodyText1"/>
        <w:pBdr>
          <w:top w:val="nil"/>
          <w:left w:val="nil"/>
          <w:bottom w:val="nil"/>
          <w:right w:val="nil"/>
          <w:between w:val="nil"/>
          <w:bar w:val="nil"/>
        </w:pBdr>
        <w:rPr>
          <w:rFonts w:eastAsia="Calibri" w:cs="Times New Roman"/>
          <w:bdr w:val="nil"/>
          <w:lang w:val="en-US"/>
        </w:rPr>
      </w:pPr>
      <w:r>
        <w:rPr>
          <w:rFonts w:eastAsia="Calibri" w:cs="Times New Roman"/>
          <w:bdr w:val="nil"/>
          <w:lang w:val="en-US"/>
        </w:rPr>
        <w:t>Prosus is a subsidiary of Naspers</w:t>
      </w:r>
      <w:r w:rsidR="00616E25">
        <w:rPr>
          <w:rFonts w:eastAsia="Calibri" w:cs="Times New Roman"/>
          <w:bdr w:val="nil"/>
          <w:lang w:val="en-US"/>
        </w:rPr>
        <w:t xml:space="preserve">, and its financial results almost completely account for Naspers’ results. Based on Naspers’ anticipated </w:t>
      </w:r>
      <w:r w:rsidR="00B61DA9">
        <w:rPr>
          <w:rFonts w:eastAsia="Calibri" w:cs="Times New Roman"/>
          <w:bdr w:val="nil"/>
          <w:lang w:val="en-US"/>
        </w:rPr>
        <w:t xml:space="preserve">year ended 31 March 2020 </w:t>
      </w:r>
      <w:r w:rsidR="00616E25">
        <w:rPr>
          <w:rFonts w:eastAsia="Calibri" w:cs="Times New Roman"/>
          <w:bdr w:val="nil"/>
          <w:lang w:val="en-US"/>
        </w:rPr>
        <w:t>results, Naspers is required to issue a trading statement in terms of the JSE’s listing requirements</w:t>
      </w:r>
      <w:r w:rsidR="00D9782E">
        <w:rPr>
          <w:rFonts w:eastAsia="Calibri" w:cs="Times New Roman"/>
          <w:bdr w:val="nil"/>
          <w:lang w:val="en-US"/>
        </w:rPr>
        <w:t>. To ensure that shareholders of Prosus are provided simultaneously with equivalent information, Prosus is issuing this trading statement.</w:t>
      </w:r>
      <w:r w:rsidR="00D20CCC">
        <w:rPr>
          <w:rFonts w:eastAsia="Calibri" w:cs="Times New Roman"/>
          <w:bdr w:val="nil"/>
          <w:lang w:val="en-US"/>
        </w:rPr>
        <w:t xml:space="preserve"> </w:t>
      </w:r>
    </w:p>
    <w:p w14:paraId="1F553E8B" w14:textId="568F8AC7" w:rsidR="00B41D1F" w:rsidRDefault="001434C6" w:rsidP="001434C6">
      <w:pPr>
        <w:pStyle w:val="BodyText1"/>
        <w:pBdr>
          <w:top w:val="nil"/>
          <w:left w:val="nil"/>
          <w:bottom w:val="nil"/>
          <w:right w:val="nil"/>
          <w:between w:val="nil"/>
          <w:bar w:val="nil"/>
        </w:pBdr>
        <w:rPr>
          <w:rFonts w:eastAsia="Calibri" w:cs="Times New Roman"/>
          <w:color w:val="000000"/>
          <w:bdr w:val="nil"/>
        </w:rPr>
      </w:pPr>
      <w:r w:rsidRPr="00B00B3C">
        <w:rPr>
          <w:rFonts w:eastAsia="Calibri" w:cs="Times New Roman"/>
          <w:color w:val="000000"/>
          <w:bdr w:val="nil"/>
        </w:rPr>
        <w:t xml:space="preserve">We ended the financial year facing into the global </w:t>
      </w:r>
      <w:r w:rsidR="00E250C6">
        <w:rPr>
          <w:rFonts w:eastAsia="Calibri" w:cs="Times New Roman"/>
          <w:color w:val="000000"/>
          <w:bdr w:val="nil"/>
        </w:rPr>
        <w:t>Covid</w:t>
      </w:r>
      <w:r w:rsidRPr="00B00B3C">
        <w:rPr>
          <w:rFonts w:eastAsia="Calibri" w:cs="Times New Roman"/>
          <w:color w:val="000000"/>
          <w:bdr w:val="nil"/>
        </w:rPr>
        <w:t xml:space="preserve">-19 pandemic, with many of our markets </w:t>
      </w:r>
      <w:r w:rsidR="009E5610">
        <w:rPr>
          <w:rFonts w:eastAsia="Calibri" w:cs="Times New Roman"/>
          <w:color w:val="000000"/>
          <w:bdr w:val="nil"/>
        </w:rPr>
        <w:t xml:space="preserve">entering </w:t>
      </w:r>
      <w:r w:rsidRPr="00B00B3C">
        <w:rPr>
          <w:rFonts w:eastAsia="Calibri" w:cs="Times New Roman"/>
          <w:color w:val="000000"/>
          <w:bdr w:val="nil"/>
        </w:rPr>
        <w:t>lockdown in the last two weeks of March 2020.</w:t>
      </w:r>
      <w:r>
        <w:rPr>
          <w:rFonts w:eastAsia="Calibri" w:cs="Times New Roman"/>
          <w:color w:val="000000"/>
          <w:bdr w:val="nil"/>
        </w:rPr>
        <w:t xml:space="preserve"> </w:t>
      </w:r>
      <w:r w:rsidRPr="001E55D9">
        <w:rPr>
          <w:rFonts w:eastAsia="Calibri" w:cs="Times New Roman"/>
          <w:color w:val="000000"/>
          <w:bdr w:val="nil"/>
        </w:rPr>
        <w:t xml:space="preserve">We continue to respond quickly to the evolving </w:t>
      </w:r>
      <w:r w:rsidR="00E250C6">
        <w:rPr>
          <w:rFonts w:eastAsia="Calibri" w:cs="Times New Roman"/>
          <w:color w:val="000000"/>
          <w:bdr w:val="nil"/>
        </w:rPr>
        <w:t>Covid</w:t>
      </w:r>
      <w:r w:rsidRPr="001E55D9">
        <w:rPr>
          <w:rFonts w:eastAsia="Calibri" w:cs="Times New Roman"/>
          <w:color w:val="000000"/>
          <w:bdr w:val="nil"/>
        </w:rPr>
        <w:t xml:space="preserve">-19 situation to ensure we safeguard our people, maintain our ability to serve our customers and protect our businesses for the long term. </w:t>
      </w:r>
    </w:p>
    <w:p w14:paraId="68AF90D1" w14:textId="0DC69A34" w:rsidR="001434C6" w:rsidRPr="009E5610" w:rsidRDefault="001434C6" w:rsidP="001434C6">
      <w:pPr>
        <w:pStyle w:val="BodyText1"/>
        <w:pBdr>
          <w:top w:val="nil"/>
          <w:left w:val="nil"/>
          <w:bottom w:val="nil"/>
          <w:right w:val="nil"/>
          <w:between w:val="nil"/>
          <w:bar w:val="nil"/>
        </w:pBdr>
        <w:rPr>
          <w:rFonts w:eastAsia="Calibri" w:cs="Times New Roman"/>
          <w:color w:val="000000"/>
          <w:bdr w:val="nil"/>
        </w:rPr>
      </w:pPr>
      <w:r>
        <w:rPr>
          <w:rFonts w:eastAsia="Calibri" w:cs="Times New Roman"/>
          <w:color w:val="000000"/>
          <w:bdr w:val="nil"/>
        </w:rPr>
        <w:t xml:space="preserve">During the year ended 31 March 2020, </w:t>
      </w:r>
      <w:r w:rsidRPr="006D0531">
        <w:rPr>
          <w:rFonts w:eastAsia="Calibri" w:cs="Times New Roman"/>
          <w:color w:val="000000"/>
          <w:bdr w:val="nil"/>
        </w:rPr>
        <w:t xml:space="preserve">all key </w:t>
      </w:r>
      <w:r>
        <w:rPr>
          <w:rFonts w:eastAsia="Calibri" w:cs="Times New Roman"/>
          <w:color w:val="000000"/>
          <w:bdr w:val="nil"/>
        </w:rPr>
        <w:t xml:space="preserve">ecommerce </w:t>
      </w:r>
      <w:r w:rsidRPr="006D0531">
        <w:rPr>
          <w:rFonts w:eastAsia="Calibri" w:cs="Times New Roman"/>
          <w:color w:val="000000"/>
          <w:bdr w:val="nil"/>
        </w:rPr>
        <w:t xml:space="preserve">segments made good progress against financial and strategic objectives. </w:t>
      </w:r>
      <w:r w:rsidRPr="009E5610">
        <w:rPr>
          <w:rFonts w:eastAsia="Calibri" w:cs="Times New Roman"/>
          <w:color w:val="000000"/>
          <w:bdr w:val="nil"/>
        </w:rPr>
        <w:t>Classifieds</w:t>
      </w:r>
      <w:r w:rsidR="00431718" w:rsidRPr="009E5610">
        <w:rPr>
          <w:rFonts w:eastAsia="Calibri" w:cs="Times New Roman"/>
          <w:color w:val="000000"/>
          <w:bdr w:val="nil"/>
        </w:rPr>
        <w:t xml:space="preserve"> again </w:t>
      </w:r>
      <w:r w:rsidR="00431718" w:rsidRPr="00F13B8B">
        <w:rPr>
          <w:rFonts w:eastAsia="Calibri" w:cs="Times New Roman"/>
          <w:color w:val="000000"/>
          <w:bdr w:val="nil"/>
        </w:rPr>
        <w:t xml:space="preserve">grew </w:t>
      </w:r>
      <w:r w:rsidR="00431718" w:rsidRPr="009E5610">
        <w:rPr>
          <w:rFonts w:eastAsia="Calibri" w:cs="Times New Roman"/>
          <w:color w:val="000000"/>
          <w:bdr w:val="nil"/>
        </w:rPr>
        <w:t>considerably faster than many of its peers and increase</w:t>
      </w:r>
      <w:r w:rsidR="00431718" w:rsidRPr="00F13B8B">
        <w:rPr>
          <w:rFonts w:eastAsia="Calibri" w:cs="Times New Roman"/>
          <w:color w:val="000000"/>
          <w:bdr w:val="nil"/>
        </w:rPr>
        <w:t>d</w:t>
      </w:r>
      <w:r w:rsidR="00431718" w:rsidRPr="009E5610">
        <w:rPr>
          <w:rFonts w:eastAsia="Calibri" w:cs="Times New Roman"/>
          <w:color w:val="000000"/>
          <w:bdr w:val="nil"/>
        </w:rPr>
        <w:t xml:space="preserve"> profits.  </w:t>
      </w:r>
      <w:r w:rsidRPr="009E5610">
        <w:rPr>
          <w:rFonts w:eastAsia="Calibri" w:cs="Times New Roman"/>
          <w:color w:val="000000"/>
          <w:bdr w:val="nil"/>
        </w:rPr>
        <w:t xml:space="preserve">Payments and Fintech </w:t>
      </w:r>
      <w:r w:rsidR="000F45DB" w:rsidRPr="00F13B8B">
        <w:rPr>
          <w:rFonts w:eastAsia="Calibri" w:cs="Times New Roman"/>
          <w:color w:val="000000"/>
          <w:bdr w:val="nil"/>
        </w:rPr>
        <w:t xml:space="preserve">have </w:t>
      </w:r>
      <w:r w:rsidRPr="009E5610">
        <w:rPr>
          <w:rFonts w:eastAsia="Calibri" w:cs="Times New Roman"/>
          <w:color w:val="000000"/>
          <w:bdr w:val="nil"/>
        </w:rPr>
        <w:t xml:space="preserve">now reached profitability at their core while also investing to drive future growth. Food Delivery was </w:t>
      </w:r>
      <w:r w:rsidR="00A513BB">
        <w:rPr>
          <w:rFonts w:eastAsia="Calibri" w:cs="Times New Roman"/>
          <w:color w:val="000000"/>
          <w:bdr w:val="nil"/>
        </w:rPr>
        <w:t xml:space="preserve">a key </w:t>
      </w:r>
      <w:r w:rsidRPr="009E5610">
        <w:rPr>
          <w:rFonts w:eastAsia="Calibri" w:cs="Times New Roman"/>
          <w:color w:val="000000"/>
          <w:bdr w:val="nil"/>
        </w:rPr>
        <w:t xml:space="preserve">investment area during the year as we seek to grow the market and our position in it by investing in technology and building out our first-party delivery capabilities, city and restaurant reach. </w:t>
      </w:r>
      <w:r w:rsidR="00431718" w:rsidRPr="009E5610">
        <w:rPr>
          <w:rFonts w:eastAsia="Calibri" w:cs="Times New Roman"/>
          <w:color w:val="000000"/>
          <w:bdr w:val="nil"/>
        </w:rPr>
        <w:t>Initial results are highly encouraging as, to da</w:t>
      </w:r>
      <w:r w:rsidRPr="009E5610">
        <w:rPr>
          <w:rFonts w:eastAsia="Calibri" w:cs="Times New Roman"/>
          <w:color w:val="000000"/>
          <w:bdr w:val="nil"/>
        </w:rPr>
        <w:t xml:space="preserve">te, this investment has driven significant order and revenue growth in our Food Delivery operations. The progress of our core ecommerce segments, which are growing fast and scaling well, gives us confidence in our ability to continue identifying opportunities to create significant value into the future. Tencent delivered a solid financial performance. Further details will be provided in the summarised consolidated financial results, due for release on 29 June 2020.  </w:t>
      </w:r>
    </w:p>
    <w:p w14:paraId="733868BC" w14:textId="3CA92D0D" w:rsidR="005416D6" w:rsidRDefault="001434C6" w:rsidP="001434C6">
      <w:pPr>
        <w:pStyle w:val="BodyText1"/>
        <w:pBdr>
          <w:top w:val="nil"/>
          <w:left w:val="nil"/>
          <w:bottom w:val="nil"/>
          <w:right w:val="nil"/>
          <w:between w:val="nil"/>
          <w:bar w:val="nil"/>
        </w:pBdr>
        <w:spacing w:after="0"/>
        <w:rPr>
          <w:rFonts w:eastAsia="Calibri" w:cs="Times New Roman"/>
          <w:color w:val="000000"/>
          <w:bdr w:val="nil"/>
        </w:rPr>
      </w:pPr>
      <w:r w:rsidRPr="009E5610">
        <w:rPr>
          <w:rFonts w:eastAsia="Calibri" w:cs="Times New Roman"/>
          <w:color w:val="000000"/>
          <w:bdr w:val="nil"/>
        </w:rPr>
        <w:t xml:space="preserve">While we believe each of our segments will continue to benefit from secular growth trends, the global pandemic has negatively impacted </w:t>
      </w:r>
      <w:r w:rsidR="00431718" w:rsidRPr="009E5610">
        <w:rPr>
          <w:rFonts w:eastAsia="Calibri" w:cs="Times New Roman"/>
          <w:color w:val="000000"/>
          <w:bdr w:val="nil"/>
        </w:rPr>
        <w:t xml:space="preserve">some </w:t>
      </w:r>
      <w:r w:rsidRPr="009E5610">
        <w:rPr>
          <w:rFonts w:eastAsia="Calibri" w:cs="Times New Roman"/>
          <w:color w:val="000000"/>
          <w:bdr w:val="nil"/>
        </w:rPr>
        <w:t xml:space="preserve">operations and we need to caution against the potential impacts of </w:t>
      </w:r>
      <w:r w:rsidR="00E250C6">
        <w:rPr>
          <w:rFonts w:eastAsia="Calibri" w:cs="Times New Roman"/>
          <w:color w:val="000000"/>
          <w:bdr w:val="nil"/>
        </w:rPr>
        <w:t>Covid</w:t>
      </w:r>
      <w:r w:rsidRPr="009E5610">
        <w:rPr>
          <w:rFonts w:eastAsia="Calibri" w:cs="Times New Roman"/>
          <w:color w:val="000000"/>
          <w:bdr w:val="nil"/>
        </w:rPr>
        <w:t xml:space="preserve">-19 on the 31 March 2021 financial year. That said, it is important to note that </w:t>
      </w:r>
      <w:r w:rsidR="005C683F" w:rsidRPr="009E5610">
        <w:rPr>
          <w:rFonts w:eastAsia="Calibri" w:cs="Times New Roman"/>
          <w:color w:val="000000"/>
          <w:bdr w:val="nil"/>
        </w:rPr>
        <w:t xml:space="preserve">the </w:t>
      </w:r>
      <w:r w:rsidRPr="009E5610">
        <w:rPr>
          <w:rFonts w:eastAsia="Calibri" w:cs="Times New Roman"/>
          <w:color w:val="000000"/>
          <w:bdr w:val="nil"/>
        </w:rPr>
        <w:t xml:space="preserve">fundamentals of our businesses remain very strong and </w:t>
      </w:r>
      <w:r w:rsidR="005C683F" w:rsidRPr="009E5610">
        <w:rPr>
          <w:rFonts w:eastAsia="Calibri" w:cs="Times New Roman"/>
          <w:color w:val="000000"/>
          <w:bdr w:val="nil"/>
        </w:rPr>
        <w:t xml:space="preserve">we believe that the we are </w:t>
      </w:r>
      <w:r w:rsidRPr="009E5610">
        <w:rPr>
          <w:rFonts w:eastAsia="Calibri" w:cs="Times New Roman"/>
          <w:color w:val="000000"/>
          <w:bdr w:val="nil"/>
        </w:rPr>
        <w:t xml:space="preserve">well positioned to weather this </w:t>
      </w:r>
      <w:r w:rsidR="005C683F" w:rsidRPr="009E5610">
        <w:rPr>
          <w:rFonts w:eastAsia="Calibri" w:cs="Times New Roman"/>
          <w:color w:val="000000"/>
          <w:bdr w:val="nil"/>
        </w:rPr>
        <w:t xml:space="preserve">unprecedented </w:t>
      </w:r>
      <w:r w:rsidRPr="009E5610">
        <w:rPr>
          <w:rFonts w:eastAsia="Calibri" w:cs="Times New Roman"/>
          <w:color w:val="000000"/>
          <w:bdr w:val="nil"/>
        </w:rPr>
        <w:t xml:space="preserve">storm. </w:t>
      </w:r>
      <w:r w:rsidR="005C683F" w:rsidRPr="009E5610">
        <w:rPr>
          <w:rFonts w:eastAsia="Calibri" w:cs="Times New Roman"/>
          <w:color w:val="000000"/>
          <w:bdr w:val="nil"/>
        </w:rPr>
        <w:t>W</w:t>
      </w:r>
      <w:r w:rsidRPr="009E5610">
        <w:rPr>
          <w:rFonts w:eastAsia="Calibri" w:cs="Times New Roman"/>
          <w:color w:val="000000"/>
          <w:bdr w:val="nil"/>
        </w:rPr>
        <w:t xml:space="preserve">e have sufficient liquidity to </w:t>
      </w:r>
      <w:r w:rsidR="005C683F" w:rsidRPr="009E5610">
        <w:rPr>
          <w:rFonts w:eastAsia="Calibri" w:cs="Times New Roman"/>
          <w:color w:val="000000"/>
          <w:bdr w:val="nil"/>
        </w:rPr>
        <w:t xml:space="preserve">provide </w:t>
      </w:r>
      <w:r w:rsidRPr="009E5610">
        <w:rPr>
          <w:rFonts w:eastAsia="Calibri" w:cs="Times New Roman"/>
          <w:color w:val="000000"/>
          <w:bdr w:val="nil"/>
        </w:rPr>
        <w:t xml:space="preserve">our businesses </w:t>
      </w:r>
      <w:r w:rsidR="005C683F" w:rsidRPr="009E5610">
        <w:rPr>
          <w:rFonts w:eastAsia="Calibri" w:cs="Times New Roman"/>
          <w:color w:val="000000"/>
          <w:bdr w:val="nil"/>
        </w:rPr>
        <w:t xml:space="preserve">with the appropriate level of funding as well as invest in external </w:t>
      </w:r>
      <w:r w:rsidRPr="009E5610">
        <w:rPr>
          <w:rFonts w:eastAsia="Calibri" w:cs="Times New Roman"/>
          <w:color w:val="000000"/>
          <w:bdr w:val="nil"/>
        </w:rPr>
        <w:t>opportunities that may present themselves during this period.</w:t>
      </w:r>
    </w:p>
    <w:p w14:paraId="4741C02E" w14:textId="77777777" w:rsidR="005416D6" w:rsidRDefault="005416D6" w:rsidP="00AF187C">
      <w:pPr>
        <w:pStyle w:val="BodyText1"/>
        <w:pBdr>
          <w:top w:val="nil"/>
          <w:left w:val="nil"/>
          <w:bottom w:val="nil"/>
          <w:right w:val="nil"/>
          <w:between w:val="nil"/>
          <w:bar w:val="nil"/>
        </w:pBdr>
        <w:spacing w:after="0"/>
        <w:rPr>
          <w:rFonts w:eastAsia="Calibri" w:cs="Times New Roman"/>
          <w:color w:val="000000"/>
          <w:bdr w:val="nil"/>
        </w:rPr>
      </w:pPr>
    </w:p>
    <w:p w14:paraId="4E098040" w14:textId="26B8FB57" w:rsidR="0094110B" w:rsidRDefault="0094110B">
      <w:pPr>
        <w:pStyle w:val="BodyText1"/>
        <w:pBdr>
          <w:top w:val="nil"/>
          <w:left w:val="nil"/>
          <w:bottom w:val="nil"/>
          <w:right w:val="nil"/>
          <w:between w:val="nil"/>
          <w:bar w:val="nil"/>
        </w:pBdr>
        <w:spacing w:after="0" w:line="240" w:lineRule="exact"/>
        <w:rPr>
          <w:rFonts w:eastAsia="Calibri" w:cs="Times New Roman"/>
          <w:bdr w:val="nil"/>
        </w:rPr>
      </w:pPr>
      <w:r>
        <w:rPr>
          <w:rFonts w:eastAsia="Calibri" w:cs="Times New Roman"/>
          <w:bdr w:val="nil"/>
        </w:rPr>
        <w:t xml:space="preserve">For the year ended 31 March 2020, the group’s earnings, headline earnings and core headline earnings </w:t>
      </w:r>
      <w:r w:rsidR="00D93F52">
        <w:rPr>
          <w:rFonts w:eastAsia="Calibri" w:cs="Times New Roman"/>
          <w:bdr w:val="nil"/>
        </w:rPr>
        <w:t xml:space="preserve">are impacted by a number of discreet items that investors should be aware of. </w:t>
      </w:r>
      <w:r>
        <w:rPr>
          <w:rFonts w:eastAsia="Calibri" w:cs="Times New Roman"/>
          <w:bdr w:val="nil"/>
        </w:rPr>
        <w:t xml:space="preserve"> </w:t>
      </w:r>
    </w:p>
    <w:p w14:paraId="218F08DB" w14:textId="075381A5" w:rsidR="00F13B8B" w:rsidRDefault="00F13B8B">
      <w:pPr>
        <w:pStyle w:val="BodyText1"/>
        <w:pBdr>
          <w:top w:val="nil"/>
          <w:left w:val="nil"/>
          <w:bottom w:val="nil"/>
          <w:right w:val="nil"/>
          <w:between w:val="nil"/>
          <w:bar w:val="nil"/>
        </w:pBdr>
        <w:spacing w:after="0" w:line="240" w:lineRule="exact"/>
        <w:rPr>
          <w:rFonts w:eastAsia="Calibri" w:cs="Times New Roman"/>
          <w:bdr w:val="nil"/>
        </w:rPr>
      </w:pPr>
    </w:p>
    <w:p w14:paraId="29A14061" w14:textId="2A2F8DE0" w:rsidR="00F13B8B" w:rsidRDefault="00F13B8B">
      <w:pPr>
        <w:pStyle w:val="BodyText1"/>
        <w:pBdr>
          <w:top w:val="nil"/>
          <w:left w:val="nil"/>
          <w:bottom w:val="nil"/>
          <w:right w:val="nil"/>
          <w:between w:val="nil"/>
          <w:bar w:val="nil"/>
        </w:pBdr>
        <w:spacing w:after="0" w:line="240" w:lineRule="exact"/>
        <w:rPr>
          <w:rFonts w:eastAsia="Calibri" w:cs="Times New Roman"/>
          <w:bdr w:val="nil"/>
        </w:rPr>
      </w:pPr>
    </w:p>
    <w:p w14:paraId="14A261C3" w14:textId="07299198" w:rsidR="00F13B8B" w:rsidRDefault="00F13B8B">
      <w:pPr>
        <w:pStyle w:val="BodyText1"/>
        <w:pBdr>
          <w:top w:val="nil"/>
          <w:left w:val="nil"/>
          <w:bottom w:val="nil"/>
          <w:right w:val="nil"/>
          <w:between w:val="nil"/>
          <w:bar w:val="nil"/>
        </w:pBdr>
        <w:spacing w:after="0" w:line="240" w:lineRule="exact"/>
        <w:rPr>
          <w:rFonts w:eastAsia="Calibri" w:cs="Times New Roman"/>
          <w:bdr w:val="nil"/>
        </w:rPr>
      </w:pPr>
    </w:p>
    <w:p w14:paraId="60C33362" w14:textId="54BDBD6A" w:rsidR="00741166" w:rsidRDefault="00741166">
      <w:pPr>
        <w:rPr>
          <w:rFonts w:ascii="Calibri" w:eastAsia="Calibri" w:hAnsi="Calibri" w:cs="Times New Roman"/>
          <w:color w:val="000000" w:themeColor="text1"/>
          <w:bdr w:val="nil"/>
        </w:rPr>
      </w:pPr>
      <w:r>
        <w:rPr>
          <w:rFonts w:eastAsia="Calibri" w:cs="Times New Roman"/>
          <w:bdr w:val="nil"/>
        </w:rPr>
        <w:br w:type="page"/>
      </w:r>
    </w:p>
    <w:p w14:paraId="0E188199" w14:textId="77777777" w:rsidR="009A7D5A" w:rsidRDefault="009A7D5A">
      <w:pPr>
        <w:pStyle w:val="BodyText1"/>
        <w:pBdr>
          <w:top w:val="nil"/>
          <w:left w:val="nil"/>
          <w:bottom w:val="nil"/>
          <w:right w:val="nil"/>
          <w:between w:val="nil"/>
          <w:bar w:val="nil"/>
        </w:pBdr>
        <w:spacing w:after="0" w:line="240" w:lineRule="exact"/>
        <w:rPr>
          <w:rFonts w:eastAsia="Calibri" w:cs="Times New Roman"/>
          <w:bdr w:val="nil"/>
        </w:rPr>
      </w:pPr>
    </w:p>
    <w:p w14:paraId="120DB336" w14:textId="77777777" w:rsidR="0094110B" w:rsidRDefault="0094110B">
      <w:pPr>
        <w:pStyle w:val="BodyText1"/>
        <w:pBdr>
          <w:top w:val="nil"/>
          <w:left w:val="nil"/>
          <w:bottom w:val="nil"/>
          <w:right w:val="nil"/>
          <w:between w:val="nil"/>
          <w:bar w:val="nil"/>
        </w:pBdr>
        <w:spacing w:after="0" w:line="240" w:lineRule="exact"/>
        <w:rPr>
          <w:rFonts w:eastAsia="Calibri" w:cs="Times New Roman"/>
          <w:color w:val="000000"/>
          <w:bdr w:val="nil"/>
        </w:rPr>
      </w:pPr>
    </w:p>
    <w:p w14:paraId="77B93121" w14:textId="130A8130" w:rsidR="00836ACE" w:rsidRDefault="00B60DA1" w:rsidP="00F13B8B">
      <w:pPr>
        <w:pStyle w:val="BodyText1"/>
        <w:pBdr>
          <w:top w:val="nil"/>
          <w:left w:val="nil"/>
          <w:bottom w:val="nil"/>
          <w:right w:val="nil"/>
          <w:between w:val="nil"/>
          <w:bar w:val="nil"/>
        </w:pBdr>
        <w:spacing w:after="0" w:line="240" w:lineRule="exact"/>
        <w:rPr>
          <w:rFonts w:eastAsia="Calibri" w:cs="Times New Roman"/>
          <w:color w:val="000000"/>
          <w:bdr w:val="nil"/>
        </w:rPr>
      </w:pPr>
      <w:r>
        <w:rPr>
          <w:rFonts w:eastAsia="Calibri" w:cs="Times New Roman"/>
          <w:color w:val="000000"/>
          <w:bdr w:val="nil"/>
        </w:rPr>
        <w:t xml:space="preserve">Growth in </w:t>
      </w:r>
      <w:r w:rsidRPr="00F13B8B">
        <w:rPr>
          <w:rFonts w:eastAsia="Calibri" w:cs="Times New Roman"/>
          <w:b/>
          <w:bCs/>
          <w:color w:val="000000"/>
          <w:bdr w:val="nil"/>
        </w:rPr>
        <w:t>e</w:t>
      </w:r>
      <w:r w:rsidR="00AF187C" w:rsidRPr="00F13B8B">
        <w:rPr>
          <w:rFonts w:eastAsia="Calibri" w:cs="Times New Roman"/>
          <w:b/>
          <w:bCs/>
          <w:color w:val="000000"/>
          <w:bdr w:val="nil"/>
        </w:rPr>
        <w:t>arnings per share</w:t>
      </w:r>
      <w:r w:rsidR="00AF187C">
        <w:rPr>
          <w:rFonts w:eastAsia="Calibri" w:cs="Times New Roman"/>
          <w:color w:val="000000"/>
          <w:bdr w:val="nil"/>
        </w:rPr>
        <w:t xml:space="preserve"> in the current period </w:t>
      </w:r>
      <w:r w:rsidR="00187773">
        <w:rPr>
          <w:rFonts w:eastAsia="Calibri" w:cs="Times New Roman"/>
          <w:color w:val="000000"/>
          <w:bdr w:val="nil"/>
        </w:rPr>
        <w:t xml:space="preserve">is expected to </w:t>
      </w:r>
      <w:r w:rsidR="00AF187C">
        <w:rPr>
          <w:rFonts w:eastAsia="Calibri" w:cs="Times New Roman"/>
          <w:color w:val="000000"/>
          <w:bdr w:val="nil"/>
        </w:rPr>
        <w:t>reduce</w:t>
      </w:r>
      <w:r w:rsidR="001114A3">
        <w:rPr>
          <w:rFonts w:eastAsia="Calibri" w:cs="Times New Roman"/>
          <w:color w:val="000000"/>
          <w:bdr w:val="nil"/>
        </w:rPr>
        <w:t xml:space="preserve"> as a consequence of: </w:t>
      </w:r>
    </w:p>
    <w:p w14:paraId="229F0519" w14:textId="54AF13FB" w:rsidR="009E5610" w:rsidRPr="009E5610" w:rsidRDefault="009E5610" w:rsidP="00F13B8B">
      <w:pPr>
        <w:pStyle w:val="BodyText1"/>
        <w:numPr>
          <w:ilvl w:val="0"/>
          <w:numId w:val="3"/>
        </w:numPr>
        <w:pBdr>
          <w:top w:val="nil"/>
          <w:left w:val="nil"/>
          <w:bottom w:val="nil"/>
          <w:right w:val="nil"/>
          <w:between w:val="nil"/>
          <w:bar w:val="nil"/>
        </w:pBdr>
        <w:spacing w:after="0"/>
        <w:rPr>
          <w:rFonts w:eastAsia="Calibri" w:cs="Times New Roman"/>
          <w:color w:val="000000"/>
          <w:bdr w:val="nil"/>
        </w:rPr>
      </w:pPr>
      <w:r>
        <w:rPr>
          <w:rFonts w:eastAsia="Calibri" w:cs="Times New Roman"/>
          <w:color w:val="000000"/>
          <w:bdr w:val="nil"/>
        </w:rPr>
        <w:t>A</w:t>
      </w:r>
      <w:r w:rsidRPr="003B4F57">
        <w:rPr>
          <w:rFonts w:eastAsia="Calibri" w:cs="Times New Roman"/>
          <w:color w:val="000000"/>
          <w:bdr w:val="nil"/>
        </w:rPr>
        <w:t xml:space="preserve"> gain of approximately US$600m recognised on </w:t>
      </w:r>
      <w:r w:rsidR="00D93F52">
        <w:rPr>
          <w:rFonts w:eastAsia="Calibri" w:cs="Times New Roman"/>
          <w:color w:val="000000"/>
          <w:bdr w:val="nil"/>
        </w:rPr>
        <w:t xml:space="preserve">the </w:t>
      </w:r>
      <w:r w:rsidRPr="003B4F57">
        <w:rPr>
          <w:rFonts w:eastAsia="Calibri" w:cs="Times New Roman"/>
          <w:color w:val="000000"/>
          <w:bdr w:val="nil"/>
        </w:rPr>
        <w:t>disposal of the group’s interest in MakeMyTrip Limited</w:t>
      </w:r>
      <w:r>
        <w:rPr>
          <w:rFonts w:eastAsia="Calibri" w:cs="Times New Roman"/>
          <w:color w:val="000000"/>
          <w:bdr w:val="nil"/>
        </w:rPr>
        <w:t>, compared to a</w:t>
      </w:r>
      <w:r w:rsidRPr="00BC0656">
        <w:rPr>
          <w:rFonts w:eastAsia="Calibri" w:cs="Times New Roman"/>
          <w:color w:val="000000"/>
          <w:bdr w:val="nil"/>
        </w:rPr>
        <w:t xml:space="preserve"> gain of US$1.6bn </w:t>
      </w:r>
      <w:r>
        <w:rPr>
          <w:rFonts w:eastAsia="Calibri" w:cs="Times New Roman"/>
          <w:color w:val="000000"/>
          <w:bdr w:val="nil"/>
        </w:rPr>
        <w:t xml:space="preserve">in the prior period </w:t>
      </w:r>
      <w:r w:rsidRPr="00BC0656">
        <w:rPr>
          <w:rFonts w:eastAsia="Calibri" w:cs="Times New Roman"/>
          <w:color w:val="000000"/>
          <w:bdr w:val="nil"/>
        </w:rPr>
        <w:t>recognised on disposal of the group’s interest in Flipkart Limited</w:t>
      </w:r>
      <w:r>
        <w:rPr>
          <w:rFonts w:eastAsia="Calibri" w:cs="Times New Roman"/>
          <w:color w:val="000000"/>
          <w:bdr w:val="nil"/>
        </w:rPr>
        <w:t xml:space="preserve">. This negatively impacts the year-over-year comparison by approximately </w:t>
      </w:r>
      <w:r w:rsidR="00FC0DBF">
        <w:rPr>
          <w:rFonts w:eastAsia="Calibri" w:cs="Times New Roman"/>
          <w:color w:val="000000"/>
          <w:bdr w:val="nil"/>
        </w:rPr>
        <w:t>US</w:t>
      </w:r>
      <w:r>
        <w:rPr>
          <w:rFonts w:eastAsia="Calibri" w:cs="Times New Roman"/>
          <w:color w:val="000000"/>
          <w:bdr w:val="nil"/>
        </w:rPr>
        <w:t xml:space="preserve">$1bn, </w:t>
      </w:r>
    </w:p>
    <w:p w14:paraId="0F181F90" w14:textId="4132330D" w:rsidR="009E5610" w:rsidRDefault="009E5610" w:rsidP="00F13B8B">
      <w:pPr>
        <w:pStyle w:val="BodyText1"/>
        <w:numPr>
          <w:ilvl w:val="0"/>
          <w:numId w:val="3"/>
        </w:numPr>
        <w:pBdr>
          <w:top w:val="nil"/>
          <w:left w:val="nil"/>
          <w:bottom w:val="nil"/>
          <w:right w:val="nil"/>
          <w:between w:val="nil"/>
          <w:bar w:val="nil"/>
        </w:pBdr>
        <w:spacing w:after="0"/>
        <w:rPr>
          <w:rFonts w:eastAsia="Calibri" w:cs="Times New Roman"/>
          <w:color w:val="000000"/>
          <w:bdr w:val="nil"/>
        </w:rPr>
      </w:pPr>
      <w:r w:rsidRPr="00D650DA">
        <w:rPr>
          <w:rFonts w:eastAsia="Calibri" w:cs="Times New Roman"/>
          <w:color w:val="000000"/>
          <w:bdr w:val="nil"/>
        </w:rPr>
        <w:t>US$</w:t>
      </w:r>
      <w:r>
        <w:rPr>
          <w:rFonts w:eastAsia="Calibri" w:cs="Times New Roman"/>
          <w:color w:val="000000"/>
          <w:bdr w:val="nil"/>
        </w:rPr>
        <w:t>114</w:t>
      </w:r>
      <w:r w:rsidRPr="00D650DA">
        <w:rPr>
          <w:rFonts w:eastAsia="Calibri" w:cs="Times New Roman"/>
          <w:color w:val="000000"/>
          <w:bdr w:val="nil"/>
        </w:rPr>
        <w:t>m in donations in response to the Covid-19 in March 2020</w:t>
      </w:r>
      <w:r>
        <w:rPr>
          <w:rFonts w:eastAsia="Calibri" w:cs="Times New Roman"/>
          <w:color w:val="000000"/>
          <w:bdr w:val="nil"/>
        </w:rPr>
        <w:t xml:space="preserve">, as the </w:t>
      </w:r>
      <w:r w:rsidRPr="00D650DA">
        <w:rPr>
          <w:rFonts w:eastAsia="Calibri" w:cs="Times New Roman"/>
          <w:color w:val="000000"/>
          <w:bdr w:val="nil"/>
        </w:rPr>
        <w:t xml:space="preserve">group expensed its proportionate share of </w:t>
      </w:r>
      <w:r w:rsidR="00E250C6">
        <w:rPr>
          <w:rFonts w:eastAsia="Calibri" w:cs="Times New Roman"/>
          <w:color w:val="000000"/>
          <w:bdr w:val="nil"/>
        </w:rPr>
        <w:t>Covid</w:t>
      </w:r>
      <w:r w:rsidRPr="00D650DA">
        <w:rPr>
          <w:rFonts w:eastAsia="Calibri" w:cs="Times New Roman"/>
          <w:color w:val="000000"/>
          <w:bdr w:val="nil"/>
        </w:rPr>
        <w:t>-19 donations made by Tencent Holdings Limited (Tencent) up to end March 2020</w:t>
      </w:r>
      <w:r>
        <w:rPr>
          <w:rFonts w:eastAsia="Calibri" w:cs="Times New Roman"/>
          <w:color w:val="000000"/>
          <w:bdr w:val="nil"/>
        </w:rPr>
        <w:t>, and</w:t>
      </w:r>
    </w:p>
    <w:p w14:paraId="00A428F1" w14:textId="53A11C6F" w:rsidR="00836ACE" w:rsidRDefault="00836ACE" w:rsidP="009A7D5A">
      <w:pPr>
        <w:pStyle w:val="ListParagraph"/>
        <w:numPr>
          <w:ilvl w:val="0"/>
          <w:numId w:val="3"/>
        </w:numPr>
        <w:spacing w:after="0"/>
        <w:ind w:left="714" w:hanging="357"/>
        <w:rPr>
          <w:rFonts w:ascii="Calibri" w:eastAsia="Calibri" w:hAnsi="Calibri" w:cs="Times New Roman"/>
          <w:color w:val="000000"/>
          <w:bdr w:val="nil"/>
        </w:rPr>
      </w:pPr>
      <w:r>
        <w:rPr>
          <w:rFonts w:eastAsia="Calibri" w:cs="Times New Roman"/>
          <w:color w:val="000000"/>
          <w:bdr w:val="nil"/>
        </w:rPr>
        <w:t>O</w:t>
      </w:r>
      <w:r w:rsidRPr="00C55E8B">
        <w:rPr>
          <w:rFonts w:ascii="Calibri" w:eastAsia="Calibri" w:hAnsi="Calibri" w:cs="Times New Roman"/>
          <w:color w:val="000000"/>
          <w:bdr w:val="nil"/>
        </w:rPr>
        <w:t xml:space="preserve">ur increased investment to build leadership in </w:t>
      </w:r>
      <w:r>
        <w:rPr>
          <w:rFonts w:ascii="Calibri" w:eastAsia="Calibri" w:hAnsi="Calibri" w:cs="Times New Roman"/>
          <w:color w:val="000000"/>
          <w:bdr w:val="nil"/>
        </w:rPr>
        <w:t>the group</w:t>
      </w:r>
      <w:r w:rsidR="00D93F52">
        <w:rPr>
          <w:rFonts w:ascii="Calibri" w:eastAsia="Calibri" w:hAnsi="Calibri" w:cs="Times New Roman"/>
          <w:color w:val="000000"/>
          <w:bdr w:val="nil"/>
        </w:rPr>
        <w:t>’</w:t>
      </w:r>
      <w:r>
        <w:rPr>
          <w:rFonts w:ascii="Calibri" w:eastAsia="Calibri" w:hAnsi="Calibri" w:cs="Times New Roman"/>
          <w:color w:val="000000"/>
          <w:bdr w:val="nil"/>
        </w:rPr>
        <w:t xml:space="preserve">s </w:t>
      </w:r>
      <w:r w:rsidRPr="00C55E8B">
        <w:rPr>
          <w:rFonts w:ascii="Calibri" w:eastAsia="Calibri" w:hAnsi="Calibri" w:cs="Times New Roman"/>
          <w:color w:val="000000"/>
          <w:bdr w:val="nil"/>
        </w:rPr>
        <w:t xml:space="preserve">attractive </w:t>
      </w:r>
      <w:r>
        <w:rPr>
          <w:rFonts w:ascii="Calibri" w:eastAsia="Calibri" w:hAnsi="Calibri" w:cs="Times New Roman"/>
          <w:color w:val="000000"/>
          <w:bdr w:val="nil"/>
        </w:rPr>
        <w:t xml:space="preserve">and fast-growing </w:t>
      </w:r>
      <w:r w:rsidRPr="00C55E8B">
        <w:rPr>
          <w:rFonts w:ascii="Calibri" w:eastAsia="Calibri" w:hAnsi="Calibri" w:cs="Times New Roman"/>
          <w:color w:val="000000"/>
          <w:bdr w:val="nil"/>
        </w:rPr>
        <w:t>food delivery segment</w:t>
      </w:r>
      <w:r w:rsidR="00553F55">
        <w:rPr>
          <w:rFonts w:ascii="Calibri" w:eastAsia="Calibri" w:hAnsi="Calibri" w:cs="Times New Roman"/>
          <w:color w:val="000000"/>
          <w:bdr w:val="nil"/>
        </w:rPr>
        <w:t>;</w:t>
      </w:r>
    </w:p>
    <w:p w14:paraId="572B43BB" w14:textId="2A4B873E" w:rsidR="006C21D9" w:rsidRDefault="004A7A8B" w:rsidP="006C21D9">
      <w:pPr>
        <w:pStyle w:val="BodyText1"/>
        <w:numPr>
          <w:ilvl w:val="0"/>
          <w:numId w:val="3"/>
        </w:numPr>
        <w:pBdr>
          <w:top w:val="nil"/>
          <w:left w:val="nil"/>
          <w:bottom w:val="nil"/>
          <w:right w:val="nil"/>
          <w:between w:val="nil"/>
          <w:bar w:val="nil"/>
        </w:pBdr>
        <w:rPr>
          <w:rFonts w:eastAsia="Calibri" w:cs="Times New Roman"/>
          <w:color w:val="000000"/>
          <w:bdr w:val="nil"/>
        </w:rPr>
      </w:pPr>
      <w:r w:rsidRPr="004A7A8B">
        <w:rPr>
          <w:rFonts w:eastAsia="Calibri" w:cs="Times New Roman"/>
          <w:color w:val="000000"/>
          <w:bdr w:val="nil"/>
        </w:rPr>
        <w:t>Th</w:t>
      </w:r>
      <w:r w:rsidR="00D270DF">
        <w:rPr>
          <w:rFonts w:eastAsia="Calibri" w:cs="Times New Roman"/>
          <w:color w:val="000000"/>
          <w:bdr w:val="nil"/>
        </w:rPr>
        <w:t>is</w:t>
      </w:r>
      <w:r w:rsidRPr="004A7A8B">
        <w:rPr>
          <w:rFonts w:eastAsia="Calibri" w:cs="Times New Roman"/>
          <w:color w:val="000000"/>
          <w:bdr w:val="nil"/>
        </w:rPr>
        <w:t xml:space="preserve"> is partially offset by </w:t>
      </w:r>
      <w:r>
        <w:rPr>
          <w:rFonts w:eastAsia="Calibri" w:cs="Times New Roman"/>
          <w:color w:val="000000"/>
          <w:bdr w:val="nil"/>
        </w:rPr>
        <w:t>expected i</w:t>
      </w:r>
      <w:r w:rsidR="006C21D9">
        <w:rPr>
          <w:rFonts w:eastAsia="Calibri" w:cs="Times New Roman"/>
          <w:color w:val="000000"/>
          <w:bdr w:val="nil"/>
        </w:rPr>
        <w:t>ncreased contributions from associates</w:t>
      </w:r>
      <w:r w:rsidR="00BE226E">
        <w:rPr>
          <w:rFonts w:eastAsia="Calibri" w:cs="Times New Roman"/>
          <w:color w:val="000000"/>
          <w:bdr w:val="nil"/>
        </w:rPr>
        <w:t xml:space="preserve">, particularly </w:t>
      </w:r>
      <w:r w:rsidR="00FC2C1B">
        <w:rPr>
          <w:rFonts w:eastAsia="Calibri" w:cs="Times New Roman"/>
          <w:color w:val="000000"/>
          <w:bdr w:val="nil"/>
        </w:rPr>
        <w:t>Tencent,</w:t>
      </w:r>
      <w:r w:rsidR="006C21D9">
        <w:rPr>
          <w:rFonts w:eastAsia="Calibri" w:cs="Times New Roman"/>
          <w:color w:val="000000"/>
          <w:bdr w:val="nil"/>
        </w:rPr>
        <w:t xml:space="preserve"> and </w:t>
      </w:r>
      <w:r w:rsidR="00113AAC">
        <w:rPr>
          <w:rFonts w:eastAsia="Calibri" w:cs="Times New Roman"/>
          <w:color w:val="000000"/>
          <w:bdr w:val="nil"/>
        </w:rPr>
        <w:t xml:space="preserve">consolidated trading profits from our </w:t>
      </w:r>
      <w:r w:rsidR="00876671">
        <w:rPr>
          <w:rFonts w:eastAsia="Calibri" w:cs="Times New Roman"/>
          <w:color w:val="000000"/>
          <w:bdr w:val="nil"/>
        </w:rPr>
        <w:t>c</w:t>
      </w:r>
      <w:r w:rsidR="00113AAC">
        <w:rPr>
          <w:rFonts w:eastAsia="Calibri" w:cs="Times New Roman"/>
          <w:color w:val="000000"/>
          <w:bdr w:val="nil"/>
        </w:rPr>
        <w:t>lassifieds</w:t>
      </w:r>
      <w:r w:rsidR="00EB5BBD">
        <w:rPr>
          <w:rFonts w:eastAsia="Calibri" w:cs="Times New Roman"/>
          <w:color w:val="000000"/>
          <w:bdr w:val="nil"/>
        </w:rPr>
        <w:t xml:space="preserve"> </w:t>
      </w:r>
      <w:r w:rsidR="00113AAC">
        <w:rPr>
          <w:rFonts w:eastAsia="Calibri" w:cs="Times New Roman"/>
          <w:color w:val="000000"/>
          <w:bdr w:val="nil"/>
        </w:rPr>
        <w:t xml:space="preserve">and </w:t>
      </w:r>
      <w:r w:rsidR="00876671">
        <w:rPr>
          <w:rFonts w:eastAsia="Calibri" w:cs="Times New Roman"/>
          <w:color w:val="000000"/>
          <w:bdr w:val="nil"/>
        </w:rPr>
        <w:t>e</w:t>
      </w:r>
      <w:r w:rsidR="00113AAC">
        <w:rPr>
          <w:rFonts w:eastAsia="Calibri" w:cs="Times New Roman"/>
          <w:color w:val="000000"/>
          <w:bdr w:val="nil"/>
        </w:rPr>
        <w:t xml:space="preserve">tail segments. </w:t>
      </w:r>
    </w:p>
    <w:p w14:paraId="3AE1A20C" w14:textId="552F89FF" w:rsidR="009C27C3" w:rsidRPr="000675D1" w:rsidRDefault="00B55C8E" w:rsidP="00F13B8B">
      <w:pPr>
        <w:pStyle w:val="BodyText1"/>
        <w:pBdr>
          <w:top w:val="nil"/>
          <w:left w:val="nil"/>
          <w:bottom w:val="nil"/>
          <w:right w:val="nil"/>
          <w:between w:val="nil"/>
          <w:bar w:val="nil"/>
        </w:pBdr>
        <w:spacing w:after="0"/>
        <w:rPr>
          <w:rFonts w:eastAsia="Calibri" w:cs="Times New Roman"/>
          <w:color w:val="000000"/>
          <w:bdr w:val="nil"/>
        </w:rPr>
      </w:pPr>
      <w:r>
        <w:rPr>
          <w:rFonts w:eastAsia="Calibri" w:cs="Times New Roman"/>
          <w:color w:val="000000"/>
          <w:bdr w:val="nil"/>
        </w:rPr>
        <w:t xml:space="preserve">Growth in </w:t>
      </w:r>
      <w:r w:rsidRPr="00F13B8B">
        <w:rPr>
          <w:rFonts w:eastAsia="Calibri" w:cs="Times New Roman"/>
          <w:b/>
          <w:bCs/>
          <w:color w:val="000000"/>
          <w:bdr w:val="nil"/>
        </w:rPr>
        <w:t>h</w:t>
      </w:r>
      <w:r w:rsidR="009C27C3" w:rsidRPr="00F13B8B">
        <w:rPr>
          <w:rFonts w:eastAsia="Calibri" w:cs="Times New Roman"/>
          <w:b/>
          <w:bCs/>
          <w:color w:val="000000"/>
          <w:bdr w:val="nil"/>
        </w:rPr>
        <w:t>eadline earnings per share</w:t>
      </w:r>
      <w:r w:rsidR="009C27C3" w:rsidRPr="00D650DA">
        <w:rPr>
          <w:rFonts w:eastAsia="Calibri" w:cs="Times New Roman"/>
          <w:color w:val="000000"/>
          <w:bdr w:val="nil"/>
        </w:rPr>
        <w:t xml:space="preserve"> i</w:t>
      </w:r>
      <w:r w:rsidR="00B60DA1">
        <w:rPr>
          <w:rFonts w:eastAsia="Calibri" w:cs="Times New Roman"/>
          <w:color w:val="000000"/>
          <w:bdr w:val="nil"/>
        </w:rPr>
        <w:t>s</w:t>
      </w:r>
      <w:r w:rsidR="009C27C3" w:rsidRPr="00D650DA">
        <w:rPr>
          <w:rFonts w:eastAsia="Calibri" w:cs="Times New Roman"/>
          <w:color w:val="000000"/>
          <w:bdr w:val="nil"/>
        </w:rPr>
        <w:t xml:space="preserve"> negatively </w:t>
      </w:r>
      <w:r w:rsidR="009C27C3" w:rsidRPr="000675D1">
        <w:rPr>
          <w:rFonts w:eastAsia="Calibri" w:cs="Times New Roman"/>
          <w:color w:val="000000"/>
          <w:bdr w:val="nil"/>
        </w:rPr>
        <w:t xml:space="preserve">impacted by: </w:t>
      </w:r>
    </w:p>
    <w:p w14:paraId="7D127974" w14:textId="548544F0" w:rsidR="009C27C3" w:rsidRDefault="009C27C3">
      <w:pPr>
        <w:pStyle w:val="BodyText1"/>
        <w:numPr>
          <w:ilvl w:val="0"/>
          <w:numId w:val="3"/>
        </w:numPr>
        <w:pBdr>
          <w:top w:val="nil"/>
          <w:left w:val="nil"/>
          <w:bottom w:val="nil"/>
          <w:right w:val="nil"/>
          <w:between w:val="nil"/>
          <w:bar w:val="nil"/>
        </w:pBdr>
        <w:spacing w:after="0"/>
        <w:rPr>
          <w:rFonts w:eastAsia="Calibri" w:cs="Times New Roman"/>
          <w:color w:val="000000"/>
          <w:bdr w:val="nil"/>
        </w:rPr>
      </w:pPr>
      <w:r>
        <w:rPr>
          <w:rFonts w:eastAsia="Calibri" w:cs="Times New Roman"/>
          <w:color w:val="000000"/>
          <w:bdr w:val="nil"/>
        </w:rPr>
        <w:t>F</w:t>
      </w:r>
      <w:r w:rsidRPr="00BE56BB">
        <w:rPr>
          <w:rFonts w:eastAsia="Calibri" w:cs="Times New Roman"/>
          <w:color w:val="000000"/>
          <w:bdr w:val="nil"/>
        </w:rPr>
        <w:t>air-value gains on investments held by Tencent (classified as at fair value through profit and loss) of approximately US$</w:t>
      </w:r>
      <w:r w:rsidR="00FF7435">
        <w:rPr>
          <w:rFonts w:eastAsia="Calibri" w:cs="Times New Roman"/>
          <w:color w:val="000000"/>
          <w:bdr w:val="nil"/>
        </w:rPr>
        <w:t>549</w:t>
      </w:r>
      <w:r w:rsidRPr="00BE56BB">
        <w:rPr>
          <w:rFonts w:eastAsia="Calibri" w:cs="Times New Roman"/>
          <w:color w:val="000000"/>
          <w:bdr w:val="nil"/>
        </w:rPr>
        <w:t>m</w:t>
      </w:r>
      <w:r>
        <w:rPr>
          <w:rFonts w:eastAsia="Calibri" w:cs="Times New Roman"/>
          <w:color w:val="000000"/>
          <w:bdr w:val="nil"/>
        </w:rPr>
        <w:t xml:space="preserve">, compared to </w:t>
      </w:r>
      <w:r w:rsidRPr="00BE56BB">
        <w:rPr>
          <w:rFonts w:eastAsia="Calibri" w:cs="Times New Roman"/>
          <w:color w:val="000000"/>
          <w:bdr w:val="nil"/>
        </w:rPr>
        <w:t>gains of US$1.</w:t>
      </w:r>
      <w:r w:rsidR="00FF7435">
        <w:rPr>
          <w:rFonts w:eastAsia="Calibri" w:cs="Times New Roman"/>
          <w:color w:val="000000"/>
          <w:bdr w:val="nil"/>
        </w:rPr>
        <w:t>5</w:t>
      </w:r>
      <w:r w:rsidRPr="00BE56BB">
        <w:rPr>
          <w:rFonts w:eastAsia="Calibri" w:cs="Times New Roman"/>
          <w:color w:val="000000"/>
          <w:bdr w:val="nil"/>
        </w:rPr>
        <w:t>bn recognised in the prior period</w:t>
      </w:r>
      <w:r>
        <w:rPr>
          <w:rFonts w:eastAsia="Calibri" w:cs="Times New Roman"/>
          <w:color w:val="000000"/>
          <w:bdr w:val="nil"/>
        </w:rPr>
        <w:t>.</w:t>
      </w:r>
    </w:p>
    <w:p w14:paraId="7BFCDDCE" w14:textId="3DDD3FB5" w:rsidR="00AF187C" w:rsidRDefault="00DE717A" w:rsidP="009A7D5A">
      <w:pPr>
        <w:pStyle w:val="BodyText1"/>
        <w:spacing w:before="240"/>
        <w:rPr>
          <w:rFonts w:eastAsia="Calibri" w:cs="Times New Roman"/>
          <w:bdr w:val="nil"/>
        </w:rPr>
      </w:pPr>
      <w:r w:rsidRPr="00041057">
        <w:rPr>
          <w:rFonts w:eastAsia="Calibri" w:cs="Times New Roman"/>
          <w:color w:val="000000"/>
          <w:bdr w:val="nil"/>
        </w:rPr>
        <w:t xml:space="preserve">Shareholders are reminded that the board considers core headline earnings an appropriate indicator of the operating performance of the group, as it adjusts for non-operational items. Core headline earnings per share from continuing operations for the </w:t>
      </w:r>
      <w:r w:rsidR="00B61DA9" w:rsidRPr="00041057">
        <w:rPr>
          <w:rFonts w:eastAsia="Calibri" w:cs="Times New Roman"/>
          <w:color w:val="000000"/>
          <w:bdr w:val="nil"/>
        </w:rPr>
        <w:t>current period</w:t>
      </w:r>
      <w:r w:rsidRPr="00041057">
        <w:rPr>
          <w:rFonts w:eastAsia="Calibri" w:cs="Times New Roman"/>
          <w:color w:val="000000"/>
          <w:bdr w:val="nil"/>
        </w:rPr>
        <w:t xml:space="preserve"> is expected to increase by between </w:t>
      </w:r>
      <w:r w:rsidR="008842FB" w:rsidRPr="00041057">
        <w:rPr>
          <w:rFonts w:eastAsia="Calibri" w:cs="Times New Roman"/>
          <w:color w:val="000000"/>
          <w:bdr w:val="nil"/>
        </w:rPr>
        <w:t>7</w:t>
      </w:r>
      <w:r w:rsidRPr="00041057">
        <w:rPr>
          <w:rFonts w:eastAsia="Calibri" w:cs="Times New Roman"/>
          <w:color w:val="000000"/>
          <w:bdr w:val="nil"/>
        </w:rPr>
        <w:t xml:space="preserve"> and </w:t>
      </w:r>
      <w:r w:rsidR="008842FB" w:rsidRPr="00041057">
        <w:rPr>
          <w:rFonts w:eastAsia="Calibri" w:cs="Times New Roman"/>
          <w:color w:val="000000"/>
          <w:bdr w:val="nil"/>
        </w:rPr>
        <w:t>23</w:t>
      </w:r>
      <w:r w:rsidRPr="00041057">
        <w:rPr>
          <w:rFonts w:eastAsia="Calibri" w:cs="Times New Roman"/>
          <w:color w:val="000000"/>
          <w:bdr w:val="nil"/>
        </w:rPr>
        <w:t xml:space="preserve"> cents per share (between </w:t>
      </w:r>
      <w:r w:rsidR="008842FB" w:rsidRPr="00041057">
        <w:rPr>
          <w:rFonts w:eastAsia="Calibri" w:cs="Times New Roman"/>
          <w:color w:val="000000"/>
          <w:bdr w:val="nil"/>
        </w:rPr>
        <w:t>4</w:t>
      </w:r>
      <w:r w:rsidRPr="00041057">
        <w:rPr>
          <w:rFonts w:eastAsia="Calibri" w:cs="Times New Roman"/>
          <w:color w:val="000000"/>
          <w:bdr w:val="nil"/>
        </w:rPr>
        <w:t xml:space="preserve">% and </w:t>
      </w:r>
      <w:r w:rsidR="008842FB" w:rsidRPr="00041057">
        <w:rPr>
          <w:rFonts w:eastAsia="Calibri" w:cs="Times New Roman"/>
          <w:color w:val="000000"/>
          <w:bdr w:val="nil"/>
        </w:rPr>
        <w:t>12</w:t>
      </w:r>
      <w:r w:rsidRPr="00041057">
        <w:rPr>
          <w:rFonts w:eastAsia="Calibri" w:cs="Times New Roman"/>
          <w:color w:val="000000"/>
          <w:bdr w:val="nil"/>
        </w:rPr>
        <w:t xml:space="preserve">%). </w:t>
      </w:r>
      <w:r w:rsidR="00AF187C" w:rsidRPr="00041057">
        <w:rPr>
          <w:rFonts w:eastAsia="Calibri" w:cs="Times New Roman"/>
          <w:color w:val="000000"/>
          <w:bdr w:val="nil"/>
        </w:rPr>
        <w:t>The abovementioned gains on disposals of investments</w:t>
      </w:r>
      <w:r w:rsidR="006E1B70">
        <w:rPr>
          <w:rFonts w:eastAsia="Calibri" w:cs="Times New Roman"/>
          <w:color w:val="000000"/>
          <w:bdr w:val="nil"/>
        </w:rPr>
        <w:t>,</w:t>
      </w:r>
      <w:r w:rsidR="00AF187C" w:rsidRPr="00041057">
        <w:rPr>
          <w:rFonts w:eastAsia="Calibri" w:cs="Times New Roman"/>
          <w:color w:val="000000"/>
          <w:bdr w:val="nil"/>
        </w:rPr>
        <w:t xml:space="preserve"> fair-value losses </w:t>
      </w:r>
      <w:r w:rsidR="006E1B70">
        <w:rPr>
          <w:rFonts w:eastAsia="Calibri" w:cs="Times New Roman"/>
          <w:color w:val="000000"/>
          <w:bdr w:val="nil"/>
        </w:rPr>
        <w:t xml:space="preserve">and </w:t>
      </w:r>
      <w:r w:rsidR="00E250C6">
        <w:rPr>
          <w:rFonts w:eastAsia="Calibri" w:cs="Times New Roman"/>
          <w:color w:val="000000"/>
          <w:bdr w:val="nil"/>
        </w:rPr>
        <w:t>Covid</w:t>
      </w:r>
      <w:r w:rsidR="006E1B70">
        <w:rPr>
          <w:rFonts w:eastAsia="Calibri" w:cs="Times New Roman"/>
          <w:color w:val="000000"/>
          <w:bdr w:val="nil"/>
        </w:rPr>
        <w:t xml:space="preserve">-19 donations </w:t>
      </w:r>
      <w:r w:rsidR="00AF187C" w:rsidRPr="00041057">
        <w:rPr>
          <w:rFonts w:eastAsia="Calibri" w:cs="Times New Roman"/>
          <w:color w:val="000000"/>
          <w:bdr w:val="nil"/>
        </w:rPr>
        <w:t>have been excluded from core headline earnings.</w:t>
      </w:r>
      <w:r w:rsidR="00B80DA2">
        <w:rPr>
          <w:rFonts w:eastAsia="Calibri" w:cs="Times New Roman"/>
          <w:color w:val="000000"/>
          <w:bdr w:val="nil"/>
        </w:rPr>
        <w:t xml:space="preserve"> </w:t>
      </w:r>
      <w:r w:rsidR="0094110B">
        <w:rPr>
          <w:rFonts w:eastAsia="Calibri" w:cs="Times New Roman"/>
          <w:color w:val="000000"/>
          <w:bdr w:val="nil"/>
        </w:rPr>
        <w:t>As such, growth in core headline earnings is expected to benefit by c</w:t>
      </w:r>
      <w:r w:rsidR="005F12F5" w:rsidRPr="005440AC">
        <w:rPr>
          <w:rFonts w:eastAsia="Calibri" w:cs="Times New Roman"/>
          <w:color w:val="000000"/>
          <w:bdr w:val="nil"/>
        </w:rPr>
        <w:t xml:space="preserve">ontinued healthy growth from </w:t>
      </w:r>
      <w:r w:rsidR="00D14E6F" w:rsidRPr="005440AC">
        <w:rPr>
          <w:rFonts w:eastAsia="Calibri" w:cs="Times New Roman"/>
          <w:color w:val="000000"/>
          <w:bdr w:val="nil"/>
        </w:rPr>
        <w:t>Tencent</w:t>
      </w:r>
      <w:r w:rsidR="005440AC" w:rsidRPr="005440AC">
        <w:rPr>
          <w:rFonts w:eastAsia="Calibri" w:cs="Times New Roman"/>
          <w:color w:val="000000"/>
          <w:bdr w:val="nil"/>
        </w:rPr>
        <w:t xml:space="preserve"> and </w:t>
      </w:r>
      <w:r w:rsidR="005440AC">
        <w:rPr>
          <w:rFonts w:eastAsia="Calibri" w:cs="Times New Roman"/>
          <w:color w:val="000000"/>
          <w:bdr w:val="nil"/>
        </w:rPr>
        <w:t>g</w:t>
      </w:r>
      <w:r w:rsidR="00D14E6F" w:rsidRPr="005440AC">
        <w:rPr>
          <w:rFonts w:eastAsia="Calibri" w:cs="Times New Roman"/>
          <w:color w:val="000000"/>
          <w:bdr w:val="nil"/>
        </w:rPr>
        <w:t>rowth in many of our established ecommerce business, however</w:t>
      </w:r>
      <w:r w:rsidR="005F12F5" w:rsidRPr="005440AC">
        <w:rPr>
          <w:rFonts w:eastAsia="Calibri" w:cs="Times New Roman"/>
          <w:color w:val="000000"/>
          <w:bdr w:val="nil"/>
        </w:rPr>
        <w:t>,</w:t>
      </w:r>
      <w:r w:rsidR="00D14E6F" w:rsidRPr="005440AC">
        <w:rPr>
          <w:rFonts w:eastAsia="Calibri" w:cs="Times New Roman"/>
          <w:color w:val="000000"/>
          <w:bdr w:val="nil"/>
        </w:rPr>
        <w:t xml:space="preserve"> this </w:t>
      </w:r>
      <w:r w:rsidR="00BF3ADF">
        <w:rPr>
          <w:rFonts w:eastAsia="Calibri" w:cs="Times New Roman"/>
          <w:color w:val="000000"/>
          <w:bdr w:val="nil"/>
        </w:rPr>
        <w:t xml:space="preserve">is expected to be </w:t>
      </w:r>
      <w:r w:rsidR="00D14E6F" w:rsidRPr="005440AC">
        <w:rPr>
          <w:rFonts w:eastAsia="Calibri" w:cs="Times New Roman"/>
          <w:color w:val="000000"/>
          <w:bdr w:val="nil"/>
        </w:rPr>
        <w:t xml:space="preserve">offset by the additional investment to drive strong growth in the food delivery business. </w:t>
      </w:r>
      <w:r w:rsidR="00B80DA2" w:rsidRPr="005440AC">
        <w:rPr>
          <w:rFonts w:eastAsia="Calibri" w:cs="Times New Roman"/>
          <w:color w:val="000000"/>
          <w:bdr w:val="nil"/>
        </w:rPr>
        <w:t xml:space="preserve"> </w:t>
      </w:r>
    </w:p>
    <w:p w14:paraId="125650E2" w14:textId="0A7905CC" w:rsidR="00AA5F96" w:rsidRDefault="00416798" w:rsidP="002E4586">
      <w:pPr>
        <w:pStyle w:val="BodyText1"/>
        <w:pBdr>
          <w:top w:val="nil"/>
          <w:left w:val="nil"/>
          <w:bottom w:val="nil"/>
          <w:right w:val="nil"/>
          <w:between w:val="nil"/>
          <w:bar w:val="nil"/>
        </w:pBdr>
        <w:rPr>
          <w:rFonts w:eastAsia="Calibri" w:cs="Times New Roman"/>
          <w:bdr w:val="nil"/>
        </w:rPr>
      </w:pPr>
      <w:r>
        <w:rPr>
          <w:rFonts w:eastAsia="Calibri" w:cs="Times New Roman"/>
          <w:bdr w:val="nil"/>
        </w:rPr>
        <w:t>T</w:t>
      </w:r>
      <w:r w:rsidR="00DE5C16">
        <w:rPr>
          <w:rFonts w:eastAsia="Calibri" w:cs="Times New Roman"/>
          <w:bdr w:val="nil"/>
        </w:rPr>
        <w:t>he group has illustrated the anticipated changes in core headline earnings</w:t>
      </w:r>
      <w:r w:rsidR="00B42711">
        <w:rPr>
          <w:rFonts w:eastAsia="Calibri" w:cs="Times New Roman"/>
          <w:bdr w:val="nil"/>
        </w:rPr>
        <w:t xml:space="preserve"> per share</w:t>
      </w:r>
      <w:r w:rsidR="00DE5C16">
        <w:rPr>
          <w:rFonts w:eastAsia="Calibri" w:cs="Times New Roman"/>
          <w:bdr w:val="nil"/>
        </w:rPr>
        <w:t xml:space="preserve">, </w:t>
      </w:r>
      <w:r>
        <w:rPr>
          <w:rFonts w:eastAsia="Calibri" w:cs="Times New Roman"/>
          <w:bdr w:val="nil"/>
        </w:rPr>
        <w:t xml:space="preserve">earnings </w:t>
      </w:r>
      <w:r w:rsidR="00DE5C16">
        <w:rPr>
          <w:rFonts w:eastAsia="Calibri" w:cs="Times New Roman"/>
          <w:bdr w:val="nil"/>
        </w:rPr>
        <w:t xml:space="preserve">and </w:t>
      </w:r>
      <w:r>
        <w:rPr>
          <w:rFonts w:eastAsia="Calibri" w:cs="Times New Roman"/>
          <w:bdr w:val="nil"/>
        </w:rPr>
        <w:t xml:space="preserve">headline earnings per share </w:t>
      </w:r>
      <w:r w:rsidR="00DE5C16">
        <w:rPr>
          <w:rFonts w:eastAsia="Calibri" w:cs="Times New Roman"/>
          <w:bdr w:val="nil"/>
        </w:rPr>
        <w:t xml:space="preserve">for the year ended </w:t>
      </w:r>
      <w:r w:rsidR="00B61DA9">
        <w:rPr>
          <w:rFonts w:eastAsia="Calibri" w:cs="Times New Roman"/>
          <w:bdr w:val="nil"/>
        </w:rPr>
        <w:t>31 March 20</w:t>
      </w:r>
      <w:r w:rsidR="00666005">
        <w:rPr>
          <w:rFonts w:eastAsia="Calibri" w:cs="Times New Roman"/>
          <w:bdr w:val="nil"/>
        </w:rPr>
        <w:t>19</w:t>
      </w:r>
      <w:r w:rsidR="00B61DA9">
        <w:rPr>
          <w:rFonts w:eastAsia="Calibri" w:cs="Times New Roman"/>
          <w:bdr w:val="nil"/>
        </w:rPr>
        <w:t xml:space="preserve"> </w:t>
      </w:r>
      <w:r w:rsidR="00DE5C16">
        <w:rPr>
          <w:rFonts w:eastAsia="Calibri" w:cs="Times New Roman"/>
          <w:bdr w:val="nil"/>
        </w:rPr>
        <w:t>as compared to</w:t>
      </w:r>
      <w:r w:rsidR="009562D3">
        <w:rPr>
          <w:rFonts w:eastAsia="Calibri" w:cs="Times New Roman"/>
          <w:bdr w:val="nil"/>
        </w:rPr>
        <w:t xml:space="preserve"> </w:t>
      </w:r>
      <w:r w:rsidR="00B61DA9">
        <w:rPr>
          <w:rFonts w:eastAsia="Calibri" w:cs="Times New Roman"/>
          <w:bdr w:val="nil"/>
        </w:rPr>
        <w:t>31 March 2020</w:t>
      </w:r>
      <w:r w:rsidR="004B4D14">
        <w:rPr>
          <w:rFonts w:eastAsia="Calibri" w:cs="Times New Roman"/>
          <w:bdr w:val="nil"/>
        </w:rPr>
        <w:t xml:space="preserve"> </w:t>
      </w:r>
      <w:r w:rsidR="00BE0A29">
        <w:rPr>
          <w:rFonts w:eastAsia="Calibri" w:cs="Times New Roman"/>
          <w:bdr w:val="nil"/>
        </w:rPr>
        <w:t xml:space="preserve">(to be included in the </w:t>
      </w:r>
      <w:r w:rsidR="00B61DA9">
        <w:rPr>
          <w:rFonts w:eastAsia="Calibri" w:cs="Times New Roman"/>
          <w:bdr w:val="nil"/>
        </w:rPr>
        <w:t xml:space="preserve">summarised </w:t>
      </w:r>
      <w:r w:rsidR="00BE0A29">
        <w:rPr>
          <w:rFonts w:eastAsia="Calibri" w:cs="Times New Roman"/>
          <w:bdr w:val="nil"/>
        </w:rPr>
        <w:t xml:space="preserve">consolidated financial </w:t>
      </w:r>
      <w:r w:rsidR="00B61DA9">
        <w:rPr>
          <w:rFonts w:eastAsia="Calibri" w:cs="Times New Roman"/>
          <w:bdr w:val="nil"/>
        </w:rPr>
        <w:t xml:space="preserve">results </w:t>
      </w:r>
      <w:r w:rsidR="00BE0A29">
        <w:rPr>
          <w:rFonts w:eastAsia="Calibri" w:cs="Times New Roman"/>
          <w:bdr w:val="nil"/>
        </w:rPr>
        <w:t xml:space="preserve">for the </w:t>
      </w:r>
      <w:r w:rsidR="00B61DA9">
        <w:rPr>
          <w:rFonts w:eastAsia="Calibri" w:cs="Times New Roman"/>
          <w:bdr w:val="nil"/>
        </w:rPr>
        <w:t xml:space="preserve">year </w:t>
      </w:r>
      <w:r w:rsidR="00BE0A29">
        <w:rPr>
          <w:rFonts w:eastAsia="Calibri" w:cs="Times New Roman"/>
          <w:bdr w:val="nil"/>
        </w:rPr>
        <w:t xml:space="preserve">ended </w:t>
      </w:r>
      <w:r w:rsidR="00B61DA9">
        <w:rPr>
          <w:rFonts w:eastAsia="Calibri" w:cs="Times New Roman"/>
          <w:bdr w:val="nil"/>
        </w:rPr>
        <w:t>31 March 2020</w:t>
      </w:r>
      <w:r w:rsidR="00BE0A29">
        <w:rPr>
          <w:rFonts w:eastAsia="Calibri" w:cs="Times New Roman"/>
          <w:bdr w:val="nil"/>
        </w:rPr>
        <w:t>)</w:t>
      </w:r>
      <w:r w:rsidR="00DE5C16">
        <w:rPr>
          <w:rFonts w:eastAsia="Calibri" w:cs="Times New Roman"/>
          <w:bdr w:val="nil"/>
        </w:rPr>
        <w:t xml:space="preserve"> for both total operations and continuing operations in the tables below:</w:t>
      </w:r>
    </w:p>
    <w:tbl>
      <w:tblPr>
        <w:tblStyle w:val="TableGrid"/>
        <w:tblW w:w="10206" w:type="dxa"/>
        <w:tblInd w:w="-5" w:type="dxa"/>
        <w:tblLook w:val="04A0" w:firstRow="1" w:lastRow="0" w:firstColumn="1" w:lastColumn="0" w:noHBand="0" w:noVBand="1"/>
      </w:tblPr>
      <w:tblGrid>
        <w:gridCol w:w="3544"/>
        <w:gridCol w:w="1559"/>
        <w:gridCol w:w="2977"/>
        <w:gridCol w:w="2126"/>
      </w:tblGrid>
      <w:tr w:rsidR="00DE5C16" w14:paraId="4CD2B8A8" w14:textId="77777777" w:rsidTr="007B2741">
        <w:tc>
          <w:tcPr>
            <w:tcW w:w="3544" w:type="dxa"/>
          </w:tcPr>
          <w:p w14:paraId="17DCF3E4" w14:textId="77777777" w:rsidR="00DE5C16" w:rsidRPr="00BF4616" w:rsidRDefault="00DE5C16" w:rsidP="00390C18">
            <w:pPr>
              <w:pStyle w:val="BodyText1"/>
              <w:rPr>
                <w:rFonts w:eastAsia="Calibri" w:cs="Times New Roman"/>
                <w:b/>
                <w:bdr w:val="nil"/>
              </w:rPr>
            </w:pPr>
            <w:r w:rsidRPr="00BF4616">
              <w:rPr>
                <w:rFonts w:eastAsia="Calibri" w:cs="Times New Roman"/>
                <w:b/>
                <w:bdr w:val="nil"/>
              </w:rPr>
              <w:t>Total operations</w:t>
            </w:r>
          </w:p>
        </w:tc>
        <w:tc>
          <w:tcPr>
            <w:tcW w:w="1559" w:type="dxa"/>
            <w:vAlign w:val="center"/>
          </w:tcPr>
          <w:p w14:paraId="128536FD" w14:textId="6CAB53A1" w:rsidR="00DE5C16" w:rsidRDefault="00B61DA9" w:rsidP="006C34E7">
            <w:pPr>
              <w:pStyle w:val="BodyText1"/>
              <w:jc w:val="center"/>
              <w:rPr>
                <w:rFonts w:eastAsia="Calibri" w:cs="Times New Roman"/>
                <w:b/>
                <w:bdr w:val="nil"/>
              </w:rPr>
            </w:pPr>
            <w:r>
              <w:rPr>
                <w:rFonts w:eastAsia="Calibri" w:cs="Times New Roman"/>
                <w:b/>
                <w:bdr w:val="nil"/>
              </w:rPr>
              <w:t>31 March 2019</w:t>
            </w:r>
          </w:p>
          <w:p w14:paraId="31050B50" w14:textId="4C926533" w:rsidR="00DE5C16" w:rsidRPr="00BF4616" w:rsidRDefault="00DE5C16" w:rsidP="006C34E7">
            <w:pPr>
              <w:pStyle w:val="BodyText1"/>
              <w:jc w:val="center"/>
              <w:rPr>
                <w:rFonts w:eastAsia="Calibri" w:cs="Times New Roman"/>
                <w:b/>
                <w:bdr w:val="nil"/>
              </w:rPr>
            </w:pPr>
            <w:r>
              <w:rPr>
                <w:rFonts w:eastAsia="Calibri" w:cs="Times New Roman"/>
                <w:b/>
                <w:bdr w:val="nil"/>
              </w:rPr>
              <w:t>US cents</w:t>
            </w:r>
          </w:p>
        </w:tc>
        <w:tc>
          <w:tcPr>
            <w:tcW w:w="2977" w:type="dxa"/>
            <w:vAlign w:val="center"/>
          </w:tcPr>
          <w:p w14:paraId="298FD5FA" w14:textId="45ED130A" w:rsidR="00DE5C16" w:rsidRDefault="00B61DA9" w:rsidP="006C34E7">
            <w:pPr>
              <w:pStyle w:val="BodyText1"/>
              <w:jc w:val="center"/>
              <w:rPr>
                <w:rFonts w:eastAsia="Calibri" w:cs="Times New Roman"/>
                <w:b/>
                <w:bdr w:val="nil"/>
              </w:rPr>
            </w:pPr>
            <w:r>
              <w:rPr>
                <w:rFonts w:eastAsia="Calibri" w:cs="Times New Roman"/>
                <w:b/>
                <w:bdr w:val="nil"/>
              </w:rPr>
              <w:t>31 March 2020</w:t>
            </w:r>
          </w:p>
          <w:p w14:paraId="0E10B077" w14:textId="0BCE1AC9" w:rsidR="00DE5C16" w:rsidRDefault="006C34E7" w:rsidP="006C34E7">
            <w:pPr>
              <w:pStyle w:val="BodyText1"/>
              <w:jc w:val="center"/>
              <w:rPr>
                <w:rFonts w:eastAsia="Calibri" w:cs="Times New Roman"/>
                <w:b/>
                <w:bdr w:val="nil"/>
              </w:rPr>
            </w:pPr>
            <w:r>
              <w:rPr>
                <w:rFonts w:eastAsia="Calibri" w:cs="Times New Roman"/>
                <w:b/>
                <w:bdr w:val="nil"/>
              </w:rPr>
              <w:t>expected increase/(decrease)</w:t>
            </w:r>
          </w:p>
          <w:p w14:paraId="314E7423" w14:textId="77777777" w:rsidR="00DE5C16" w:rsidRPr="00BF4616" w:rsidRDefault="00DE5C16" w:rsidP="006C34E7">
            <w:pPr>
              <w:pStyle w:val="BodyText1"/>
              <w:jc w:val="center"/>
              <w:rPr>
                <w:rFonts w:eastAsia="Calibri" w:cs="Times New Roman"/>
                <w:b/>
                <w:bdr w:val="nil"/>
              </w:rPr>
            </w:pPr>
            <w:r>
              <w:rPr>
                <w:rFonts w:eastAsia="Calibri" w:cs="Times New Roman"/>
                <w:b/>
                <w:bdr w:val="nil"/>
              </w:rPr>
              <w:t>US cents</w:t>
            </w:r>
          </w:p>
        </w:tc>
        <w:tc>
          <w:tcPr>
            <w:tcW w:w="2126" w:type="dxa"/>
            <w:vAlign w:val="center"/>
          </w:tcPr>
          <w:p w14:paraId="29CA3151" w14:textId="2BACEBA4" w:rsidR="00DE5C16" w:rsidRPr="00BF4616" w:rsidRDefault="00703729" w:rsidP="00B400BE">
            <w:pPr>
              <w:pStyle w:val="BodyText1"/>
              <w:jc w:val="center"/>
              <w:rPr>
                <w:rFonts w:eastAsia="Calibri" w:cs="Times New Roman"/>
                <w:b/>
                <w:bdr w:val="nil"/>
              </w:rPr>
            </w:pPr>
            <w:r>
              <w:rPr>
                <w:rFonts w:eastAsia="Calibri" w:cs="Times New Roman"/>
                <w:b/>
                <w:bdr w:val="nil"/>
              </w:rPr>
              <w:t xml:space="preserve">Expected </w:t>
            </w:r>
            <w:r w:rsidRPr="00BF4616">
              <w:rPr>
                <w:rFonts w:eastAsia="Calibri" w:cs="Times New Roman"/>
                <w:b/>
                <w:bdr w:val="nil"/>
              </w:rPr>
              <w:t>increase</w:t>
            </w:r>
            <w:r w:rsidR="00DE5C16" w:rsidRPr="00BF4616">
              <w:rPr>
                <w:rFonts w:eastAsia="Calibri" w:cs="Times New Roman"/>
                <w:b/>
                <w:bdr w:val="nil"/>
              </w:rPr>
              <w:t>/(decrease)</w:t>
            </w:r>
            <w:r w:rsidR="006C34E7">
              <w:rPr>
                <w:rFonts w:eastAsia="Calibri" w:cs="Times New Roman"/>
                <w:b/>
                <w:bdr w:val="nil"/>
              </w:rPr>
              <w:t>%</w:t>
            </w:r>
          </w:p>
        </w:tc>
      </w:tr>
      <w:tr w:rsidR="00F71617" w14:paraId="6B62A05A" w14:textId="444B6CFA" w:rsidTr="007B2741">
        <w:tc>
          <w:tcPr>
            <w:tcW w:w="3544" w:type="dxa"/>
          </w:tcPr>
          <w:p w14:paraId="1ACA4F95" w14:textId="0A220211" w:rsidR="00F71617" w:rsidRPr="00BF4616" w:rsidRDefault="00F71617" w:rsidP="00F71617">
            <w:pPr>
              <w:pStyle w:val="BodyText1"/>
              <w:rPr>
                <w:rFonts w:eastAsia="Calibri" w:cs="Times New Roman"/>
                <w:b/>
                <w:bdr w:val="nil"/>
              </w:rPr>
            </w:pPr>
            <w:r>
              <w:rPr>
                <w:rFonts w:eastAsia="Calibri" w:cs="Times New Roman"/>
                <w:bdr w:val="nil"/>
              </w:rPr>
              <w:t xml:space="preserve">Earnings per </w:t>
            </w:r>
            <w:r w:rsidR="00703729">
              <w:rPr>
                <w:rFonts w:eastAsia="Calibri" w:cs="Times New Roman"/>
                <w:bdr w:val="nil"/>
              </w:rPr>
              <w:t>share</w:t>
            </w:r>
            <w:r w:rsidR="00703729" w:rsidRPr="00C92C51">
              <w:rPr>
                <w:rFonts w:eastAsia="Calibri" w:cs="Times New Roman"/>
                <w:bdr w:val="nil"/>
                <w:vertAlign w:val="superscript"/>
              </w:rPr>
              <w:t xml:space="preserve"> (</w:t>
            </w:r>
            <w:r w:rsidR="00E7108C">
              <w:rPr>
                <w:rFonts w:eastAsia="Calibri" w:cs="Times New Roman"/>
                <w:bdr w:val="nil"/>
                <w:vertAlign w:val="superscript"/>
              </w:rPr>
              <w:t>1</w:t>
            </w:r>
            <w:r>
              <w:rPr>
                <w:rFonts w:eastAsia="Calibri" w:cs="Times New Roman"/>
                <w:bdr w:val="nil"/>
                <w:vertAlign w:val="superscript"/>
              </w:rPr>
              <w:t>)(</w:t>
            </w:r>
            <w:r w:rsidR="00E7108C">
              <w:rPr>
                <w:rFonts w:eastAsia="Calibri" w:cs="Times New Roman"/>
                <w:bdr w:val="nil"/>
                <w:vertAlign w:val="superscript"/>
              </w:rPr>
              <w:t>2</w:t>
            </w:r>
            <w:r w:rsidRPr="00C92C51">
              <w:rPr>
                <w:rFonts w:eastAsia="Calibri" w:cs="Times New Roman"/>
                <w:bdr w:val="nil"/>
                <w:vertAlign w:val="superscript"/>
              </w:rPr>
              <w:t>)</w:t>
            </w:r>
          </w:p>
        </w:tc>
        <w:tc>
          <w:tcPr>
            <w:tcW w:w="1559" w:type="dxa"/>
          </w:tcPr>
          <w:p w14:paraId="5E5BC35F" w14:textId="588E87D9" w:rsidR="00F71617" w:rsidRPr="00E90A0B" w:rsidRDefault="00B61DA9" w:rsidP="00E90A0B">
            <w:pPr>
              <w:pStyle w:val="BodyText1"/>
              <w:jc w:val="right"/>
              <w:rPr>
                <w:rFonts w:eastAsia="Calibri" w:cs="Times New Roman"/>
                <w:bCs/>
                <w:bdr w:val="nil"/>
              </w:rPr>
            </w:pPr>
            <w:r>
              <w:rPr>
                <w:rFonts w:eastAsia="Calibri" w:cs="Times New Roman"/>
                <w:bCs/>
                <w:bdr w:val="nil"/>
              </w:rPr>
              <w:t>221</w:t>
            </w:r>
          </w:p>
        </w:tc>
        <w:tc>
          <w:tcPr>
            <w:tcW w:w="2977" w:type="dxa"/>
            <w:vAlign w:val="bottom"/>
          </w:tcPr>
          <w:p w14:paraId="0162EEDA" w14:textId="1588F4DB" w:rsidR="00F71617" w:rsidRPr="00041057" w:rsidRDefault="00386F94" w:rsidP="00E90A0B">
            <w:pPr>
              <w:pStyle w:val="BodyText1"/>
              <w:jc w:val="right"/>
              <w:rPr>
                <w:rFonts w:eastAsia="Calibri" w:cs="Times New Roman"/>
                <w:b/>
                <w:highlight w:val="yellow"/>
                <w:bdr w:val="nil"/>
              </w:rPr>
            </w:pPr>
            <w:r w:rsidRPr="00041057">
              <w:rPr>
                <w:rFonts w:eastAsia="Calibri" w:cs="Times New Roman"/>
                <w:bdr w:val="nil"/>
              </w:rPr>
              <w:t xml:space="preserve"> </w:t>
            </w:r>
            <w:r w:rsidR="00F13B8B">
              <w:rPr>
                <w:rFonts w:eastAsia="Calibri" w:cs="Times New Roman"/>
                <w:bdr w:val="nil"/>
              </w:rPr>
              <w:t>5</w:t>
            </w:r>
            <w:r w:rsidRPr="00041057">
              <w:rPr>
                <w:rFonts w:eastAsia="Calibri" w:cs="Times New Roman"/>
                <w:bdr w:val="nil"/>
              </w:rPr>
              <w:t xml:space="preserve"> </w:t>
            </w:r>
            <w:r w:rsidR="00F71617" w:rsidRPr="00041057">
              <w:rPr>
                <w:rFonts w:eastAsia="Calibri" w:cs="Times New Roman"/>
                <w:bdr w:val="nil"/>
              </w:rPr>
              <w:t xml:space="preserve">– </w:t>
            </w:r>
            <w:r w:rsidRPr="00041057">
              <w:rPr>
                <w:rFonts w:eastAsia="Calibri" w:cs="Times New Roman"/>
                <w:bdr w:val="nil"/>
              </w:rPr>
              <w:t>2</w:t>
            </w:r>
            <w:r w:rsidR="00F13B8B">
              <w:rPr>
                <w:rFonts w:eastAsia="Calibri" w:cs="Times New Roman"/>
                <w:bdr w:val="nil"/>
              </w:rPr>
              <w:t>1</w:t>
            </w:r>
          </w:p>
        </w:tc>
        <w:tc>
          <w:tcPr>
            <w:tcW w:w="2126" w:type="dxa"/>
            <w:vAlign w:val="bottom"/>
          </w:tcPr>
          <w:p w14:paraId="4B71E4C8" w14:textId="4643CF63" w:rsidR="00F71617" w:rsidRPr="00041057" w:rsidRDefault="00F13B8B" w:rsidP="00E90A0B">
            <w:pPr>
              <w:pStyle w:val="BodyText1"/>
              <w:jc w:val="right"/>
              <w:rPr>
                <w:rFonts w:eastAsia="Calibri" w:cs="Times New Roman"/>
                <w:b/>
                <w:highlight w:val="yellow"/>
                <w:bdr w:val="nil"/>
              </w:rPr>
            </w:pPr>
            <w:r>
              <w:rPr>
                <w:rFonts w:eastAsia="Calibri" w:cs="Times New Roman"/>
                <w:bdr w:val="nil"/>
              </w:rPr>
              <w:t>2</w:t>
            </w:r>
            <w:r w:rsidR="00386F94" w:rsidRPr="00041057">
              <w:rPr>
                <w:rFonts w:eastAsia="Calibri" w:cs="Times New Roman"/>
                <w:bdr w:val="nil"/>
              </w:rPr>
              <w:t>.</w:t>
            </w:r>
            <w:r>
              <w:rPr>
                <w:rFonts w:eastAsia="Calibri" w:cs="Times New Roman"/>
                <w:bdr w:val="nil"/>
              </w:rPr>
              <w:t>1</w:t>
            </w:r>
            <w:r w:rsidR="00F71617" w:rsidRPr="00041057">
              <w:rPr>
                <w:rFonts w:eastAsia="Calibri" w:cs="Times New Roman"/>
                <w:bdr w:val="nil"/>
              </w:rPr>
              <w:t xml:space="preserve">% – </w:t>
            </w:r>
            <w:r>
              <w:rPr>
                <w:rFonts w:eastAsia="Calibri" w:cs="Times New Roman"/>
                <w:bdr w:val="nil"/>
              </w:rPr>
              <w:t>9</w:t>
            </w:r>
            <w:r w:rsidR="008F3F22">
              <w:rPr>
                <w:rFonts w:eastAsia="Calibri" w:cs="Times New Roman"/>
                <w:bdr w:val="nil"/>
              </w:rPr>
              <w:t>.</w:t>
            </w:r>
            <w:r>
              <w:rPr>
                <w:rFonts w:eastAsia="Calibri" w:cs="Times New Roman"/>
                <w:bdr w:val="nil"/>
              </w:rPr>
              <w:t>5</w:t>
            </w:r>
            <w:r w:rsidR="00F71617" w:rsidRPr="00041057">
              <w:rPr>
                <w:rFonts w:eastAsia="Calibri" w:cs="Times New Roman"/>
                <w:bdr w:val="nil"/>
              </w:rPr>
              <w:t>%</w:t>
            </w:r>
          </w:p>
        </w:tc>
      </w:tr>
      <w:tr w:rsidR="000E45E0" w14:paraId="1163BAF3" w14:textId="77777777" w:rsidTr="007B2741">
        <w:tc>
          <w:tcPr>
            <w:tcW w:w="3544" w:type="dxa"/>
          </w:tcPr>
          <w:p w14:paraId="4B02E2C4" w14:textId="4A076590" w:rsidR="000E45E0" w:rsidRDefault="000E45E0" w:rsidP="000E45E0">
            <w:pPr>
              <w:pStyle w:val="BodyText1"/>
              <w:rPr>
                <w:rFonts w:eastAsia="Calibri" w:cs="Times New Roman"/>
                <w:bdr w:val="nil"/>
              </w:rPr>
            </w:pPr>
            <w:r>
              <w:rPr>
                <w:rFonts w:eastAsia="Calibri" w:cs="Times New Roman"/>
                <w:bdr w:val="nil"/>
              </w:rPr>
              <w:t xml:space="preserve">Headline earnings per </w:t>
            </w:r>
            <w:r w:rsidR="00E7108C">
              <w:rPr>
                <w:rFonts w:eastAsia="Calibri" w:cs="Times New Roman"/>
                <w:bdr w:val="nil"/>
              </w:rPr>
              <w:t>share</w:t>
            </w:r>
            <w:r w:rsidR="00E7108C" w:rsidRPr="00C92C51">
              <w:rPr>
                <w:rFonts w:eastAsia="Calibri" w:cs="Times New Roman"/>
                <w:bdr w:val="nil"/>
                <w:vertAlign w:val="superscript"/>
              </w:rPr>
              <w:t xml:space="preserve"> (</w:t>
            </w:r>
            <w:r w:rsidR="00E7108C">
              <w:rPr>
                <w:rFonts w:eastAsia="Calibri" w:cs="Times New Roman"/>
                <w:bdr w:val="nil"/>
                <w:vertAlign w:val="superscript"/>
              </w:rPr>
              <w:t>1)(2</w:t>
            </w:r>
            <w:r w:rsidR="00E7108C" w:rsidRPr="00C92C51">
              <w:rPr>
                <w:rFonts w:eastAsia="Calibri" w:cs="Times New Roman"/>
                <w:bdr w:val="nil"/>
                <w:vertAlign w:val="superscript"/>
              </w:rPr>
              <w:t>)</w:t>
            </w:r>
          </w:p>
        </w:tc>
        <w:tc>
          <w:tcPr>
            <w:tcW w:w="1559" w:type="dxa"/>
          </w:tcPr>
          <w:p w14:paraId="48C25BF5" w14:textId="69C3F1B6" w:rsidR="000E45E0" w:rsidRPr="00041057" w:rsidRDefault="00B61DA9" w:rsidP="000E45E0">
            <w:pPr>
              <w:pStyle w:val="BodyText1"/>
              <w:jc w:val="right"/>
              <w:rPr>
                <w:rFonts w:eastAsia="Calibri" w:cs="Times New Roman"/>
                <w:bdr w:val="nil"/>
              </w:rPr>
            </w:pPr>
            <w:r w:rsidRPr="00041057">
              <w:rPr>
                <w:rFonts w:eastAsia="Calibri" w:cs="Times New Roman"/>
                <w:bdr w:val="nil"/>
              </w:rPr>
              <w:t>226</w:t>
            </w:r>
          </w:p>
        </w:tc>
        <w:tc>
          <w:tcPr>
            <w:tcW w:w="2977" w:type="dxa"/>
            <w:vAlign w:val="bottom"/>
          </w:tcPr>
          <w:p w14:paraId="634EAF47" w14:textId="074FBA19" w:rsidR="000E45E0" w:rsidRPr="00041057" w:rsidRDefault="000E45E0" w:rsidP="000E45E0">
            <w:pPr>
              <w:pStyle w:val="BodyText1"/>
              <w:jc w:val="right"/>
              <w:rPr>
                <w:rFonts w:eastAsia="Calibri" w:cs="Times New Roman"/>
                <w:bdr w:val="nil"/>
              </w:rPr>
            </w:pPr>
            <w:r w:rsidRPr="00041057">
              <w:rPr>
                <w:rFonts w:eastAsia="Calibri" w:cs="Times New Roman"/>
                <w:bdr w:val="nil"/>
              </w:rPr>
              <w:t>(</w:t>
            </w:r>
            <w:r w:rsidR="00386F94" w:rsidRPr="00041057">
              <w:rPr>
                <w:rFonts w:eastAsia="Calibri" w:cs="Times New Roman"/>
                <w:bdr w:val="nil"/>
              </w:rPr>
              <w:t>6</w:t>
            </w:r>
            <w:r w:rsidR="008F3F22">
              <w:rPr>
                <w:rFonts w:eastAsia="Calibri" w:cs="Times New Roman"/>
                <w:bdr w:val="nil"/>
              </w:rPr>
              <w:t>1)</w:t>
            </w:r>
            <w:r w:rsidRPr="00041057">
              <w:rPr>
                <w:rFonts w:eastAsia="Calibri" w:cs="Times New Roman"/>
                <w:bdr w:val="nil"/>
              </w:rPr>
              <w:t xml:space="preserve"> – (</w:t>
            </w:r>
            <w:r w:rsidR="00386F94" w:rsidRPr="00041057">
              <w:rPr>
                <w:rFonts w:eastAsia="Calibri" w:cs="Times New Roman"/>
                <w:bdr w:val="nil"/>
              </w:rPr>
              <w:t>4</w:t>
            </w:r>
            <w:r w:rsidR="008F3F22">
              <w:rPr>
                <w:rFonts w:eastAsia="Calibri" w:cs="Times New Roman"/>
                <w:bdr w:val="nil"/>
              </w:rPr>
              <w:t>2</w:t>
            </w:r>
            <w:r w:rsidRPr="00041057">
              <w:rPr>
                <w:rFonts w:eastAsia="Calibri" w:cs="Times New Roman"/>
                <w:bdr w:val="nil"/>
              </w:rPr>
              <w:t>)</w:t>
            </w:r>
          </w:p>
        </w:tc>
        <w:tc>
          <w:tcPr>
            <w:tcW w:w="2126" w:type="dxa"/>
            <w:vAlign w:val="bottom"/>
          </w:tcPr>
          <w:p w14:paraId="5CA7187F" w14:textId="235CF2BB" w:rsidR="000E45E0" w:rsidRPr="00041057" w:rsidRDefault="000E45E0" w:rsidP="000E45E0">
            <w:pPr>
              <w:pStyle w:val="BodyText1"/>
              <w:jc w:val="right"/>
              <w:rPr>
                <w:rFonts w:eastAsia="Calibri" w:cs="Times New Roman"/>
                <w:bdr w:val="nil"/>
              </w:rPr>
            </w:pPr>
            <w:r w:rsidRPr="00041057">
              <w:rPr>
                <w:rFonts w:eastAsia="Calibri" w:cs="Times New Roman"/>
                <w:bdr w:val="nil"/>
              </w:rPr>
              <w:t>(</w:t>
            </w:r>
            <w:r w:rsidR="00386F94" w:rsidRPr="00041057">
              <w:rPr>
                <w:rFonts w:eastAsia="Calibri" w:cs="Times New Roman"/>
                <w:bdr w:val="nil"/>
              </w:rPr>
              <w:t>2</w:t>
            </w:r>
            <w:r w:rsidR="008F3F22">
              <w:rPr>
                <w:rFonts w:eastAsia="Calibri" w:cs="Times New Roman"/>
                <w:bdr w:val="nil"/>
              </w:rPr>
              <w:t>7</w:t>
            </w:r>
            <w:r w:rsidRPr="00041057">
              <w:rPr>
                <w:rFonts w:eastAsia="Calibri" w:cs="Times New Roman"/>
                <w:bdr w:val="nil"/>
              </w:rPr>
              <w:t>.</w:t>
            </w:r>
            <w:r w:rsidR="00F13B8B">
              <w:rPr>
                <w:rFonts w:eastAsia="Calibri" w:cs="Times New Roman"/>
                <w:bdr w:val="nil"/>
              </w:rPr>
              <w:t>0</w:t>
            </w:r>
            <w:r w:rsidRPr="00041057">
              <w:rPr>
                <w:rFonts w:eastAsia="Calibri" w:cs="Times New Roman"/>
                <w:bdr w:val="nil"/>
              </w:rPr>
              <w:t>%) – (</w:t>
            </w:r>
            <w:r w:rsidR="008F3F22">
              <w:rPr>
                <w:rFonts w:eastAsia="Calibri" w:cs="Times New Roman"/>
                <w:bdr w:val="nil"/>
              </w:rPr>
              <w:t>18.</w:t>
            </w:r>
            <w:r w:rsidR="00F13B8B">
              <w:rPr>
                <w:rFonts w:eastAsia="Calibri" w:cs="Times New Roman"/>
                <w:bdr w:val="nil"/>
              </w:rPr>
              <w:t>6</w:t>
            </w:r>
            <w:r w:rsidRPr="00041057">
              <w:rPr>
                <w:rFonts w:eastAsia="Calibri" w:cs="Times New Roman"/>
                <w:bdr w:val="nil"/>
              </w:rPr>
              <w:t>%)</w:t>
            </w:r>
          </w:p>
        </w:tc>
      </w:tr>
      <w:tr w:rsidR="000E45E0" w14:paraId="2D541849" w14:textId="008D5E12" w:rsidTr="007B2741">
        <w:tc>
          <w:tcPr>
            <w:tcW w:w="3544" w:type="dxa"/>
          </w:tcPr>
          <w:p w14:paraId="3A07A497" w14:textId="6E5F3699" w:rsidR="000E45E0" w:rsidRDefault="000E45E0" w:rsidP="000E45E0">
            <w:pPr>
              <w:pStyle w:val="BodyText1"/>
              <w:rPr>
                <w:rFonts w:eastAsia="Calibri" w:cs="Times New Roman"/>
                <w:bdr w:val="nil"/>
              </w:rPr>
            </w:pPr>
            <w:r>
              <w:rPr>
                <w:rFonts w:eastAsia="Calibri" w:cs="Times New Roman"/>
                <w:bdr w:val="nil"/>
              </w:rPr>
              <w:t xml:space="preserve">Core headline earnings per </w:t>
            </w:r>
            <w:r w:rsidR="00E7108C">
              <w:rPr>
                <w:rFonts w:eastAsia="Calibri" w:cs="Times New Roman"/>
                <w:bdr w:val="nil"/>
              </w:rPr>
              <w:t>share</w:t>
            </w:r>
            <w:r w:rsidR="00E7108C" w:rsidRPr="00C92C51">
              <w:rPr>
                <w:rFonts w:eastAsia="Calibri" w:cs="Times New Roman"/>
                <w:bdr w:val="nil"/>
                <w:vertAlign w:val="superscript"/>
              </w:rPr>
              <w:t xml:space="preserve"> (</w:t>
            </w:r>
            <w:r w:rsidR="00E7108C">
              <w:rPr>
                <w:rFonts w:eastAsia="Calibri" w:cs="Times New Roman"/>
                <w:bdr w:val="nil"/>
                <w:vertAlign w:val="superscript"/>
              </w:rPr>
              <w:t>1)(2</w:t>
            </w:r>
            <w:r w:rsidR="00E7108C" w:rsidRPr="00C92C51">
              <w:rPr>
                <w:rFonts w:eastAsia="Calibri" w:cs="Times New Roman"/>
                <w:bdr w:val="nil"/>
                <w:vertAlign w:val="superscript"/>
              </w:rPr>
              <w:t>)</w:t>
            </w:r>
          </w:p>
        </w:tc>
        <w:tc>
          <w:tcPr>
            <w:tcW w:w="1559" w:type="dxa"/>
          </w:tcPr>
          <w:p w14:paraId="5242040E" w14:textId="0D869DDF" w:rsidR="000E45E0" w:rsidRDefault="00B61DA9" w:rsidP="000E45E0">
            <w:pPr>
              <w:pStyle w:val="BodyText1"/>
              <w:jc w:val="right"/>
              <w:rPr>
                <w:rFonts w:eastAsia="Calibri" w:cs="Times New Roman"/>
                <w:bdr w:val="nil"/>
              </w:rPr>
            </w:pPr>
            <w:r>
              <w:rPr>
                <w:rFonts w:eastAsia="Calibri" w:cs="Times New Roman"/>
                <w:bdr w:val="nil"/>
              </w:rPr>
              <w:t>183</w:t>
            </w:r>
          </w:p>
        </w:tc>
        <w:tc>
          <w:tcPr>
            <w:tcW w:w="2977" w:type="dxa"/>
          </w:tcPr>
          <w:p w14:paraId="49A266B3" w14:textId="07538ECF" w:rsidR="000E45E0" w:rsidRPr="00041057" w:rsidRDefault="00386F94" w:rsidP="000E45E0">
            <w:pPr>
              <w:jc w:val="right"/>
            </w:pPr>
            <w:r w:rsidRPr="00041057">
              <w:rPr>
                <w:rFonts w:eastAsia="Calibri" w:cs="Times New Roman"/>
                <w:bdr w:val="nil"/>
              </w:rPr>
              <w:t>1</w:t>
            </w:r>
            <w:r w:rsidR="008F3F22">
              <w:rPr>
                <w:rFonts w:eastAsia="Calibri" w:cs="Times New Roman"/>
                <w:bdr w:val="nil"/>
              </w:rPr>
              <w:t>4</w:t>
            </w:r>
            <w:r w:rsidRPr="00041057">
              <w:rPr>
                <w:rFonts w:eastAsia="Calibri" w:cs="Times New Roman"/>
                <w:bdr w:val="nil"/>
              </w:rPr>
              <w:t xml:space="preserve"> </w:t>
            </w:r>
            <w:r w:rsidR="000E45E0" w:rsidRPr="00041057">
              <w:rPr>
                <w:rFonts w:eastAsia="Calibri" w:cs="Times New Roman"/>
                <w:bdr w:val="nil"/>
              </w:rPr>
              <w:t xml:space="preserve">– </w:t>
            </w:r>
            <w:r w:rsidR="008F3F22">
              <w:rPr>
                <w:rFonts w:eastAsia="Calibri" w:cs="Times New Roman"/>
                <w:bdr w:val="nil"/>
              </w:rPr>
              <w:t>30</w:t>
            </w:r>
          </w:p>
        </w:tc>
        <w:tc>
          <w:tcPr>
            <w:tcW w:w="2126" w:type="dxa"/>
          </w:tcPr>
          <w:p w14:paraId="764AC428" w14:textId="69AE62FE" w:rsidR="000E45E0" w:rsidRPr="00041057" w:rsidRDefault="008F3F22" w:rsidP="000E45E0">
            <w:pPr>
              <w:jc w:val="right"/>
            </w:pPr>
            <w:r>
              <w:rPr>
                <w:rFonts w:eastAsia="Calibri" w:cs="Times New Roman"/>
                <w:bdr w:val="nil"/>
              </w:rPr>
              <w:t>7.</w:t>
            </w:r>
            <w:r w:rsidR="00F13B8B">
              <w:rPr>
                <w:rFonts w:eastAsia="Calibri" w:cs="Times New Roman"/>
                <w:bdr w:val="nil"/>
              </w:rPr>
              <w:t>7</w:t>
            </w:r>
            <w:r w:rsidR="000E45E0" w:rsidRPr="00041057">
              <w:rPr>
                <w:rFonts w:eastAsia="Calibri" w:cs="Times New Roman"/>
                <w:bdr w:val="nil"/>
              </w:rPr>
              <w:t>% – 1</w:t>
            </w:r>
            <w:r>
              <w:rPr>
                <w:rFonts w:eastAsia="Calibri" w:cs="Times New Roman"/>
                <w:bdr w:val="nil"/>
              </w:rPr>
              <w:t>6</w:t>
            </w:r>
            <w:r w:rsidR="000E45E0" w:rsidRPr="00041057">
              <w:rPr>
                <w:rFonts w:eastAsia="Calibri" w:cs="Times New Roman"/>
                <w:bdr w:val="nil"/>
              </w:rPr>
              <w:t>.</w:t>
            </w:r>
            <w:r w:rsidR="00F13B8B">
              <w:rPr>
                <w:rFonts w:eastAsia="Calibri" w:cs="Times New Roman"/>
                <w:bdr w:val="nil"/>
              </w:rPr>
              <w:t>4</w:t>
            </w:r>
            <w:r w:rsidR="000E45E0" w:rsidRPr="00041057">
              <w:rPr>
                <w:rFonts w:eastAsia="Calibri" w:cs="Times New Roman"/>
                <w:bdr w:val="nil"/>
              </w:rPr>
              <w:t>%</w:t>
            </w:r>
          </w:p>
        </w:tc>
      </w:tr>
    </w:tbl>
    <w:p w14:paraId="07204BE6" w14:textId="77777777" w:rsidR="004316AA" w:rsidRDefault="004316AA" w:rsidP="00F56530">
      <w:pPr>
        <w:pStyle w:val="BodyText1"/>
        <w:pBdr>
          <w:top w:val="nil"/>
          <w:left w:val="nil"/>
          <w:bottom w:val="nil"/>
          <w:right w:val="nil"/>
          <w:between w:val="nil"/>
          <w:bar w:val="nil"/>
        </w:pBdr>
        <w:spacing w:after="0" w:line="120" w:lineRule="auto"/>
        <w:rPr>
          <w:rFonts w:eastAsia="Calibri" w:cs="Times New Roman"/>
          <w:bdr w:val="nil"/>
        </w:rPr>
      </w:pPr>
    </w:p>
    <w:tbl>
      <w:tblPr>
        <w:tblStyle w:val="TableGrid"/>
        <w:tblW w:w="10206" w:type="dxa"/>
        <w:tblInd w:w="-5" w:type="dxa"/>
        <w:tblLayout w:type="fixed"/>
        <w:tblLook w:val="04A0" w:firstRow="1" w:lastRow="0" w:firstColumn="1" w:lastColumn="0" w:noHBand="0" w:noVBand="1"/>
      </w:tblPr>
      <w:tblGrid>
        <w:gridCol w:w="3544"/>
        <w:gridCol w:w="1559"/>
        <w:gridCol w:w="2977"/>
        <w:gridCol w:w="2126"/>
      </w:tblGrid>
      <w:tr w:rsidR="00F56530" w14:paraId="4E1096D5" w14:textId="77777777" w:rsidTr="007B2741">
        <w:tc>
          <w:tcPr>
            <w:tcW w:w="3544" w:type="dxa"/>
          </w:tcPr>
          <w:p w14:paraId="7D0C6947" w14:textId="77777777" w:rsidR="00F56530" w:rsidRPr="00BF4616" w:rsidRDefault="00F56530" w:rsidP="00F56530">
            <w:pPr>
              <w:pStyle w:val="BodyText1"/>
              <w:rPr>
                <w:rFonts w:eastAsia="Calibri" w:cs="Times New Roman"/>
                <w:b/>
                <w:bdr w:val="nil"/>
              </w:rPr>
            </w:pPr>
            <w:r>
              <w:rPr>
                <w:rFonts w:eastAsia="Calibri" w:cs="Times New Roman"/>
                <w:b/>
                <w:bdr w:val="nil"/>
              </w:rPr>
              <w:t>Continuing</w:t>
            </w:r>
            <w:r w:rsidRPr="00BF4616">
              <w:rPr>
                <w:rFonts w:eastAsia="Calibri" w:cs="Times New Roman"/>
                <w:b/>
                <w:bdr w:val="nil"/>
              </w:rPr>
              <w:t xml:space="preserve"> operations</w:t>
            </w:r>
          </w:p>
        </w:tc>
        <w:tc>
          <w:tcPr>
            <w:tcW w:w="1559" w:type="dxa"/>
            <w:vAlign w:val="center"/>
          </w:tcPr>
          <w:p w14:paraId="3EFD37A2" w14:textId="0FFE6986" w:rsidR="00F56530" w:rsidRDefault="00B61DA9" w:rsidP="00F56530">
            <w:pPr>
              <w:pStyle w:val="BodyText1"/>
              <w:jc w:val="center"/>
              <w:rPr>
                <w:rFonts w:eastAsia="Calibri" w:cs="Times New Roman"/>
                <w:b/>
                <w:bdr w:val="nil"/>
              </w:rPr>
            </w:pPr>
            <w:r>
              <w:rPr>
                <w:rFonts w:eastAsia="Calibri" w:cs="Times New Roman"/>
                <w:b/>
                <w:bdr w:val="nil"/>
              </w:rPr>
              <w:t>31 March 2019</w:t>
            </w:r>
          </w:p>
          <w:p w14:paraId="24139240" w14:textId="0D611CB7" w:rsidR="00F56530" w:rsidRPr="00BF4616" w:rsidRDefault="00CE5F8B" w:rsidP="00F56530">
            <w:pPr>
              <w:pStyle w:val="BodyText1"/>
              <w:jc w:val="center"/>
              <w:rPr>
                <w:rFonts w:eastAsia="Calibri" w:cs="Times New Roman"/>
                <w:b/>
                <w:bdr w:val="nil"/>
              </w:rPr>
            </w:pPr>
            <w:r>
              <w:rPr>
                <w:rFonts w:eastAsia="Calibri" w:cs="Times New Roman"/>
                <w:b/>
                <w:bdr w:val="nil"/>
              </w:rPr>
              <w:t>US cents</w:t>
            </w:r>
          </w:p>
        </w:tc>
        <w:tc>
          <w:tcPr>
            <w:tcW w:w="2977" w:type="dxa"/>
            <w:vAlign w:val="center"/>
          </w:tcPr>
          <w:p w14:paraId="582986A4" w14:textId="1DDA4864" w:rsidR="00F56530" w:rsidRDefault="00B61DA9" w:rsidP="00F56530">
            <w:pPr>
              <w:pStyle w:val="BodyText1"/>
              <w:jc w:val="center"/>
              <w:rPr>
                <w:rFonts w:eastAsia="Calibri" w:cs="Times New Roman"/>
                <w:b/>
                <w:bdr w:val="nil"/>
              </w:rPr>
            </w:pPr>
            <w:r>
              <w:rPr>
                <w:rFonts w:eastAsia="Calibri" w:cs="Times New Roman"/>
                <w:b/>
                <w:bdr w:val="nil"/>
              </w:rPr>
              <w:t>31 March 2020</w:t>
            </w:r>
          </w:p>
          <w:p w14:paraId="4C1F2635" w14:textId="77777777" w:rsidR="00F56530" w:rsidRDefault="00F56530" w:rsidP="00F56530">
            <w:pPr>
              <w:pStyle w:val="BodyText1"/>
              <w:jc w:val="center"/>
              <w:rPr>
                <w:rFonts w:eastAsia="Calibri" w:cs="Times New Roman"/>
                <w:b/>
                <w:bdr w:val="nil"/>
              </w:rPr>
            </w:pPr>
            <w:r>
              <w:rPr>
                <w:rFonts w:eastAsia="Calibri" w:cs="Times New Roman"/>
                <w:b/>
                <w:bdr w:val="nil"/>
              </w:rPr>
              <w:t>expected increase/(decrease)</w:t>
            </w:r>
          </w:p>
          <w:p w14:paraId="0529615A" w14:textId="620996EB" w:rsidR="00F56530" w:rsidRPr="00BF4616" w:rsidRDefault="00F56530" w:rsidP="00F56530">
            <w:pPr>
              <w:pStyle w:val="BodyText1"/>
              <w:jc w:val="center"/>
              <w:rPr>
                <w:rFonts w:eastAsia="Calibri" w:cs="Times New Roman"/>
                <w:b/>
                <w:bdr w:val="nil"/>
              </w:rPr>
            </w:pPr>
            <w:r>
              <w:rPr>
                <w:rFonts w:eastAsia="Calibri" w:cs="Times New Roman"/>
                <w:b/>
                <w:bdr w:val="nil"/>
              </w:rPr>
              <w:t>US cents</w:t>
            </w:r>
          </w:p>
        </w:tc>
        <w:tc>
          <w:tcPr>
            <w:tcW w:w="2126" w:type="dxa"/>
            <w:vAlign w:val="center"/>
          </w:tcPr>
          <w:p w14:paraId="1F88617C" w14:textId="23D8CA79" w:rsidR="00F56530" w:rsidRPr="00BF4616" w:rsidRDefault="00703729" w:rsidP="00B400BE">
            <w:pPr>
              <w:pStyle w:val="BodyText1"/>
              <w:jc w:val="center"/>
              <w:rPr>
                <w:rFonts w:eastAsia="Calibri" w:cs="Times New Roman"/>
                <w:b/>
                <w:bdr w:val="nil"/>
              </w:rPr>
            </w:pPr>
            <w:r>
              <w:rPr>
                <w:rFonts w:eastAsia="Calibri" w:cs="Times New Roman"/>
                <w:b/>
                <w:bdr w:val="nil"/>
              </w:rPr>
              <w:t xml:space="preserve">Expected </w:t>
            </w:r>
            <w:r w:rsidRPr="00BF4616">
              <w:rPr>
                <w:rFonts w:eastAsia="Calibri" w:cs="Times New Roman"/>
                <w:b/>
                <w:bdr w:val="nil"/>
              </w:rPr>
              <w:t>increase</w:t>
            </w:r>
            <w:r w:rsidR="00F56530" w:rsidRPr="00BF4616">
              <w:rPr>
                <w:rFonts w:eastAsia="Calibri" w:cs="Times New Roman"/>
                <w:b/>
                <w:bdr w:val="nil"/>
              </w:rPr>
              <w:t>/(decrease</w:t>
            </w:r>
            <w:r w:rsidR="00F56530">
              <w:rPr>
                <w:rFonts w:eastAsia="Calibri" w:cs="Times New Roman"/>
                <w:b/>
                <w:bdr w:val="nil"/>
              </w:rPr>
              <w:t>)%</w:t>
            </w:r>
          </w:p>
        </w:tc>
      </w:tr>
      <w:tr w:rsidR="00F56530" w14:paraId="6213BED6" w14:textId="6D86FDE8" w:rsidTr="007B2741">
        <w:tc>
          <w:tcPr>
            <w:tcW w:w="3544" w:type="dxa"/>
          </w:tcPr>
          <w:p w14:paraId="494D30D9" w14:textId="269227B7" w:rsidR="00F56530" w:rsidRDefault="00F56530" w:rsidP="00F56530">
            <w:pPr>
              <w:pStyle w:val="BodyText1"/>
              <w:rPr>
                <w:rFonts w:eastAsia="Calibri" w:cs="Times New Roman"/>
                <w:b/>
                <w:bdr w:val="nil"/>
              </w:rPr>
            </w:pPr>
            <w:r>
              <w:rPr>
                <w:rFonts w:eastAsia="Calibri" w:cs="Times New Roman"/>
                <w:bdr w:val="nil"/>
              </w:rPr>
              <w:t xml:space="preserve">Earnings per </w:t>
            </w:r>
            <w:r w:rsidR="00703729">
              <w:rPr>
                <w:rFonts w:eastAsia="Calibri" w:cs="Times New Roman"/>
                <w:bdr w:val="nil"/>
              </w:rPr>
              <w:t>share</w:t>
            </w:r>
            <w:r w:rsidR="00703729" w:rsidRPr="00C92C51">
              <w:rPr>
                <w:rFonts w:eastAsia="Calibri" w:cs="Times New Roman"/>
                <w:bdr w:val="nil"/>
                <w:vertAlign w:val="superscript"/>
              </w:rPr>
              <w:t xml:space="preserve"> (</w:t>
            </w:r>
            <w:r>
              <w:rPr>
                <w:rFonts w:eastAsia="Calibri" w:cs="Times New Roman"/>
                <w:bdr w:val="nil"/>
                <w:vertAlign w:val="superscript"/>
              </w:rPr>
              <w:t>1)(</w:t>
            </w:r>
            <w:r w:rsidRPr="00C92C51">
              <w:rPr>
                <w:rFonts w:eastAsia="Calibri" w:cs="Times New Roman"/>
                <w:bdr w:val="nil"/>
                <w:vertAlign w:val="superscript"/>
              </w:rPr>
              <w:t>2)</w:t>
            </w:r>
          </w:p>
        </w:tc>
        <w:tc>
          <w:tcPr>
            <w:tcW w:w="1559" w:type="dxa"/>
          </w:tcPr>
          <w:p w14:paraId="3157C096" w14:textId="5A17D4CE" w:rsidR="00F56530" w:rsidRDefault="00B61DA9" w:rsidP="00F56530">
            <w:pPr>
              <w:pStyle w:val="BodyText1"/>
              <w:jc w:val="right"/>
              <w:rPr>
                <w:rFonts w:eastAsia="Calibri" w:cs="Times New Roman"/>
                <w:b/>
                <w:bdr w:val="nil"/>
              </w:rPr>
            </w:pPr>
            <w:r>
              <w:rPr>
                <w:rFonts w:eastAsia="Calibri" w:cs="Times New Roman"/>
                <w:bdr w:val="nil"/>
              </w:rPr>
              <w:t>265</w:t>
            </w:r>
          </w:p>
        </w:tc>
        <w:tc>
          <w:tcPr>
            <w:tcW w:w="2977" w:type="dxa"/>
            <w:vAlign w:val="bottom"/>
          </w:tcPr>
          <w:p w14:paraId="0E840679" w14:textId="7DAE869B" w:rsidR="00F56530" w:rsidRPr="00041057" w:rsidRDefault="00F56530" w:rsidP="00F56530">
            <w:pPr>
              <w:pStyle w:val="BodyText1"/>
              <w:jc w:val="right"/>
              <w:rPr>
                <w:rFonts w:eastAsia="Calibri" w:cs="Times New Roman"/>
                <w:b/>
                <w:bdr w:val="nil"/>
              </w:rPr>
            </w:pPr>
            <w:r w:rsidRPr="00041057">
              <w:rPr>
                <w:rFonts w:eastAsia="Calibri" w:cs="Times New Roman"/>
                <w:bdr w:val="nil"/>
              </w:rPr>
              <w:t>(</w:t>
            </w:r>
            <w:r w:rsidR="00386F94">
              <w:rPr>
                <w:rFonts w:eastAsia="Calibri" w:cs="Times New Roman"/>
                <w:bdr w:val="nil"/>
              </w:rPr>
              <w:t>3</w:t>
            </w:r>
            <w:r w:rsidR="00F13B8B">
              <w:rPr>
                <w:rFonts w:eastAsia="Calibri" w:cs="Times New Roman"/>
                <w:bdr w:val="nil"/>
              </w:rPr>
              <w:t>9</w:t>
            </w:r>
            <w:r w:rsidRPr="00041057">
              <w:rPr>
                <w:rFonts w:eastAsia="Calibri" w:cs="Times New Roman"/>
                <w:bdr w:val="nil"/>
              </w:rPr>
              <w:t>) – (</w:t>
            </w:r>
            <w:r w:rsidR="00F13B8B">
              <w:rPr>
                <w:rFonts w:eastAsia="Calibri" w:cs="Times New Roman"/>
                <w:bdr w:val="nil"/>
              </w:rPr>
              <w:t>23</w:t>
            </w:r>
            <w:r w:rsidRPr="00041057">
              <w:rPr>
                <w:rFonts w:eastAsia="Calibri" w:cs="Times New Roman"/>
                <w:bdr w:val="nil"/>
              </w:rPr>
              <w:t>)</w:t>
            </w:r>
          </w:p>
        </w:tc>
        <w:tc>
          <w:tcPr>
            <w:tcW w:w="2126" w:type="dxa"/>
            <w:vAlign w:val="bottom"/>
          </w:tcPr>
          <w:p w14:paraId="79F90A79" w14:textId="1D81F369" w:rsidR="00F56530" w:rsidRPr="00041057" w:rsidRDefault="00F56530" w:rsidP="00F56530">
            <w:pPr>
              <w:pStyle w:val="BodyText1"/>
              <w:jc w:val="right"/>
              <w:rPr>
                <w:rFonts w:eastAsia="Calibri" w:cs="Times New Roman"/>
                <w:b/>
                <w:bdr w:val="nil"/>
              </w:rPr>
            </w:pPr>
            <w:r w:rsidRPr="00041057">
              <w:rPr>
                <w:rFonts w:eastAsia="Calibri" w:cs="Times New Roman"/>
                <w:bdr w:val="nil"/>
              </w:rPr>
              <w:t>(</w:t>
            </w:r>
            <w:r w:rsidR="00386F94">
              <w:rPr>
                <w:rFonts w:eastAsia="Calibri" w:cs="Times New Roman"/>
                <w:bdr w:val="nil"/>
              </w:rPr>
              <w:t>1</w:t>
            </w:r>
            <w:r w:rsidR="00F13B8B">
              <w:rPr>
                <w:rFonts w:eastAsia="Calibri" w:cs="Times New Roman"/>
                <w:bdr w:val="nil"/>
              </w:rPr>
              <w:t>4</w:t>
            </w:r>
            <w:r w:rsidRPr="00041057">
              <w:rPr>
                <w:rFonts w:eastAsia="Calibri" w:cs="Times New Roman"/>
                <w:bdr w:val="nil"/>
              </w:rPr>
              <w:t>.</w:t>
            </w:r>
            <w:r w:rsidR="00F13B8B">
              <w:rPr>
                <w:rFonts w:eastAsia="Calibri" w:cs="Times New Roman"/>
                <w:bdr w:val="nil"/>
              </w:rPr>
              <w:t>9</w:t>
            </w:r>
            <w:r w:rsidRPr="00041057">
              <w:rPr>
                <w:rFonts w:eastAsia="Calibri" w:cs="Times New Roman"/>
                <w:bdr w:val="nil"/>
              </w:rPr>
              <w:t>%) – (</w:t>
            </w:r>
            <w:r w:rsidR="00F13B8B">
              <w:rPr>
                <w:rFonts w:eastAsia="Calibri" w:cs="Times New Roman"/>
                <w:bdr w:val="nil"/>
              </w:rPr>
              <w:t>8</w:t>
            </w:r>
            <w:r w:rsidRPr="00041057">
              <w:rPr>
                <w:rFonts w:eastAsia="Calibri" w:cs="Times New Roman"/>
                <w:bdr w:val="nil"/>
              </w:rPr>
              <w:t>.</w:t>
            </w:r>
            <w:r w:rsidR="008F3F22">
              <w:rPr>
                <w:rFonts w:eastAsia="Calibri" w:cs="Times New Roman"/>
                <w:bdr w:val="nil"/>
              </w:rPr>
              <w:t>5</w:t>
            </w:r>
            <w:r w:rsidRPr="00041057">
              <w:rPr>
                <w:rFonts w:eastAsia="Calibri" w:cs="Times New Roman"/>
                <w:bdr w:val="nil"/>
              </w:rPr>
              <w:t>%)</w:t>
            </w:r>
          </w:p>
        </w:tc>
      </w:tr>
      <w:tr w:rsidR="009569C7" w14:paraId="60105972" w14:textId="77777777" w:rsidTr="007B2741">
        <w:tc>
          <w:tcPr>
            <w:tcW w:w="3544" w:type="dxa"/>
          </w:tcPr>
          <w:p w14:paraId="6D77397A" w14:textId="41D3A6A2" w:rsidR="009569C7" w:rsidRDefault="009569C7" w:rsidP="009569C7">
            <w:pPr>
              <w:pStyle w:val="BodyText1"/>
              <w:rPr>
                <w:rFonts w:eastAsia="Calibri" w:cs="Times New Roman"/>
                <w:bdr w:val="nil"/>
              </w:rPr>
            </w:pPr>
            <w:r>
              <w:rPr>
                <w:rFonts w:eastAsia="Calibri" w:cs="Times New Roman"/>
                <w:bdr w:val="nil"/>
              </w:rPr>
              <w:t>Headline earnings</w:t>
            </w:r>
            <w:r w:rsidRPr="00796610">
              <w:rPr>
                <w:rFonts w:eastAsia="Calibri" w:cs="Times New Roman"/>
                <w:bdr w:val="nil"/>
                <w:vertAlign w:val="superscript"/>
              </w:rPr>
              <w:t>*</w:t>
            </w:r>
            <w:r>
              <w:rPr>
                <w:rFonts w:eastAsia="Calibri" w:cs="Times New Roman"/>
                <w:bdr w:val="nil"/>
              </w:rPr>
              <w:t xml:space="preserve"> per share</w:t>
            </w:r>
            <w:r w:rsidRPr="00C92C51">
              <w:rPr>
                <w:rFonts w:eastAsia="Calibri" w:cs="Times New Roman"/>
                <w:bdr w:val="nil"/>
                <w:vertAlign w:val="superscript"/>
              </w:rPr>
              <w:t xml:space="preserve"> (</w:t>
            </w:r>
            <w:r>
              <w:rPr>
                <w:rFonts w:eastAsia="Calibri" w:cs="Times New Roman"/>
                <w:bdr w:val="nil"/>
                <w:vertAlign w:val="superscript"/>
              </w:rPr>
              <w:t>1)(2</w:t>
            </w:r>
            <w:r w:rsidRPr="00C92C51">
              <w:rPr>
                <w:rFonts w:eastAsia="Calibri" w:cs="Times New Roman"/>
                <w:bdr w:val="nil"/>
                <w:vertAlign w:val="superscript"/>
              </w:rPr>
              <w:t>)</w:t>
            </w:r>
          </w:p>
        </w:tc>
        <w:tc>
          <w:tcPr>
            <w:tcW w:w="1559" w:type="dxa"/>
          </w:tcPr>
          <w:p w14:paraId="11E4DDD5" w14:textId="3BC918B8" w:rsidR="009569C7" w:rsidRPr="00BE0A29" w:rsidRDefault="00B61DA9" w:rsidP="009569C7">
            <w:pPr>
              <w:pStyle w:val="BodyText1"/>
              <w:jc w:val="right"/>
              <w:rPr>
                <w:rFonts w:eastAsia="Calibri" w:cs="Times New Roman"/>
                <w:bdr w:val="nil"/>
              </w:rPr>
            </w:pPr>
            <w:r>
              <w:rPr>
                <w:rFonts w:eastAsia="Calibri" w:cs="Times New Roman"/>
                <w:bdr w:val="nil"/>
              </w:rPr>
              <w:t>234</w:t>
            </w:r>
          </w:p>
        </w:tc>
        <w:tc>
          <w:tcPr>
            <w:tcW w:w="2977" w:type="dxa"/>
            <w:vAlign w:val="bottom"/>
          </w:tcPr>
          <w:p w14:paraId="141EE60F" w14:textId="455015B7" w:rsidR="009569C7" w:rsidRPr="00041057" w:rsidRDefault="009569C7" w:rsidP="009569C7">
            <w:pPr>
              <w:pStyle w:val="BodyText1"/>
              <w:jc w:val="right"/>
              <w:rPr>
                <w:rFonts w:eastAsia="Calibri" w:cs="Times New Roman"/>
                <w:bdr w:val="nil"/>
              </w:rPr>
            </w:pPr>
            <w:r w:rsidRPr="00041057">
              <w:rPr>
                <w:rFonts w:eastAsia="Calibri" w:cs="Times New Roman"/>
                <w:bdr w:val="nil"/>
              </w:rPr>
              <w:t>(</w:t>
            </w:r>
            <w:r w:rsidR="003121F7" w:rsidRPr="00041057">
              <w:rPr>
                <w:rFonts w:eastAsia="Calibri" w:cs="Times New Roman"/>
                <w:bdr w:val="nil"/>
              </w:rPr>
              <w:t>69</w:t>
            </w:r>
            <w:r w:rsidRPr="00041057">
              <w:rPr>
                <w:rFonts w:eastAsia="Calibri" w:cs="Times New Roman"/>
                <w:bdr w:val="nil"/>
              </w:rPr>
              <w:t>) – (</w:t>
            </w:r>
            <w:r w:rsidR="008F3F22">
              <w:rPr>
                <w:rFonts w:eastAsia="Calibri" w:cs="Times New Roman"/>
                <w:bdr w:val="nil"/>
              </w:rPr>
              <w:t>50</w:t>
            </w:r>
            <w:r w:rsidRPr="00041057">
              <w:rPr>
                <w:rFonts w:eastAsia="Calibri" w:cs="Times New Roman"/>
                <w:bdr w:val="nil"/>
              </w:rPr>
              <w:t>)</w:t>
            </w:r>
          </w:p>
        </w:tc>
        <w:tc>
          <w:tcPr>
            <w:tcW w:w="2126" w:type="dxa"/>
            <w:vAlign w:val="bottom"/>
          </w:tcPr>
          <w:p w14:paraId="006C9157" w14:textId="2C5DE85F" w:rsidR="009569C7" w:rsidRPr="00041057" w:rsidRDefault="009569C7" w:rsidP="009569C7">
            <w:pPr>
              <w:pStyle w:val="BodyText1"/>
              <w:jc w:val="right"/>
              <w:rPr>
                <w:rFonts w:eastAsia="Calibri" w:cs="Times New Roman"/>
                <w:bdr w:val="nil"/>
              </w:rPr>
            </w:pPr>
            <w:r w:rsidRPr="00041057">
              <w:rPr>
                <w:rFonts w:eastAsia="Calibri" w:cs="Times New Roman"/>
                <w:bdr w:val="nil"/>
              </w:rPr>
              <w:t>(</w:t>
            </w:r>
            <w:r w:rsidR="003121F7" w:rsidRPr="00041057">
              <w:rPr>
                <w:rFonts w:eastAsia="Calibri" w:cs="Times New Roman"/>
                <w:bdr w:val="nil"/>
              </w:rPr>
              <w:t>29</w:t>
            </w:r>
            <w:r w:rsidRPr="00041057">
              <w:rPr>
                <w:rFonts w:eastAsia="Calibri" w:cs="Times New Roman"/>
                <w:bdr w:val="nil"/>
              </w:rPr>
              <w:t>.</w:t>
            </w:r>
            <w:r w:rsidR="003121F7" w:rsidRPr="00041057">
              <w:rPr>
                <w:rFonts w:eastAsia="Calibri" w:cs="Times New Roman"/>
                <w:bdr w:val="nil"/>
              </w:rPr>
              <w:t>5</w:t>
            </w:r>
            <w:r w:rsidRPr="00041057">
              <w:rPr>
                <w:rFonts w:eastAsia="Calibri" w:cs="Times New Roman"/>
                <w:bdr w:val="nil"/>
              </w:rPr>
              <w:t>%) – (</w:t>
            </w:r>
            <w:r w:rsidR="003121F7" w:rsidRPr="00041057">
              <w:rPr>
                <w:rFonts w:eastAsia="Calibri" w:cs="Times New Roman"/>
                <w:bdr w:val="nil"/>
              </w:rPr>
              <w:t>21</w:t>
            </w:r>
            <w:r w:rsidRPr="00041057">
              <w:rPr>
                <w:rFonts w:eastAsia="Calibri" w:cs="Times New Roman"/>
                <w:bdr w:val="nil"/>
              </w:rPr>
              <w:t>.</w:t>
            </w:r>
            <w:r w:rsidR="008F3F22">
              <w:rPr>
                <w:rFonts w:eastAsia="Calibri" w:cs="Times New Roman"/>
                <w:bdr w:val="nil"/>
              </w:rPr>
              <w:t>4</w:t>
            </w:r>
            <w:r w:rsidRPr="00041057">
              <w:rPr>
                <w:rFonts w:eastAsia="Calibri" w:cs="Times New Roman"/>
                <w:bdr w:val="nil"/>
              </w:rPr>
              <w:t>%)</w:t>
            </w:r>
          </w:p>
        </w:tc>
      </w:tr>
      <w:tr w:rsidR="006D5360" w14:paraId="79A9803C" w14:textId="5A5F7BA1" w:rsidTr="007B2741">
        <w:tc>
          <w:tcPr>
            <w:tcW w:w="3544" w:type="dxa"/>
          </w:tcPr>
          <w:p w14:paraId="6E445602" w14:textId="560DBEE1" w:rsidR="006D5360" w:rsidRDefault="006D5360" w:rsidP="006D5360">
            <w:pPr>
              <w:pStyle w:val="BodyText1"/>
              <w:rPr>
                <w:rFonts w:eastAsia="Calibri" w:cs="Times New Roman"/>
                <w:bdr w:val="nil"/>
              </w:rPr>
            </w:pPr>
            <w:r>
              <w:rPr>
                <w:rFonts w:eastAsia="Calibri" w:cs="Times New Roman"/>
                <w:bdr w:val="nil"/>
              </w:rPr>
              <w:t>Core headline earnings</w:t>
            </w:r>
            <w:r w:rsidRPr="00796610">
              <w:rPr>
                <w:rFonts w:eastAsia="Calibri" w:cs="Times New Roman"/>
                <w:bdr w:val="nil"/>
                <w:vertAlign w:val="superscript"/>
              </w:rPr>
              <w:t>**</w:t>
            </w:r>
            <w:r>
              <w:rPr>
                <w:rFonts w:eastAsia="Calibri" w:cs="Times New Roman"/>
                <w:bdr w:val="nil"/>
              </w:rPr>
              <w:t xml:space="preserve"> per share</w:t>
            </w:r>
            <w:r w:rsidRPr="005D3955">
              <w:rPr>
                <w:rFonts w:eastAsia="Calibri" w:cs="Times New Roman"/>
                <w:bdr w:val="nil"/>
                <w:vertAlign w:val="superscript"/>
              </w:rPr>
              <w:t xml:space="preserve"> (1)</w:t>
            </w:r>
            <w:r>
              <w:rPr>
                <w:rFonts w:eastAsia="Calibri" w:cs="Times New Roman"/>
                <w:bdr w:val="nil"/>
                <w:vertAlign w:val="superscript"/>
              </w:rPr>
              <w:t>(2)</w:t>
            </w:r>
          </w:p>
        </w:tc>
        <w:tc>
          <w:tcPr>
            <w:tcW w:w="1559" w:type="dxa"/>
          </w:tcPr>
          <w:p w14:paraId="4EA49019" w14:textId="02FBC495" w:rsidR="006D5360" w:rsidRPr="00BE0A29" w:rsidRDefault="00B61DA9" w:rsidP="006D5360">
            <w:pPr>
              <w:pStyle w:val="BodyText1"/>
              <w:jc w:val="right"/>
              <w:rPr>
                <w:rFonts w:eastAsia="Calibri" w:cs="Times New Roman"/>
                <w:bdr w:val="nil"/>
              </w:rPr>
            </w:pPr>
            <w:r>
              <w:rPr>
                <w:rFonts w:eastAsia="Calibri" w:cs="Times New Roman"/>
                <w:bdr w:val="nil"/>
              </w:rPr>
              <w:t>190</w:t>
            </w:r>
          </w:p>
        </w:tc>
        <w:tc>
          <w:tcPr>
            <w:tcW w:w="2977" w:type="dxa"/>
          </w:tcPr>
          <w:p w14:paraId="1A38F536" w14:textId="1A8DFA69" w:rsidR="006D5360" w:rsidRPr="00041057" w:rsidRDefault="003121F7" w:rsidP="006D5360">
            <w:pPr>
              <w:jc w:val="right"/>
            </w:pPr>
            <w:r w:rsidRPr="00041057">
              <w:rPr>
                <w:rFonts w:eastAsia="Calibri" w:cs="Times New Roman"/>
                <w:bdr w:val="nil"/>
              </w:rPr>
              <w:t>7</w:t>
            </w:r>
            <w:r w:rsidR="006D5360" w:rsidRPr="00041057">
              <w:rPr>
                <w:rFonts w:eastAsia="Calibri" w:cs="Times New Roman"/>
                <w:bdr w:val="nil"/>
              </w:rPr>
              <w:t xml:space="preserve"> –</w:t>
            </w:r>
            <w:r w:rsidRPr="00041057">
              <w:rPr>
                <w:rFonts w:eastAsia="Calibri" w:cs="Times New Roman"/>
                <w:bdr w:val="nil"/>
              </w:rPr>
              <w:t xml:space="preserve"> 23</w:t>
            </w:r>
          </w:p>
        </w:tc>
        <w:tc>
          <w:tcPr>
            <w:tcW w:w="2126" w:type="dxa"/>
          </w:tcPr>
          <w:p w14:paraId="1623E233" w14:textId="1A0AADC4" w:rsidR="006D5360" w:rsidRPr="00041057" w:rsidRDefault="006D5360" w:rsidP="006D5360">
            <w:pPr>
              <w:jc w:val="right"/>
            </w:pPr>
            <w:r w:rsidRPr="00041057">
              <w:rPr>
                <w:rFonts w:eastAsia="Calibri" w:cs="Times New Roman"/>
                <w:bdr w:val="nil"/>
              </w:rPr>
              <w:t>3</w:t>
            </w:r>
            <w:r w:rsidR="003121F7" w:rsidRPr="00041057">
              <w:rPr>
                <w:rFonts w:eastAsia="Calibri" w:cs="Times New Roman"/>
                <w:bdr w:val="nil"/>
              </w:rPr>
              <w:t>.</w:t>
            </w:r>
            <w:r w:rsidR="00F13B8B">
              <w:rPr>
                <w:rFonts w:eastAsia="Calibri" w:cs="Times New Roman"/>
                <w:bdr w:val="nil"/>
              </w:rPr>
              <w:t>7</w:t>
            </w:r>
            <w:r w:rsidRPr="00041057">
              <w:rPr>
                <w:rFonts w:eastAsia="Calibri" w:cs="Times New Roman"/>
                <w:bdr w:val="nil"/>
              </w:rPr>
              <w:t xml:space="preserve">% – </w:t>
            </w:r>
            <w:r w:rsidR="003121F7" w:rsidRPr="00041057">
              <w:rPr>
                <w:rFonts w:eastAsia="Calibri" w:cs="Times New Roman"/>
                <w:bdr w:val="nil"/>
              </w:rPr>
              <w:t>12.1</w:t>
            </w:r>
            <w:r w:rsidRPr="00041057">
              <w:rPr>
                <w:rFonts w:eastAsia="Calibri" w:cs="Times New Roman"/>
                <w:bdr w:val="nil"/>
              </w:rPr>
              <w:t>%</w:t>
            </w:r>
          </w:p>
        </w:tc>
      </w:tr>
    </w:tbl>
    <w:p w14:paraId="2DC4FA79" w14:textId="38669B0A" w:rsidR="00A83460" w:rsidRPr="001951FD" w:rsidRDefault="00964036" w:rsidP="00796610">
      <w:pPr>
        <w:autoSpaceDE w:val="0"/>
        <w:autoSpaceDN w:val="0"/>
        <w:adjustRightInd w:val="0"/>
        <w:spacing w:after="0"/>
        <w:rPr>
          <w:rFonts w:cs="Calibri"/>
          <w:i/>
          <w:iCs/>
          <w:color w:val="auto"/>
          <w:sz w:val="16"/>
          <w:szCs w:val="16"/>
        </w:rPr>
      </w:pPr>
      <w:r w:rsidRPr="001951FD">
        <w:rPr>
          <w:rFonts w:eastAsia="Calibri" w:cs="Times New Roman"/>
          <w:i/>
          <w:iCs/>
          <w:color w:val="auto"/>
          <w:sz w:val="16"/>
          <w:szCs w:val="16"/>
          <w:bdr w:val="nil"/>
        </w:rPr>
        <w:t xml:space="preserve">* </w:t>
      </w:r>
      <w:r w:rsidRPr="001951FD">
        <w:rPr>
          <w:rFonts w:ascii="Calibri" w:hAnsi="Calibri" w:cs="Calibri"/>
          <w:i/>
          <w:iCs/>
          <w:color w:val="auto"/>
          <w:sz w:val="16"/>
          <w:szCs w:val="16"/>
        </w:rPr>
        <w:t>Headline earnings represent net profit for the period attributable to equity holders of the group, excluding certain</w:t>
      </w:r>
      <w:r w:rsidR="00796610" w:rsidRPr="001951FD">
        <w:rPr>
          <w:rFonts w:ascii="Calibri" w:hAnsi="Calibri" w:cs="Calibri"/>
          <w:i/>
          <w:iCs/>
          <w:color w:val="auto"/>
          <w:sz w:val="16"/>
          <w:szCs w:val="16"/>
        </w:rPr>
        <w:t xml:space="preserve"> </w:t>
      </w:r>
      <w:r w:rsidRPr="001951FD">
        <w:rPr>
          <w:rFonts w:ascii="Calibri" w:hAnsi="Calibri" w:cs="Calibri"/>
          <w:i/>
          <w:iCs/>
          <w:color w:val="auto"/>
          <w:sz w:val="16"/>
          <w:szCs w:val="16"/>
        </w:rPr>
        <w:t>defined separately identifiable remeasurements relating to, amongst others, impairments of tangible assets, intangible</w:t>
      </w:r>
      <w:r w:rsidR="00796610" w:rsidRPr="001951FD">
        <w:rPr>
          <w:rFonts w:ascii="Calibri" w:hAnsi="Calibri" w:cs="Calibri"/>
          <w:i/>
          <w:iCs/>
          <w:color w:val="auto"/>
          <w:sz w:val="16"/>
          <w:szCs w:val="16"/>
        </w:rPr>
        <w:t xml:space="preserve"> </w:t>
      </w:r>
      <w:r w:rsidRPr="001951FD">
        <w:rPr>
          <w:rFonts w:ascii="Calibri" w:hAnsi="Calibri" w:cs="Calibri"/>
          <w:i/>
          <w:iCs/>
          <w:color w:val="auto"/>
          <w:sz w:val="16"/>
          <w:szCs w:val="16"/>
        </w:rPr>
        <w:t>assets (including goodwill) and equity-accounted investments, gains and losses on acquisitions and disposals of</w:t>
      </w:r>
      <w:r w:rsidR="00796610" w:rsidRPr="001951FD">
        <w:rPr>
          <w:rFonts w:ascii="Calibri" w:hAnsi="Calibri" w:cs="Calibri"/>
          <w:i/>
          <w:iCs/>
          <w:color w:val="auto"/>
          <w:sz w:val="16"/>
          <w:szCs w:val="16"/>
        </w:rPr>
        <w:t xml:space="preserve"> </w:t>
      </w:r>
      <w:r w:rsidRPr="001951FD">
        <w:rPr>
          <w:rFonts w:ascii="Calibri" w:hAnsi="Calibri" w:cs="Calibri"/>
          <w:i/>
          <w:iCs/>
          <w:color w:val="auto"/>
          <w:sz w:val="16"/>
          <w:szCs w:val="16"/>
        </w:rPr>
        <w:t>investments as well as assets, dilution gains and losses on equity-accounted investments, remeasurement gains and</w:t>
      </w:r>
      <w:r w:rsidR="00796610" w:rsidRPr="001951FD">
        <w:rPr>
          <w:rFonts w:ascii="Calibri" w:hAnsi="Calibri" w:cs="Calibri"/>
          <w:i/>
          <w:iCs/>
          <w:color w:val="auto"/>
          <w:sz w:val="16"/>
          <w:szCs w:val="16"/>
        </w:rPr>
        <w:t xml:space="preserve"> </w:t>
      </w:r>
      <w:r w:rsidRPr="001951FD">
        <w:rPr>
          <w:rFonts w:ascii="Calibri" w:hAnsi="Calibri" w:cs="Calibri"/>
          <w:i/>
          <w:iCs/>
          <w:color w:val="auto"/>
          <w:sz w:val="16"/>
          <w:szCs w:val="16"/>
        </w:rPr>
        <w:t>losses on disposal groups classified as held for sale and remeasurements included in equity-accounted earnings, net of</w:t>
      </w:r>
      <w:r w:rsidR="00796610" w:rsidRPr="001951FD">
        <w:rPr>
          <w:rFonts w:ascii="Calibri" w:hAnsi="Calibri" w:cs="Calibri"/>
          <w:i/>
          <w:iCs/>
          <w:color w:val="auto"/>
          <w:sz w:val="16"/>
          <w:szCs w:val="16"/>
        </w:rPr>
        <w:t xml:space="preserve"> </w:t>
      </w:r>
      <w:r w:rsidRPr="001951FD">
        <w:rPr>
          <w:rFonts w:ascii="Calibri" w:hAnsi="Calibri" w:cs="Calibri"/>
          <w:i/>
          <w:iCs/>
          <w:color w:val="auto"/>
          <w:sz w:val="16"/>
          <w:szCs w:val="16"/>
        </w:rPr>
        <w:t>related taxes (both current and deferred) and the related non-controlling interests. These remeasurements are</w:t>
      </w:r>
      <w:r w:rsidR="00796610" w:rsidRPr="001951FD">
        <w:rPr>
          <w:rFonts w:ascii="Calibri" w:hAnsi="Calibri" w:cs="Calibri"/>
          <w:i/>
          <w:iCs/>
          <w:color w:val="auto"/>
          <w:sz w:val="16"/>
          <w:szCs w:val="16"/>
        </w:rPr>
        <w:t xml:space="preserve"> </w:t>
      </w:r>
      <w:r w:rsidRPr="001951FD">
        <w:rPr>
          <w:rFonts w:ascii="Calibri" w:hAnsi="Calibri" w:cs="Calibri"/>
          <w:i/>
          <w:iCs/>
          <w:color w:val="auto"/>
          <w:sz w:val="16"/>
          <w:szCs w:val="16"/>
        </w:rPr>
        <w:t xml:space="preserve">determined in accordance with Circular </w:t>
      </w:r>
      <w:r w:rsidR="00FF7435">
        <w:rPr>
          <w:rFonts w:ascii="Calibri" w:hAnsi="Calibri" w:cs="Calibri"/>
          <w:i/>
          <w:iCs/>
          <w:color w:val="auto"/>
          <w:sz w:val="16"/>
          <w:szCs w:val="16"/>
        </w:rPr>
        <w:t>1</w:t>
      </w:r>
      <w:r w:rsidRPr="001951FD">
        <w:rPr>
          <w:rFonts w:ascii="Calibri" w:hAnsi="Calibri" w:cs="Calibri"/>
          <w:i/>
          <w:iCs/>
          <w:color w:val="auto"/>
          <w:sz w:val="16"/>
          <w:szCs w:val="16"/>
        </w:rPr>
        <w:t>/201</w:t>
      </w:r>
      <w:r w:rsidR="00FF7435">
        <w:rPr>
          <w:rFonts w:ascii="Calibri" w:hAnsi="Calibri" w:cs="Calibri"/>
          <w:i/>
          <w:iCs/>
          <w:color w:val="auto"/>
          <w:sz w:val="16"/>
          <w:szCs w:val="16"/>
        </w:rPr>
        <w:t>9</w:t>
      </w:r>
      <w:r w:rsidRPr="001951FD">
        <w:rPr>
          <w:rFonts w:ascii="Calibri" w:hAnsi="Calibri" w:cs="Calibri"/>
          <w:i/>
          <w:iCs/>
          <w:color w:val="auto"/>
          <w:sz w:val="16"/>
          <w:szCs w:val="16"/>
        </w:rPr>
        <w:t>, Headline Earnings, as issued by the South African Institute of</w:t>
      </w:r>
      <w:r w:rsidR="00796610" w:rsidRPr="001951FD">
        <w:rPr>
          <w:rFonts w:ascii="Calibri" w:hAnsi="Calibri" w:cs="Calibri"/>
          <w:i/>
          <w:iCs/>
          <w:color w:val="auto"/>
          <w:sz w:val="16"/>
          <w:szCs w:val="16"/>
        </w:rPr>
        <w:t xml:space="preserve"> </w:t>
      </w:r>
      <w:r w:rsidRPr="001951FD">
        <w:rPr>
          <w:rFonts w:ascii="Calibri" w:hAnsi="Calibri" w:cs="Calibri"/>
          <w:i/>
          <w:iCs/>
          <w:color w:val="auto"/>
          <w:sz w:val="16"/>
          <w:szCs w:val="16"/>
        </w:rPr>
        <w:t>Chartered Accountants, pursuant to the JSE Listings Requirements</w:t>
      </w:r>
      <w:r w:rsidR="00796610" w:rsidRPr="001951FD">
        <w:rPr>
          <w:rFonts w:ascii="Calibri" w:hAnsi="Calibri" w:cs="Calibri"/>
          <w:i/>
          <w:iCs/>
          <w:color w:val="auto"/>
          <w:sz w:val="16"/>
          <w:szCs w:val="16"/>
        </w:rPr>
        <w:t>.</w:t>
      </w:r>
    </w:p>
    <w:p w14:paraId="262B86E6" w14:textId="3D388141" w:rsidR="00964036" w:rsidRDefault="00796610" w:rsidP="00796610">
      <w:pPr>
        <w:autoSpaceDE w:val="0"/>
        <w:autoSpaceDN w:val="0"/>
        <w:adjustRightInd w:val="0"/>
        <w:spacing w:after="0"/>
        <w:rPr>
          <w:rFonts w:ascii="Calibri" w:hAnsi="Calibri" w:cs="Calibri"/>
          <w:i/>
          <w:iCs/>
          <w:color w:val="auto"/>
          <w:sz w:val="16"/>
          <w:szCs w:val="16"/>
        </w:rPr>
      </w:pPr>
      <w:r w:rsidRPr="001951FD">
        <w:rPr>
          <w:rFonts w:ascii="Calibri" w:hAnsi="Calibri" w:cs="Calibri"/>
          <w:i/>
          <w:iCs/>
          <w:color w:val="auto"/>
          <w:sz w:val="16"/>
          <w:szCs w:val="16"/>
        </w:rPr>
        <w:t xml:space="preserve">** </w:t>
      </w:r>
      <w:bookmarkStart w:id="0" w:name="_Hlk41905747"/>
      <w:r w:rsidR="00E7108C" w:rsidRPr="001951FD">
        <w:rPr>
          <w:rFonts w:ascii="Calibri" w:hAnsi="Calibri" w:cs="Calibri"/>
          <w:i/>
          <w:iCs/>
          <w:color w:val="auto"/>
          <w:sz w:val="16"/>
          <w:szCs w:val="16"/>
        </w:rPr>
        <w:t>Core headline earnings, a non-IFRS performance measure, represent headline earnings for the period excluding certain non-operating items. Specifically, headline earnings are adjusted for the following items to derive core headline earnings: (i) equity-settled share-based payment expenses on transactions where there is no cash cost to the company. These include those relating to share-based incentive awards settled by issuing treasury shares as well as certain share-based payment expenses that are deemed to arise on shareholder transactions; (ii) deferred taxation income recognised on the first-time recognition of deferred tax assets as this generally relates to multiple prior periods and distorts current period performance; (iii) fair-value adjustments on financial instruments (including put option liabilities) and unrealised currency translation differences, as these items obscure the group's underlying operating performance; (iv) one-off gains and losses (including acquisition-related costs) resulting from acquisitions and disposals of businesses as these items relate to changes in the composition of the group and are not reflective of its underlying operating performance;</w:t>
      </w:r>
      <w:r w:rsidR="00E7108C">
        <w:rPr>
          <w:rFonts w:cs="Calibri"/>
          <w:i/>
          <w:iCs/>
          <w:color w:val="auto"/>
          <w:sz w:val="16"/>
          <w:szCs w:val="16"/>
        </w:rPr>
        <w:t xml:space="preserve"> </w:t>
      </w:r>
      <w:r w:rsidR="00E7108C" w:rsidRPr="001951FD">
        <w:rPr>
          <w:rFonts w:ascii="Calibri" w:hAnsi="Calibri" w:cs="Calibri"/>
          <w:i/>
          <w:iCs/>
          <w:color w:val="auto"/>
          <w:sz w:val="16"/>
          <w:szCs w:val="16"/>
        </w:rPr>
        <w:t>(v) the amortisation of intangible assets recognised in business combinations and acquisitions</w:t>
      </w:r>
      <w:r w:rsidR="00E7108C">
        <w:rPr>
          <w:rFonts w:cs="Calibri"/>
          <w:i/>
          <w:iCs/>
          <w:color w:val="auto"/>
          <w:sz w:val="16"/>
          <w:szCs w:val="16"/>
        </w:rPr>
        <w:t xml:space="preserve">; </w:t>
      </w:r>
      <w:r w:rsidR="00E7108C" w:rsidRPr="001951FD">
        <w:rPr>
          <w:rFonts w:ascii="Calibri" w:hAnsi="Calibri" w:cs="Calibri"/>
          <w:i/>
          <w:iCs/>
          <w:color w:val="auto"/>
          <w:sz w:val="16"/>
          <w:szCs w:val="16"/>
        </w:rPr>
        <w:t>and</w:t>
      </w:r>
      <w:r w:rsidR="00E7108C">
        <w:rPr>
          <w:rFonts w:cs="Calibri"/>
          <w:i/>
          <w:iCs/>
          <w:color w:val="auto"/>
          <w:sz w:val="16"/>
          <w:szCs w:val="16"/>
        </w:rPr>
        <w:t xml:space="preserve"> (vi) the donations due to </w:t>
      </w:r>
      <w:r w:rsidR="00E250C6">
        <w:rPr>
          <w:rFonts w:cs="Calibri"/>
          <w:i/>
          <w:iCs/>
          <w:color w:val="auto"/>
          <w:sz w:val="16"/>
          <w:szCs w:val="16"/>
        </w:rPr>
        <w:t>Covid</w:t>
      </w:r>
      <w:r w:rsidR="00E7108C">
        <w:rPr>
          <w:rFonts w:cs="Calibri"/>
          <w:i/>
          <w:iCs/>
          <w:color w:val="auto"/>
          <w:sz w:val="16"/>
          <w:szCs w:val="16"/>
        </w:rPr>
        <w:t>-19,</w:t>
      </w:r>
      <w:r w:rsidR="00E7108C" w:rsidRPr="001951FD">
        <w:rPr>
          <w:rFonts w:ascii="Calibri" w:hAnsi="Calibri" w:cs="Calibri"/>
          <w:i/>
          <w:iCs/>
          <w:color w:val="auto"/>
          <w:sz w:val="16"/>
          <w:szCs w:val="16"/>
        </w:rPr>
        <w:t xml:space="preserve"> as these expenses are not considered operational in nature. These adjustments are made to the earnings </w:t>
      </w:r>
      <w:r w:rsidR="00E250C6" w:rsidRPr="001951FD">
        <w:rPr>
          <w:rFonts w:ascii="Calibri" w:hAnsi="Calibri" w:cs="Calibri"/>
          <w:i/>
          <w:iCs/>
          <w:color w:val="auto"/>
          <w:sz w:val="16"/>
          <w:szCs w:val="16"/>
        </w:rPr>
        <w:t>of businesses</w:t>
      </w:r>
      <w:r w:rsidR="00E7108C" w:rsidRPr="001951FD">
        <w:rPr>
          <w:rFonts w:ascii="Calibri" w:hAnsi="Calibri" w:cs="Calibri"/>
          <w:i/>
          <w:iCs/>
          <w:color w:val="auto"/>
          <w:sz w:val="16"/>
          <w:szCs w:val="16"/>
        </w:rPr>
        <w:t xml:space="preserve"> controlled by the group as well as the group's share of earnings of associates and joint ventures, to the extent that the information is available.</w:t>
      </w:r>
      <w:bookmarkEnd w:id="0"/>
    </w:p>
    <w:p w14:paraId="112BB571" w14:textId="77777777" w:rsidR="00E7108C" w:rsidRPr="001951FD" w:rsidRDefault="00E7108C" w:rsidP="00796610">
      <w:pPr>
        <w:autoSpaceDE w:val="0"/>
        <w:autoSpaceDN w:val="0"/>
        <w:adjustRightInd w:val="0"/>
        <w:spacing w:after="0"/>
        <w:rPr>
          <w:rFonts w:eastAsia="Calibri" w:cs="Times New Roman"/>
          <w:i/>
          <w:iCs/>
          <w:color w:val="auto"/>
          <w:sz w:val="16"/>
          <w:szCs w:val="16"/>
          <w:bdr w:val="nil"/>
        </w:rPr>
      </w:pPr>
    </w:p>
    <w:p w14:paraId="2F5E0416" w14:textId="4AA67B70" w:rsidR="00F71617" w:rsidRPr="00F71617" w:rsidRDefault="009562D3" w:rsidP="00041057">
      <w:pPr>
        <w:pStyle w:val="BodyText1"/>
        <w:numPr>
          <w:ilvl w:val="0"/>
          <w:numId w:val="1"/>
        </w:numPr>
        <w:pBdr>
          <w:top w:val="nil"/>
          <w:left w:val="nil"/>
          <w:bottom w:val="nil"/>
          <w:right w:val="nil"/>
          <w:between w:val="nil"/>
          <w:bar w:val="nil"/>
        </w:pBdr>
        <w:spacing w:after="0"/>
        <w:rPr>
          <w:rFonts w:eastAsia="Calibri" w:cs="Times New Roman"/>
          <w:color w:val="000000"/>
          <w:bdr w:val="nil"/>
        </w:rPr>
      </w:pPr>
      <w:r w:rsidRPr="00FD00C8">
        <w:rPr>
          <w:rFonts w:eastAsia="Calibri" w:cs="Times New Roman"/>
          <w:color w:val="000000"/>
          <w:bdr w:val="nil"/>
        </w:rPr>
        <w:t xml:space="preserve">Per share information is based on the net number of </w:t>
      </w:r>
      <w:r w:rsidR="008C5D8B">
        <w:rPr>
          <w:rFonts w:eastAsia="Calibri" w:cs="Times New Roman"/>
          <w:color w:val="000000"/>
          <w:bdr w:val="nil"/>
        </w:rPr>
        <w:t>A</w:t>
      </w:r>
      <w:r w:rsidR="008C5D8B" w:rsidRPr="00FD00C8">
        <w:rPr>
          <w:rFonts w:eastAsia="Calibri" w:cs="Times New Roman"/>
          <w:color w:val="000000"/>
          <w:bdr w:val="nil"/>
        </w:rPr>
        <w:t xml:space="preserve"> </w:t>
      </w:r>
      <w:r w:rsidRPr="00FD00C8">
        <w:rPr>
          <w:rFonts w:eastAsia="Calibri" w:cs="Times New Roman"/>
          <w:color w:val="000000"/>
          <w:bdr w:val="nil"/>
        </w:rPr>
        <w:t xml:space="preserve">and </w:t>
      </w:r>
      <w:r w:rsidR="008C5D8B">
        <w:rPr>
          <w:rFonts w:eastAsia="Calibri" w:cs="Times New Roman"/>
          <w:color w:val="000000"/>
          <w:bdr w:val="nil"/>
        </w:rPr>
        <w:t>N</w:t>
      </w:r>
      <w:r w:rsidR="008C5D8B" w:rsidRPr="00FD00C8">
        <w:rPr>
          <w:rFonts w:eastAsia="Calibri" w:cs="Times New Roman"/>
          <w:color w:val="000000"/>
          <w:bdr w:val="nil"/>
        </w:rPr>
        <w:t xml:space="preserve"> </w:t>
      </w:r>
      <w:r w:rsidRPr="00FD00C8">
        <w:rPr>
          <w:rFonts w:eastAsia="Calibri" w:cs="Times New Roman"/>
          <w:color w:val="000000"/>
          <w:bdr w:val="nil"/>
        </w:rPr>
        <w:t>ordinary shares in issue during the respective periods.</w:t>
      </w:r>
      <w:r w:rsidR="00F71617" w:rsidRPr="00F71617">
        <w:t xml:space="preserve"> </w:t>
      </w:r>
    </w:p>
    <w:p w14:paraId="3F8FD399" w14:textId="6AE28C74" w:rsidR="009562D3" w:rsidRDefault="00F71617" w:rsidP="00F71617">
      <w:pPr>
        <w:pStyle w:val="BodyText1"/>
        <w:numPr>
          <w:ilvl w:val="0"/>
          <w:numId w:val="1"/>
        </w:numPr>
        <w:pBdr>
          <w:top w:val="nil"/>
          <w:left w:val="nil"/>
          <w:bottom w:val="nil"/>
          <w:right w:val="nil"/>
          <w:between w:val="nil"/>
          <w:bar w:val="nil"/>
        </w:pBdr>
        <w:spacing w:after="0"/>
        <w:rPr>
          <w:rFonts w:eastAsia="Calibri" w:cs="Times New Roman"/>
          <w:color w:val="000000"/>
          <w:bdr w:val="nil"/>
        </w:rPr>
      </w:pPr>
      <w:r w:rsidRPr="00F71617">
        <w:rPr>
          <w:rFonts w:eastAsia="Calibri" w:cs="Times New Roman"/>
          <w:color w:val="000000"/>
          <w:bdr w:val="nil"/>
        </w:rPr>
        <w:t xml:space="preserve">Per share information for the comparative periods is based on the net number of shares issued for the </w:t>
      </w:r>
      <w:r w:rsidR="004D0E2F">
        <w:rPr>
          <w:rFonts w:eastAsia="Calibri" w:cs="Times New Roman"/>
          <w:color w:val="000000"/>
          <w:bdr w:val="nil"/>
        </w:rPr>
        <w:t xml:space="preserve">year </w:t>
      </w:r>
      <w:r w:rsidRPr="00F71617">
        <w:rPr>
          <w:rFonts w:eastAsia="Calibri" w:cs="Times New Roman"/>
          <w:color w:val="000000"/>
          <w:bdr w:val="nil"/>
        </w:rPr>
        <w:t xml:space="preserve">ended </w:t>
      </w:r>
      <w:r w:rsidR="004D0E2F">
        <w:rPr>
          <w:rFonts w:eastAsia="Calibri" w:cs="Times New Roman"/>
          <w:color w:val="000000"/>
          <w:bdr w:val="nil"/>
        </w:rPr>
        <w:t>31 March 2020</w:t>
      </w:r>
      <w:r w:rsidR="005D23B4">
        <w:rPr>
          <w:rFonts w:eastAsia="Calibri" w:cs="Times New Roman"/>
          <w:color w:val="000000"/>
          <w:bdr w:val="nil"/>
        </w:rPr>
        <w:t xml:space="preserve"> </w:t>
      </w:r>
      <w:r w:rsidRPr="00F71617">
        <w:rPr>
          <w:rFonts w:eastAsia="Calibri" w:cs="Times New Roman"/>
          <w:color w:val="000000"/>
          <w:bdr w:val="nil"/>
        </w:rPr>
        <w:t>to permit comparability</w:t>
      </w:r>
      <w:r>
        <w:rPr>
          <w:rFonts w:eastAsia="Calibri" w:cs="Times New Roman"/>
          <w:color w:val="000000"/>
          <w:bdr w:val="nil"/>
        </w:rPr>
        <w:t>.</w:t>
      </w:r>
    </w:p>
    <w:p w14:paraId="5992185E" w14:textId="77777777" w:rsidR="00741166" w:rsidRDefault="00741166">
      <w:pPr>
        <w:rPr>
          <w:rFonts w:ascii="Calibri" w:eastAsia="Calibri" w:hAnsi="Calibri" w:cs="Times New Roman"/>
          <w:color w:val="000000"/>
          <w:bdr w:val="nil"/>
        </w:rPr>
      </w:pPr>
      <w:r>
        <w:rPr>
          <w:rFonts w:eastAsia="Calibri" w:cs="Times New Roman"/>
          <w:color w:val="000000"/>
          <w:bdr w:val="nil"/>
        </w:rPr>
        <w:br w:type="page"/>
      </w:r>
    </w:p>
    <w:p w14:paraId="40CF1093" w14:textId="57DD22EF" w:rsidR="002E4586" w:rsidRDefault="009B3584" w:rsidP="00D93CBA">
      <w:pPr>
        <w:pStyle w:val="BodyText1"/>
        <w:pBdr>
          <w:top w:val="nil"/>
          <w:left w:val="nil"/>
          <w:bottom w:val="nil"/>
          <w:right w:val="nil"/>
          <w:between w:val="nil"/>
          <w:bar w:val="nil"/>
        </w:pBdr>
        <w:spacing w:before="240"/>
        <w:rPr>
          <w:rFonts w:eastAsia="Calibri" w:cs="Times New Roman"/>
          <w:color w:val="000000"/>
          <w:bdr w:val="nil"/>
        </w:rPr>
      </w:pPr>
      <w:r w:rsidRPr="00D93CBA">
        <w:rPr>
          <w:rFonts w:eastAsia="Calibri" w:cs="Times New Roman"/>
          <w:color w:val="000000"/>
          <w:bdr w:val="nil"/>
        </w:rPr>
        <w:lastRenderedPageBreak/>
        <w:t>Financial information on which this trading statement is based has not been reviewed or reported on by the company’s auditors.</w:t>
      </w:r>
    </w:p>
    <w:p w14:paraId="47E7BC60" w14:textId="77777777" w:rsidR="00741166" w:rsidRDefault="00741166" w:rsidP="00741166">
      <w:pPr>
        <w:spacing w:after="0"/>
        <w:ind w:left="3974" w:hanging="3974"/>
        <w:rPr>
          <w:rFonts w:cstheme="minorHAnsi"/>
        </w:rPr>
      </w:pPr>
    </w:p>
    <w:p w14:paraId="269DCA98" w14:textId="4DC98B09" w:rsidR="00741166" w:rsidRPr="00741166" w:rsidRDefault="00741166" w:rsidP="00741166">
      <w:pPr>
        <w:spacing w:after="0"/>
        <w:ind w:left="3974" w:hanging="3974"/>
        <w:rPr>
          <w:rFonts w:cstheme="minorHAnsi"/>
          <w:color w:val="auto"/>
        </w:rPr>
      </w:pPr>
      <w:r w:rsidRPr="00741166">
        <w:rPr>
          <w:rFonts w:cstheme="minorHAnsi"/>
          <w:color w:val="auto"/>
        </w:rPr>
        <w:t>AMSTERDAM, THE NETHERLANDS</w:t>
      </w:r>
    </w:p>
    <w:p w14:paraId="0E72010A" w14:textId="16CF44A0" w:rsidR="00741166" w:rsidRPr="00741166" w:rsidRDefault="00060185" w:rsidP="00741166">
      <w:pPr>
        <w:spacing w:after="0"/>
        <w:ind w:left="3974" w:hanging="3974"/>
        <w:rPr>
          <w:rFonts w:cstheme="minorHAnsi"/>
          <w:color w:val="auto"/>
        </w:rPr>
      </w:pPr>
      <w:r>
        <w:rPr>
          <w:rFonts w:cstheme="minorHAnsi"/>
          <w:color w:val="auto"/>
        </w:rPr>
        <w:t>18 June</w:t>
      </w:r>
      <w:bookmarkStart w:id="1" w:name="_GoBack"/>
      <w:bookmarkEnd w:id="1"/>
      <w:r w:rsidR="00741166" w:rsidRPr="00741166">
        <w:rPr>
          <w:rFonts w:cstheme="minorHAnsi"/>
          <w:color w:val="auto"/>
        </w:rPr>
        <w:t xml:space="preserve"> 2020</w:t>
      </w:r>
    </w:p>
    <w:p w14:paraId="469E8B9D" w14:textId="77777777" w:rsidR="00741166" w:rsidRPr="00741166" w:rsidRDefault="00741166" w:rsidP="00741166">
      <w:pPr>
        <w:spacing w:after="0"/>
        <w:ind w:left="3974" w:hanging="3974"/>
        <w:rPr>
          <w:rFonts w:cstheme="minorHAnsi"/>
          <w:color w:val="auto"/>
        </w:rPr>
      </w:pPr>
      <w:r w:rsidRPr="00741166">
        <w:rPr>
          <w:rFonts w:cstheme="minorHAnsi"/>
          <w:color w:val="auto"/>
        </w:rPr>
        <w:t>Sponsor: Investec Bank Limited</w:t>
      </w:r>
    </w:p>
    <w:p w14:paraId="0F4511D7" w14:textId="77777777" w:rsidR="00741166" w:rsidRPr="00D93CBA" w:rsidRDefault="00741166" w:rsidP="00D93CBA">
      <w:pPr>
        <w:pStyle w:val="BodyText1"/>
        <w:pBdr>
          <w:top w:val="nil"/>
          <w:left w:val="nil"/>
          <w:bottom w:val="nil"/>
          <w:right w:val="nil"/>
          <w:between w:val="nil"/>
          <w:bar w:val="nil"/>
        </w:pBdr>
        <w:spacing w:before="240"/>
        <w:rPr>
          <w:rFonts w:eastAsia="Calibri" w:cs="Times New Roman"/>
          <w:color w:val="000000"/>
          <w:bdr w:val="nil"/>
        </w:rPr>
      </w:pPr>
    </w:p>
    <w:sectPr w:rsidR="00741166" w:rsidRPr="00D93CBA" w:rsidSect="00297229">
      <w:headerReference w:type="even" r:id="rId11"/>
      <w:headerReference w:type="default" r:id="rId12"/>
      <w:footerReference w:type="even" r:id="rId13"/>
      <w:footerReference w:type="default" r:id="rId14"/>
      <w:type w:val="continuous"/>
      <w:pgSz w:w="11906" w:h="16838" w:code="9"/>
      <w:pgMar w:top="567" w:right="851" w:bottom="567"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94BFA" w14:textId="77777777" w:rsidR="00E143BF" w:rsidRDefault="00E143BF">
      <w:pPr>
        <w:spacing w:after="0"/>
      </w:pPr>
      <w:r>
        <w:separator/>
      </w:r>
    </w:p>
  </w:endnote>
  <w:endnote w:type="continuationSeparator" w:id="0">
    <w:p w14:paraId="159E0979" w14:textId="77777777" w:rsidR="00E143BF" w:rsidRDefault="00E143BF">
      <w:pPr>
        <w:spacing w:after="0"/>
      </w:pPr>
      <w:r>
        <w:continuationSeparator/>
      </w:r>
    </w:p>
  </w:endnote>
  <w:endnote w:type="continuationNotice" w:id="1">
    <w:p w14:paraId="65CB6471" w14:textId="77777777" w:rsidR="00E143BF" w:rsidRDefault="00E143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4E6E8" w14:textId="77777777" w:rsidR="00F04A29" w:rsidRDefault="00F04A29">
    <w:pPr>
      <w:pStyle w:val="Normal2"/>
      <w:suppressLineNumbers/>
      <w:spacing w:line="14" w:lineRule="exact"/>
      <w:contextualSpaci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5361608"/>
      <w:docPartObj>
        <w:docPartGallery w:val="Page Numbers (Bottom of Page)"/>
        <w:docPartUnique/>
      </w:docPartObj>
    </w:sdtPr>
    <w:sdtEndPr>
      <w:rPr>
        <w:noProof/>
      </w:rPr>
    </w:sdtEndPr>
    <w:sdtContent>
      <w:p w14:paraId="1055DD7D" w14:textId="3978DD09" w:rsidR="001040A8" w:rsidRDefault="001040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90410B" w14:textId="77777777" w:rsidR="00F04A29" w:rsidRDefault="00F04A29">
    <w:pPr>
      <w:pStyle w:val="Normal2"/>
      <w:suppressLineNumbers/>
      <w:spacing w:line="14" w:lineRule="exact"/>
      <w:contextual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50827" w14:textId="77777777" w:rsidR="00E143BF" w:rsidRDefault="00E143BF">
      <w:pPr>
        <w:spacing w:after="0"/>
      </w:pPr>
      <w:r>
        <w:separator/>
      </w:r>
    </w:p>
  </w:footnote>
  <w:footnote w:type="continuationSeparator" w:id="0">
    <w:p w14:paraId="4FC59D63" w14:textId="77777777" w:rsidR="00E143BF" w:rsidRDefault="00E143BF">
      <w:pPr>
        <w:spacing w:after="0"/>
      </w:pPr>
      <w:r>
        <w:continuationSeparator/>
      </w:r>
    </w:p>
  </w:footnote>
  <w:footnote w:type="continuationNotice" w:id="1">
    <w:p w14:paraId="3B67DB72" w14:textId="77777777" w:rsidR="00E143BF" w:rsidRDefault="00E143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02"/>
      <w:tblW w:w="10420" w:type="dxa"/>
      <w:tblBorders>
        <w:top w:val="nil"/>
        <w:left w:val="nil"/>
        <w:bottom w:val="nil"/>
        <w:right w:val="nil"/>
        <w:insideH w:val="nil"/>
        <w:insideV w:val="nil"/>
      </w:tblBorders>
      <w:tblLook w:val="04A0" w:firstRow="1" w:lastRow="0" w:firstColumn="1" w:lastColumn="0" w:noHBand="0" w:noVBand="1"/>
    </w:tblPr>
    <w:tblGrid>
      <w:gridCol w:w="726"/>
      <w:gridCol w:w="9694"/>
    </w:tblGrid>
    <w:tr w:rsidR="00F04A29" w14:paraId="6B74EDE7" w14:textId="77777777" w:rsidTr="002E4586">
      <w:tc>
        <w:tcPr>
          <w:tcW w:w="726" w:type="dxa"/>
          <w:vMerge w:val="restart"/>
        </w:tcPr>
        <w:p w14:paraId="38E5FDD8" w14:textId="77777777" w:rsidR="00F04A29" w:rsidRPr="00007D47" w:rsidRDefault="00F04A29" w:rsidP="002E4586">
          <w:pPr>
            <w:pStyle w:val="BodyText102"/>
            <w:pBdr>
              <w:top w:val="nil"/>
              <w:left w:val="nil"/>
              <w:bottom w:val="nil"/>
              <w:right w:val="nil"/>
              <w:between w:val="nil"/>
              <w:bar w:val="nil"/>
            </w:pBdr>
            <w:jc w:val="both"/>
            <w:rPr>
              <w:rFonts w:eastAsia="Calibri" w:cs="Times New Roman"/>
              <w:color w:val="000000"/>
              <w:bdr w:val="nil"/>
            </w:rPr>
          </w:pPr>
          <w:r w:rsidRPr="00007D47">
            <w:rPr>
              <w:rFonts w:eastAsia="Calibri" w:cs="Times New Roman"/>
              <w:noProof/>
              <w:color w:val="000000"/>
              <w:bdr w:val="nil"/>
              <w:lang w:eastAsia="en-ZA"/>
            </w:rPr>
            <w:drawing>
              <wp:inline distT="0" distB="0" distL="0" distR="0" wp14:anchorId="7D547E07" wp14:editId="2D73D8BE">
                <wp:extent cx="247650" cy="209550"/>
                <wp:effectExtent l="38100" t="38100" r="38100" b="38100"/>
                <wp:docPr id="1389505666" name="Picture 1"/>
                <wp:cNvGraphicFramePr/>
                <a:graphic xmlns:a="http://schemas.openxmlformats.org/drawingml/2006/main">
                  <a:graphicData uri="http://schemas.openxmlformats.org/drawingml/2006/picture">
                    <pic:pic xmlns:pic="http://schemas.openxmlformats.org/drawingml/2006/picture">
                      <pic:nvPicPr>
                        <pic:cNvPr id="1770955808" name="Picture 1"/>
                        <pic:cNvPicPr/>
                      </pic:nvPicPr>
                      <pic:blipFill>
                        <a:blip r:embed="rId1">
                          <a:clrChange>
                            <a:clrFrom>
                              <a:srgbClr val="F69D6A"/>
                            </a:clrFrom>
                            <a:clrTo>
                              <a:srgbClr val="F69D6A">
                                <a:alpha val="0"/>
                              </a:srgbClr>
                            </a:clrTo>
                          </a:clrChange>
                        </a:blip>
                        <a:stretch>
                          <a:fillRect/>
                        </a:stretch>
                      </pic:blipFill>
                      <pic:spPr>
                        <a:xfrm>
                          <a:off x="0" y="0"/>
                          <a:ext cx="247650" cy="209550"/>
                        </a:xfrm>
                        <a:prstGeom prst="rect">
                          <a:avLst/>
                        </a:prstGeom>
                        <a:pattFill prst="pct5">
                          <a:fgClr>
                            <a:schemeClr val="accent1"/>
                          </a:fgClr>
                          <a:bgClr>
                            <a:schemeClr val="bg1"/>
                          </a:bgClr>
                        </a:pattFill>
                        <a:effectLst>
                          <a:glow rad="127000">
                            <a:schemeClr val="accent1">
                              <a:alpha val="0"/>
                            </a:schemeClr>
                          </a:glow>
                          <a:outerShdw blurRad="50800" dist="50800" dir="5400000" algn="ctr" rotWithShape="0">
                            <a:srgbClr val="000000">
                              <a:alpha val="0"/>
                            </a:srgbClr>
                          </a:outerShdw>
                          <a:reflection stA="0" endPos="65000" dist="50800" dir="5400000" sy="-100000" algn="bl" rotWithShape="0"/>
                        </a:effectLst>
                      </pic:spPr>
                    </pic:pic>
                  </a:graphicData>
                </a:graphic>
              </wp:inline>
            </w:drawing>
          </w:r>
        </w:p>
      </w:tc>
      <w:tc>
        <w:tcPr>
          <w:tcW w:w="9694" w:type="dxa"/>
        </w:tcPr>
        <w:p w14:paraId="6A481C5C" w14:textId="77777777" w:rsidR="00F04A29" w:rsidRPr="0091438F" w:rsidRDefault="00F04A29" w:rsidP="002E4586">
          <w:pPr>
            <w:pStyle w:val="PageHeading02"/>
            <w:pBdr>
              <w:top w:val="nil"/>
              <w:left w:val="nil"/>
              <w:bottom w:val="nil"/>
              <w:right w:val="nil"/>
              <w:between w:val="nil"/>
              <w:bar w:val="nil"/>
            </w:pBdr>
            <w:spacing w:after="0"/>
            <w:rPr>
              <w:rFonts w:eastAsia="Calibri" w:cs="Times New Roman"/>
              <w:szCs w:val="33"/>
              <w:bdr w:val="nil"/>
            </w:rPr>
          </w:pPr>
          <w:r>
            <w:rPr>
              <w:rFonts w:eastAsia="Calibri" w:cs="Times New Roman"/>
              <w:szCs w:val="33"/>
              <w:bdr w:val="nil"/>
            </w:rPr>
            <w:t>Naspers Limited</w:t>
          </w:r>
        </w:p>
      </w:tc>
    </w:tr>
    <w:tr w:rsidR="00F04A29" w14:paraId="6E89A2C9" w14:textId="77777777" w:rsidTr="002E4586">
      <w:tc>
        <w:tcPr>
          <w:tcW w:w="726" w:type="dxa"/>
          <w:vMerge/>
        </w:tcPr>
        <w:p w14:paraId="7FD7BA1D" w14:textId="77777777" w:rsidR="00F04A29" w:rsidRDefault="00F04A29" w:rsidP="002E4586">
          <w:pPr>
            <w:pStyle w:val="BodyText102"/>
            <w:pBdr>
              <w:top w:val="nil"/>
              <w:left w:val="nil"/>
              <w:bottom w:val="nil"/>
              <w:right w:val="nil"/>
              <w:between w:val="nil"/>
              <w:bar w:val="nil"/>
            </w:pBdr>
            <w:jc w:val="right"/>
            <w:rPr>
              <w:rFonts w:eastAsia="Calibri" w:cs="Times New Roman"/>
              <w:color w:val="000000"/>
              <w:bdr w:val="nil"/>
            </w:rPr>
          </w:pPr>
        </w:p>
      </w:tc>
      <w:tc>
        <w:tcPr>
          <w:tcW w:w="9694" w:type="dxa"/>
        </w:tcPr>
        <w:p w14:paraId="120BECD7" w14:textId="77777777" w:rsidR="00F04A29" w:rsidRPr="00D85AD3" w:rsidRDefault="00F04A29" w:rsidP="002E4586">
          <w:pPr>
            <w:pStyle w:val="BodyText102"/>
            <w:pBdr>
              <w:top w:val="nil"/>
              <w:left w:val="nil"/>
              <w:bottom w:val="nil"/>
              <w:right w:val="nil"/>
              <w:between w:val="nil"/>
              <w:bar w:val="nil"/>
            </w:pBdr>
            <w:rPr>
              <w:rFonts w:eastAsia="Calibri" w:cs="Times New Roman"/>
              <w:i/>
              <w:color w:val="000000"/>
              <w:bdr w:val="nil"/>
            </w:rPr>
          </w:pPr>
          <w:r>
            <w:rPr>
              <w:rFonts w:eastAsia="Calibri" w:cs="Times New Roman"/>
              <w:i/>
              <w:color w:val="000000"/>
              <w:bdr w:val="nil"/>
            </w:rPr>
            <w:t>Trading statement and change in accounting policy</w:t>
          </w:r>
        </w:p>
      </w:tc>
    </w:tr>
  </w:tbl>
  <w:p w14:paraId="3136D914" w14:textId="77777777" w:rsidR="00F04A29" w:rsidRPr="00D85AD3" w:rsidRDefault="00F04A29" w:rsidP="002E4586">
    <w:pPr>
      <w:pStyle w:val="BodyText102"/>
      <w:pBdr>
        <w:top w:val="nil"/>
        <w:left w:val="nil"/>
        <w:bottom w:val="nil"/>
        <w:right w:val="nil"/>
        <w:between w:val="nil"/>
        <w:bar w:val="nil"/>
      </w:pBdr>
      <w:spacing w:after="180"/>
      <w:jc w:val="both"/>
      <w:rPr>
        <w:rFonts w:eastAsia="Calibri" w:cs="Times New Roman"/>
        <w:color w:val="000000"/>
        <w:bdr w:val="ni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F45BF" w14:textId="77777777" w:rsidR="00F04A29" w:rsidRPr="00D85AD3" w:rsidRDefault="00F04A29" w:rsidP="003713FF">
    <w:pPr>
      <w:pStyle w:val="BodyText14"/>
      <w:pBdr>
        <w:top w:val="nil"/>
        <w:left w:val="nil"/>
        <w:bottom w:val="nil"/>
        <w:right w:val="nil"/>
        <w:between w:val="nil"/>
        <w:bar w:val="nil"/>
      </w:pBdr>
      <w:spacing w:after="180"/>
      <w:jc w:val="both"/>
      <w:rPr>
        <w:rFonts w:eastAsia="Calibri" w:cs="Times New Roman"/>
        <w:color w:val="000000"/>
        <w:bdr w:val="ni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110549"/>
    <w:multiLevelType w:val="hybridMultilevel"/>
    <w:tmpl w:val="DB6A09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40BB1025"/>
    <w:multiLevelType w:val="hybridMultilevel"/>
    <w:tmpl w:val="7A629454"/>
    <w:lvl w:ilvl="0" w:tplc="39D87540">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41647C9"/>
    <w:multiLevelType w:val="hybridMultilevel"/>
    <w:tmpl w:val="EE98E5C8"/>
    <w:lvl w:ilvl="0" w:tplc="F3385A6A">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72446AED"/>
    <w:multiLevelType w:val="hybridMultilevel"/>
    <w:tmpl w:val="B84E1422"/>
    <w:lvl w:ilvl="0" w:tplc="C7C4478E">
      <w:start w:val="1"/>
      <w:numFmt w:val="decimal"/>
      <w:lvlText w:val="(%1)"/>
      <w:lvlJc w:val="left"/>
      <w:pPr>
        <w:ind w:left="360" w:hanging="360"/>
      </w:pPr>
      <w:rPr>
        <w:rFonts w:hint="default"/>
        <w:vertAlign w:val="superscrip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527"/>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0A3"/>
    <w:rsid w:val="00005A9D"/>
    <w:rsid w:val="00010DEC"/>
    <w:rsid w:val="0001459C"/>
    <w:rsid w:val="00017C98"/>
    <w:rsid w:val="000259C5"/>
    <w:rsid w:val="00041057"/>
    <w:rsid w:val="0004239A"/>
    <w:rsid w:val="00045AED"/>
    <w:rsid w:val="000516E2"/>
    <w:rsid w:val="00060185"/>
    <w:rsid w:val="00060C1D"/>
    <w:rsid w:val="00061C86"/>
    <w:rsid w:val="00077C4E"/>
    <w:rsid w:val="000B278B"/>
    <w:rsid w:val="000B415A"/>
    <w:rsid w:val="000C1C2F"/>
    <w:rsid w:val="000E45E0"/>
    <w:rsid w:val="000F45DB"/>
    <w:rsid w:val="00102C24"/>
    <w:rsid w:val="001040A8"/>
    <w:rsid w:val="001065D6"/>
    <w:rsid w:val="001114A3"/>
    <w:rsid w:val="00113AAC"/>
    <w:rsid w:val="00114452"/>
    <w:rsid w:val="001211B1"/>
    <w:rsid w:val="00122294"/>
    <w:rsid w:val="00122E91"/>
    <w:rsid w:val="001243EF"/>
    <w:rsid w:val="00126074"/>
    <w:rsid w:val="00126B4C"/>
    <w:rsid w:val="00136E2C"/>
    <w:rsid w:val="001434C6"/>
    <w:rsid w:val="00154A8D"/>
    <w:rsid w:val="00180B15"/>
    <w:rsid w:val="00187773"/>
    <w:rsid w:val="001951FD"/>
    <w:rsid w:val="001B6385"/>
    <w:rsid w:val="001B6B7F"/>
    <w:rsid w:val="001C4B70"/>
    <w:rsid w:val="001D63AA"/>
    <w:rsid w:val="001E2FD1"/>
    <w:rsid w:val="001F31F5"/>
    <w:rsid w:val="002215F9"/>
    <w:rsid w:val="00221638"/>
    <w:rsid w:val="00244E6A"/>
    <w:rsid w:val="00271613"/>
    <w:rsid w:val="00283C18"/>
    <w:rsid w:val="0029254D"/>
    <w:rsid w:val="00297229"/>
    <w:rsid w:val="002A400A"/>
    <w:rsid w:val="002C116D"/>
    <w:rsid w:val="002C3683"/>
    <w:rsid w:val="002E4586"/>
    <w:rsid w:val="003121F7"/>
    <w:rsid w:val="0033350F"/>
    <w:rsid w:val="00361013"/>
    <w:rsid w:val="003713FF"/>
    <w:rsid w:val="00386F94"/>
    <w:rsid w:val="00390C18"/>
    <w:rsid w:val="00394258"/>
    <w:rsid w:val="003945D3"/>
    <w:rsid w:val="003B0553"/>
    <w:rsid w:val="003E62E3"/>
    <w:rsid w:val="0040103B"/>
    <w:rsid w:val="00414A5A"/>
    <w:rsid w:val="00416798"/>
    <w:rsid w:val="0043083E"/>
    <w:rsid w:val="004316AA"/>
    <w:rsid w:val="00431718"/>
    <w:rsid w:val="00433563"/>
    <w:rsid w:val="00486F6C"/>
    <w:rsid w:val="004971A1"/>
    <w:rsid w:val="004A7A8B"/>
    <w:rsid w:val="004B4D14"/>
    <w:rsid w:val="004C32F3"/>
    <w:rsid w:val="004D0924"/>
    <w:rsid w:val="004D0E2F"/>
    <w:rsid w:val="004D4F2E"/>
    <w:rsid w:val="004F4A26"/>
    <w:rsid w:val="005416D6"/>
    <w:rsid w:val="005440AC"/>
    <w:rsid w:val="00553F55"/>
    <w:rsid w:val="00557D01"/>
    <w:rsid w:val="005C683F"/>
    <w:rsid w:val="005D23B4"/>
    <w:rsid w:val="005D3955"/>
    <w:rsid w:val="005F12F5"/>
    <w:rsid w:val="00616E25"/>
    <w:rsid w:val="00622894"/>
    <w:rsid w:val="006351F9"/>
    <w:rsid w:val="00647AA6"/>
    <w:rsid w:val="00651479"/>
    <w:rsid w:val="00666005"/>
    <w:rsid w:val="006744E8"/>
    <w:rsid w:val="006749B4"/>
    <w:rsid w:val="0068232C"/>
    <w:rsid w:val="00684727"/>
    <w:rsid w:val="006A569A"/>
    <w:rsid w:val="006C21D9"/>
    <w:rsid w:val="006C34E7"/>
    <w:rsid w:val="006C57A6"/>
    <w:rsid w:val="006C6E32"/>
    <w:rsid w:val="006D13E0"/>
    <w:rsid w:val="006D5360"/>
    <w:rsid w:val="006D5E23"/>
    <w:rsid w:val="006E1B70"/>
    <w:rsid w:val="006E5BDF"/>
    <w:rsid w:val="006F41F2"/>
    <w:rsid w:val="00703729"/>
    <w:rsid w:val="007164FE"/>
    <w:rsid w:val="007304C3"/>
    <w:rsid w:val="00737235"/>
    <w:rsid w:val="00741166"/>
    <w:rsid w:val="00753EA1"/>
    <w:rsid w:val="0078544A"/>
    <w:rsid w:val="00796610"/>
    <w:rsid w:val="007B2741"/>
    <w:rsid w:val="007F09ED"/>
    <w:rsid w:val="007F26DC"/>
    <w:rsid w:val="00836ACE"/>
    <w:rsid w:val="008479C3"/>
    <w:rsid w:val="00876671"/>
    <w:rsid w:val="00882275"/>
    <w:rsid w:val="008842FB"/>
    <w:rsid w:val="00887DB1"/>
    <w:rsid w:val="008A596D"/>
    <w:rsid w:val="008B1322"/>
    <w:rsid w:val="008C5D8B"/>
    <w:rsid w:val="008D0F47"/>
    <w:rsid w:val="008F3F22"/>
    <w:rsid w:val="00931A29"/>
    <w:rsid w:val="00937D60"/>
    <w:rsid w:val="0094110B"/>
    <w:rsid w:val="00951BCE"/>
    <w:rsid w:val="009562D3"/>
    <w:rsid w:val="009569C7"/>
    <w:rsid w:val="009635A8"/>
    <w:rsid w:val="00964036"/>
    <w:rsid w:val="00980236"/>
    <w:rsid w:val="009A7D5A"/>
    <w:rsid w:val="009B3584"/>
    <w:rsid w:val="009C27C3"/>
    <w:rsid w:val="009D55EE"/>
    <w:rsid w:val="009E54F2"/>
    <w:rsid w:val="009E5610"/>
    <w:rsid w:val="00A17FB5"/>
    <w:rsid w:val="00A233A8"/>
    <w:rsid w:val="00A513BB"/>
    <w:rsid w:val="00A61084"/>
    <w:rsid w:val="00A61F32"/>
    <w:rsid w:val="00A71B1F"/>
    <w:rsid w:val="00A750EF"/>
    <w:rsid w:val="00A83460"/>
    <w:rsid w:val="00AA5F96"/>
    <w:rsid w:val="00AA70EA"/>
    <w:rsid w:val="00AA76DD"/>
    <w:rsid w:val="00AB76A1"/>
    <w:rsid w:val="00AD0EDD"/>
    <w:rsid w:val="00AD2D90"/>
    <w:rsid w:val="00AE2004"/>
    <w:rsid w:val="00AF187C"/>
    <w:rsid w:val="00B37575"/>
    <w:rsid w:val="00B400BE"/>
    <w:rsid w:val="00B41D1F"/>
    <w:rsid w:val="00B42711"/>
    <w:rsid w:val="00B47B93"/>
    <w:rsid w:val="00B542CD"/>
    <w:rsid w:val="00B55C8E"/>
    <w:rsid w:val="00B60DA1"/>
    <w:rsid w:val="00B61DA9"/>
    <w:rsid w:val="00B74869"/>
    <w:rsid w:val="00B75C0F"/>
    <w:rsid w:val="00B80DA2"/>
    <w:rsid w:val="00B901C6"/>
    <w:rsid w:val="00B97E61"/>
    <w:rsid w:val="00BA0D80"/>
    <w:rsid w:val="00BA790D"/>
    <w:rsid w:val="00BD7F11"/>
    <w:rsid w:val="00BE0A29"/>
    <w:rsid w:val="00BE226E"/>
    <w:rsid w:val="00BF3ADF"/>
    <w:rsid w:val="00BF4616"/>
    <w:rsid w:val="00C01A6B"/>
    <w:rsid w:val="00C03976"/>
    <w:rsid w:val="00C10CBA"/>
    <w:rsid w:val="00C23454"/>
    <w:rsid w:val="00C30733"/>
    <w:rsid w:val="00C44A20"/>
    <w:rsid w:val="00C46A79"/>
    <w:rsid w:val="00C5606A"/>
    <w:rsid w:val="00C9168F"/>
    <w:rsid w:val="00C92279"/>
    <w:rsid w:val="00C92C51"/>
    <w:rsid w:val="00CA6970"/>
    <w:rsid w:val="00CC5A07"/>
    <w:rsid w:val="00CD1DFA"/>
    <w:rsid w:val="00CE5F8B"/>
    <w:rsid w:val="00D14E6F"/>
    <w:rsid w:val="00D20CCC"/>
    <w:rsid w:val="00D2653B"/>
    <w:rsid w:val="00D270DF"/>
    <w:rsid w:val="00D4477E"/>
    <w:rsid w:val="00D540D1"/>
    <w:rsid w:val="00D572A4"/>
    <w:rsid w:val="00D608A2"/>
    <w:rsid w:val="00D63BE7"/>
    <w:rsid w:val="00D65978"/>
    <w:rsid w:val="00D93CBA"/>
    <w:rsid w:val="00D93F52"/>
    <w:rsid w:val="00D9782E"/>
    <w:rsid w:val="00DB3DCF"/>
    <w:rsid w:val="00DB7996"/>
    <w:rsid w:val="00DE167F"/>
    <w:rsid w:val="00DE5C16"/>
    <w:rsid w:val="00DE717A"/>
    <w:rsid w:val="00DF68D5"/>
    <w:rsid w:val="00DF6FDE"/>
    <w:rsid w:val="00E143BF"/>
    <w:rsid w:val="00E250C6"/>
    <w:rsid w:val="00E373D0"/>
    <w:rsid w:val="00E44312"/>
    <w:rsid w:val="00E6303E"/>
    <w:rsid w:val="00E7108C"/>
    <w:rsid w:val="00E74806"/>
    <w:rsid w:val="00E90A0B"/>
    <w:rsid w:val="00EB5BBD"/>
    <w:rsid w:val="00EC1A4D"/>
    <w:rsid w:val="00EC5F16"/>
    <w:rsid w:val="00EC73D3"/>
    <w:rsid w:val="00EE6856"/>
    <w:rsid w:val="00EF0F7C"/>
    <w:rsid w:val="00F02B1F"/>
    <w:rsid w:val="00F04A29"/>
    <w:rsid w:val="00F07385"/>
    <w:rsid w:val="00F13B8B"/>
    <w:rsid w:val="00F17C69"/>
    <w:rsid w:val="00F2101F"/>
    <w:rsid w:val="00F239E8"/>
    <w:rsid w:val="00F41B62"/>
    <w:rsid w:val="00F56530"/>
    <w:rsid w:val="00F71617"/>
    <w:rsid w:val="00F750A3"/>
    <w:rsid w:val="00F759D2"/>
    <w:rsid w:val="00F80EE6"/>
    <w:rsid w:val="00F811EA"/>
    <w:rsid w:val="00F82530"/>
    <w:rsid w:val="00FA4EA0"/>
    <w:rsid w:val="00FA7E2F"/>
    <w:rsid w:val="00FC0DBF"/>
    <w:rsid w:val="00FC2C1B"/>
    <w:rsid w:val="00FD00C8"/>
    <w:rsid w:val="00FD7CF8"/>
    <w:rsid w:val="00FE0EEF"/>
    <w:rsid w:val="00FF7435"/>
    <w:rsid w:val="00FF77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9DD36F"/>
  <w15:docId w15:val="{4D6A307A-C5C5-482B-B090-C464BE5D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808080"/>
        <w:lang w:val="en-ZA" w:eastAsia="en-US" w:bidi="ar-SA"/>
      </w:rPr>
    </w:rPrDefault>
    <w:pPrDefault>
      <w:pPr>
        <w:spacing w:after="180"/>
        <w:jc w:val="both"/>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1E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qFormat/>
    <w:rsid w:val="009D0786"/>
    <w:rPr>
      <w:rFonts w:ascii="Calibri" w:hAnsi="Calibri"/>
      <w:color w:val="000000" w:themeColor="text1"/>
    </w:rPr>
  </w:style>
  <w:style w:type="paragraph" w:customStyle="1" w:styleId="BodyText10">
    <w:name w:val="Body Text1_0"/>
    <w:qFormat/>
    <w:rsid w:val="009D0786"/>
    <w:rPr>
      <w:rFonts w:ascii="Calibri" w:hAnsi="Calibri"/>
      <w:color w:val="000000" w:themeColor="text1"/>
    </w:rPr>
  </w:style>
  <w:style w:type="paragraph" w:customStyle="1" w:styleId="PageHeading0">
    <w:name w:val="Page Heading_0"/>
    <w:qFormat/>
    <w:rsid w:val="009D0786"/>
    <w:pPr>
      <w:spacing w:after="20"/>
    </w:pPr>
    <w:rPr>
      <w:rFonts w:ascii="Calibri" w:hAnsi="Calibri"/>
      <w:b/>
      <w:color w:val="auto"/>
      <w:sz w:val="33"/>
    </w:rPr>
  </w:style>
  <w:style w:type="table" w:customStyle="1" w:styleId="TableGrid0">
    <w:name w:val="Table Grid_0"/>
    <w:basedOn w:val="TableNormal"/>
    <w:uiPriority w:val="39"/>
    <w:rsid w:val="00D85AD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1">
    <w:name w:val="Body Text1_1"/>
    <w:qFormat/>
    <w:rsid w:val="009D0786"/>
    <w:rPr>
      <w:rFonts w:ascii="Calibri" w:hAnsi="Calibri"/>
      <w:color w:val="000000" w:themeColor="text1"/>
    </w:rPr>
  </w:style>
  <w:style w:type="paragraph" w:customStyle="1" w:styleId="PageHeading1">
    <w:name w:val="Page Heading_1"/>
    <w:qFormat/>
    <w:rsid w:val="009D0786"/>
    <w:pPr>
      <w:spacing w:after="20"/>
    </w:pPr>
    <w:rPr>
      <w:rFonts w:ascii="Calibri" w:hAnsi="Calibri"/>
      <w:b/>
      <w:color w:val="auto"/>
      <w:sz w:val="33"/>
    </w:rPr>
  </w:style>
  <w:style w:type="table" w:customStyle="1" w:styleId="TableGrid1">
    <w:name w:val="Table Grid_1"/>
    <w:basedOn w:val="TableNormal"/>
    <w:uiPriority w:val="39"/>
    <w:rsid w:val="00D85AD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pPr>
      <w:spacing w:after="0"/>
      <w:jc w:val="left"/>
    </w:pPr>
    <w:rPr>
      <w:rFonts w:ascii="Times New Roman" w:eastAsia="Times New Roman" w:hAnsi="Times New Roman" w:cs="Times New Roman"/>
      <w:color w:val="auto"/>
      <w:sz w:val="24"/>
      <w:szCs w:val="24"/>
    </w:rPr>
  </w:style>
  <w:style w:type="table" w:customStyle="1" w:styleId="CDMRange1">
    <w:name w:val="CDM Range 1"/>
    <w:basedOn w:val="TableNormal"/>
    <w:next w:val="TableNormal"/>
    <w:semiHidden/>
    <w:pPr>
      <w:spacing w:after="0"/>
      <w:jc w:val="left"/>
    </w:pPr>
    <w:rPr>
      <w:rFonts w:ascii="Times New Roman" w:eastAsia="Times New Roman" w:hAnsi="Times New Roman" w:cs="Times New Roman"/>
      <w:color w:val="auto"/>
    </w:rPr>
    <w:tblPr/>
  </w:style>
  <w:style w:type="paragraph" w:customStyle="1" w:styleId="BodyText12">
    <w:name w:val="Body Text1_2"/>
    <w:qFormat/>
    <w:rsid w:val="009D0786"/>
    <w:pPr>
      <w:spacing w:after="0"/>
      <w:jc w:val="left"/>
    </w:pPr>
    <w:rPr>
      <w:rFonts w:ascii="Calibri" w:hAnsi="Calibri"/>
      <w:color w:val="000000" w:themeColor="text1"/>
    </w:rPr>
  </w:style>
  <w:style w:type="paragraph" w:customStyle="1" w:styleId="PageHeading">
    <w:name w:val="Page Heading"/>
    <w:qFormat/>
    <w:rsid w:val="009D0786"/>
    <w:pPr>
      <w:spacing w:after="20"/>
      <w:jc w:val="left"/>
    </w:pPr>
    <w:rPr>
      <w:rFonts w:ascii="Calibri" w:hAnsi="Calibri"/>
      <w:b/>
      <w:color w:val="auto"/>
      <w:sz w:val="33"/>
    </w:rPr>
  </w:style>
  <w:style w:type="table" w:styleId="TableGrid">
    <w:name w:val="Table Grid"/>
    <w:basedOn w:val="TableNormal"/>
    <w:uiPriority w:val="39"/>
    <w:rsid w:val="00D85AD3"/>
    <w:pPr>
      <w:spacing w:after="0"/>
      <w:jc w:val="left"/>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0">
    <w:name w:val="Body Text1_0_0"/>
    <w:qFormat/>
    <w:rsid w:val="009D0786"/>
    <w:pPr>
      <w:spacing w:after="0"/>
      <w:jc w:val="left"/>
    </w:pPr>
    <w:rPr>
      <w:rFonts w:ascii="Calibri" w:hAnsi="Calibri"/>
      <w:color w:val="000000" w:themeColor="text1"/>
    </w:rPr>
  </w:style>
  <w:style w:type="paragraph" w:customStyle="1" w:styleId="PageHeading00">
    <w:name w:val="Page Heading_0_0"/>
    <w:qFormat/>
    <w:rsid w:val="009D0786"/>
    <w:pPr>
      <w:spacing w:after="20"/>
      <w:jc w:val="left"/>
    </w:pPr>
    <w:rPr>
      <w:rFonts w:ascii="Calibri" w:hAnsi="Calibri"/>
      <w:b/>
      <w:color w:val="auto"/>
      <w:sz w:val="33"/>
    </w:rPr>
  </w:style>
  <w:style w:type="table" w:customStyle="1" w:styleId="TableGrid00">
    <w:name w:val="Table Grid_0_0"/>
    <w:basedOn w:val="TableNormal"/>
    <w:uiPriority w:val="39"/>
    <w:rsid w:val="00D85AD3"/>
    <w:pPr>
      <w:spacing w:after="0"/>
      <w:jc w:val="left"/>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_1"/>
    <w:qFormat/>
    <w:pPr>
      <w:spacing w:after="0"/>
      <w:jc w:val="left"/>
    </w:pPr>
    <w:rPr>
      <w:rFonts w:ascii="Times New Roman" w:eastAsia="Times New Roman" w:hAnsi="Times New Roman" w:cs="Times New Roman"/>
      <w:color w:val="auto"/>
      <w:sz w:val="24"/>
      <w:szCs w:val="24"/>
    </w:rPr>
  </w:style>
  <w:style w:type="table" w:customStyle="1" w:styleId="CDMRange2">
    <w:name w:val="CDM Range 2"/>
    <w:basedOn w:val="TableNormal"/>
    <w:next w:val="TableNormal"/>
    <w:semiHidden/>
    <w:pPr>
      <w:spacing w:after="0"/>
      <w:jc w:val="left"/>
    </w:pPr>
    <w:rPr>
      <w:rFonts w:ascii="Times New Roman" w:eastAsia="Times New Roman" w:hAnsi="Times New Roman" w:cs="Times New Roman"/>
      <w:color w:val="auto"/>
    </w:rPr>
    <w:tblPr/>
  </w:style>
  <w:style w:type="paragraph" w:customStyle="1" w:styleId="BodyText13">
    <w:name w:val="Body Text1_3"/>
    <w:qFormat/>
    <w:rsid w:val="009D0786"/>
    <w:pPr>
      <w:spacing w:after="0"/>
      <w:jc w:val="left"/>
    </w:pPr>
    <w:rPr>
      <w:rFonts w:ascii="Calibri" w:hAnsi="Calibri"/>
      <w:color w:val="000000" w:themeColor="text1"/>
    </w:rPr>
  </w:style>
  <w:style w:type="paragraph" w:customStyle="1" w:styleId="PageHeading2">
    <w:name w:val="Page Heading_2"/>
    <w:qFormat/>
    <w:rsid w:val="009D0786"/>
    <w:pPr>
      <w:spacing w:after="20"/>
      <w:jc w:val="left"/>
    </w:pPr>
    <w:rPr>
      <w:rFonts w:ascii="Calibri" w:hAnsi="Calibri"/>
      <w:b/>
      <w:color w:val="auto"/>
      <w:sz w:val="33"/>
    </w:rPr>
  </w:style>
  <w:style w:type="table" w:customStyle="1" w:styleId="TableGrid2">
    <w:name w:val="Table Grid_2"/>
    <w:basedOn w:val="TableNormal"/>
    <w:uiPriority w:val="39"/>
    <w:rsid w:val="00D85AD3"/>
    <w:pPr>
      <w:spacing w:after="0"/>
      <w:jc w:val="left"/>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1">
    <w:name w:val="Body Text1_0_1"/>
    <w:qFormat/>
    <w:rsid w:val="009D0786"/>
    <w:pPr>
      <w:spacing w:after="0"/>
      <w:jc w:val="left"/>
    </w:pPr>
    <w:rPr>
      <w:rFonts w:ascii="Calibri" w:hAnsi="Calibri"/>
      <w:color w:val="000000" w:themeColor="text1"/>
    </w:rPr>
  </w:style>
  <w:style w:type="paragraph" w:customStyle="1" w:styleId="PageHeading01">
    <w:name w:val="Page Heading_0_1"/>
    <w:qFormat/>
    <w:rsid w:val="009D0786"/>
    <w:pPr>
      <w:spacing w:after="20"/>
      <w:jc w:val="left"/>
    </w:pPr>
    <w:rPr>
      <w:rFonts w:ascii="Calibri" w:hAnsi="Calibri"/>
      <w:b/>
      <w:color w:val="auto"/>
      <w:sz w:val="33"/>
    </w:rPr>
  </w:style>
  <w:style w:type="table" w:customStyle="1" w:styleId="TableGrid01">
    <w:name w:val="Table Grid_0_1"/>
    <w:basedOn w:val="TableNormal"/>
    <w:uiPriority w:val="39"/>
    <w:rsid w:val="00D85AD3"/>
    <w:pPr>
      <w:spacing w:after="0"/>
      <w:jc w:val="left"/>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_2"/>
    <w:qFormat/>
    <w:pPr>
      <w:spacing w:after="0"/>
      <w:jc w:val="left"/>
    </w:pPr>
    <w:rPr>
      <w:rFonts w:ascii="Times New Roman" w:eastAsia="Times New Roman" w:hAnsi="Times New Roman" w:cs="Times New Roman"/>
      <w:color w:val="auto"/>
      <w:sz w:val="24"/>
      <w:szCs w:val="24"/>
    </w:rPr>
  </w:style>
  <w:style w:type="table" w:customStyle="1" w:styleId="CDMRange10">
    <w:name w:val="CDM Range 1_0"/>
    <w:basedOn w:val="TableNormal"/>
    <w:next w:val="TableNormal"/>
    <w:semiHidden/>
    <w:pPr>
      <w:spacing w:after="0"/>
      <w:jc w:val="left"/>
    </w:pPr>
    <w:rPr>
      <w:rFonts w:ascii="Times New Roman" w:eastAsia="Times New Roman" w:hAnsi="Times New Roman" w:cs="Times New Roman"/>
      <w:color w:val="auto"/>
    </w:rPr>
    <w:tblPr/>
  </w:style>
  <w:style w:type="paragraph" w:customStyle="1" w:styleId="BodyText14">
    <w:name w:val="Body Text1_4"/>
    <w:qFormat/>
    <w:rsid w:val="009D0786"/>
    <w:pPr>
      <w:spacing w:after="0"/>
      <w:jc w:val="left"/>
    </w:pPr>
    <w:rPr>
      <w:rFonts w:ascii="Calibri" w:hAnsi="Calibri"/>
      <w:color w:val="000000" w:themeColor="text1"/>
    </w:rPr>
  </w:style>
  <w:style w:type="paragraph" w:customStyle="1" w:styleId="PageHeading3">
    <w:name w:val="Page Heading_3"/>
    <w:qFormat/>
    <w:rsid w:val="009D0786"/>
    <w:pPr>
      <w:spacing w:after="20"/>
      <w:jc w:val="left"/>
    </w:pPr>
    <w:rPr>
      <w:rFonts w:ascii="Calibri" w:hAnsi="Calibri"/>
      <w:b/>
      <w:color w:val="auto"/>
      <w:sz w:val="33"/>
    </w:rPr>
  </w:style>
  <w:style w:type="table" w:customStyle="1" w:styleId="TableGrid3">
    <w:name w:val="Table Grid_3"/>
    <w:basedOn w:val="TableNormal"/>
    <w:uiPriority w:val="39"/>
    <w:rsid w:val="00D85AD3"/>
    <w:pPr>
      <w:spacing w:after="0"/>
      <w:jc w:val="left"/>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2">
    <w:name w:val="Body Text1_0_2"/>
    <w:qFormat/>
    <w:rsid w:val="009D0786"/>
    <w:pPr>
      <w:spacing w:after="0"/>
      <w:jc w:val="left"/>
    </w:pPr>
    <w:rPr>
      <w:rFonts w:ascii="Calibri" w:hAnsi="Calibri"/>
      <w:color w:val="000000" w:themeColor="text1"/>
    </w:rPr>
  </w:style>
  <w:style w:type="paragraph" w:customStyle="1" w:styleId="PageHeading02">
    <w:name w:val="Page Heading_0_2"/>
    <w:qFormat/>
    <w:rsid w:val="009D0786"/>
    <w:pPr>
      <w:spacing w:after="20"/>
      <w:jc w:val="left"/>
    </w:pPr>
    <w:rPr>
      <w:rFonts w:ascii="Calibri" w:hAnsi="Calibri"/>
      <w:b/>
      <w:color w:val="auto"/>
      <w:sz w:val="33"/>
    </w:rPr>
  </w:style>
  <w:style w:type="table" w:customStyle="1" w:styleId="TableGrid02">
    <w:name w:val="Table Grid_0_2"/>
    <w:basedOn w:val="TableNormal"/>
    <w:uiPriority w:val="39"/>
    <w:rsid w:val="00D85AD3"/>
    <w:pPr>
      <w:spacing w:after="0"/>
      <w:jc w:val="left"/>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
    <w:name w:val="Normal_3"/>
    <w:qFormat/>
    <w:pPr>
      <w:spacing w:after="0"/>
      <w:jc w:val="left"/>
    </w:pPr>
    <w:rPr>
      <w:rFonts w:ascii="Times New Roman" w:eastAsia="Times New Roman" w:hAnsi="Times New Roman" w:cs="Times New Roman"/>
      <w:color w:val="auto"/>
      <w:sz w:val="24"/>
      <w:szCs w:val="24"/>
    </w:rPr>
  </w:style>
  <w:style w:type="table" w:customStyle="1" w:styleId="CDMRange20">
    <w:name w:val="CDM Range 2_0"/>
    <w:basedOn w:val="TableNormal"/>
    <w:next w:val="TableNormal"/>
    <w:semiHidden/>
    <w:pPr>
      <w:spacing w:after="0"/>
      <w:jc w:val="left"/>
    </w:pPr>
    <w:rPr>
      <w:rFonts w:ascii="Times New Roman" w:eastAsia="Times New Roman" w:hAnsi="Times New Roman" w:cs="Times New Roman"/>
      <w:color w:val="auto"/>
    </w:rPr>
    <w:tblPr/>
  </w:style>
  <w:style w:type="paragraph" w:styleId="BalloonText">
    <w:name w:val="Balloon Text"/>
    <w:basedOn w:val="Normal"/>
    <w:link w:val="BalloonTextChar"/>
    <w:uiPriority w:val="99"/>
    <w:semiHidden/>
    <w:unhideWhenUsed/>
    <w:rsid w:val="009B358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584"/>
    <w:rPr>
      <w:rFonts w:ascii="Tahoma" w:hAnsi="Tahoma" w:cs="Tahoma"/>
      <w:sz w:val="16"/>
      <w:szCs w:val="16"/>
    </w:rPr>
  </w:style>
  <w:style w:type="paragraph" w:styleId="ListParagraph">
    <w:name w:val="List Paragraph"/>
    <w:basedOn w:val="Normal"/>
    <w:uiPriority w:val="34"/>
    <w:rsid w:val="00C92C51"/>
    <w:pPr>
      <w:ind w:left="720"/>
      <w:contextualSpacing/>
    </w:pPr>
  </w:style>
  <w:style w:type="character" w:styleId="CommentReference">
    <w:name w:val="annotation reference"/>
    <w:basedOn w:val="DefaultParagraphFont"/>
    <w:uiPriority w:val="99"/>
    <w:semiHidden/>
    <w:unhideWhenUsed/>
    <w:rsid w:val="00122294"/>
    <w:rPr>
      <w:sz w:val="16"/>
      <w:szCs w:val="16"/>
    </w:rPr>
  </w:style>
  <w:style w:type="paragraph" w:styleId="CommentText">
    <w:name w:val="annotation text"/>
    <w:basedOn w:val="Normal"/>
    <w:link w:val="CommentTextChar"/>
    <w:uiPriority w:val="99"/>
    <w:semiHidden/>
    <w:unhideWhenUsed/>
    <w:rsid w:val="00122294"/>
  </w:style>
  <w:style w:type="character" w:customStyle="1" w:styleId="CommentTextChar">
    <w:name w:val="Comment Text Char"/>
    <w:basedOn w:val="DefaultParagraphFont"/>
    <w:link w:val="CommentText"/>
    <w:uiPriority w:val="99"/>
    <w:semiHidden/>
    <w:rsid w:val="00122294"/>
  </w:style>
  <w:style w:type="paragraph" w:styleId="CommentSubject">
    <w:name w:val="annotation subject"/>
    <w:basedOn w:val="CommentText"/>
    <w:next w:val="CommentText"/>
    <w:link w:val="CommentSubjectChar"/>
    <w:uiPriority w:val="99"/>
    <w:semiHidden/>
    <w:unhideWhenUsed/>
    <w:rsid w:val="00122294"/>
    <w:rPr>
      <w:b/>
      <w:bCs/>
    </w:rPr>
  </w:style>
  <w:style w:type="character" w:customStyle="1" w:styleId="CommentSubjectChar">
    <w:name w:val="Comment Subject Char"/>
    <w:basedOn w:val="CommentTextChar"/>
    <w:link w:val="CommentSubject"/>
    <w:uiPriority w:val="99"/>
    <w:semiHidden/>
    <w:rsid w:val="00122294"/>
    <w:rPr>
      <w:b/>
      <w:bCs/>
    </w:rPr>
  </w:style>
  <w:style w:type="paragraph" w:styleId="Header">
    <w:name w:val="header"/>
    <w:basedOn w:val="Normal"/>
    <w:link w:val="HeaderChar"/>
    <w:uiPriority w:val="99"/>
    <w:unhideWhenUsed/>
    <w:rsid w:val="00F04A29"/>
    <w:pPr>
      <w:tabs>
        <w:tab w:val="center" w:pos="4680"/>
        <w:tab w:val="right" w:pos="9360"/>
      </w:tabs>
      <w:spacing w:after="0"/>
    </w:pPr>
  </w:style>
  <w:style w:type="character" w:customStyle="1" w:styleId="HeaderChar">
    <w:name w:val="Header Char"/>
    <w:basedOn w:val="DefaultParagraphFont"/>
    <w:link w:val="Header"/>
    <w:uiPriority w:val="99"/>
    <w:rsid w:val="00F04A29"/>
  </w:style>
  <w:style w:type="paragraph" w:styleId="Footer">
    <w:name w:val="footer"/>
    <w:basedOn w:val="Normal"/>
    <w:link w:val="FooterChar"/>
    <w:uiPriority w:val="99"/>
    <w:unhideWhenUsed/>
    <w:rsid w:val="00F04A29"/>
    <w:pPr>
      <w:tabs>
        <w:tab w:val="center" w:pos="4680"/>
        <w:tab w:val="right" w:pos="9360"/>
      </w:tabs>
      <w:spacing w:after="0"/>
    </w:pPr>
  </w:style>
  <w:style w:type="character" w:customStyle="1" w:styleId="FooterChar">
    <w:name w:val="Footer Char"/>
    <w:basedOn w:val="DefaultParagraphFont"/>
    <w:link w:val="Footer"/>
    <w:uiPriority w:val="99"/>
    <w:rsid w:val="00F04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084740">
      <w:bodyDiv w:val="1"/>
      <w:marLeft w:val="0"/>
      <w:marRight w:val="0"/>
      <w:marTop w:val="0"/>
      <w:marBottom w:val="0"/>
      <w:divBdr>
        <w:top w:val="none" w:sz="0" w:space="0" w:color="auto"/>
        <w:left w:val="none" w:sz="0" w:space="0" w:color="auto"/>
        <w:bottom w:val="none" w:sz="0" w:space="0" w:color="auto"/>
        <w:right w:val="none" w:sz="0" w:space="0" w:color="auto"/>
      </w:divBdr>
    </w:div>
    <w:div w:id="632833091">
      <w:bodyDiv w:val="1"/>
      <w:marLeft w:val="0"/>
      <w:marRight w:val="0"/>
      <w:marTop w:val="0"/>
      <w:marBottom w:val="0"/>
      <w:divBdr>
        <w:top w:val="none" w:sz="0" w:space="0" w:color="auto"/>
        <w:left w:val="none" w:sz="0" w:space="0" w:color="auto"/>
        <w:bottom w:val="none" w:sz="0" w:space="0" w:color="auto"/>
        <w:right w:val="none" w:sz="0" w:space="0" w:color="auto"/>
      </w:divBdr>
    </w:div>
    <w:div w:id="184727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8892C98B868449327CFB8C8130573" ma:contentTypeVersion="12" ma:contentTypeDescription="Create a new document." ma:contentTypeScope="" ma:versionID="c32a0554c71752c60df61f6c1f4d60dc">
  <xsd:schema xmlns:xsd="http://www.w3.org/2001/XMLSchema" xmlns:xs="http://www.w3.org/2001/XMLSchema" xmlns:p="http://schemas.microsoft.com/office/2006/metadata/properties" xmlns:ns2="491fff8c-b0f7-4246-ad84-3a754cc6578c" xmlns:ns3="d830a163-2bd2-4904-a356-455e0fdb518a" targetNamespace="http://schemas.microsoft.com/office/2006/metadata/properties" ma:root="true" ma:fieldsID="cc3dccbaa35a70edcf86841d46e35b4c" ns2:_="" ns3:_="">
    <xsd:import namespace="491fff8c-b0f7-4246-ad84-3a754cc6578c"/>
    <xsd:import namespace="d830a163-2bd2-4904-a356-455e0fdb518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fff8c-b0f7-4246-ad84-3a754cc65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30a163-2bd2-4904-a356-455e0fdb51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A5261-635B-4137-9CB8-F84576F97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1fff8c-b0f7-4246-ad84-3a754cc6578c"/>
    <ds:schemaRef ds:uri="d830a163-2bd2-4904-a356-455e0fdb5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DF825C-C7BC-4E0C-AA43-2C8A49160D2C}">
  <ds:schemaRefs>
    <ds:schemaRef ds:uri="http://schemas.microsoft.com/sharepoint/v3/contenttype/forms"/>
  </ds:schemaRefs>
</ds:datastoreItem>
</file>

<file path=customXml/itemProps3.xml><?xml version="1.0" encoding="utf-8"?>
<ds:datastoreItem xmlns:ds="http://schemas.openxmlformats.org/officeDocument/2006/customXml" ds:itemID="{7ABBCCC3-7BA7-4893-A612-D2AEA95B65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C3E15E-4D65-455D-B098-F6AC025E4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1528</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MIH</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Naude</dc:creator>
  <cp:lastModifiedBy>Toni Lutz</cp:lastModifiedBy>
  <cp:revision>7</cp:revision>
  <cp:lastPrinted>2020-05-29T19:38:00Z</cp:lastPrinted>
  <dcterms:created xsi:type="dcterms:W3CDTF">2020-06-18T08:17:00Z</dcterms:created>
  <dcterms:modified xsi:type="dcterms:W3CDTF">2020-06-18T14:13:00Z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1835508</vt:i4>
  </property>
  <property fmtid="{D5CDD505-2E9C-101B-9397-08002B2CF9AE}" pid="3" name="ContentTypeId">
    <vt:lpwstr>0x0101001E78892C98B868449327CFB8C8130573</vt:lpwstr>
  </property>
</Properties>
</file>