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F5671" w14:textId="77777777" w:rsidR="006446EE" w:rsidRPr="001D0FE2" w:rsidRDefault="006446EE" w:rsidP="006446EE">
      <w:pPr>
        <w:tabs>
          <w:tab w:val="left" w:pos="9360"/>
        </w:tabs>
        <w:jc w:val="center"/>
        <w:rPr>
          <w:rFonts w:asciiTheme="minorHAnsi" w:hAnsiTheme="minorHAnsi" w:cstheme="minorHAnsi"/>
          <w:b/>
          <w:bCs/>
          <w:snapToGrid w:val="0"/>
          <w:sz w:val="36"/>
          <w:szCs w:val="36"/>
          <w:lang w:val="en-GB"/>
        </w:rPr>
      </w:pPr>
      <w:r w:rsidRPr="001D0FE2">
        <w:rPr>
          <w:rFonts w:asciiTheme="minorHAnsi" w:hAnsiTheme="minorHAnsi" w:cstheme="minorHAnsi"/>
          <w:b/>
          <w:bCs/>
          <w:snapToGrid w:val="0"/>
          <w:sz w:val="36"/>
          <w:szCs w:val="36"/>
          <w:lang w:val="en-GB"/>
        </w:rPr>
        <w:t xml:space="preserve">Pharming Group reports financial results </w:t>
      </w:r>
    </w:p>
    <w:p w14:paraId="45C40BE9" w14:textId="77777777" w:rsidR="006446EE" w:rsidRPr="001D0FE2" w:rsidRDefault="006446EE" w:rsidP="006446EE">
      <w:pPr>
        <w:tabs>
          <w:tab w:val="left" w:pos="9360"/>
        </w:tabs>
        <w:jc w:val="center"/>
        <w:rPr>
          <w:rFonts w:asciiTheme="minorHAnsi" w:hAnsiTheme="minorHAnsi" w:cstheme="minorHAnsi"/>
          <w:b/>
          <w:bCs/>
          <w:snapToGrid w:val="0"/>
          <w:sz w:val="36"/>
          <w:szCs w:val="36"/>
          <w:lang w:val="en-GB"/>
        </w:rPr>
      </w:pPr>
      <w:r w:rsidRPr="001D0FE2">
        <w:rPr>
          <w:rFonts w:asciiTheme="minorHAnsi" w:hAnsiTheme="minorHAnsi" w:cstheme="minorHAnsi"/>
          <w:b/>
          <w:bCs/>
          <w:snapToGrid w:val="0"/>
          <w:sz w:val="36"/>
          <w:szCs w:val="36"/>
          <w:lang w:val="en-GB"/>
        </w:rPr>
        <w:t>for the first half of 2020</w:t>
      </w:r>
    </w:p>
    <w:p w14:paraId="0D09C1D7" w14:textId="77777777" w:rsidR="006446EE" w:rsidRPr="001D0FE2" w:rsidRDefault="006446EE" w:rsidP="006446EE">
      <w:pPr>
        <w:rPr>
          <w:rFonts w:asciiTheme="minorHAnsi" w:hAnsiTheme="minorHAnsi" w:cstheme="minorHAnsi"/>
          <w:lang w:val="en-GB"/>
        </w:rPr>
      </w:pPr>
    </w:p>
    <w:p w14:paraId="4A5E0090" w14:textId="77777777" w:rsidR="006446EE" w:rsidRPr="001D0FE2" w:rsidRDefault="006446EE" w:rsidP="006446EE">
      <w:pPr>
        <w:spacing w:line="276" w:lineRule="auto"/>
        <w:jc w:val="center"/>
        <w:rPr>
          <w:rFonts w:asciiTheme="minorHAnsi" w:hAnsiTheme="minorHAnsi" w:cstheme="minorHAnsi"/>
          <w:b/>
          <w:bCs/>
          <w:lang w:val="en-GB"/>
        </w:rPr>
      </w:pPr>
      <w:r w:rsidRPr="001D0FE2">
        <w:rPr>
          <w:rFonts w:asciiTheme="minorHAnsi" w:hAnsiTheme="minorHAnsi" w:cstheme="minorHAnsi"/>
          <w:b/>
          <w:bCs/>
          <w:lang w:val="en-GB"/>
        </w:rPr>
        <w:t>Delivered 14% increase in revenue, 3</w:t>
      </w:r>
      <w:r>
        <w:rPr>
          <w:rFonts w:asciiTheme="minorHAnsi" w:hAnsiTheme="minorHAnsi" w:cstheme="minorHAnsi"/>
          <w:b/>
          <w:bCs/>
          <w:lang w:val="en-GB"/>
        </w:rPr>
        <w:t>1</w:t>
      </w:r>
      <w:r w:rsidRPr="001D0FE2">
        <w:rPr>
          <w:rFonts w:asciiTheme="minorHAnsi" w:hAnsiTheme="minorHAnsi" w:cstheme="minorHAnsi"/>
          <w:b/>
          <w:bCs/>
          <w:lang w:val="en-GB"/>
        </w:rPr>
        <w:t>% increase in operating profit and 3</w:t>
      </w:r>
      <w:r>
        <w:rPr>
          <w:rFonts w:asciiTheme="minorHAnsi" w:hAnsiTheme="minorHAnsi" w:cstheme="minorHAnsi"/>
          <w:b/>
          <w:bCs/>
          <w:lang w:val="en-GB"/>
        </w:rPr>
        <w:t>3</w:t>
      </w:r>
      <w:r w:rsidRPr="001D0FE2">
        <w:rPr>
          <w:rFonts w:asciiTheme="minorHAnsi" w:hAnsiTheme="minorHAnsi" w:cstheme="minorHAnsi"/>
          <w:b/>
          <w:bCs/>
          <w:lang w:val="en-GB"/>
        </w:rPr>
        <w:t>% increase in net profit year-on-year</w:t>
      </w:r>
    </w:p>
    <w:p w14:paraId="13487BA4" w14:textId="77777777" w:rsidR="006446EE" w:rsidRPr="001D0FE2" w:rsidRDefault="006446EE" w:rsidP="006446EE">
      <w:pPr>
        <w:spacing w:line="276" w:lineRule="auto"/>
        <w:jc w:val="center"/>
        <w:rPr>
          <w:rFonts w:asciiTheme="minorHAnsi" w:hAnsiTheme="minorHAnsi" w:cstheme="minorHAnsi"/>
          <w:b/>
          <w:bCs/>
          <w:color w:val="276E8B" w:themeColor="accent1" w:themeShade="BF"/>
          <w:lang w:val="en-GB"/>
        </w:rPr>
      </w:pPr>
    </w:p>
    <w:p w14:paraId="5EBC088F" w14:textId="77777777" w:rsidR="006446EE" w:rsidRPr="001D0FE2" w:rsidRDefault="006446EE" w:rsidP="006446EE">
      <w:pPr>
        <w:spacing w:after="120"/>
        <w:rPr>
          <w:rFonts w:asciiTheme="minorHAnsi" w:eastAsia="Calibri" w:hAnsiTheme="minorHAnsi" w:cstheme="minorHAnsi"/>
          <w:color w:val="59595B"/>
          <w:sz w:val="22"/>
          <w:szCs w:val="22"/>
          <w:lang w:val="en-GB"/>
        </w:rPr>
      </w:pPr>
      <w:r w:rsidRPr="001D0FE2">
        <w:rPr>
          <w:rStyle w:val="Emphasis"/>
          <w:rFonts w:asciiTheme="minorHAnsi" w:hAnsiTheme="minorHAnsi" w:cstheme="minorHAnsi"/>
          <w:i/>
          <w:sz w:val="22"/>
          <w:szCs w:val="22"/>
          <w:shd w:val="clear" w:color="auto" w:fill="FFFFFF"/>
          <w:lang w:val="en-GB"/>
        </w:rPr>
        <w:t>Leiden, The Netherlands</w:t>
      </w:r>
      <w:r w:rsidRPr="001D0FE2">
        <w:rPr>
          <w:rStyle w:val="Emphasis"/>
          <w:rFonts w:asciiTheme="minorHAnsi" w:hAnsiTheme="minorHAnsi" w:cstheme="minorHAnsi"/>
          <w:sz w:val="22"/>
          <w:szCs w:val="22"/>
          <w:shd w:val="clear" w:color="auto" w:fill="FFFFFF"/>
          <w:lang w:val="en-GB"/>
        </w:rPr>
        <w:t>, 30 July 2020:</w:t>
      </w:r>
      <w:r w:rsidRPr="001D0FE2">
        <w:rPr>
          <w:rStyle w:val="apple-converted-space"/>
          <w:rFonts w:asciiTheme="minorHAnsi" w:hAnsiTheme="minorHAnsi" w:cstheme="minorHAnsi"/>
          <w:sz w:val="22"/>
          <w:szCs w:val="22"/>
          <w:shd w:val="clear" w:color="auto" w:fill="FFFFFF"/>
          <w:lang w:val="en-GB"/>
        </w:rPr>
        <w:t xml:space="preserve"> </w:t>
      </w:r>
      <w:r w:rsidRPr="001D0FE2">
        <w:rPr>
          <w:rFonts w:asciiTheme="minorHAnsi" w:eastAsia="Calibri" w:hAnsiTheme="minorHAnsi" w:cstheme="minorHAnsi"/>
          <w:color w:val="59595B"/>
          <w:sz w:val="22"/>
          <w:szCs w:val="22"/>
          <w:lang w:val="en-GB"/>
        </w:rPr>
        <w:t xml:space="preserve">Pharming Group N.V. (“Pharming” or “the Company”) (Euronext Amsterdam: PHARM) presents its (unaudited) financial report for the six months ended </w:t>
      </w:r>
      <w:r w:rsidRPr="00C711E6">
        <w:rPr>
          <w:rFonts w:asciiTheme="minorHAnsi" w:eastAsia="Calibri" w:hAnsiTheme="minorHAnsi" w:cstheme="minorHAnsi"/>
          <w:color w:val="59595B"/>
          <w:sz w:val="22"/>
          <w:szCs w:val="22"/>
          <w:lang w:val="en-GB"/>
        </w:rPr>
        <w:t>30 June 2020</w:t>
      </w:r>
      <w:r w:rsidRPr="001D0FE2">
        <w:rPr>
          <w:rFonts w:asciiTheme="minorHAnsi" w:eastAsia="Calibri" w:hAnsiTheme="minorHAnsi" w:cstheme="minorHAnsi"/>
          <w:color w:val="59595B"/>
          <w:sz w:val="22"/>
          <w:szCs w:val="22"/>
          <w:lang w:val="en-GB"/>
        </w:rPr>
        <w:t>.</w:t>
      </w:r>
    </w:p>
    <w:p w14:paraId="6EA148D0" w14:textId="176C7B71" w:rsidR="006446EE" w:rsidRPr="001D0FE2" w:rsidRDefault="006446EE" w:rsidP="006446EE">
      <w:pPr>
        <w:rPr>
          <w:rFonts w:asciiTheme="minorHAnsi" w:eastAsia="Calibri" w:hAnsiTheme="minorHAnsi" w:cstheme="minorHAnsi"/>
          <w:color w:val="59595B"/>
          <w:sz w:val="22"/>
          <w:szCs w:val="22"/>
          <w:lang w:val="en-GB"/>
        </w:rPr>
      </w:pPr>
      <w:r w:rsidRPr="001D0FE2">
        <w:rPr>
          <w:rFonts w:asciiTheme="minorHAnsi" w:eastAsia="Calibri" w:hAnsiTheme="minorHAnsi" w:cstheme="minorHAnsi"/>
          <w:color w:val="59595B"/>
          <w:sz w:val="22"/>
          <w:szCs w:val="22"/>
          <w:lang w:val="en-GB"/>
        </w:rPr>
        <w:t>The Company will hold a conference call at 13:00 CE</w:t>
      </w:r>
      <w:r>
        <w:rPr>
          <w:rFonts w:asciiTheme="minorHAnsi" w:eastAsia="Calibri" w:hAnsiTheme="minorHAnsi" w:cstheme="minorHAnsi"/>
          <w:color w:val="59595B"/>
          <w:sz w:val="22"/>
          <w:szCs w:val="22"/>
          <w:lang w:val="en-GB"/>
        </w:rPr>
        <w:t>S</w:t>
      </w:r>
      <w:r w:rsidRPr="001D0FE2">
        <w:rPr>
          <w:rFonts w:asciiTheme="minorHAnsi" w:eastAsia="Calibri" w:hAnsiTheme="minorHAnsi" w:cstheme="minorHAnsi"/>
          <w:color w:val="59595B"/>
          <w:sz w:val="22"/>
          <w:szCs w:val="22"/>
          <w:lang w:val="en-GB"/>
        </w:rPr>
        <w:t xml:space="preserve">T / 07:00 EST today. Dial-in details can be found on </w:t>
      </w:r>
      <w:r w:rsidRPr="002B3D43">
        <w:rPr>
          <w:rFonts w:asciiTheme="minorHAnsi" w:eastAsia="Calibri" w:hAnsiTheme="minorHAnsi" w:cstheme="minorHAnsi"/>
          <w:color w:val="59595B"/>
          <w:sz w:val="22"/>
          <w:szCs w:val="22"/>
          <w:lang w:val="en-GB"/>
        </w:rPr>
        <w:t>page 6</w:t>
      </w:r>
      <w:r w:rsidRPr="001D0FE2">
        <w:rPr>
          <w:rFonts w:asciiTheme="minorHAnsi" w:eastAsia="Calibri" w:hAnsiTheme="minorHAnsi" w:cstheme="minorHAnsi"/>
          <w:color w:val="59595B"/>
          <w:sz w:val="22"/>
          <w:szCs w:val="22"/>
          <w:lang w:val="en-GB"/>
        </w:rPr>
        <w:t xml:space="preserve"> of this report.</w:t>
      </w:r>
    </w:p>
    <w:p w14:paraId="3C733EDC" w14:textId="77777777" w:rsidR="006446EE" w:rsidRPr="001D0FE2" w:rsidRDefault="006446EE" w:rsidP="006446EE">
      <w:pPr>
        <w:rPr>
          <w:rFonts w:asciiTheme="minorHAnsi" w:eastAsia="Calibri" w:hAnsiTheme="minorHAnsi" w:cstheme="minorHAnsi"/>
          <w:color w:val="59595B"/>
          <w:szCs w:val="22"/>
          <w:lang w:val="en-GB"/>
        </w:rPr>
      </w:pPr>
    </w:p>
    <w:p w14:paraId="15B79E46" w14:textId="1B70CAC5" w:rsidR="006446EE" w:rsidRDefault="006446EE" w:rsidP="006446EE">
      <w:pPr>
        <w:rPr>
          <w:rFonts w:asciiTheme="minorHAnsi" w:eastAsia="SimSun" w:hAnsiTheme="minorHAnsi" w:cstheme="minorHAnsi"/>
          <w:b/>
          <w:lang w:val="en-GB" w:eastAsia="zh-CN"/>
        </w:rPr>
      </w:pPr>
      <w:r w:rsidRPr="001D0FE2">
        <w:rPr>
          <w:rFonts w:asciiTheme="minorHAnsi" w:eastAsia="SimSun" w:hAnsiTheme="minorHAnsi" w:cstheme="minorHAnsi"/>
          <w:b/>
          <w:lang w:val="en-GB" w:eastAsia="zh-CN"/>
        </w:rPr>
        <w:t>Financial summary</w:t>
      </w:r>
    </w:p>
    <w:p w14:paraId="511FBA23" w14:textId="77777777" w:rsidR="002B3D43" w:rsidRPr="002B3D43" w:rsidRDefault="002B3D43" w:rsidP="006446EE">
      <w:pPr>
        <w:rPr>
          <w:rFonts w:asciiTheme="minorHAnsi" w:eastAsia="SimSun" w:hAnsiTheme="minorHAnsi" w:cstheme="minorHAnsi"/>
          <w:b/>
          <w:lang w:val="en-GB" w:eastAsia="zh-CN"/>
        </w:rPr>
      </w:pPr>
    </w:p>
    <w:p w14:paraId="403F95DB" w14:textId="2CA2A257" w:rsidR="006446EE" w:rsidRPr="001D0FE2" w:rsidRDefault="00121C92" w:rsidP="00121C92">
      <w:pPr>
        <w:rPr>
          <w:rFonts w:asciiTheme="minorHAnsi" w:eastAsia="SimSun" w:hAnsiTheme="minorHAnsi" w:cstheme="minorHAnsi"/>
          <w:i/>
          <w:color w:val="595B5B"/>
          <w:sz w:val="20"/>
          <w:szCs w:val="20"/>
          <w:lang w:val="en-GB" w:eastAsia="zh-CN"/>
        </w:rPr>
      </w:pPr>
      <w:r>
        <w:rPr>
          <w:rFonts w:asciiTheme="minorHAnsi" w:eastAsia="SimSun" w:hAnsiTheme="minorHAnsi" w:cstheme="minorHAnsi"/>
          <w:i/>
          <w:color w:val="595B5B"/>
          <w:sz w:val="20"/>
          <w:szCs w:val="20"/>
          <w:lang w:val="en-GB" w:eastAsia="zh-CN"/>
        </w:rPr>
        <w:t xml:space="preserve">      </w:t>
      </w:r>
      <w:r w:rsidR="006446EE" w:rsidRPr="001D0FE2">
        <w:rPr>
          <w:rFonts w:asciiTheme="minorHAnsi" w:eastAsia="SimSun" w:hAnsiTheme="minorHAnsi" w:cstheme="minorHAnsi"/>
          <w:i/>
          <w:color w:val="595B5B"/>
          <w:sz w:val="20"/>
          <w:szCs w:val="20"/>
          <w:lang w:val="en-GB" w:eastAsia="zh-CN"/>
        </w:rPr>
        <w:t>Six months to 30 June 2020</w:t>
      </w:r>
    </w:p>
    <w:tbl>
      <w:tblPr>
        <w:tblStyle w:val="TableGrid"/>
        <w:tblW w:w="4560" w:type="pct"/>
        <w:tblInd w:w="279" w:type="dxa"/>
        <w:tblBorders>
          <w:top w:val="single" w:sz="4" w:space="0" w:color="59595B"/>
          <w:left w:val="single" w:sz="4" w:space="0" w:color="59595B"/>
          <w:bottom w:val="single" w:sz="4" w:space="0" w:color="59595B"/>
          <w:right w:val="single" w:sz="4" w:space="0" w:color="59595B"/>
          <w:insideH w:val="single" w:sz="4" w:space="0" w:color="59595B"/>
          <w:insideV w:val="single" w:sz="4" w:space="0" w:color="59595B"/>
        </w:tblBorders>
        <w:tblLook w:val="04A0" w:firstRow="1" w:lastRow="0" w:firstColumn="1" w:lastColumn="0" w:noHBand="0" w:noVBand="1"/>
      </w:tblPr>
      <w:tblGrid>
        <w:gridCol w:w="2915"/>
        <w:gridCol w:w="1758"/>
        <w:gridCol w:w="1760"/>
        <w:gridCol w:w="1791"/>
      </w:tblGrid>
      <w:tr w:rsidR="006446EE" w:rsidRPr="001D0FE2" w14:paraId="0F256119" w14:textId="77777777" w:rsidTr="002B3D43">
        <w:trPr>
          <w:trHeight w:val="362"/>
        </w:trPr>
        <w:tc>
          <w:tcPr>
            <w:tcW w:w="1772" w:type="pct"/>
          </w:tcPr>
          <w:p w14:paraId="3722A33B" w14:textId="77777777" w:rsidR="002B3D43" w:rsidRDefault="002B3D43" w:rsidP="004D1E44">
            <w:pPr>
              <w:jc w:val="left"/>
              <w:rPr>
                <w:rFonts w:asciiTheme="minorHAnsi" w:eastAsia="SimSun" w:hAnsiTheme="minorHAnsi" w:cstheme="minorHAnsi"/>
                <w:b/>
                <w:bCs/>
                <w:i/>
                <w:color w:val="595B5B"/>
                <w:sz w:val="18"/>
                <w:szCs w:val="18"/>
                <w:lang w:val="en-GB" w:eastAsia="zh-CN"/>
              </w:rPr>
            </w:pPr>
          </w:p>
          <w:p w14:paraId="6264D5C3" w14:textId="6FAC115A" w:rsidR="006446EE" w:rsidRPr="001D0FE2" w:rsidRDefault="006446EE" w:rsidP="004D1E44">
            <w:pPr>
              <w:jc w:val="left"/>
              <w:rPr>
                <w:rFonts w:asciiTheme="minorHAnsi" w:eastAsia="SimSun" w:hAnsiTheme="minorHAnsi" w:cstheme="minorHAnsi"/>
                <w:b/>
                <w:bCs/>
                <w:sz w:val="22"/>
                <w:szCs w:val="22"/>
                <w:lang w:val="en-GB" w:eastAsia="zh-CN"/>
              </w:rPr>
            </w:pPr>
            <w:r w:rsidRPr="001D0FE2">
              <w:rPr>
                <w:rFonts w:asciiTheme="minorHAnsi" w:eastAsia="SimSun" w:hAnsiTheme="minorHAnsi" w:cstheme="minorHAnsi"/>
                <w:b/>
                <w:bCs/>
                <w:i/>
                <w:color w:val="595B5B"/>
                <w:sz w:val="18"/>
                <w:szCs w:val="18"/>
                <w:lang w:val="en-GB" w:eastAsia="zh-CN"/>
              </w:rPr>
              <w:t>Amounts in €m except per share data</w:t>
            </w:r>
          </w:p>
        </w:tc>
        <w:tc>
          <w:tcPr>
            <w:tcW w:w="1069" w:type="pct"/>
            <w:shd w:val="clear" w:color="auto" w:fill="F2F2F2" w:themeFill="background1" w:themeFillShade="F2"/>
          </w:tcPr>
          <w:p w14:paraId="5169868F" w14:textId="77777777" w:rsidR="006446EE" w:rsidRPr="00F2581E" w:rsidRDefault="006446EE" w:rsidP="004D1E44">
            <w:pPr>
              <w:jc w:val="center"/>
              <w:rPr>
                <w:rFonts w:asciiTheme="minorHAnsi" w:eastAsia="SimSun" w:hAnsiTheme="minorHAnsi" w:cstheme="minorHAnsi"/>
                <w:b/>
                <w:bCs/>
                <w:iCs/>
                <w:color w:val="59595B"/>
                <w:sz w:val="22"/>
                <w:szCs w:val="22"/>
                <w:lang w:val="en-GB" w:eastAsia="zh-CN"/>
              </w:rPr>
            </w:pPr>
            <w:r w:rsidRPr="00F2581E">
              <w:rPr>
                <w:rFonts w:asciiTheme="minorHAnsi" w:eastAsia="SimSun" w:hAnsiTheme="minorHAnsi" w:cstheme="minorHAnsi"/>
                <w:b/>
                <w:bCs/>
                <w:iCs/>
                <w:color w:val="59595B"/>
                <w:sz w:val="22"/>
                <w:szCs w:val="22"/>
                <w:lang w:val="en-GB" w:eastAsia="zh-CN"/>
              </w:rPr>
              <w:t>H1 2020</w:t>
            </w:r>
          </w:p>
        </w:tc>
        <w:tc>
          <w:tcPr>
            <w:tcW w:w="1070" w:type="pct"/>
          </w:tcPr>
          <w:p w14:paraId="585C0B4B" w14:textId="77777777" w:rsidR="006446EE" w:rsidRPr="00F2581E" w:rsidRDefault="006446EE" w:rsidP="004D1E44">
            <w:pPr>
              <w:jc w:val="center"/>
              <w:rPr>
                <w:rFonts w:asciiTheme="minorHAnsi" w:eastAsia="SimSun" w:hAnsiTheme="minorHAnsi" w:cstheme="minorHAnsi"/>
                <w:b/>
                <w:bCs/>
                <w:iCs/>
                <w:color w:val="59595B"/>
                <w:sz w:val="22"/>
                <w:szCs w:val="22"/>
                <w:lang w:val="en-GB" w:eastAsia="zh-CN"/>
              </w:rPr>
            </w:pPr>
            <w:r w:rsidRPr="00F2581E">
              <w:rPr>
                <w:rFonts w:asciiTheme="minorHAnsi" w:eastAsia="SimSun" w:hAnsiTheme="minorHAnsi" w:cstheme="minorHAnsi"/>
                <w:b/>
                <w:bCs/>
                <w:iCs/>
                <w:color w:val="59595B"/>
                <w:sz w:val="22"/>
                <w:szCs w:val="22"/>
                <w:lang w:val="en-GB" w:eastAsia="zh-CN"/>
              </w:rPr>
              <w:t>H1 2019</w:t>
            </w:r>
          </w:p>
        </w:tc>
        <w:tc>
          <w:tcPr>
            <w:tcW w:w="1089" w:type="pct"/>
            <w:shd w:val="clear" w:color="auto" w:fill="F2F2F2" w:themeFill="background1" w:themeFillShade="F2"/>
          </w:tcPr>
          <w:p w14:paraId="5E2A12F0" w14:textId="77777777" w:rsidR="006446EE" w:rsidRPr="001D0FE2" w:rsidRDefault="006446EE" w:rsidP="004D1E44">
            <w:pPr>
              <w:jc w:val="center"/>
              <w:rPr>
                <w:rFonts w:asciiTheme="minorHAnsi" w:eastAsia="SimSun" w:hAnsiTheme="minorHAnsi" w:cstheme="minorHAnsi"/>
                <w:b/>
                <w:bCs/>
                <w:iCs/>
                <w:sz w:val="22"/>
                <w:szCs w:val="22"/>
                <w:lang w:val="en-GB" w:eastAsia="zh-CN"/>
              </w:rPr>
            </w:pPr>
            <w:r w:rsidRPr="001D0FE2">
              <w:rPr>
                <w:rFonts w:asciiTheme="minorHAnsi" w:eastAsia="SimSun" w:hAnsiTheme="minorHAnsi" w:cstheme="minorHAnsi"/>
                <w:b/>
                <w:bCs/>
                <w:iCs/>
                <w:sz w:val="22"/>
                <w:szCs w:val="22"/>
                <w:lang w:val="en-GB" w:eastAsia="zh-CN"/>
              </w:rPr>
              <w:t>% Change</w:t>
            </w:r>
          </w:p>
        </w:tc>
      </w:tr>
      <w:tr w:rsidR="006446EE" w:rsidRPr="001D0FE2" w14:paraId="01B27B07" w14:textId="77777777" w:rsidTr="002B3D43">
        <w:trPr>
          <w:trHeight w:val="1229"/>
        </w:trPr>
        <w:tc>
          <w:tcPr>
            <w:tcW w:w="1772" w:type="pct"/>
          </w:tcPr>
          <w:p w14:paraId="280AC2BE" w14:textId="77777777" w:rsidR="006446EE" w:rsidRPr="001D0FE2" w:rsidRDefault="006446EE" w:rsidP="004D1E44">
            <w:pPr>
              <w:rPr>
                <w:rFonts w:asciiTheme="minorHAnsi" w:eastAsia="SimSun" w:hAnsiTheme="minorHAnsi" w:cstheme="minorHAnsi"/>
                <w:i/>
                <w:sz w:val="22"/>
                <w:szCs w:val="22"/>
                <w:lang w:val="en-GB" w:eastAsia="zh-CN"/>
              </w:rPr>
            </w:pPr>
            <w:r w:rsidRPr="001D0FE2">
              <w:rPr>
                <w:rFonts w:asciiTheme="minorHAnsi" w:eastAsia="SimSun" w:hAnsiTheme="minorHAnsi" w:cstheme="minorHAnsi"/>
                <w:i/>
                <w:sz w:val="22"/>
                <w:szCs w:val="22"/>
                <w:lang w:val="en-GB" w:eastAsia="zh-CN"/>
              </w:rPr>
              <w:t>Income Statement</w:t>
            </w:r>
          </w:p>
          <w:p w14:paraId="3FDDB184" w14:textId="77777777" w:rsidR="006446EE" w:rsidRPr="001D0FE2" w:rsidRDefault="006446EE" w:rsidP="004D1E44">
            <w:pPr>
              <w:rPr>
                <w:rFonts w:asciiTheme="minorHAnsi" w:eastAsia="SimSun" w:hAnsiTheme="minorHAnsi" w:cstheme="minorHAnsi"/>
                <w:b/>
                <w:color w:val="59595B"/>
                <w:sz w:val="22"/>
                <w:szCs w:val="22"/>
                <w:lang w:val="en-GB" w:eastAsia="zh-CN"/>
              </w:rPr>
            </w:pPr>
            <w:r w:rsidRPr="001D0FE2">
              <w:rPr>
                <w:rFonts w:asciiTheme="minorHAnsi" w:eastAsia="SimSun" w:hAnsiTheme="minorHAnsi" w:cstheme="minorHAnsi"/>
                <w:color w:val="59595B"/>
                <w:sz w:val="22"/>
                <w:szCs w:val="22"/>
                <w:lang w:val="en-GB" w:eastAsia="zh-CN"/>
              </w:rPr>
              <w:t>Revenues</w:t>
            </w:r>
          </w:p>
          <w:p w14:paraId="36EFDB29" w14:textId="77777777" w:rsidR="006446EE" w:rsidRPr="001D0FE2" w:rsidRDefault="006446EE" w:rsidP="004D1E44">
            <w:pPr>
              <w:rPr>
                <w:rFonts w:asciiTheme="minorHAnsi" w:eastAsia="SimSun" w:hAnsiTheme="minorHAnsi" w:cstheme="minorHAnsi"/>
                <w:b/>
                <w:color w:val="59595B"/>
                <w:sz w:val="22"/>
                <w:szCs w:val="22"/>
                <w:lang w:val="en-GB" w:eastAsia="zh-CN"/>
              </w:rPr>
            </w:pPr>
            <w:r w:rsidRPr="001D0FE2">
              <w:rPr>
                <w:rFonts w:asciiTheme="minorHAnsi" w:eastAsia="SimSun" w:hAnsiTheme="minorHAnsi" w:cstheme="minorHAnsi"/>
                <w:color w:val="59595B"/>
                <w:sz w:val="22"/>
                <w:szCs w:val="22"/>
                <w:lang w:val="en-GB" w:eastAsia="zh-CN"/>
              </w:rPr>
              <w:t>Gross profit</w:t>
            </w:r>
          </w:p>
          <w:p w14:paraId="2AB7954E" w14:textId="77777777" w:rsidR="006446EE" w:rsidRPr="001D0FE2" w:rsidRDefault="006446EE" w:rsidP="004D1E44">
            <w:pPr>
              <w:rPr>
                <w:rFonts w:asciiTheme="minorHAnsi" w:eastAsia="SimSun" w:hAnsiTheme="minorHAnsi" w:cstheme="minorHAnsi"/>
                <w:b/>
                <w:color w:val="59595B"/>
                <w:sz w:val="22"/>
                <w:szCs w:val="22"/>
                <w:lang w:val="en-GB" w:eastAsia="zh-CN"/>
              </w:rPr>
            </w:pPr>
            <w:r w:rsidRPr="001D0FE2">
              <w:rPr>
                <w:rFonts w:asciiTheme="minorHAnsi" w:eastAsia="SimSun" w:hAnsiTheme="minorHAnsi" w:cstheme="minorHAnsi"/>
                <w:color w:val="59595B"/>
                <w:sz w:val="22"/>
                <w:szCs w:val="22"/>
                <w:lang w:val="en-GB" w:eastAsia="zh-CN"/>
              </w:rPr>
              <w:t>Operating result</w:t>
            </w:r>
          </w:p>
          <w:p w14:paraId="5FE789E8" w14:textId="77777777" w:rsidR="006446EE" w:rsidRPr="001D0FE2" w:rsidRDefault="006446EE" w:rsidP="004D1E44">
            <w:pPr>
              <w:rPr>
                <w:rFonts w:asciiTheme="minorHAnsi" w:eastAsia="SimSun" w:hAnsiTheme="minorHAnsi" w:cstheme="minorHAnsi"/>
                <w:b/>
                <w:sz w:val="22"/>
                <w:szCs w:val="22"/>
                <w:lang w:val="en-GB" w:eastAsia="zh-CN"/>
              </w:rPr>
            </w:pPr>
            <w:r w:rsidRPr="001D0FE2">
              <w:rPr>
                <w:rFonts w:asciiTheme="minorHAnsi" w:eastAsia="SimSun" w:hAnsiTheme="minorHAnsi" w:cstheme="minorHAnsi"/>
                <w:color w:val="59595B"/>
                <w:sz w:val="22"/>
                <w:szCs w:val="22"/>
                <w:lang w:val="en-GB" w:eastAsia="zh-CN"/>
              </w:rPr>
              <w:t>Net result</w:t>
            </w:r>
          </w:p>
        </w:tc>
        <w:tc>
          <w:tcPr>
            <w:tcW w:w="1069" w:type="pct"/>
            <w:shd w:val="clear" w:color="auto" w:fill="F2F2F2" w:themeFill="background1" w:themeFillShade="F2"/>
          </w:tcPr>
          <w:p w14:paraId="50A26871" w14:textId="77777777" w:rsidR="006446EE" w:rsidRPr="00F2581E" w:rsidRDefault="006446EE" w:rsidP="004D1E44">
            <w:pPr>
              <w:jc w:val="center"/>
              <w:rPr>
                <w:rFonts w:asciiTheme="minorHAnsi" w:eastAsia="SimSun" w:hAnsiTheme="minorHAnsi" w:cstheme="minorHAnsi"/>
                <w:b/>
                <w:color w:val="59595B"/>
                <w:sz w:val="22"/>
                <w:szCs w:val="22"/>
                <w:lang w:val="en-GB" w:eastAsia="zh-CN"/>
              </w:rPr>
            </w:pPr>
          </w:p>
          <w:p w14:paraId="018D84C1" w14:textId="77777777" w:rsidR="006446EE" w:rsidRPr="00F2581E" w:rsidRDefault="006446EE" w:rsidP="004D1E44">
            <w:pPr>
              <w:jc w:val="center"/>
              <w:rPr>
                <w:rFonts w:asciiTheme="minorHAnsi" w:eastAsia="SimSun" w:hAnsiTheme="minorHAnsi" w:cstheme="minorHAnsi"/>
                <w:b/>
                <w:color w:val="59595B"/>
                <w:sz w:val="22"/>
                <w:szCs w:val="22"/>
                <w:lang w:val="en-GB" w:eastAsia="zh-CN"/>
              </w:rPr>
            </w:pPr>
            <w:r w:rsidRPr="00F2581E">
              <w:rPr>
                <w:rFonts w:asciiTheme="minorHAnsi" w:eastAsia="SimSun" w:hAnsiTheme="minorHAnsi" w:cstheme="minorHAnsi"/>
                <w:b/>
                <w:color w:val="59595B"/>
                <w:sz w:val="22"/>
                <w:szCs w:val="22"/>
                <w:lang w:val="en-GB" w:eastAsia="zh-CN"/>
              </w:rPr>
              <w:t>88.6</w:t>
            </w:r>
          </w:p>
          <w:p w14:paraId="2D2AA174" w14:textId="77777777" w:rsidR="006446EE" w:rsidRPr="00F2581E" w:rsidRDefault="006446EE" w:rsidP="004D1E44">
            <w:pPr>
              <w:jc w:val="center"/>
              <w:rPr>
                <w:rFonts w:asciiTheme="minorHAnsi" w:eastAsia="SimSun" w:hAnsiTheme="minorHAnsi" w:cstheme="minorHAnsi"/>
                <w:b/>
                <w:color w:val="59595B"/>
                <w:sz w:val="22"/>
                <w:szCs w:val="22"/>
                <w:lang w:val="en-GB" w:eastAsia="zh-CN"/>
              </w:rPr>
            </w:pPr>
            <w:r w:rsidRPr="00F2581E">
              <w:rPr>
                <w:rFonts w:asciiTheme="minorHAnsi" w:eastAsia="SimSun" w:hAnsiTheme="minorHAnsi" w:cstheme="minorHAnsi"/>
                <w:b/>
                <w:color w:val="59595B"/>
                <w:sz w:val="22"/>
                <w:szCs w:val="22"/>
                <w:lang w:val="en-GB" w:eastAsia="zh-CN"/>
              </w:rPr>
              <w:t>78.7</w:t>
            </w:r>
          </w:p>
          <w:p w14:paraId="5780A19A" w14:textId="77777777" w:rsidR="006446EE" w:rsidRPr="00F2581E" w:rsidRDefault="006446EE" w:rsidP="004D1E44">
            <w:pPr>
              <w:jc w:val="center"/>
              <w:rPr>
                <w:rFonts w:asciiTheme="minorHAnsi" w:eastAsia="SimSun" w:hAnsiTheme="minorHAnsi" w:cstheme="minorHAnsi"/>
                <w:b/>
                <w:color w:val="59595B"/>
                <w:sz w:val="22"/>
                <w:szCs w:val="22"/>
                <w:lang w:val="en-GB" w:eastAsia="zh-CN"/>
              </w:rPr>
            </w:pPr>
            <w:r w:rsidRPr="00F2581E">
              <w:rPr>
                <w:rFonts w:asciiTheme="minorHAnsi" w:eastAsia="SimSun" w:hAnsiTheme="minorHAnsi" w:cstheme="minorHAnsi"/>
                <w:b/>
                <w:color w:val="59595B"/>
                <w:sz w:val="22"/>
                <w:szCs w:val="22"/>
                <w:lang w:val="en-GB" w:eastAsia="zh-CN"/>
              </w:rPr>
              <w:t>32.</w:t>
            </w:r>
            <w:r>
              <w:rPr>
                <w:rFonts w:asciiTheme="minorHAnsi" w:eastAsia="SimSun" w:hAnsiTheme="minorHAnsi" w:cstheme="minorHAnsi"/>
                <w:b/>
                <w:color w:val="59595B"/>
                <w:sz w:val="22"/>
                <w:szCs w:val="22"/>
                <w:lang w:val="en-GB" w:eastAsia="zh-CN"/>
              </w:rPr>
              <w:t>3</w:t>
            </w:r>
          </w:p>
          <w:p w14:paraId="7CC47AB4" w14:textId="77777777" w:rsidR="006446EE" w:rsidRPr="00F2581E" w:rsidRDefault="006446EE" w:rsidP="004D1E44">
            <w:pPr>
              <w:jc w:val="center"/>
              <w:rPr>
                <w:rFonts w:asciiTheme="minorHAnsi" w:eastAsia="SimSun" w:hAnsiTheme="minorHAnsi" w:cstheme="minorHAnsi"/>
                <w:b/>
                <w:color w:val="59595B"/>
                <w:sz w:val="22"/>
                <w:szCs w:val="22"/>
                <w:lang w:val="en-GB" w:eastAsia="zh-CN"/>
              </w:rPr>
            </w:pPr>
            <w:r w:rsidRPr="00F2581E">
              <w:rPr>
                <w:rFonts w:asciiTheme="minorHAnsi" w:eastAsia="SimSun" w:hAnsiTheme="minorHAnsi" w:cstheme="minorHAnsi"/>
                <w:b/>
                <w:color w:val="59595B"/>
                <w:sz w:val="22"/>
                <w:szCs w:val="22"/>
                <w:lang w:val="en-GB" w:eastAsia="zh-CN"/>
              </w:rPr>
              <w:t>18.1</w:t>
            </w:r>
          </w:p>
        </w:tc>
        <w:tc>
          <w:tcPr>
            <w:tcW w:w="1070" w:type="pct"/>
          </w:tcPr>
          <w:p w14:paraId="18A4472D" w14:textId="77777777" w:rsidR="006446EE" w:rsidRPr="00F2581E" w:rsidRDefault="006446EE" w:rsidP="004D1E44">
            <w:pPr>
              <w:jc w:val="center"/>
              <w:rPr>
                <w:rFonts w:asciiTheme="minorHAnsi" w:eastAsia="SimSun" w:hAnsiTheme="minorHAnsi" w:cstheme="minorHAnsi"/>
                <w:bCs/>
                <w:color w:val="59595B"/>
                <w:sz w:val="22"/>
                <w:szCs w:val="22"/>
                <w:lang w:val="en-GB" w:eastAsia="zh-CN"/>
              </w:rPr>
            </w:pPr>
          </w:p>
          <w:p w14:paraId="714B3F85" w14:textId="77777777" w:rsidR="006446EE" w:rsidRPr="00F2581E" w:rsidRDefault="006446EE" w:rsidP="004D1E44">
            <w:pPr>
              <w:jc w:val="center"/>
              <w:rPr>
                <w:rFonts w:asciiTheme="minorHAnsi" w:eastAsia="SimSun" w:hAnsiTheme="minorHAnsi" w:cstheme="minorHAnsi"/>
                <w:bCs/>
                <w:color w:val="59595B"/>
                <w:sz w:val="22"/>
                <w:szCs w:val="22"/>
                <w:lang w:val="en-GB" w:eastAsia="zh-CN"/>
              </w:rPr>
            </w:pPr>
            <w:r w:rsidRPr="00F2581E">
              <w:rPr>
                <w:rFonts w:asciiTheme="minorHAnsi" w:eastAsia="SimSun" w:hAnsiTheme="minorHAnsi" w:cstheme="minorHAnsi"/>
                <w:bCs/>
                <w:color w:val="59595B"/>
                <w:sz w:val="22"/>
                <w:szCs w:val="22"/>
                <w:lang w:val="en-GB" w:eastAsia="zh-CN"/>
              </w:rPr>
              <w:t>77.9</w:t>
            </w:r>
          </w:p>
          <w:p w14:paraId="6ED0B7AA" w14:textId="77777777" w:rsidR="006446EE" w:rsidRPr="00F2581E" w:rsidRDefault="006446EE" w:rsidP="004D1E44">
            <w:pPr>
              <w:jc w:val="center"/>
              <w:rPr>
                <w:rFonts w:asciiTheme="minorHAnsi" w:eastAsia="SimSun" w:hAnsiTheme="minorHAnsi" w:cstheme="minorHAnsi"/>
                <w:bCs/>
                <w:color w:val="59595B"/>
                <w:sz w:val="22"/>
                <w:szCs w:val="22"/>
                <w:lang w:val="en-GB" w:eastAsia="zh-CN"/>
              </w:rPr>
            </w:pPr>
            <w:r w:rsidRPr="00F2581E">
              <w:rPr>
                <w:rFonts w:asciiTheme="minorHAnsi" w:eastAsia="SimSun" w:hAnsiTheme="minorHAnsi" w:cstheme="minorHAnsi"/>
                <w:bCs/>
                <w:color w:val="59595B"/>
                <w:sz w:val="22"/>
                <w:szCs w:val="22"/>
                <w:lang w:val="en-GB" w:eastAsia="zh-CN"/>
              </w:rPr>
              <w:t>67.0</w:t>
            </w:r>
          </w:p>
          <w:p w14:paraId="5822F9C1" w14:textId="77777777" w:rsidR="006446EE" w:rsidRPr="00F2581E" w:rsidRDefault="006446EE" w:rsidP="004D1E44">
            <w:pPr>
              <w:jc w:val="center"/>
              <w:rPr>
                <w:rFonts w:asciiTheme="minorHAnsi" w:eastAsia="SimSun" w:hAnsiTheme="minorHAnsi" w:cstheme="minorHAnsi"/>
                <w:bCs/>
                <w:color w:val="59595B"/>
                <w:sz w:val="22"/>
                <w:szCs w:val="22"/>
                <w:lang w:val="en-GB" w:eastAsia="zh-CN"/>
              </w:rPr>
            </w:pPr>
            <w:r w:rsidRPr="00F2581E">
              <w:rPr>
                <w:rFonts w:asciiTheme="minorHAnsi" w:eastAsia="SimSun" w:hAnsiTheme="minorHAnsi" w:cstheme="minorHAnsi"/>
                <w:bCs/>
                <w:color w:val="59595B"/>
                <w:sz w:val="22"/>
                <w:szCs w:val="22"/>
                <w:lang w:val="en-GB" w:eastAsia="zh-CN"/>
              </w:rPr>
              <w:t>24.6</w:t>
            </w:r>
          </w:p>
          <w:p w14:paraId="50D44AD6" w14:textId="77777777" w:rsidR="006446EE" w:rsidRPr="00F2581E" w:rsidRDefault="006446EE" w:rsidP="004D1E44">
            <w:pPr>
              <w:jc w:val="center"/>
              <w:rPr>
                <w:rFonts w:asciiTheme="minorHAnsi" w:eastAsia="SimSun" w:hAnsiTheme="minorHAnsi" w:cstheme="minorHAnsi"/>
                <w:bCs/>
                <w:color w:val="59595B"/>
                <w:sz w:val="22"/>
                <w:szCs w:val="22"/>
                <w:lang w:val="en-GB" w:eastAsia="zh-CN"/>
              </w:rPr>
            </w:pPr>
            <w:r w:rsidRPr="00F2581E">
              <w:rPr>
                <w:rFonts w:asciiTheme="minorHAnsi" w:eastAsia="SimSun" w:hAnsiTheme="minorHAnsi" w:cstheme="minorHAnsi"/>
                <w:bCs/>
                <w:color w:val="59595B"/>
                <w:sz w:val="22"/>
                <w:szCs w:val="22"/>
                <w:lang w:val="en-GB" w:eastAsia="zh-CN"/>
              </w:rPr>
              <w:t>13.6</w:t>
            </w:r>
          </w:p>
        </w:tc>
        <w:tc>
          <w:tcPr>
            <w:tcW w:w="1089" w:type="pct"/>
            <w:shd w:val="clear" w:color="auto" w:fill="F2F2F2" w:themeFill="background1" w:themeFillShade="F2"/>
          </w:tcPr>
          <w:p w14:paraId="7B47D8E4" w14:textId="77777777" w:rsidR="006446EE" w:rsidRPr="001D0FE2" w:rsidRDefault="006446EE" w:rsidP="004D1E44">
            <w:pPr>
              <w:jc w:val="center"/>
              <w:rPr>
                <w:rFonts w:asciiTheme="minorHAnsi" w:eastAsia="SimSun" w:hAnsiTheme="minorHAnsi" w:cstheme="minorHAnsi"/>
                <w:b/>
                <w:bCs/>
                <w:iCs/>
                <w:sz w:val="22"/>
                <w:szCs w:val="22"/>
                <w:lang w:val="en-GB" w:eastAsia="zh-CN"/>
              </w:rPr>
            </w:pPr>
          </w:p>
          <w:p w14:paraId="0E58AB47" w14:textId="77777777" w:rsidR="006446EE" w:rsidRPr="001D0FE2" w:rsidRDefault="006446EE" w:rsidP="004D1E44">
            <w:pPr>
              <w:jc w:val="center"/>
              <w:rPr>
                <w:rFonts w:asciiTheme="minorHAnsi" w:eastAsia="SimSun" w:hAnsiTheme="minorHAnsi" w:cstheme="minorHAnsi"/>
                <w:b/>
                <w:bCs/>
                <w:iCs/>
                <w:sz w:val="22"/>
                <w:szCs w:val="22"/>
                <w:lang w:val="en-GB" w:eastAsia="zh-CN"/>
              </w:rPr>
            </w:pPr>
            <w:r w:rsidRPr="001D0FE2">
              <w:rPr>
                <w:rFonts w:asciiTheme="minorHAnsi" w:eastAsia="SimSun" w:hAnsiTheme="minorHAnsi" w:cstheme="minorHAnsi"/>
                <w:b/>
                <w:bCs/>
                <w:iCs/>
                <w:sz w:val="22"/>
                <w:szCs w:val="22"/>
                <w:lang w:val="en-GB" w:eastAsia="zh-CN"/>
              </w:rPr>
              <w:t>14%</w:t>
            </w:r>
          </w:p>
          <w:p w14:paraId="7AAF6D6D" w14:textId="77777777" w:rsidR="006446EE" w:rsidRPr="001D0FE2" w:rsidRDefault="006446EE" w:rsidP="004D1E44">
            <w:pPr>
              <w:jc w:val="center"/>
              <w:rPr>
                <w:rFonts w:asciiTheme="minorHAnsi" w:eastAsia="SimSun" w:hAnsiTheme="minorHAnsi" w:cstheme="minorHAnsi"/>
                <w:b/>
                <w:bCs/>
                <w:iCs/>
                <w:sz w:val="22"/>
                <w:szCs w:val="22"/>
                <w:lang w:val="en-GB" w:eastAsia="zh-CN"/>
              </w:rPr>
            </w:pPr>
            <w:r w:rsidRPr="001D0FE2">
              <w:rPr>
                <w:rFonts w:asciiTheme="minorHAnsi" w:eastAsia="SimSun" w:hAnsiTheme="minorHAnsi" w:cstheme="minorHAnsi"/>
                <w:b/>
                <w:bCs/>
                <w:iCs/>
                <w:sz w:val="22"/>
                <w:szCs w:val="22"/>
                <w:lang w:val="en-GB" w:eastAsia="zh-CN"/>
              </w:rPr>
              <w:t>17%</w:t>
            </w:r>
          </w:p>
          <w:p w14:paraId="3705D600" w14:textId="77777777" w:rsidR="006446EE" w:rsidRPr="001D0FE2" w:rsidRDefault="006446EE" w:rsidP="004D1E44">
            <w:pPr>
              <w:jc w:val="center"/>
              <w:rPr>
                <w:rFonts w:asciiTheme="minorHAnsi" w:eastAsia="SimSun" w:hAnsiTheme="minorHAnsi" w:cstheme="minorHAnsi"/>
                <w:b/>
                <w:bCs/>
                <w:iCs/>
                <w:sz w:val="22"/>
                <w:szCs w:val="22"/>
                <w:lang w:val="en-GB" w:eastAsia="zh-CN"/>
              </w:rPr>
            </w:pPr>
            <w:r w:rsidRPr="001D0FE2">
              <w:rPr>
                <w:rFonts w:asciiTheme="minorHAnsi" w:eastAsia="SimSun" w:hAnsiTheme="minorHAnsi" w:cstheme="minorHAnsi"/>
                <w:b/>
                <w:bCs/>
                <w:iCs/>
                <w:sz w:val="22"/>
                <w:szCs w:val="22"/>
                <w:lang w:val="en-GB" w:eastAsia="zh-CN"/>
              </w:rPr>
              <w:t>3</w:t>
            </w:r>
            <w:r>
              <w:rPr>
                <w:rFonts w:asciiTheme="minorHAnsi" w:eastAsia="SimSun" w:hAnsiTheme="minorHAnsi" w:cstheme="minorHAnsi"/>
                <w:b/>
                <w:bCs/>
                <w:iCs/>
                <w:sz w:val="22"/>
                <w:szCs w:val="22"/>
                <w:lang w:val="en-GB" w:eastAsia="zh-CN"/>
              </w:rPr>
              <w:t>1</w:t>
            </w:r>
            <w:r w:rsidRPr="001D0FE2">
              <w:rPr>
                <w:rFonts w:asciiTheme="minorHAnsi" w:eastAsia="SimSun" w:hAnsiTheme="minorHAnsi" w:cstheme="minorHAnsi"/>
                <w:b/>
                <w:bCs/>
                <w:iCs/>
                <w:sz w:val="22"/>
                <w:szCs w:val="22"/>
                <w:lang w:val="en-GB" w:eastAsia="zh-CN"/>
              </w:rPr>
              <w:t>%</w:t>
            </w:r>
          </w:p>
          <w:p w14:paraId="75EF8AF3" w14:textId="77777777" w:rsidR="006446EE" w:rsidRPr="001D0FE2" w:rsidRDefault="006446EE" w:rsidP="004D1E44">
            <w:pPr>
              <w:jc w:val="center"/>
              <w:rPr>
                <w:rFonts w:asciiTheme="minorHAnsi" w:eastAsia="SimSun" w:hAnsiTheme="minorHAnsi" w:cstheme="minorHAnsi"/>
                <w:b/>
                <w:bCs/>
                <w:iCs/>
                <w:sz w:val="22"/>
                <w:szCs w:val="22"/>
                <w:lang w:val="en-GB" w:eastAsia="zh-CN"/>
              </w:rPr>
            </w:pPr>
            <w:r w:rsidRPr="001D0FE2">
              <w:rPr>
                <w:rFonts w:asciiTheme="minorHAnsi" w:eastAsia="SimSun" w:hAnsiTheme="minorHAnsi" w:cstheme="minorHAnsi"/>
                <w:b/>
                <w:bCs/>
                <w:iCs/>
                <w:sz w:val="22"/>
                <w:szCs w:val="22"/>
                <w:lang w:val="en-GB" w:eastAsia="zh-CN"/>
              </w:rPr>
              <w:t>3</w:t>
            </w:r>
            <w:r>
              <w:rPr>
                <w:rFonts w:asciiTheme="minorHAnsi" w:eastAsia="SimSun" w:hAnsiTheme="minorHAnsi" w:cstheme="minorHAnsi"/>
                <w:b/>
                <w:bCs/>
                <w:iCs/>
                <w:sz w:val="22"/>
                <w:szCs w:val="22"/>
                <w:lang w:val="en-GB" w:eastAsia="zh-CN"/>
              </w:rPr>
              <w:t>3</w:t>
            </w:r>
            <w:r w:rsidRPr="001D0FE2">
              <w:rPr>
                <w:rFonts w:asciiTheme="minorHAnsi" w:eastAsia="SimSun" w:hAnsiTheme="minorHAnsi" w:cstheme="minorHAnsi"/>
                <w:b/>
                <w:bCs/>
                <w:iCs/>
                <w:sz w:val="22"/>
                <w:szCs w:val="22"/>
                <w:lang w:val="en-GB" w:eastAsia="zh-CN"/>
              </w:rPr>
              <w:t>%</w:t>
            </w:r>
          </w:p>
        </w:tc>
      </w:tr>
      <w:tr w:rsidR="006446EE" w:rsidRPr="001D0FE2" w14:paraId="75CE14FA" w14:textId="77777777" w:rsidTr="002B3D43">
        <w:trPr>
          <w:trHeight w:val="507"/>
        </w:trPr>
        <w:tc>
          <w:tcPr>
            <w:tcW w:w="1772" w:type="pct"/>
          </w:tcPr>
          <w:p w14:paraId="37265AA4" w14:textId="77777777" w:rsidR="006446EE" w:rsidRPr="001D0FE2" w:rsidRDefault="006446EE" w:rsidP="004D1E44">
            <w:pPr>
              <w:rPr>
                <w:rFonts w:asciiTheme="minorHAnsi" w:eastAsia="SimSun" w:hAnsiTheme="minorHAnsi" w:cstheme="minorHAnsi"/>
                <w:i/>
                <w:sz w:val="22"/>
                <w:szCs w:val="22"/>
                <w:lang w:val="en-GB" w:eastAsia="zh-CN"/>
              </w:rPr>
            </w:pPr>
            <w:r w:rsidRPr="001D0FE2">
              <w:rPr>
                <w:rFonts w:asciiTheme="minorHAnsi" w:eastAsia="SimSun" w:hAnsiTheme="minorHAnsi" w:cstheme="minorHAnsi"/>
                <w:i/>
                <w:sz w:val="22"/>
                <w:szCs w:val="22"/>
                <w:lang w:val="en-GB" w:eastAsia="zh-CN"/>
              </w:rPr>
              <w:t>Balance Sheet</w:t>
            </w:r>
          </w:p>
          <w:p w14:paraId="557007AB" w14:textId="77777777" w:rsidR="006446EE" w:rsidRPr="001D0FE2" w:rsidRDefault="006446EE" w:rsidP="004D1E44">
            <w:pPr>
              <w:rPr>
                <w:rFonts w:asciiTheme="minorHAnsi" w:eastAsia="SimSun" w:hAnsiTheme="minorHAnsi" w:cstheme="minorHAnsi"/>
                <w:b/>
                <w:sz w:val="22"/>
                <w:szCs w:val="22"/>
                <w:lang w:val="en-GB" w:eastAsia="zh-CN"/>
              </w:rPr>
            </w:pPr>
            <w:r w:rsidRPr="001D0FE2">
              <w:rPr>
                <w:rFonts w:asciiTheme="minorHAnsi" w:eastAsia="SimSun" w:hAnsiTheme="minorHAnsi" w:cstheme="minorHAnsi"/>
                <w:color w:val="59595B"/>
                <w:sz w:val="22"/>
                <w:szCs w:val="22"/>
                <w:lang w:val="en-GB" w:eastAsia="zh-CN"/>
              </w:rPr>
              <w:t>Cash &amp; marketable securities</w:t>
            </w:r>
          </w:p>
        </w:tc>
        <w:tc>
          <w:tcPr>
            <w:tcW w:w="1069" w:type="pct"/>
            <w:shd w:val="clear" w:color="auto" w:fill="F2F2F2" w:themeFill="background1" w:themeFillShade="F2"/>
          </w:tcPr>
          <w:p w14:paraId="45E2FD8B" w14:textId="77777777" w:rsidR="006446EE" w:rsidRPr="00F2581E" w:rsidRDefault="006446EE" w:rsidP="004D1E44">
            <w:pPr>
              <w:jc w:val="center"/>
              <w:rPr>
                <w:rFonts w:asciiTheme="minorHAnsi" w:eastAsia="SimSun" w:hAnsiTheme="minorHAnsi" w:cstheme="minorHAnsi"/>
                <w:b/>
                <w:color w:val="FF0000"/>
                <w:sz w:val="22"/>
                <w:szCs w:val="22"/>
                <w:lang w:val="en-GB" w:eastAsia="zh-CN"/>
              </w:rPr>
            </w:pPr>
          </w:p>
          <w:p w14:paraId="30258FD8" w14:textId="77777777" w:rsidR="006446EE" w:rsidRPr="00F2581E" w:rsidRDefault="006446EE" w:rsidP="004D1E44">
            <w:pPr>
              <w:jc w:val="center"/>
              <w:rPr>
                <w:rFonts w:asciiTheme="minorHAnsi" w:eastAsia="SimSun" w:hAnsiTheme="minorHAnsi" w:cstheme="minorHAnsi"/>
                <w:b/>
                <w:color w:val="FF0000"/>
                <w:sz w:val="22"/>
                <w:szCs w:val="22"/>
                <w:lang w:val="en-GB" w:eastAsia="zh-CN"/>
              </w:rPr>
            </w:pPr>
            <w:r w:rsidRPr="00E56D16">
              <w:rPr>
                <w:rFonts w:asciiTheme="minorHAnsi" w:eastAsia="SimSun" w:hAnsiTheme="minorHAnsi" w:cstheme="minorHAnsi"/>
                <w:b/>
                <w:color w:val="59595B"/>
                <w:sz w:val="22"/>
                <w:szCs w:val="22"/>
                <w:lang w:val="en-GB" w:eastAsia="zh-CN"/>
              </w:rPr>
              <w:t>155.1</w:t>
            </w:r>
          </w:p>
        </w:tc>
        <w:tc>
          <w:tcPr>
            <w:tcW w:w="1070" w:type="pct"/>
          </w:tcPr>
          <w:p w14:paraId="2C0C1CD9" w14:textId="77777777" w:rsidR="006446EE" w:rsidRPr="00F2581E" w:rsidRDefault="006446EE" w:rsidP="004D1E44">
            <w:pPr>
              <w:jc w:val="center"/>
              <w:rPr>
                <w:rFonts w:asciiTheme="minorHAnsi" w:eastAsia="SimSun" w:hAnsiTheme="minorHAnsi" w:cstheme="minorHAnsi"/>
                <w:bCs/>
                <w:color w:val="FF0000"/>
                <w:sz w:val="22"/>
                <w:szCs w:val="22"/>
                <w:lang w:val="en-GB" w:eastAsia="zh-CN"/>
              </w:rPr>
            </w:pPr>
          </w:p>
          <w:p w14:paraId="67BB8054" w14:textId="77777777" w:rsidR="006446EE" w:rsidRPr="00F2581E" w:rsidRDefault="006446EE" w:rsidP="004D1E44">
            <w:pPr>
              <w:jc w:val="center"/>
              <w:rPr>
                <w:rFonts w:asciiTheme="minorHAnsi" w:eastAsia="SimSun" w:hAnsiTheme="minorHAnsi" w:cstheme="minorHAnsi"/>
                <w:bCs/>
                <w:color w:val="FF0000"/>
                <w:sz w:val="22"/>
                <w:szCs w:val="22"/>
                <w:lang w:val="en-GB" w:eastAsia="zh-CN"/>
              </w:rPr>
            </w:pPr>
            <w:r w:rsidRPr="003839EF">
              <w:rPr>
                <w:rFonts w:asciiTheme="minorHAnsi" w:eastAsia="SimSun" w:hAnsiTheme="minorHAnsi" w:cstheme="minorHAnsi"/>
                <w:bCs/>
                <w:color w:val="59595B"/>
                <w:sz w:val="22"/>
                <w:szCs w:val="22"/>
                <w:lang w:val="en-GB" w:eastAsia="zh-CN"/>
              </w:rPr>
              <w:t>65.3</w:t>
            </w:r>
          </w:p>
        </w:tc>
        <w:tc>
          <w:tcPr>
            <w:tcW w:w="1089" w:type="pct"/>
            <w:shd w:val="clear" w:color="auto" w:fill="F2F2F2" w:themeFill="background1" w:themeFillShade="F2"/>
          </w:tcPr>
          <w:p w14:paraId="1F370C01" w14:textId="77777777" w:rsidR="006446EE" w:rsidRPr="001D0FE2" w:rsidRDefault="006446EE" w:rsidP="004D1E44">
            <w:pPr>
              <w:jc w:val="center"/>
              <w:rPr>
                <w:rFonts w:asciiTheme="minorHAnsi" w:eastAsia="SimSun" w:hAnsiTheme="minorHAnsi" w:cstheme="minorHAnsi"/>
                <w:b/>
                <w:bCs/>
                <w:iCs/>
                <w:sz w:val="22"/>
                <w:szCs w:val="22"/>
                <w:lang w:val="en-GB" w:eastAsia="zh-CN"/>
              </w:rPr>
            </w:pPr>
          </w:p>
          <w:p w14:paraId="1DD45503" w14:textId="77777777" w:rsidR="006446EE" w:rsidRPr="001D0FE2" w:rsidRDefault="006446EE" w:rsidP="004D1E44">
            <w:pPr>
              <w:jc w:val="center"/>
              <w:rPr>
                <w:rFonts w:asciiTheme="minorHAnsi" w:eastAsia="SimSun" w:hAnsiTheme="minorHAnsi" w:cstheme="minorHAnsi"/>
                <w:b/>
                <w:bCs/>
                <w:iCs/>
                <w:sz w:val="22"/>
                <w:szCs w:val="22"/>
                <w:lang w:val="en-GB" w:eastAsia="zh-CN"/>
              </w:rPr>
            </w:pPr>
            <w:r w:rsidRPr="001D0FE2">
              <w:rPr>
                <w:rFonts w:asciiTheme="minorHAnsi" w:eastAsia="SimSun" w:hAnsiTheme="minorHAnsi" w:cstheme="minorHAnsi"/>
                <w:b/>
                <w:bCs/>
                <w:iCs/>
                <w:sz w:val="22"/>
                <w:szCs w:val="22"/>
                <w:lang w:val="en-GB" w:eastAsia="zh-CN"/>
              </w:rPr>
              <w:t>13</w:t>
            </w:r>
            <w:r>
              <w:rPr>
                <w:rFonts w:asciiTheme="minorHAnsi" w:eastAsia="SimSun" w:hAnsiTheme="minorHAnsi" w:cstheme="minorHAnsi"/>
                <w:b/>
                <w:bCs/>
                <w:iCs/>
                <w:sz w:val="22"/>
                <w:szCs w:val="22"/>
                <w:lang w:val="en-GB" w:eastAsia="zh-CN"/>
              </w:rPr>
              <w:t>8</w:t>
            </w:r>
            <w:r w:rsidRPr="001D0FE2">
              <w:rPr>
                <w:rFonts w:asciiTheme="minorHAnsi" w:eastAsia="SimSun" w:hAnsiTheme="minorHAnsi" w:cstheme="minorHAnsi"/>
                <w:b/>
                <w:bCs/>
                <w:iCs/>
                <w:sz w:val="22"/>
                <w:szCs w:val="22"/>
                <w:lang w:val="en-GB" w:eastAsia="zh-CN"/>
              </w:rPr>
              <w:t>%</w:t>
            </w:r>
          </w:p>
        </w:tc>
      </w:tr>
      <w:tr w:rsidR="006446EE" w:rsidRPr="001D0FE2" w14:paraId="13505E62" w14:textId="77777777" w:rsidTr="002B3D43">
        <w:trPr>
          <w:trHeight w:val="688"/>
        </w:trPr>
        <w:tc>
          <w:tcPr>
            <w:tcW w:w="1772" w:type="pct"/>
          </w:tcPr>
          <w:p w14:paraId="7E07A032" w14:textId="77777777" w:rsidR="006446EE" w:rsidRPr="001D0FE2" w:rsidRDefault="006446EE" w:rsidP="004D1E44">
            <w:pPr>
              <w:rPr>
                <w:rFonts w:asciiTheme="minorHAnsi" w:eastAsia="SimSun" w:hAnsiTheme="minorHAnsi" w:cstheme="minorHAnsi"/>
                <w:i/>
                <w:sz w:val="22"/>
                <w:szCs w:val="22"/>
                <w:lang w:val="en-GB" w:eastAsia="zh-CN"/>
              </w:rPr>
            </w:pPr>
            <w:r w:rsidRPr="001D0FE2">
              <w:rPr>
                <w:rFonts w:asciiTheme="minorHAnsi" w:eastAsia="SimSun" w:hAnsiTheme="minorHAnsi" w:cstheme="minorHAnsi"/>
                <w:i/>
                <w:sz w:val="22"/>
                <w:szCs w:val="22"/>
                <w:lang w:val="en-GB" w:eastAsia="zh-CN"/>
              </w:rPr>
              <w:t>Share Information</w:t>
            </w:r>
          </w:p>
          <w:p w14:paraId="0599953B" w14:textId="77777777" w:rsidR="006446EE" w:rsidRPr="001D0FE2" w:rsidRDefault="006446EE" w:rsidP="004D1E44">
            <w:pPr>
              <w:tabs>
                <w:tab w:val="left" w:pos="1860"/>
              </w:tabs>
              <w:ind w:left="1985" w:hanging="1985"/>
              <w:rPr>
                <w:rFonts w:asciiTheme="minorHAnsi" w:eastAsia="SimSun" w:hAnsiTheme="minorHAnsi" w:cstheme="minorHAnsi"/>
                <w:color w:val="59595B"/>
                <w:sz w:val="22"/>
                <w:szCs w:val="22"/>
                <w:lang w:val="en-GB" w:eastAsia="zh-CN"/>
              </w:rPr>
            </w:pPr>
            <w:r w:rsidRPr="001D0FE2">
              <w:rPr>
                <w:rFonts w:asciiTheme="minorHAnsi" w:eastAsia="SimSun" w:hAnsiTheme="minorHAnsi" w:cstheme="minorHAnsi"/>
                <w:color w:val="59595B"/>
                <w:sz w:val="22"/>
                <w:szCs w:val="22"/>
                <w:lang w:val="en-GB" w:eastAsia="zh-CN"/>
              </w:rPr>
              <w:t>Earnings per share (€):</w:t>
            </w:r>
            <w:r w:rsidRPr="001D0FE2">
              <w:rPr>
                <w:rFonts w:asciiTheme="minorHAnsi" w:eastAsia="SimSun" w:hAnsiTheme="minorHAnsi" w:cstheme="minorHAnsi"/>
                <w:color w:val="59595B"/>
                <w:sz w:val="22"/>
                <w:szCs w:val="22"/>
                <w:lang w:val="en-GB" w:eastAsia="zh-CN"/>
              </w:rPr>
              <w:tab/>
            </w:r>
          </w:p>
          <w:p w14:paraId="6FFE9DAC" w14:textId="77777777" w:rsidR="006446EE" w:rsidRPr="001D0FE2" w:rsidRDefault="006446EE" w:rsidP="006446EE">
            <w:pPr>
              <w:pStyle w:val="ListParagraph"/>
              <w:numPr>
                <w:ilvl w:val="0"/>
                <w:numId w:val="8"/>
              </w:numPr>
              <w:tabs>
                <w:tab w:val="left" w:pos="1860"/>
              </w:tabs>
              <w:rPr>
                <w:rFonts w:asciiTheme="minorHAnsi" w:eastAsia="SimSun" w:hAnsiTheme="minorHAnsi" w:cstheme="minorHAnsi"/>
                <w:b/>
                <w:bCs/>
                <w:color w:val="59595B"/>
                <w:sz w:val="22"/>
                <w:szCs w:val="22"/>
                <w:lang w:val="en-GB" w:eastAsia="zh-CN"/>
              </w:rPr>
            </w:pPr>
            <w:r w:rsidRPr="001D0FE2">
              <w:rPr>
                <w:rFonts w:asciiTheme="minorHAnsi" w:eastAsia="SimSun" w:hAnsiTheme="minorHAnsi" w:cstheme="minorHAnsi"/>
                <w:color w:val="59595B"/>
                <w:sz w:val="22"/>
                <w:szCs w:val="22"/>
                <w:lang w:val="en-GB" w:eastAsia="zh-CN"/>
              </w:rPr>
              <w:t>Undiluted</w:t>
            </w:r>
          </w:p>
          <w:p w14:paraId="15F3B3E4" w14:textId="77777777" w:rsidR="006446EE" w:rsidRPr="001D0FE2" w:rsidRDefault="006446EE" w:rsidP="006446EE">
            <w:pPr>
              <w:pStyle w:val="ListParagraph"/>
              <w:numPr>
                <w:ilvl w:val="0"/>
                <w:numId w:val="8"/>
              </w:numPr>
              <w:rPr>
                <w:rFonts w:asciiTheme="minorHAnsi" w:eastAsia="SimSun" w:hAnsiTheme="minorHAnsi" w:cstheme="minorHAnsi"/>
                <w:b/>
                <w:sz w:val="22"/>
                <w:szCs w:val="22"/>
                <w:lang w:val="en-GB" w:eastAsia="zh-CN"/>
              </w:rPr>
            </w:pPr>
            <w:r w:rsidRPr="001D0FE2">
              <w:rPr>
                <w:rFonts w:asciiTheme="minorHAnsi" w:eastAsia="SimSun" w:hAnsiTheme="minorHAnsi" w:cstheme="minorHAnsi"/>
                <w:color w:val="59595B"/>
                <w:sz w:val="22"/>
                <w:szCs w:val="22"/>
                <w:lang w:val="en-GB" w:eastAsia="zh-CN"/>
              </w:rPr>
              <w:t>Fully diluted</w:t>
            </w:r>
          </w:p>
        </w:tc>
        <w:tc>
          <w:tcPr>
            <w:tcW w:w="1069" w:type="pct"/>
            <w:shd w:val="clear" w:color="auto" w:fill="F2F2F2" w:themeFill="background1" w:themeFillShade="F2"/>
          </w:tcPr>
          <w:p w14:paraId="4148F497" w14:textId="77777777" w:rsidR="006446EE" w:rsidRPr="00F2581E" w:rsidRDefault="006446EE" w:rsidP="004D1E44">
            <w:pPr>
              <w:jc w:val="center"/>
              <w:rPr>
                <w:rFonts w:asciiTheme="minorHAnsi" w:eastAsia="SimSun" w:hAnsiTheme="minorHAnsi" w:cstheme="minorHAnsi"/>
                <w:b/>
                <w:color w:val="59595B"/>
                <w:sz w:val="22"/>
                <w:szCs w:val="22"/>
                <w:lang w:val="en-GB" w:eastAsia="zh-CN"/>
              </w:rPr>
            </w:pPr>
          </w:p>
          <w:p w14:paraId="26DC18A1" w14:textId="77777777" w:rsidR="006446EE" w:rsidRPr="00F2581E" w:rsidRDefault="006446EE" w:rsidP="004D1E44">
            <w:pPr>
              <w:jc w:val="center"/>
              <w:rPr>
                <w:rFonts w:asciiTheme="minorHAnsi" w:eastAsia="SimSun" w:hAnsiTheme="minorHAnsi" w:cstheme="minorHAnsi"/>
                <w:b/>
                <w:color w:val="59595B"/>
                <w:sz w:val="22"/>
                <w:szCs w:val="22"/>
                <w:lang w:val="en-GB" w:eastAsia="zh-CN"/>
              </w:rPr>
            </w:pPr>
          </w:p>
          <w:p w14:paraId="64A98ECF" w14:textId="77777777" w:rsidR="006446EE" w:rsidRPr="00F2581E" w:rsidRDefault="006446EE" w:rsidP="004D1E44">
            <w:pPr>
              <w:jc w:val="center"/>
              <w:rPr>
                <w:rFonts w:asciiTheme="minorHAnsi" w:eastAsia="SimSun" w:hAnsiTheme="minorHAnsi" w:cstheme="minorHAnsi"/>
                <w:b/>
                <w:color w:val="59595B"/>
                <w:sz w:val="22"/>
                <w:szCs w:val="22"/>
                <w:lang w:val="en-GB" w:eastAsia="zh-CN"/>
              </w:rPr>
            </w:pPr>
            <w:r w:rsidRPr="00F2581E">
              <w:rPr>
                <w:rFonts w:asciiTheme="minorHAnsi" w:eastAsia="SimSun" w:hAnsiTheme="minorHAnsi" w:cstheme="minorHAnsi"/>
                <w:b/>
                <w:color w:val="59595B"/>
                <w:sz w:val="22"/>
                <w:szCs w:val="22"/>
                <w:lang w:val="en-GB" w:eastAsia="zh-CN"/>
              </w:rPr>
              <w:t>0.029</w:t>
            </w:r>
          </w:p>
          <w:p w14:paraId="57D88F7D" w14:textId="77777777" w:rsidR="006446EE" w:rsidRPr="00F2581E" w:rsidRDefault="006446EE" w:rsidP="004D1E44">
            <w:pPr>
              <w:jc w:val="center"/>
              <w:rPr>
                <w:rFonts w:asciiTheme="minorHAnsi" w:eastAsia="SimSun" w:hAnsiTheme="minorHAnsi" w:cstheme="minorHAnsi"/>
                <w:b/>
                <w:color w:val="59595B"/>
                <w:sz w:val="22"/>
                <w:szCs w:val="22"/>
                <w:lang w:val="en-GB" w:eastAsia="zh-CN"/>
              </w:rPr>
            </w:pPr>
            <w:r w:rsidRPr="00F2581E">
              <w:rPr>
                <w:rFonts w:asciiTheme="minorHAnsi" w:eastAsia="SimSun" w:hAnsiTheme="minorHAnsi" w:cstheme="minorHAnsi"/>
                <w:b/>
                <w:color w:val="59595B"/>
                <w:sz w:val="22"/>
                <w:szCs w:val="22"/>
                <w:lang w:val="en-GB" w:eastAsia="zh-CN"/>
              </w:rPr>
              <w:t>0.025</w:t>
            </w:r>
          </w:p>
        </w:tc>
        <w:tc>
          <w:tcPr>
            <w:tcW w:w="1070" w:type="pct"/>
          </w:tcPr>
          <w:p w14:paraId="2A0584A7" w14:textId="77777777" w:rsidR="006446EE" w:rsidRPr="00F2581E" w:rsidRDefault="006446EE" w:rsidP="004D1E44">
            <w:pPr>
              <w:jc w:val="center"/>
              <w:rPr>
                <w:rFonts w:asciiTheme="minorHAnsi" w:eastAsia="SimSun" w:hAnsiTheme="minorHAnsi" w:cstheme="minorHAnsi"/>
                <w:bCs/>
                <w:color w:val="59595B"/>
                <w:sz w:val="22"/>
                <w:szCs w:val="22"/>
                <w:lang w:val="en-GB" w:eastAsia="zh-CN"/>
              </w:rPr>
            </w:pPr>
          </w:p>
          <w:p w14:paraId="30BED721" w14:textId="77777777" w:rsidR="006446EE" w:rsidRPr="00F2581E" w:rsidRDefault="006446EE" w:rsidP="004D1E44">
            <w:pPr>
              <w:jc w:val="center"/>
              <w:rPr>
                <w:rFonts w:asciiTheme="minorHAnsi" w:eastAsia="SimSun" w:hAnsiTheme="minorHAnsi" w:cstheme="minorHAnsi"/>
                <w:bCs/>
                <w:color w:val="59595B"/>
                <w:sz w:val="22"/>
                <w:szCs w:val="22"/>
                <w:lang w:val="en-GB" w:eastAsia="zh-CN"/>
              </w:rPr>
            </w:pPr>
          </w:p>
          <w:p w14:paraId="244FEC60" w14:textId="77777777" w:rsidR="006446EE" w:rsidRPr="00F2581E" w:rsidRDefault="006446EE" w:rsidP="004D1E44">
            <w:pPr>
              <w:jc w:val="center"/>
              <w:rPr>
                <w:rFonts w:asciiTheme="minorHAnsi" w:eastAsia="SimSun" w:hAnsiTheme="minorHAnsi" w:cstheme="minorHAnsi"/>
                <w:bCs/>
                <w:color w:val="59595B"/>
                <w:sz w:val="22"/>
                <w:szCs w:val="22"/>
                <w:lang w:val="en-GB" w:eastAsia="zh-CN"/>
              </w:rPr>
            </w:pPr>
            <w:r w:rsidRPr="00F2581E">
              <w:rPr>
                <w:rFonts w:asciiTheme="minorHAnsi" w:eastAsia="SimSun" w:hAnsiTheme="minorHAnsi" w:cstheme="minorHAnsi"/>
                <w:bCs/>
                <w:color w:val="59595B"/>
                <w:sz w:val="22"/>
                <w:szCs w:val="22"/>
                <w:lang w:val="en-GB" w:eastAsia="zh-CN"/>
              </w:rPr>
              <w:t>0.022</w:t>
            </w:r>
          </w:p>
          <w:p w14:paraId="292BDB1E" w14:textId="77777777" w:rsidR="006446EE" w:rsidRPr="00F2581E" w:rsidRDefault="006446EE" w:rsidP="004D1E44">
            <w:pPr>
              <w:jc w:val="center"/>
              <w:rPr>
                <w:rFonts w:asciiTheme="minorHAnsi" w:eastAsia="SimSun" w:hAnsiTheme="minorHAnsi" w:cstheme="minorHAnsi"/>
                <w:bCs/>
                <w:color w:val="59595B"/>
                <w:sz w:val="22"/>
                <w:szCs w:val="22"/>
                <w:lang w:val="en-GB" w:eastAsia="zh-CN"/>
              </w:rPr>
            </w:pPr>
            <w:r w:rsidRPr="00F2581E">
              <w:rPr>
                <w:rFonts w:asciiTheme="minorHAnsi" w:eastAsia="SimSun" w:hAnsiTheme="minorHAnsi" w:cstheme="minorHAnsi"/>
                <w:bCs/>
                <w:color w:val="59595B"/>
                <w:sz w:val="22"/>
                <w:szCs w:val="22"/>
                <w:lang w:val="en-GB" w:eastAsia="zh-CN"/>
              </w:rPr>
              <w:t>0.020</w:t>
            </w:r>
          </w:p>
        </w:tc>
        <w:tc>
          <w:tcPr>
            <w:tcW w:w="1089" w:type="pct"/>
            <w:shd w:val="clear" w:color="auto" w:fill="F2F2F2" w:themeFill="background1" w:themeFillShade="F2"/>
          </w:tcPr>
          <w:p w14:paraId="1281E93D" w14:textId="77777777" w:rsidR="006446EE" w:rsidRPr="001D0FE2" w:rsidRDefault="006446EE" w:rsidP="004D1E44">
            <w:pPr>
              <w:jc w:val="center"/>
              <w:rPr>
                <w:rFonts w:asciiTheme="minorHAnsi" w:eastAsia="SimSun" w:hAnsiTheme="minorHAnsi" w:cstheme="minorHAnsi"/>
                <w:b/>
                <w:bCs/>
                <w:iCs/>
                <w:sz w:val="22"/>
                <w:szCs w:val="22"/>
                <w:lang w:val="en-GB" w:eastAsia="zh-CN"/>
              </w:rPr>
            </w:pPr>
          </w:p>
          <w:p w14:paraId="1CDD8CBF" w14:textId="77777777" w:rsidR="006446EE" w:rsidRPr="001D0FE2" w:rsidRDefault="006446EE" w:rsidP="004D1E44">
            <w:pPr>
              <w:jc w:val="center"/>
              <w:rPr>
                <w:rFonts w:asciiTheme="minorHAnsi" w:eastAsia="SimSun" w:hAnsiTheme="minorHAnsi" w:cstheme="minorHAnsi"/>
                <w:b/>
                <w:bCs/>
                <w:iCs/>
                <w:sz w:val="22"/>
                <w:szCs w:val="22"/>
                <w:lang w:val="en-GB" w:eastAsia="zh-CN"/>
              </w:rPr>
            </w:pPr>
          </w:p>
          <w:p w14:paraId="7A6D4F14" w14:textId="77777777" w:rsidR="006446EE" w:rsidRPr="001D0FE2" w:rsidRDefault="006446EE" w:rsidP="004D1E44">
            <w:pPr>
              <w:jc w:val="center"/>
              <w:rPr>
                <w:rFonts w:asciiTheme="minorHAnsi" w:eastAsia="SimSun" w:hAnsiTheme="minorHAnsi" w:cstheme="minorHAnsi"/>
                <w:b/>
                <w:bCs/>
                <w:iCs/>
                <w:sz w:val="22"/>
                <w:szCs w:val="22"/>
                <w:lang w:val="en-GB" w:eastAsia="zh-CN"/>
              </w:rPr>
            </w:pPr>
            <w:r w:rsidRPr="001D0FE2">
              <w:rPr>
                <w:rFonts w:asciiTheme="minorHAnsi" w:eastAsia="SimSun" w:hAnsiTheme="minorHAnsi" w:cstheme="minorHAnsi"/>
                <w:b/>
                <w:bCs/>
                <w:iCs/>
                <w:sz w:val="22"/>
                <w:szCs w:val="22"/>
                <w:lang w:val="en-GB" w:eastAsia="zh-CN"/>
              </w:rPr>
              <w:t>32%</w:t>
            </w:r>
          </w:p>
          <w:p w14:paraId="4E7FAE59" w14:textId="77777777" w:rsidR="006446EE" w:rsidRPr="001D0FE2" w:rsidRDefault="006446EE" w:rsidP="004D1E44">
            <w:pPr>
              <w:jc w:val="center"/>
              <w:rPr>
                <w:rFonts w:asciiTheme="minorHAnsi" w:eastAsia="SimSun" w:hAnsiTheme="minorHAnsi" w:cstheme="minorHAnsi"/>
                <w:b/>
                <w:bCs/>
                <w:iCs/>
                <w:sz w:val="22"/>
                <w:szCs w:val="22"/>
                <w:lang w:val="en-GB" w:eastAsia="zh-CN"/>
              </w:rPr>
            </w:pPr>
            <w:r w:rsidRPr="001D0FE2">
              <w:rPr>
                <w:rFonts w:asciiTheme="minorHAnsi" w:eastAsia="SimSun" w:hAnsiTheme="minorHAnsi" w:cstheme="minorHAnsi"/>
                <w:b/>
                <w:bCs/>
                <w:iCs/>
                <w:sz w:val="22"/>
                <w:szCs w:val="22"/>
                <w:lang w:val="en-GB" w:eastAsia="zh-CN"/>
              </w:rPr>
              <w:t>25%</w:t>
            </w:r>
          </w:p>
        </w:tc>
      </w:tr>
    </w:tbl>
    <w:p w14:paraId="0D41851C" w14:textId="77777777" w:rsidR="006446EE" w:rsidRPr="001D0FE2" w:rsidRDefault="006446EE" w:rsidP="006446EE">
      <w:pPr>
        <w:rPr>
          <w:rFonts w:asciiTheme="minorHAnsi" w:eastAsia="SimSun" w:hAnsiTheme="minorHAnsi" w:cstheme="minorHAnsi"/>
          <w:b/>
          <w:lang w:val="en-GB" w:eastAsia="zh-CN"/>
        </w:rPr>
      </w:pPr>
    </w:p>
    <w:p w14:paraId="259C3CCB" w14:textId="77777777" w:rsidR="006446EE" w:rsidRPr="001D0FE2" w:rsidRDefault="006446EE" w:rsidP="006446EE">
      <w:pPr>
        <w:tabs>
          <w:tab w:val="left" w:pos="9360"/>
        </w:tabs>
        <w:spacing w:after="80" w:line="276" w:lineRule="auto"/>
        <w:rPr>
          <w:rFonts w:asciiTheme="minorHAnsi" w:hAnsiTheme="minorHAnsi" w:cstheme="minorHAnsi"/>
          <w:lang w:val="en-GB"/>
        </w:rPr>
      </w:pPr>
      <w:r w:rsidRPr="001D0FE2">
        <w:rPr>
          <w:rFonts w:asciiTheme="minorHAnsi" w:hAnsiTheme="minorHAnsi" w:cstheme="minorHAnsi"/>
          <w:b/>
          <w:lang w:val="en-GB"/>
        </w:rPr>
        <w:t>Financial highlights</w:t>
      </w:r>
    </w:p>
    <w:p w14:paraId="75D5055E" w14:textId="77777777" w:rsidR="006446EE" w:rsidRPr="001D0FE2" w:rsidRDefault="006446EE" w:rsidP="002B3D43">
      <w:pPr>
        <w:pStyle w:val="ListParagraph"/>
        <w:numPr>
          <w:ilvl w:val="0"/>
          <w:numId w:val="2"/>
        </w:numPr>
        <w:spacing w:after="120"/>
        <w:ind w:left="567" w:hanging="357"/>
        <w:contextualSpacing w:val="0"/>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 xml:space="preserve">The Company achieved record revenues in H1 2020, with a 14% increase year-on-year to €88.6 million (H1 2019: €77.9 million).  </w:t>
      </w:r>
    </w:p>
    <w:p w14:paraId="083BEE3F" w14:textId="117B3AD6" w:rsidR="006446EE" w:rsidRPr="00660562" w:rsidRDefault="006446EE" w:rsidP="002B3D43">
      <w:pPr>
        <w:pStyle w:val="ListParagraph"/>
        <w:numPr>
          <w:ilvl w:val="0"/>
          <w:numId w:val="5"/>
        </w:numPr>
        <w:spacing w:after="120" w:line="276" w:lineRule="auto"/>
        <w:ind w:left="567" w:hanging="357"/>
        <w:rPr>
          <w:rFonts w:asciiTheme="minorHAnsi" w:hAnsiTheme="minorHAnsi" w:cstheme="minorHAnsi"/>
          <w:color w:val="59595B"/>
          <w:sz w:val="22"/>
          <w:szCs w:val="22"/>
          <w:lang w:val="en-GB"/>
        </w:rPr>
      </w:pPr>
      <w:r w:rsidRPr="00660562">
        <w:rPr>
          <w:rFonts w:asciiTheme="minorHAnsi" w:hAnsiTheme="minorHAnsi" w:cstheme="minorHAnsi"/>
          <w:color w:val="59595B"/>
          <w:sz w:val="22"/>
          <w:szCs w:val="22"/>
          <w:lang w:val="en-GB"/>
        </w:rPr>
        <w:t xml:space="preserve">US revenues increased 13% year-on-year to €85.0 million (H1 2019: €75.0 million), however, sales in Q2 2020 declined by 21% compared to Q1 2020. This was as a result of an unusually high sales level towards the end of Q1 2020, which is believed to have included some pre-filling of prescriptions in response to the emerging COVID-19 pandemic. The Company therefore believes that the H1 </w:t>
      </w:r>
      <w:r w:rsidR="00A520C9" w:rsidRPr="00660562">
        <w:rPr>
          <w:rFonts w:asciiTheme="minorHAnsi" w:hAnsiTheme="minorHAnsi" w:cstheme="minorHAnsi"/>
          <w:color w:val="59595B"/>
          <w:sz w:val="22"/>
          <w:szCs w:val="22"/>
          <w:lang w:val="en-GB"/>
        </w:rPr>
        <w:t xml:space="preserve">2020 </w:t>
      </w:r>
      <w:r w:rsidRPr="00660562">
        <w:rPr>
          <w:rFonts w:asciiTheme="minorHAnsi" w:hAnsiTheme="minorHAnsi" w:cstheme="minorHAnsi"/>
          <w:color w:val="59595B"/>
          <w:sz w:val="22"/>
          <w:szCs w:val="22"/>
          <w:lang w:val="en-GB"/>
        </w:rPr>
        <w:t>results are more representative of underlying performance, than either quarter in isolation.</w:t>
      </w:r>
    </w:p>
    <w:p w14:paraId="7E2FAD8A" w14:textId="77777777" w:rsidR="006446EE" w:rsidRPr="001D0FE2" w:rsidRDefault="006446EE" w:rsidP="002B3D43">
      <w:pPr>
        <w:pStyle w:val="ListParagraph"/>
        <w:numPr>
          <w:ilvl w:val="0"/>
          <w:numId w:val="2"/>
        </w:numPr>
        <w:spacing w:after="120"/>
        <w:ind w:left="567" w:hanging="357"/>
        <w:contextualSpacing w:val="0"/>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 xml:space="preserve">In Europe and the rest of the world (RoW), </w:t>
      </w:r>
      <w:r>
        <w:rPr>
          <w:rFonts w:asciiTheme="minorHAnsi" w:hAnsiTheme="minorHAnsi" w:cstheme="minorHAnsi"/>
          <w:color w:val="59595B"/>
          <w:sz w:val="22"/>
          <w:szCs w:val="22"/>
          <w:lang w:val="en-GB"/>
        </w:rPr>
        <w:t>revenues</w:t>
      </w:r>
      <w:r w:rsidRPr="001D0FE2">
        <w:rPr>
          <w:rFonts w:asciiTheme="minorHAnsi" w:hAnsiTheme="minorHAnsi" w:cstheme="minorHAnsi"/>
          <w:color w:val="59595B"/>
          <w:sz w:val="22"/>
          <w:szCs w:val="22"/>
          <w:lang w:val="en-GB"/>
        </w:rPr>
        <w:t xml:space="preserve"> for H1 2020 increased 24% year-on-year to €3.6 million (H1 2019: €2.9 million), as a result of significant growth in the EU. This follows the reacquisition of commercial product rights in EU territories, effective from 1 January 2020, as well as volume increases in the EU. </w:t>
      </w:r>
    </w:p>
    <w:p w14:paraId="0621925A" w14:textId="77777777" w:rsidR="006446EE" w:rsidRPr="001D0FE2" w:rsidRDefault="006446EE" w:rsidP="002B3D43">
      <w:pPr>
        <w:pStyle w:val="ListParagraph"/>
        <w:numPr>
          <w:ilvl w:val="0"/>
          <w:numId w:val="2"/>
        </w:numPr>
        <w:spacing w:after="120"/>
        <w:ind w:left="567" w:hanging="357"/>
        <w:contextualSpacing w:val="0"/>
        <w:rPr>
          <w:rFonts w:asciiTheme="minorHAnsi" w:eastAsia="Calibri" w:hAnsiTheme="minorHAnsi" w:cstheme="minorHAnsi"/>
          <w:color w:val="59595B"/>
          <w:sz w:val="22"/>
          <w:szCs w:val="22"/>
          <w:lang w:val="en-GB"/>
        </w:rPr>
      </w:pPr>
      <w:r w:rsidRPr="001D0FE2">
        <w:rPr>
          <w:rFonts w:asciiTheme="minorHAnsi" w:hAnsiTheme="minorHAnsi" w:cstheme="minorHAnsi"/>
          <w:color w:val="59595B"/>
          <w:sz w:val="22"/>
          <w:szCs w:val="22"/>
          <w:lang w:val="en-GB"/>
        </w:rPr>
        <w:t>Operating profit in H1 2020 increased 3</w:t>
      </w:r>
      <w:r>
        <w:rPr>
          <w:rFonts w:asciiTheme="minorHAnsi" w:hAnsiTheme="minorHAnsi" w:cstheme="minorHAnsi"/>
          <w:color w:val="59595B"/>
          <w:sz w:val="22"/>
          <w:szCs w:val="22"/>
          <w:lang w:val="en-GB"/>
        </w:rPr>
        <w:t>1</w:t>
      </w:r>
      <w:r w:rsidRPr="001D0FE2">
        <w:rPr>
          <w:rFonts w:asciiTheme="minorHAnsi" w:hAnsiTheme="minorHAnsi" w:cstheme="minorHAnsi"/>
          <w:color w:val="59595B"/>
          <w:sz w:val="22"/>
          <w:szCs w:val="22"/>
          <w:lang w:val="en-GB"/>
        </w:rPr>
        <w:t>% year-on-year to €3</w:t>
      </w:r>
      <w:r>
        <w:rPr>
          <w:rFonts w:asciiTheme="minorHAnsi" w:hAnsiTheme="minorHAnsi" w:cstheme="minorHAnsi"/>
          <w:color w:val="59595B"/>
          <w:sz w:val="22"/>
          <w:szCs w:val="22"/>
          <w:lang w:val="en-GB"/>
        </w:rPr>
        <w:t>2</w:t>
      </w:r>
      <w:r w:rsidRPr="001D0FE2">
        <w:rPr>
          <w:rFonts w:asciiTheme="minorHAnsi" w:hAnsiTheme="minorHAnsi" w:cstheme="minorHAnsi"/>
          <w:color w:val="59595B"/>
          <w:sz w:val="22"/>
          <w:szCs w:val="22"/>
          <w:lang w:val="en-GB"/>
        </w:rPr>
        <w:t>.</w:t>
      </w:r>
      <w:r>
        <w:rPr>
          <w:rFonts w:asciiTheme="minorHAnsi" w:hAnsiTheme="minorHAnsi" w:cstheme="minorHAnsi"/>
          <w:color w:val="59595B"/>
          <w:sz w:val="22"/>
          <w:szCs w:val="22"/>
          <w:lang w:val="en-GB"/>
        </w:rPr>
        <w:t>3</w:t>
      </w:r>
      <w:r w:rsidRPr="001D0FE2">
        <w:rPr>
          <w:rFonts w:asciiTheme="minorHAnsi" w:hAnsiTheme="minorHAnsi" w:cstheme="minorHAnsi"/>
          <w:color w:val="59595B"/>
          <w:sz w:val="22"/>
          <w:szCs w:val="22"/>
          <w:lang w:val="en-GB"/>
        </w:rPr>
        <w:t xml:space="preserve"> million (H1 2019: €24.6 million).  </w:t>
      </w:r>
    </w:p>
    <w:p w14:paraId="50F84D0D" w14:textId="77777777" w:rsidR="006446EE" w:rsidRPr="001D0FE2" w:rsidRDefault="006446EE" w:rsidP="002B3D43">
      <w:pPr>
        <w:pStyle w:val="ListParagraph"/>
        <w:numPr>
          <w:ilvl w:val="0"/>
          <w:numId w:val="2"/>
        </w:numPr>
        <w:spacing w:after="120"/>
        <w:ind w:left="567" w:hanging="357"/>
        <w:contextualSpacing w:val="0"/>
        <w:rPr>
          <w:rFonts w:asciiTheme="minorHAnsi" w:eastAsia="Calibri" w:hAnsiTheme="minorHAnsi" w:cstheme="minorHAnsi"/>
          <w:color w:val="59595B"/>
          <w:sz w:val="22"/>
          <w:szCs w:val="22"/>
          <w:lang w:val="en-GB"/>
        </w:rPr>
      </w:pPr>
      <w:r w:rsidRPr="001D0FE2">
        <w:rPr>
          <w:rFonts w:asciiTheme="minorHAnsi" w:hAnsiTheme="minorHAnsi" w:cstheme="minorHAnsi"/>
          <w:color w:val="59595B"/>
          <w:sz w:val="22"/>
          <w:szCs w:val="22"/>
          <w:lang w:val="en-GB"/>
        </w:rPr>
        <w:t>Net profits in H1 2020 increased 33% year-on-year to €18.1 million (H1 2019: €13.6 million). Despite the decrease in US sales in Q2 2020, net profit for the quarter increased to €9.7 million from €8.4 million in Q1 2020, mainly as a result of lower financing costs following the successful convertible bond refinancing in January 2020 and continued cost control</w:t>
      </w:r>
      <w:r w:rsidRPr="001D0FE2">
        <w:rPr>
          <w:rFonts w:asciiTheme="minorHAnsi" w:eastAsia="Calibri" w:hAnsiTheme="minorHAnsi" w:cstheme="minorHAnsi"/>
          <w:color w:val="59595B"/>
          <w:sz w:val="22"/>
          <w:szCs w:val="22"/>
          <w:lang w:val="en-GB"/>
        </w:rPr>
        <w:t xml:space="preserve">. </w:t>
      </w:r>
    </w:p>
    <w:p w14:paraId="60B0DB10" w14:textId="30FA3DD5" w:rsidR="006446EE" w:rsidRPr="00660562" w:rsidRDefault="006446EE" w:rsidP="002B3D43">
      <w:pPr>
        <w:pStyle w:val="ListParagraph"/>
        <w:numPr>
          <w:ilvl w:val="0"/>
          <w:numId w:val="2"/>
        </w:numPr>
        <w:spacing w:after="120"/>
        <w:ind w:left="567"/>
        <w:contextualSpacing w:val="0"/>
        <w:rPr>
          <w:rFonts w:asciiTheme="minorHAnsi" w:hAnsiTheme="minorHAnsi" w:cstheme="minorHAnsi"/>
          <w:b/>
          <w:sz w:val="22"/>
          <w:szCs w:val="22"/>
          <w:lang w:val="en-GB"/>
        </w:rPr>
      </w:pPr>
      <w:r w:rsidRPr="00660562">
        <w:rPr>
          <w:rFonts w:asciiTheme="minorHAnsi" w:eastAsia="Calibri" w:hAnsiTheme="minorHAnsi" w:cstheme="minorHAnsi"/>
          <w:color w:val="59595B"/>
          <w:sz w:val="22"/>
          <w:szCs w:val="22"/>
          <w:lang w:val="en-GB"/>
        </w:rPr>
        <w:lastRenderedPageBreak/>
        <w:t xml:space="preserve">Strengthened cash position to </w:t>
      </w:r>
      <w:r w:rsidRPr="00660562">
        <w:rPr>
          <w:rFonts w:asciiTheme="minorHAnsi" w:hAnsiTheme="minorHAnsi" w:cstheme="minorHAnsi"/>
          <w:color w:val="59595B"/>
          <w:sz w:val="22"/>
          <w:szCs w:val="22"/>
          <w:lang w:val="en-GB"/>
        </w:rPr>
        <w:t>€155.1 million</w:t>
      </w:r>
      <w:r w:rsidRPr="00660562">
        <w:rPr>
          <w:rFonts w:asciiTheme="minorHAnsi" w:eastAsia="Calibri" w:hAnsiTheme="minorHAnsi" w:cstheme="minorHAnsi"/>
          <w:color w:val="59595B"/>
          <w:sz w:val="22"/>
          <w:szCs w:val="22"/>
          <w:lang w:val="en-GB"/>
        </w:rPr>
        <w:t xml:space="preserve"> as of 30 June 2020, an increase of €19 million from €136.1 million at 31 March 2020 (cash at 31 December of €68.6 million). This is a result of strong positive operational cashflow</w:t>
      </w:r>
      <w:r w:rsidR="007D3CB8">
        <w:rPr>
          <w:rFonts w:asciiTheme="minorHAnsi" w:eastAsia="Calibri" w:hAnsiTheme="minorHAnsi" w:cstheme="minorHAnsi"/>
          <w:color w:val="59595B"/>
          <w:sz w:val="22"/>
          <w:szCs w:val="22"/>
          <w:lang w:val="en-GB"/>
        </w:rPr>
        <w:t>s</w:t>
      </w:r>
      <w:r w:rsidRPr="00660562">
        <w:rPr>
          <w:rFonts w:asciiTheme="minorHAnsi" w:eastAsia="Calibri" w:hAnsiTheme="minorHAnsi" w:cstheme="minorHAnsi"/>
          <w:color w:val="59595B"/>
          <w:sz w:val="22"/>
          <w:szCs w:val="22"/>
          <w:lang w:val="en-GB"/>
        </w:rPr>
        <w:t xml:space="preserve"> during both Q1 and Q2</w:t>
      </w:r>
      <w:r w:rsidR="00BD3598" w:rsidRPr="00660562">
        <w:rPr>
          <w:rFonts w:asciiTheme="minorHAnsi" w:eastAsia="Calibri" w:hAnsiTheme="minorHAnsi" w:cstheme="minorHAnsi"/>
          <w:color w:val="59595B"/>
          <w:sz w:val="22"/>
          <w:szCs w:val="22"/>
          <w:lang w:val="en-GB"/>
        </w:rPr>
        <w:t>,</w:t>
      </w:r>
      <w:r w:rsidR="002743B1">
        <w:rPr>
          <w:rFonts w:asciiTheme="minorHAnsi" w:eastAsia="Calibri" w:hAnsiTheme="minorHAnsi" w:cstheme="minorHAnsi"/>
          <w:color w:val="59595B"/>
          <w:sz w:val="22"/>
          <w:szCs w:val="22"/>
          <w:lang w:val="en-GB"/>
        </w:rPr>
        <w:t xml:space="preserve"> </w:t>
      </w:r>
      <w:r w:rsidR="00BD3598" w:rsidRPr="003A2E97">
        <w:rPr>
          <w:rFonts w:asciiTheme="minorHAnsi" w:eastAsia="Calibri" w:hAnsiTheme="minorHAnsi" w:cstheme="minorHAnsi"/>
          <w:color w:val="59595B"/>
          <w:sz w:val="22"/>
          <w:szCs w:val="22"/>
          <w:lang w:val="en-GB"/>
        </w:rPr>
        <w:t xml:space="preserve">from Q2 onwards also </w:t>
      </w:r>
      <w:r w:rsidR="00523DCA" w:rsidRPr="006E2FE4">
        <w:rPr>
          <w:rFonts w:asciiTheme="minorHAnsi" w:eastAsia="Calibri" w:hAnsiTheme="minorHAnsi" w:cstheme="minorHAnsi"/>
          <w:color w:val="59595B"/>
          <w:sz w:val="22"/>
          <w:szCs w:val="22"/>
          <w:lang w:val="en-GB"/>
        </w:rPr>
        <w:t>supported</w:t>
      </w:r>
      <w:r w:rsidR="00BD3598" w:rsidRPr="004A12C0">
        <w:rPr>
          <w:rFonts w:asciiTheme="minorHAnsi" w:eastAsia="Calibri" w:hAnsiTheme="minorHAnsi" w:cstheme="minorHAnsi"/>
          <w:color w:val="59595B"/>
          <w:sz w:val="22"/>
          <w:szCs w:val="22"/>
          <w:lang w:val="en-GB"/>
        </w:rPr>
        <w:t xml:space="preserve"> by </w:t>
      </w:r>
      <w:r w:rsidR="00BD3598" w:rsidRPr="004A12C0">
        <w:rPr>
          <w:rFonts w:asciiTheme="minorHAnsi" w:hAnsiTheme="minorHAnsi" w:cstheme="minorHAnsi"/>
          <w:color w:val="59595B"/>
          <w:sz w:val="22"/>
          <w:szCs w:val="22"/>
          <w:lang w:val="en-GB"/>
        </w:rPr>
        <w:t>lower financing costs as result of the successful convertible bond re-financing in Q1</w:t>
      </w:r>
      <w:r w:rsidR="00BD3598" w:rsidRPr="00FD2BAB">
        <w:rPr>
          <w:rFonts w:asciiTheme="minorHAnsi" w:hAnsiTheme="minorHAnsi" w:cstheme="minorHAnsi"/>
          <w:color w:val="59595B"/>
          <w:sz w:val="22"/>
          <w:szCs w:val="22"/>
          <w:lang w:val="en-GB"/>
        </w:rPr>
        <w:t>.</w:t>
      </w:r>
      <w:r w:rsidR="00BD3598" w:rsidRPr="00660562">
        <w:rPr>
          <w:rFonts w:asciiTheme="minorHAnsi" w:eastAsia="Calibri" w:hAnsiTheme="minorHAnsi" w:cstheme="minorHAnsi"/>
          <w:color w:val="59595B"/>
          <w:sz w:val="22"/>
          <w:szCs w:val="22"/>
          <w:lang w:val="en-GB"/>
        </w:rPr>
        <w:t xml:space="preserve"> </w:t>
      </w:r>
    </w:p>
    <w:p w14:paraId="7BD0F1DD" w14:textId="77777777" w:rsidR="006446EE" w:rsidRPr="00AD1381" w:rsidRDefault="006446EE" w:rsidP="002B3D43">
      <w:pPr>
        <w:pStyle w:val="ListParagraph"/>
        <w:numPr>
          <w:ilvl w:val="0"/>
          <w:numId w:val="2"/>
        </w:numPr>
        <w:spacing w:after="120"/>
        <w:ind w:left="567"/>
        <w:contextualSpacing w:val="0"/>
        <w:rPr>
          <w:rFonts w:asciiTheme="minorHAnsi" w:eastAsia="Calibri" w:hAnsiTheme="minorHAnsi" w:cstheme="minorHAnsi"/>
          <w:color w:val="59595B"/>
          <w:sz w:val="22"/>
          <w:szCs w:val="22"/>
          <w:lang w:val="en-GB"/>
        </w:rPr>
      </w:pPr>
      <w:r w:rsidRPr="001D0FE2">
        <w:rPr>
          <w:rFonts w:asciiTheme="minorHAnsi" w:eastAsia="Calibri" w:hAnsiTheme="minorHAnsi" w:cstheme="minorHAnsi"/>
          <w:color w:val="59595B"/>
          <w:sz w:val="22"/>
          <w:szCs w:val="22"/>
          <w:lang w:val="en-GB"/>
        </w:rPr>
        <w:t xml:space="preserve">The equity position improved from €104.7 million at the end of December 2019 to €127.6 million at the end of June 2020. </w:t>
      </w:r>
      <w:r w:rsidRPr="00AD1381">
        <w:rPr>
          <w:rFonts w:asciiTheme="minorHAnsi" w:eastAsia="Calibri" w:hAnsiTheme="minorHAnsi" w:cstheme="minorHAnsi"/>
          <w:color w:val="59595B"/>
          <w:sz w:val="22"/>
          <w:szCs w:val="22"/>
          <w:lang w:val="en-GB"/>
        </w:rPr>
        <w:t xml:space="preserve">The majority of the increase in equity is related to the net result for the first half. </w:t>
      </w:r>
    </w:p>
    <w:p w14:paraId="19DBB18F" w14:textId="77777777" w:rsidR="006446EE" w:rsidRPr="001D0FE2" w:rsidRDefault="006446EE" w:rsidP="002B3D43">
      <w:pPr>
        <w:pStyle w:val="ListParagraph"/>
        <w:numPr>
          <w:ilvl w:val="0"/>
          <w:numId w:val="2"/>
        </w:numPr>
        <w:spacing w:after="120"/>
        <w:ind w:left="567"/>
        <w:contextualSpacing w:val="0"/>
        <w:rPr>
          <w:rFonts w:asciiTheme="minorHAnsi" w:eastAsia="Calibri" w:hAnsiTheme="minorHAnsi" w:cstheme="minorHAnsi"/>
          <w:color w:val="59595B"/>
          <w:sz w:val="22"/>
          <w:szCs w:val="22"/>
          <w:lang w:val="en-GB"/>
        </w:rPr>
      </w:pPr>
      <w:r w:rsidRPr="001D0FE2">
        <w:rPr>
          <w:rFonts w:asciiTheme="minorHAnsi" w:eastAsia="Calibri" w:hAnsiTheme="minorHAnsi" w:cstheme="minorHAnsi"/>
          <w:color w:val="59595B"/>
          <w:sz w:val="22"/>
          <w:szCs w:val="22"/>
          <w:lang w:val="en-GB"/>
        </w:rPr>
        <w:t>Other financial liabilities, which refers to the contingent consideration reserved for the final successful sales performance milestone of US$25 million to Bausch Health, did not increase. As a result, our estimation of the likelihood of paying this milestone in the future has not changed during the period.</w:t>
      </w:r>
    </w:p>
    <w:p w14:paraId="1C37819C" w14:textId="4D5ED0D7" w:rsidR="006446EE" w:rsidRPr="00DA79DD" w:rsidRDefault="006446EE" w:rsidP="002B3D43">
      <w:pPr>
        <w:pStyle w:val="ListParagraph"/>
        <w:numPr>
          <w:ilvl w:val="0"/>
          <w:numId w:val="2"/>
        </w:numPr>
        <w:spacing w:after="120"/>
        <w:ind w:left="567"/>
        <w:contextualSpacing w:val="0"/>
        <w:rPr>
          <w:rFonts w:asciiTheme="minorHAnsi" w:hAnsiTheme="minorHAnsi" w:cstheme="minorHAnsi"/>
          <w:b/>
          <w:color w:val="59595B"/>
          <w:sz w:val="22"/>
          <w:szCs w:val="22"/>
          <w:lang w:val="en-GB"/>
        </w:rPr>
      </w:pPr>
      <w:r w:rsidRPr="00DA79DD">
        <w:rPr>
          <w:rFonts w:asciiTheme="minorHAnsi" w:hAnsiTheme="minorHAnsi" w:cstheme="minorHAnsi"/>
          <w:color w:val="59595B"/>
          <w:sz w:val="22"/>
          <w:szCs w:val="22"/>
          <w:lang w:val="en-GB"/>
        </w:rPr>
        <w:t>Since the last reporting date of 20 May 2020, the Company has issued, or reserved for issue, a total of 2</w:t>
      </w:r>
      <w:r w:rsidR="00DC3886">
        <w:rPr>
          <w:rFonts w:asciiTheme="minorHAnsi" w:hAnsiTheme="minorHAnsi" w:cstheme="minorHAnsi"/>
          <w:color w:val="59595B"/>
          <w:sz w:val="22"/>
          <w:szCs w:val="22"/>
          <w:lang w:val="en-GB"/>
        </w:rPr>
        <w:t>.</w:t>
      </w:r>
      <w:r w:rsidRPr="00DA79DD">
        <w:rPr>
          <w:rFonts w:asciiTheme="minorHAnsi" w:hAnsiTheme="minorHAnsi" w:cstheme="minorHAnsi"/>
          <w:color w:val="59595B"/>
          <w:sz w:val="22"/>
          <w:szCs w:val="22"/>
          <w:lang w:val="en-GB"/>
        </w:rPr>
        <w:t>7</w:t>
      </w:r>
      <w:r w:rsidR="00B53E73">
        <w:rPr>
          <w:rFonts w:asciiTheme="minorHAnsi" w:hAnsiTheme="minorHAnsi" w:cstheme="minorHAnsi"/>
          <w:color w:val="59595B"/>
          <w:sz w:val="22"/>
          <w:szCs w:val="22"/>
          <w:lang w:val="en-GB"/>
        </w:rPr>
        <w:t>48</w:t>
      </w:r>
      <w:r w:rsidRPr="00DA79DD">
        <w:rPr>
          <w:rFonts w:asciiTheme="minorHAnsi" w:hAnsiTheme="minorHAnsi" w:cstheme="minorHAnsi"/>
          <w:color w:val="59595B"/>
          <w:sz w:val="22"/>
          <w:szCs w:val="22"/>
          <w:lang w:val="en-GB"/>
        </w:rPr>
        <w:t xml:space="preserve">.244 shares in connection with a number of exercises of options under the current schemes. The number of issued shares </w:t>
      </w:r>
      <w:r>
        <w:rPr>
          <w:rFonts w:asciiTheme="minorHAnsi" w:hAnsiTheme="minorHAnsi" w:cstheme="minorHAnsi"/>
          <w:color w:val="59595B"/>
          <w:sz w:val="22"/>
          <w:szCs w:val="22"/>
          <w:lang w:val="en-GB"/>
        </w:rPr>
        <w:t>as of</w:t>
      </w:r>
      <w:r w:rsidRPr="00DA79DD">
        <w:rPr>
          <w:rFonts w:asciiTheme="minorHAnsi" w:hAnsiTheme="minorHAnsi" w:cstheme="minorHAnsi"/>
          <w:color w:val="59595B"/>
          <w:sz w:val="22"/>
          <w:szCs w:val="22"/>
          <w:lang w:val="en-GB"/>
        </w:rPr>
        <w:t xml:space="preserve"> 30 July 2020 is 637</w:t>
      </w:r>
      <w:r w:rsidR="00DC3886">
        <w:rPr>
          <w:rFonts w:asciiTheme="minorHAnsi" w:hAnsiTheme="minorHAnsi" w:cstheme="minorHAnsi"/>
          <w:color w:val="59595B"/>
          <w:sz w:val="22"/>
          <w:szCs w:val="22"/>
          <w:lang w:val="en-GB"/>
        </w:rPr>
        <w:t>.</w:t>
      </w:r>
      <w:r w:rsidRPr="00DA79DD">
        <w:rPr>
          <w:rFonts w:asciiTheme="minorHAnsi" w:hAnsiTheme="minorHAnsi" w:cstheme="minorHAnsi"/>
          <w:color w:val="59595B"/>
          <w:sz w:val="22"/>
          <w:szCs w:val="22"/>
          <w:lang w:val="en-GB"/>
        </w:rPr>
        <w:t>7</w:t>
      </w:r>
      <w:r w:rsidR="00B53E73">
        <w:rPr>
          <w:rFonts w:asciiTheme="minorHAnsi" w:hAnsiTheme="minorHAnsi" w:cstheme="minorHAnsi"/>
          <w:color w:val="59595B"/>
          <w:sz w:val="22"/>
          <w:szCs w:val="22"/>
          <w:lang w:val="en-GB"/>
        </w:rPr>
        <w:t>43</w:t>
      </w:r>
      <w:r w:rsidRPr="00DA79DD">
        <w:rPr>
          <w:rFonts w:asciiTheme="minorHAnsi" w:hAnsiTheme="minorHAnsi" w:cstheme="minorHAnsi"/>
          <w:color w:val="59595B"/>
          <w:sz w:val="22"/>
          <w:szCs w:val="22"/>
          <w:lang w:val="en-GB"/>
        </w:rPr>
        <w:t xml:space="preserve">.008.  The fully diluted number of shares as </w:t>
      </w:r>
      <w:r>
        <w:rPr>
          <w:rFonts w:asciiTheme="minorHAnsi" w:hAnsiTheme="minorHAnsi" w:cstheme="minorHAnsi"/>
          <w:color w:val="59595B"/>
          <w:sz w:val="22"/>
          <w:szCs w:val="22"/>
          <w:lang w:val="en-GB"/>
        </w:rPr>
        <w:t>of</w:t>
      </w:r>
      <w:r w:rsidRPr="00DA79DD">
        <w:rPr>
          <w:rFonts w:asciiTheme="minorHAnsi" w:hAnsiTheme="minorHAnsi" w:cstheme="minorHAnsi"/>
          <w:color w:val="59595B"/>
          <w:sz w:val="22"/>
          <w:szCs w:val="22"/>
          <w:lang w:val="en-GB"/>
        </w:rPr>
        <w:t xml:space="preserve"> 30 July 2020 is 74</w:t>
      </w:r>
      <w:r w:rsidR="00BA62D2">
        <w:rPr>
          <w:rFonts w:asciiTheme="minorHAnsi" w:hAnsiTheme="minorHAnsi" w:cstheme="minorHAnsi"/>
          <w:color w:val="59595B"/>
          <w:sz w:val="22"/>
          <w:szCs w:val="22"/>
          <w:lang w:val="en-GB"/>
        </w:rPr>
        <w:t>0</w:t>
      </w:r>
      <w:r w:rsidR="00DC3886">
        <w:rPr>
          <w:rFonts w:asciiTheme="minorHAnsi" w:hAnsiTheme="minorHAnsi" w:cstheme="minorHAnsi"/>
          <w:color w:val="59595B"/>
          <w:sz w:val="22"/>
          <w:szCs w:val="22"/>
          <w:lang w:val="en-GB"/>
        </w:rPr>
        <w:t>.</w:t>
      </w:r>
      <w:r w:rsidR="00BA62D2">
        <w:rPr>
          <w:rFonts w:asciiTheme="minorHAnsi" w:hAnsiTheme="minorHAnsi" w:cstheme="minorHAnsi"/>
          <w:color w:val="59595B"/>
          <w:sz w:val="22"/>
          <w:szCs w:val="22"/>
          <w:lang w:val="en-GB"/>
        </w:rPr>
        <w:t>943</w:t>
      </w:r>
      <w:r w:rsidRPr="00DA79DD">
        <w:rPr>
          <w:rFonts w:asciiTheme="minorHAnsi" w:hAnsiTheme="minorHAnsi" w:cstheme="minorHAnsi"/>
          <w:color w:val="59595B"/>
          <w:sz w:val="22"/>
          <w:szCs w:val="22"/>
          <w:lang w:val="en-GB"/>
        </w:rPr>
        <w:t>.</w:t>
      </w:r>
      <w:r w:rsidR="00BA62D2">
        <w:rPr>
          <w:rFonts w:asciiTheme="minorHAnsi" w:hAnsiTheme="minorHAnsi" w:cstheme="minorHAnsi"/>
          <w:color w:val="59595B"/>
          <w:sz w:val="22"/>
          <w:szCs w:val="22"/>
          <w:lang w:val="en-GB"/>
        </w:rPr>
        <w:t>581</w:t>
      </w:r>
      <w:r w:rsidRPr="00DA79DD">
        <w:rPr>
          <w:rFonts w:asciiTheme="minorHAnsi" w:hAnsiTheme="minorHAnsi" w:cstheme="minorHAnsi"/>
          <w:color w:val="59595B"/>
          <w:sz w:val="22"/>
          <w:szCs w:val="22"/>
          <w:lang w:val="en-GB"/>
        </w:rPr>
        <w:t>.</w:t>
      </w:r>
    </w:p>
    <w:p w14:paraId="1873FC2A" w14:textId="77777777" w:rsidR="006446EE" w:rsidRPr="001D0FE2" w:rsidRDefault="006446EE" w:rsidP="002B3D43">
      <w:pPr>
        <w:spacing w:after="120" w:line="276" w:lineRule="auto"/>
        <w:rPr>
          <w:rFonts w:asciiTheme="minorHAnsi" w:hAnsiTheme="minorHAnsi" w:cstheme="minorHAnsi"/>
          <w:b/>
          <w:lang w:val="en-GB"/>
        </w:rPr>
      </w:pPr>
    </w:p>
    <w:p w14:paraId="349D9D77" w14:textId="77777777" w:rsidR="006446EE" w:rsidRPr="001D0FE2" w:rsidRDefault="006446EE" w:rsidP="002B3D43">
      <w:pPr>
        <w:spacing w:after="120" w:line="276" w:lineRule="auto"/>
        <w:rPr>
          <w:rFonts w:asciiTheme="minorHAnsi" w:hAnsiTheme="minorHAnsi" w:cstheme="minorHAnsi"/>
          <w:b/>
          <w:lang w:val="en-GB"/>
        </w:rPr>
      </w:pPr>
      <w:r w:rsidRPr="001D0FE2">
        <w:rPr>
          <w:rFonts w:asciiTheme="minorHAnsi" w:hAnsiTheme="minorHAnsi" w:cstheme="minorHAnsi"/>
          <w:b/>
          <w:lang w:val="en-GB"/>
        </w:rPr>
        <w:t xml:space="preserve">Operational highlights </w:t>
      </w:r>
    </w:p>
    <w:p w14:paraId="1DAEBFA4" w14:textId="77777777" w:rsidR="006446EE" w:rsidRPr="001D0FE2" w:rsidRDefault="006446EE" w:rsidP="002B3D43">
      <w:pPr>
        <w:pStyle w:val="ListParagraph"/>
        <w:numPr>
          <w:ilvl w:val="0"/>
          <w:numId w:val="5"/>
        </w:num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 xml:space="preserve">On 14 January 2020, the Company announced the placement of a €125 million 3% senior unsecured convertible bonds due 2025. The proceeds of the issue were used to redeem the remaining $56 million of the original $100 million loan from Orbimed Advisors and therefore reduced the Company’s financing costs. The remaining balance of the net proceeds will support the Company’s capital expenditure in relation to the expansion of commercialisation and manufacturing infrastructure. </w:t>
      </w:r>
    </w:p>
    <w:p w14:paraId="53FAAF26" w14:textId="77777777" w:rsidR="006446EE" w:rsidRPr="001D0FE2" w:rsidRDefault="006446EE" w:rsidP="002B3D43">
      <w:pPr>
        <w:pStyle w:val="ListParagraph"/>
        <w:numPr>
          <w:ilvl w:val="0"/>
          <w:numId w:val="5"/>
        </w:numPr>
        <w:spacing w:after="120" w:line="276" w:lineRule="auto"/>
        <w:rPr>
          <w:rFonts w:asciiTheme="minorHAnsi" w:hAnsiTheme="minorHAnsi" w:cstheme="minorHAnsi"/>
          <w:strike/>
          <w:color w:val="59595B"/>
          <w:sz w:val="22"/>
          <w:szCs w:val="22"/>
          <w:lang w:val="en-GB"/>
        </w:rPr>
      </w:pPr>
      <w:r w:rsidRPr="001D0FE2">
        <w:rPr>
          <w:rFonts w:asciiTheme="minorHAnsi" w:hAnsiTheme="minorHAnsi" w:cstheme="minorHAnsi"/>
          <w:color w:val="59595B"/>
          <w:sz w:val="22"/>
          <w:szCs w:val="22"/>
          <w:lang w:val="en-GB"/>
        </w:rPr>
        <w:t xml:space="preserve">During Q1 2020, Pharming received European and US validation of its new production facility of starting material for the Company’s lead product, RUCONEST®. On 21 January 2020, the Company received European Medicines Agency (EMA) approval for a Type II Variation for the new production facility. On 9 March 2020, the Company received approval on its Prior Approval Supplement from the US Food and Drug Administration (FDA) for the new production facility. </w:t>
      </w:r>
    </w:p>
    <w:p w14:paraId="531E23F6" w14:textId="77777777" w:rsidR="006446EE" w:rsidRPr="001D0FE2" w:rsidRDefault="006446EE" w:rsidP="002B3D43">
      <w:pPr>
        <w:pStyle w:val="ListParagraph"/>
        <w:numPr>
          <w:ilvl w:val="0"/>
          <w:numId w:val="5"/>
        </w:num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 xml:space="preserve">On 11 March 2020, the Company announced Chief Financial Officer (CFO), Robin Wright, would not put himself up for re-election as a member of the Board of Management and therefore as CFO at the General Meeting of Shareholders. As a result, Robin Wright’s term with Pharming ended on 20 May 2020. The search for a new CFO is well underway. </w:t>
      </w:r>
    </w:p>
    <w:p w14:paraId="4656886E" w14:textId="77777777" w:rsidR="006446EE" w:rsidRPr="001D0FE2" w:rsidRDefault="006446EE" w:rsidP="002B3D43">
      <w:pPr>
        <w:pStyle w:val="ListParagraph"/>
        <w:numPr>
          <w:ilvl w:val="0"/>
          <w:numId w:val="5"/>
        </w:num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 xml:space="preserve">On 23 March 2020, the Company announced it had been promoted to the Euronext Amsterdam MidKap index (AMX). </w:t>
      </w:r>
    </w:p>
    <w:p w14:paraId="00BCCBAA" w14:textId="7F798DBD" w:rsidR="006446EE" w:rsidRPr="001D0FE2" w:rsidRDefault="006446EE" w:rsidP="002B3D43">
      <w:pPr>
        <w:pStyle w:val="ListParagraph"/>
        <w:numPr>
          <w:ilvl w:val="0"/>
          <w:numId w:val="5"/>
        </w:num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On 21 April 2020, the Company reported encouraging results from a study of five patients with confirmed COVID-19 (SARS-CoV-2) infections hospitalised with related severe pneumonia that were treated with RUCONEST® under a compassionate use programme at the University Hospital of Basel, Switzerland.</w:t>
      </w:r>
      <w:r w:rsidR="001651AA">
        <w:rPr>
          <w:rFonts w:asciiTheme="minorHAnsi" w:hAnsiTheme="minorHAnsi" w:cstheme="minorHAnsi"/>
          <w:color w:val="59595B"/>
          <w:sz w:val="22"/>
          <w:szCs w:val="22"/>
          <w:lang w:val="en-GB"/>
        </w:rPr>
        <w:t xml:space="preserve"> </w:t>
      </w:r>
      <w:r w:rsidRPr="001D0FE2">
        <w:rPr>
          <w:rFonts w:asciiTheme="minorHAnsi" w:hAnsiTheme="minorHAnsi" w:cstheme="minorHAnsi"/>
          <w:color w:val="59595B"/>
          <w:sz w:val="22"/>
          <w:szCs w:val="22"/>
          <w:lang w:val="en-GB"/>
        </w:rPr>
        <w:t>Following these encouraging results, a multinational, randomised, controlled investigator-initiated study, led by Dr Michael Osthoff from the University Hospital of Basel, is ready to recruit patients. Pharming expects the study to include up to 150 patients and to be carried out in multiple research centres in parallel, in Switzerland, the US and Latin-America.</w:t>
      </w:r>
    </w:p>
    <w:p w14:paraId="65DDFB38" w14:textId="77777777" w:rsidR="006446EE" w:rsidRPr="001D0FE2" w:rsidRDefault="006446EE" w:rsidP="002B3D43">
      <w:pPr>
        <w:pStyle w:val="ListParagraph"/>
        <w:numPr>
          <w:ilvl w:val="0"/>
          <w:numId w:val="5"/>
        </w:num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 xml:space="preserve">On 30 April 2020, the Company announced that the European Commission had approved an extension in the indication of RUCONEST®’s Marketing Authorisation to include the treatment </w:t>
      </w:r>
      <w:r w:rsidRPr="001D0FE2">
        <w:rPr>
          <w:rFonts w:asciiTheme="minorHAnsi" w:hAnsiTheme="minorHAnsi" w:cstheme="minorHAnsi"/>
          <w:color w:val="59595B"/>
          <w:sz w:val="22"/>
          <w:szCs w:val="22"/>
          <w:lang w:val="en-GB"/>
        </w:rPr>
        <w:lastRenderedPageBreak/>
        <w:t xml:space="preserve">of acute hereditary angioedema (HAE) attacks in children (aged 2-13). In the EU, RUCONEST® has been approved for the treatment of acute HAE attacks in adults since 2010 and in adolescents since 2016. </w:t>
      </w:r>
    </w:p>
    <w:p w14:paraId="0FFB719C" w14:textId="77777777" w:rsidR="006446EE" w:rsidRPr="001D0FE2" w:rsidRDefault="006446EE" w:rsidP="002B3D43">
      <w:pPr>
        <w:pStyle w:val="ListParagraph"/>
        <w:numPr>
          <w:ilvl w:val="0"/>
          <w:numId w:val="5"/>
        </w:num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 xml:space="preserve">On 20 May 2020, the Company announced the nomination of Barbara Yanni and Mark Pyktett to the Board of Supervisory Directors. An Extraordinary General Meeting of Shareholders (EGM) is expected to convene in Q4 2020 for their official appointments. Until that time, both Barbara and Mark will hold observational roles. </w:t>
      </w:r>
    </w:p>
    <w:p w14:paraId="3C421995" w14:textId="77777777" w:rsidR="006446EE" w:rsidRPr="001D0FE2" w:rsidRDefault="006446EE" w:rsidP="002B3D43">
      <w:pPr>
        <w:pStyle w:val="ListParagraph"/>
        <w:spacing w:after="120" w:line="276" w:lineRule="auto"/>
        <w:rPr>
          <w:rFonts w:asciiTheme="minorHAnsi" w:hAnsiTheme="minorHAnsi" w:cstheme="minorHAnsi"/>
          <w:color w:val="59595B"/>
          <w:sz w:val="22"/>
          <w:szCs w:val="22"/>
          <w:lang w:val="en-GB"/>
        </w:rPr>
      </w:pPr>
    </w:p>
    <w:p w14:paraId="4EDC2D8A" w14:textId="77777777" w:rsidR="006446EE" w:rsidRPr="001D0FE2" w:rsidRDefault="006446EE" w:rsidP="002B3D43">
      <w:pPr>
        <w:spacing w:after="120" w:line="276" w:lineRule="auto"/>
        <w:rPr>
          <w:rFonts w:asciiTheme="minorHAnsi" w:hAnsiTheme="minorHAnsi" w:cstheme="minorHAnsi"/>
          <w:b/>
          <w:lang w:val="en-GB"/>
        </w:rPr>
      </w:pPr>
      <w:r w:rsidRPr="001D0FE2">
        <w:rPr>
          <w:rFonts w:asciiTheme="minorHAnsi" w:hAnsiTheme="minorHAnsi" w:cstheme="minorHAnsi"/>
          <w:b/>
          <w:lang w:val="en-GB"/>
        </w:rPr>
        <w:t>COVID-19 update</w:t>
      </w:r>
    </w:p>
    <w:p w14:paraId="6FCBDAC0" w14:textId="77777777" w:rsidR="006446EE" w:rsidRPr="001D0FE2" w:rsidRDefault="006446EE" w:rsidP="002B3D43">
      <w:p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Pharming continues to comply with international guidance and requirements across its operations to prioriti</w:t>
      </w:r>
      <w:r>
        <w:rPr>
          <w:rFonts w:asciiTheme="minorHAnsi" w:hAnsiTheme="minorHAnsi" w:cstheme="minorHAnsi"/>
          <w:color w:val="59595B"/>
          <w:sz w:val="22"/>
          <w:szCs w:val="22"/>
          <w:lang w:val="en-GB"/>
        </w:rPr>
        <w:t>se</w:t>
      </w:r>
      <w:r w:rsidRPr="001D0FE2">
        <w:rPr>
          <w:rFonts w:asciiTheme="minorHAnsi" w:hAnsiTheme="minorHAnsi" w:cstheme="minorHAnsi"/>
          <w:color w:val="59595B"/>
          <w:sz w:val="22"/>
          <w:szCs w:val="22"/>
          <w:lang w:val="en-GB"/>
        </w:rPr>
        <w:t xml:space="preserve"> the health and safety of its employees during the COVID-19 pandemic. </w:t>
      </w:r>
    </w:p>
    <w:p w14:paraId="7A93ECDC" w14:textId="77777777" w:rsidR="006446EE" w:rsidRPr="001D0FE2" w:rsidRDefault="006446EE" w:rsidP="002B3D43">
      <w:p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An update on the impact of COVID-19 on the operations of the business is summarised below.</w:t>
      </w:r>
    </w:p>
    <w:p w14:paraId="17F2B088" w14:textId="77777777" w:rsidR="006446EE" w:rsidRPr="001D0FE2" w:rsidRDefault="006446EE" w:rsidP="002B3D43">
      <w:pPr>
        <w:pStyle w:val="ListParagraph"/>
        <w:numPr>
          <w:ilvl w:val="0"/>
          <w:numId w:val="5"/>
        </w:num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 xml:space="preserve">No impact on the upscaling or continued production of RUCONEST®. The Company’s new starting material facility, approved earlier this year, significantly increases Pharming’s production capacity of RUCONEST®. </w:t>
      </w:r>
    </w:p>
    <w:p w14:paraId="546B0794" w14:textId="77777777" w:rsidR="006446EE" w:rsidRPr="001D0FE2" w:rsidRDefault="006446EE" w:rsidP="002B3D43">
      <w:pPr>
        <w:pStyle w:val="ListParagraph"/>
        <w:numPr>
          <w:ilvl w:val="0"/>
          <w:numId w:val="5"/>
        </w:num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No impact on the availability or distribution of RUCONEST® to HAE patients.</w:t>
      </w:r>
    </w:p>
    <w:p w14:paraId="290E9F1F" w14:textId="77777777" w:rsidR="006446EE" w:rsidRPr="001D0FE2" w:rsidRDefault="006446EE" w:rsidP="002B3D43">
      <w:pPr>
        <w:pStyle w:val="ListParagraph"/>
        <w:numPr>
          <w:ilvl w:val="0"/>
          <w:numId w:val="5"/>
        </w:num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 xml:space="preserve">The recruitment of new patients in ongoing clinical trials has been temporarily halted; patients already incorporated into ongoing clinical trials will continue to receive treatment. </w:t>
      </w:r>
    </w:p>
    <w:p w14:paraId="30FB2062" w14:textId="77777777" w:rsidR="006446EE" w:rsidRPr="001D0FE2" w:rsidRDefault="006446EE" w:rsidP="002B3D43">
      <w:pPr>
        <w:pStyle w:val="ListParagraph"/>
        <w:numPr>
          <w:ilvl w:val="0"/>
          <w:numId w:val="5"/>
        </w:num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 xml:space="preserve">As a result of halted recruitment, timelines for the pre-eclampsia and acute kidney injury studies are expected to incur delays, subject to the return of recruitment. </w:t>
      </w:r>
    </w:p>
    <w:p w14:paraId="2D162B51" w14:textId="77777777" w:rsidR="006446EE" w:rsidRDefault="006446EE" w:rsidP="002B3D43">
      <w:pPr>
        <w:pStyle w:val="ListParagraph"/>
        <w:numPr>
          <w:ilvl w:val="0"/>
          <w:numId w:val="5"/>
        </w:num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Recruitment in the registration enabling trial for leniolisib has started again and we continue to expect the p</w:t>
      </w:r>
      <w:r>
        <w:rPr>
          <w:rFonts w:asciiTheme="minorHAnsi" w:hAnsiTheme="minorHAnsi" w:cstheme="minorHAnsi"/>
          <w:color w:val="59595B"/>
          <w:sz w:val="22"/>
          <w:szCs w:val="22"/>
          <w:lang w:val="en-GB"/>
        </w:rPr>
        <w:t xml:space="preserve">otential </w:t>
      </w:r>
      <w:r w:rsidRPr="001D0FE2">
        <w:rPr>
          <w:rFonts w:asciiTheme="minorHAnsi" w:hAnsiTheme="minorHAnsi" w:cstheme="minorHAnsi"/>
          <w:color w:val="59595B"/>
          <w:sz w:val="22"/>
          <w:szCs w:val="22"/>
          <w:lang w:val="en-GB"/>
        </w:rPr>
        <w:t xml:space="preserve">launch of leniolisib in mid-2022. </w:t>
      </w:r>
    </w:p>
    <w:p w14:paraId="4688827D" w14:textId="77777777" w:rsidR="006446EE" w:rsidRPr="001D0FE2" w:rsidRDefault="006446EE" w:rsidP="002B3D43">
      <w:pPr>
        <w:pStyle w:val="ListParagraph"/>
        <w:spacing w:after="120"/>
        <w:rPr>
          <w:rFonts w:asciiTheme="minorHAnsi" w:hAnsiTheme="minorHAnsi" w:cstheme="minorHAnsi"/>
          <w:b/>
          <w:color w:val="595B5B"/>
          <w:sz w:val="20"/>
          <w:lang w:val="en-GB"/>
        </w:rPr>
      </w:pPr>
    </w:p>
    <w:p w14:paraId="7E02DADC" w14:textId="77777777" w:rsidR="006446EE" w:rsidRPr="001D0FE2" w:rsidRDefault="006446EE" w:rsidP="002B3D43">
      <w:pPr>
        <w:spacing w:after="120"/>
        <w:rPr>
          <w:rFonts w:asciiTheme="minorHAnsi" w:eastAsia="SimSun" w:hAnsiTheme="minorHAnsi" w:cstheme="minorHAnsi"/>
          <w:b/>
          <w:lang w:val="en-GB" w:eastAsia="zh-CN"/>
        </w:rPr>
      </w:pPr>
      <w:r w:rsidRPr="001D0FE2">
        <w:rPr>
          <w:rFonts w:asciiTheme="minorHAnsi" w:eastAsia="SimSun" w:hAnsiTheme="minorHAnsi" w:cstheme="minorHAnsi"/>
          <w:b/>
          <w:lang w:val="en-GB" w:eastAsia="zh-CN"/>
        </w:rPr>
        <w:t>Sijmen de Vries, Chief Executive Officer, commented:</w:t>
      </w:r>
    </w:p>
    <w:p w14:paraId="7E6DA340" w14:textId="7B890B37" w:rsidR="006446EE" w:rsidRPr="001D0FE2" w:rsidRDefault="006446EE" w:rsidP="002B3D43">
      <w:pPr>
        <w:pStyle w:val="NoSpacing"/>
        <w:spacing w:after="120"/>
        <w:jc w:val="both"/>
        <w:rPr>
          <w:rFonts w:asciiTheme="minorHAnsi" w:hAnsiTheme="minorHAnsi" w:cstheme="minorHAnsi"/>
          <w:i/>
          <w:color w:val="59595B"/>
          <w:lang w:val="en-GB"/>
        </w:rPr>
      </w:pPr>
      <w:r w:rsidRPr="00660562">
        <w:rPr>
          <w:rFonts w:asciiTheme="minorHAnsi" w:hAnsiTheme="minorHAnsi" w:cstheme="minorHAnsi"/>
          <w:i/>
          <w:color w:val="59595B"/>
          <w:lang w:val="en-GB"/>
        </w:rPr>
        <w:t xml:space="preserve">“We are delighted to announce strong results for the first half of the year, demonstrating consistent progress in a challenging period that included the </w:t>
      </w:r>
      <w:r w:rsidR="004D1E44" w:rsidRPr="00660562">
        <w:rPr>
          <w:rFonts w:asciiTheme="minorHAnsi" w:hAnsiTheme="minorHAnsi" w:cstheme="minorHAnsi"/>
          <w:i/>
          <w:color w:val="59595B"/>
          <w:lang w:val="en-GB"/>
        </w:rPr>
        <w:t xml:space="preserve">restriction </w:t>
      </w:r>
      <w:r w:rsidRPr="00660562">
        <w:rPr>
          <w:rFonts w:asciiTheme="minorHAnsi" w:hAnsiTheme="minorHAnsi" w:cstheme="minorHAnsi"/>
          <w:i/>
          <w:color w:val="59595B"/>
          <w:lang w:val="en-GB"/>
        </w:rPr>
        <w:t>of all face</w:t>
      </w:r>
      <w:r w:rsidR="004D1E44" w:rsidRPr="00660562">
        <w:rPr>
          <w:rFonts w:asciiTheme="minorHAnsi" w:hAnsiTheme="minorHAnsi" w:cstheme="minorHAnsi"/>
          <w:i/>
          <w:color w:val="59595B"/>
          <w:lang w:val="en-GB"/>
        </w:rPr>
        <w:t>-</w:t>
      </w:r>
      <w:r w:rsidRPr="00660562">
        <w:rPr>
          <w:rFonts w:asciiTheme="minorHAnsi" w:hAnsiTheme="minorHAnsi" w:cstheme="minorHAnsi"/>
          <w:i/>
          <w:color w:val="59595B"/>
          <w:lang w:val="en-GB"/>
        </w:rPr>
        <w:t>to</w:t>
      </w:r>
      <w:r w:rsidR="004D1E44" w:rsidRPr="00660562">
        <w:rPr>
          <w:rFonts w:asciiTheme="minorHAnsi" w:hAnsiTheme="minorHAnsi" w:cstheme="minorHAnsi"/>
          <w:i/>
          <w:color w:val="59595B"/>
          <w:lang w:val="en-GB"/>
        </w:rPr>
        <w:t>-</w:t>
      </w:r>
      <w:r w:rsidRPr="00660562">
        <w:rPr>
          <w:rFonts w:asciiTheme="minorHAnsi" w:hAnsiTheme="minorHAnsi" w:cstheme="minorHAnsi"/>
          <w:i/>
          <w:color w:val="59595B"/>
          <w:lang w:val="en-GB"/>
        </w:rPr>
        <w:t xml:space="preserve">face </w:t>
      </w:r>
      <w:r w:rsidR="004D1E44" w:rsidRPr="00660562">
        <w:rPr>
          <w:rFonts w:asciiTheme="minorHAnsi" w:hAnsiTheme="minorHAnsi" w:cstheme="minorHAnsi"/>
          <w:i/>
          <w:color w:val="59595B"/>
          <w:lang w:val="en-GB"/>
        </w:rPr>
        <w:t xml:space="preserve">sales and marketing </w:t>
      </w:r>
      <w:r w:rsidRPr="00660562">
        <w:rPr>
          <w:rFonts w:asciiTheme="minorHAnsi" w:hAnsiTheme="minorHAnsi" w:cstheme="minorHAnsi"/>
          <w:i/>
          <w:color w:val="59595B"/>
          <w:lang w:val="en-GB"/>
        </w:rPr>
        <w:t>activities.</w:t>
      </w:r>
      <w:r w:rsidR="002B3D43">
        <w:rPr>
          <w:rFonts w:asciiTheme="minorHAnsi" w:hAnsiTheme="minorHAnsi" w:cstheme="minorHAnsi"/>
          <w:i/>
          <w:color w:val="59595B"/>
          <w:lang w:val="en-GB"/>
        </w:rPr>
        <w:t xml:space="preserve"> </w:t>
      </w:r>
      <w:r w:rsidRPr="00660562">
        <w:rPr>
          <w:rFonts w:asciiTheme="minorHAnsi" w:hAnsiTheme="minorHAnsi" w:cstheme="minorHAnsi"/>
          <w:i/>
          <w:color w:val="59595B"/>
          <w:lang w:val="en-GB"/>
        </w:rPr>
        <w:t>Thanks to the dedication, creativity and tenacity of our employees, we have been able to continue our growth trajectory</w:t>
      </w:r>
      <w:r w:rsidR="00A520C9" w:rsidRPr="00660562">
        <w:rPr>
          <w:rFonts w:asciiTheme="minorHAnsi" w:hAnsiTheme="minorHAnsi" w:cstheme="minorHAnsi"/>
          <w:i/>
          <w:color w:val="59595B"/>
          <w:lang w:val="en-GB"/>
        </w:rPr>
        <w:t>,</w:t>
      </w:r>
      <w:r w:rsidRPr="00660562">
        <w:rPr>
          <w:rFonts w:asciiTheme="minorHAnsi" w:hAnsiTheme="minorHAnsi" w:cstheme="minorHAnsi"/>
          <w:i/>
          <w:color w:val="59595B"/>
          <w:lang w:val="en-GB"/>
        </w:rPr>
        <w:t xml:space="preserve"> both </w:t>
      </w:r>
      <w:r w:rsidR="00A520C9" w:rsidRPr="00660562">
        <w:rPr>
          <w:rFonts w:asciiTheme="minorHAnsi" w:hAnsiTheme="minorHAnsi" w:cstheme="minorHAnsi"/>
          <w:i/>
          <w:color w:val="59595B"/>
          <w:lang w:val="en-GB"/>
        </w:rPr>
        <w:t xml:space="preserve">in terms of </w:t>
      </w:r>
      <w:r w:rsidR="006E2FE4" w:rsidRPr="00660562">
        <w:rPr>
          <w:rFonts w:asciiTheme="minorHAnsi" w:hAnsiTheme="minorHAnsi" w:cstheme="minorHAnsi"/>
          <w:i/>
          <w:color w:val="59595B"/>
          <w:lang w:val="en-GB"/>
        </w:rPr>
        <w:t xml:space="preserve">production </w:t>
      </w:r>
      <w:r w:rsidR="003F61F8" w:rsidRPr="00660562">
        <w:rPr>
          <w:rFonts w:asciiTheme="minorHAnsi" w:hAnsiTheme="minorHAnsi" w:cstheme="minorHAnsi"/>
          <w:i/>
          <w:color w:val="59595B"/>
          <w:lang w:val="en-GB"/>
        </w:rPr>
        <w:t>capacity</w:t>
      </w:r>
      <w:r w:rsidR="00A520C9" w:rsidRPr="00660562">
        <w:rPr>
          <w:rFonts w:asciiTheme="minorHAnsi" w:hAnsiTheme="minorHAnsi" w:cstheme="minorHAnsi"/>
          <w:i/>
          <w:color w:val="59595B"/>
          <w:lang w:val="en-GB"/>
        </w:rPr>
        <w:t xml:space="preserve"> and sales expansion, </w:t>
      </w:r>
      <w:r w:rsidR="006C636D" w:rsidRPr="00660562">
        <w:rPr>
          <w:rFonts w:asciiTheme="minorHAnsi" w:hAnsiTheme="minorHAnsi" w:cstheme="minorHAnsi"/>
          <w:i/>
          <w:color w:val="59595B"/>
          <w:lang w:val="en-GB"/>
        </w:rPr>
        <w:t xml:space="preserve">to </w:t>
      </w:r>
      <w:r w:rsidRPr="00660562">
        <w:rPr>
          <w:rFonts w:asciiTheme="minorHAnsi" w:hAnsiTheme="minorHAnsi" w:cstheme="minorHAnsi"/>
          <w:i/>
          <w:color w:val="59595B"/>
          <w:lang w:val="en-GB"/>
        </w:rPr>
        <w:t xml:space="preserve">deliver record </w:t>
      </w:r>
      <w:r w:rsidR="00A520C9" w:rsidRPr="00660562">
        <w:rPr>
          <w:rFonts w:asciiTheme="minorHAnsi" w:hAnsiTheme="minorHAnsi" w:cstheme="minorHAnsi"/>
          <w:i/>
          <w:color w:val="59595B"/>
          <w:lang w:val="en-GB"/>
        </w:rPr>
        <w:t>results</w:t>
      </w:r>
      <w:r w:rsidR="00DB4442" w:rsidRPr="00660562">
        <w:rPr>
          <w:rFonts w:asciiTheme="minorHAnsi" w:hAnsiTheme="minorHAnsi" w:cstheme="minorHAnsi"/>
          <w:i/>
          <w:color w:val="59595B"/>
          <w:lang w:val="en-GB"/>
        </w:rPr>
        <w:t>.</w:t>
      </w:r>
      <w:r w:rsidRPr="00660562">
        <w:rPr>
          <w:rFonts w:asciiTheme="minorHAnsi" w:hAnsiTheme="minorHAnsi" w:cstheme="minorHAnsi"/>
          <w:i/>
          <w:color w:val="59595B"/>
          <w:lang w:val="en-GB"/>
        </w:rPr>
        <w:t xml:space="preserve"> We also continued to increase net profitability, supported by our successful convertible</w:t>
      </w:r>
      <w:r w:rsidRPr="001D0FE2">
        <w:rPr>
          <w:rFonts w:asciiTheme="minorHAnsi" w:hAnsiTheme="minorHAnsi" w:cstheme="minorHAnsi"/>
          <w:i/>
          <w:color w:val="59595B"/>
          <w:lang w:val="en-GB"/>
        </w:rPr>
        <w:t xml:space="preserve"> bond refinancing, which significantly lowered our financing costs, and the re</w:t>
      </w:r>
      <w:r w:rsidR="00101D47">
        <w:rPr>
          <w:rFonts w:asciiTheme="minorHAnsi" w:hAnsiTheme="minorHAnsi" w:cstheme="minorHAnsi"/>
          <w:i/>
          <w:color w:val="59595B"/>
          <w:lang w:val="en-GB"/>
        </w:rPr>
        <w:t>-</w:t>
      </w:r>
      <w:r w:rsidRPr="001D0FE2">
        <w:rPr>
          <w:rFonts w:asciiTheme="minorHAnsi" w:hAnsiTheme="minorHAnsi" w:cstheme="minorHAnsi"/>
          <w:i/>
          <w:color w:val="59595B"/>
          <w:lang w:val="en-GB"/>
        </w:rPr>
        <w:t>acquisition of RUCONEST®’s commercialisation rights for the remaining EU territories.</w:t>
      </w:r>
    </w:p>
    <w:p w14:paraId="1BAB1209" w14:textId="64B2B2F9" w:rsidR="006446EE" w:rsidRPr="001D0FE2" w:rsidRDefault="006446EE" w:rsidP="002B3D43">
      <w:pPr>
        <w:pStyle w:val="NoSpacing"/>
        <w:spacing w:after="120"/>
        <w:jc w:val="both"/>
        <w:rPr>
          <w:rFonts w:asciiTheme="minorHAnsi" w:hAnsiTheme="minorHAnsi" w:cstheme="minorHAnsi"/>
          <w:i/>
          <w:color w:val="59595B"/>
          <w:lang w:val="en-GB"/>
        </w:rPr>
      </w:pPr>
      <w:r w:rsidRPr="00B26EE6">
        <w:rPr>
          <w:rFonts w:asciiTheme="minorHAnsi" w:hAnsiTheme="minorHAnsi" w:cstheme="minorHAnsi"/>
          <w:i/>
          <w:color w:val="59595B"/>
          <w:lang w:val="en-GB"/>
        </w:rPr>
        <w:t>In addition, we have continued to demonstrate operational success, receiving EMA and FDA approval for a new production facility of RUCONEST® starting material, receiving approval for an expansion of the EU Marketing Authorisation for RUCONEST® to include children aged 2-13, and reporting encouraging results from a compassionate use study in the treatment of severe pneumonia related to COVID-19 with RUCONEST</w:t>
      </w:r>
      <w:r w:rsidRPr="004846DD">
        <w:rPr>
          <w:rFonts w:asciiTheme="minorHAnsi" w:hAnsiTheme="minorHAnsi" w:cstheme="minorHAnsi"/>
          <w:i/>
          <w:color w:val="59595B"/>
          <w:lang w:val="en-GB"/>
        </w:rPr>
        <w:t>®, a further investigation into which is due to begin shortly</w:t>
      </w:r>
      <w:r w:rsidRPr="00B26EE6">
        <w:rPr>
          <w:rFonts w:asciiTheme="minorHAnsi" w:hAnsiTheme="minorHAnsi" w:cstheme="minorHAnsi"/>
          <w:i/>
          <w:color w:val="59595B"/>
          <w:lang w:val="en-GB"/>
        </w:rPr>
        <w:t xml:space="preserve">. </w:t>
      </w:r>
      <w:r w:rsidRPr="00B307CC">
        <w:rPr>
          <w:rFonts w:asciiTheme="minorHAnsi" w:hAnsiTheme="minorHAnsi" w:cstheme="minorHAnsi"/>
          <w:i/>
          <w:color w:val="59595B"/>
          <w:lang w:val="en-GB"/>
        </w:rPr>
        <w:t xml:space="preserve">We are also encouraged </w:t>
      </w:r>
      <w:r w:rsidR="001E1CBD" w:rsidRPr="00B307CC">
        <w:rPr>
          <w:rFonts w:asciiTheme="minorHAnsi" w:hAnsiTheme="minorHAnsi" w:cstheme="minorHAnsi"/>
          <w:i/>
          <w:color w:val="59595B"/>
          <w:lang w:val="en-GB"/>
        </w:rPr>
        <w:t>that</w:t>
      </w:r>
      <w:r w:rsidRPr="00B307CC">
        <w:rPr>
          <w:rFonts w:asciiTheme="minorHAnsi" w:hAnsiTheme="minorHAnsi" w:cstheme="minorHAnsi"/>
          <w:i/>
          <w:color w:val="59595B"/>
          <w:lang w:val="en-GB"/>
        </w:rPr>
        <w:t xml:space="preserve"> recruitment in the pivotal study for leniolisib</w:t>
      </w:r>
      <w:r w:rsidR="00B307CC" w:rsidRPr="00B307CC">
        <w:rPr>
          <w:rFonts w:asciiTheme="minorHAnsi" w:hAnsiTheme="minorHAnsi" w:cstheme="minorHAnsi"/>
          <w:i/>
          <w:color w:val="59595B"/>
          <w:lang w:val="en-GB"/>
        </w:rPr>
        <w:t xml:space="preserve"> </w:t>
      </w:r>
      <w:r w:rsidR="00C41612">
        <w:rPr>
          <w:rFonts w:asciiTheme="minorHAnsi" w:hAnsiTheme="minorHAnsi" w:cstheme="minorHAnsi"/>
          <w:i/>
          <w:color w:val="59595B"/>
          <w:lang w:val="en-GB"/>
        </w:rPr>
        <w:t>has</w:t>
      </w:r>
      <w:r w:rsidRPr="00B307CC">
        <w:rPr>
          <w:rFonts w:asciiTheme="minorHAnsi" w:hAnsiTheme="minorHAnsi" w:cstheme="minorHAnsi"/>
          <w:i/>
          <w:color w:val="59595B"/>
          <w:lang w:val="en-GB"/>
        </w:rPr>
        <w:t xml:space="preserve"> start</w:t>
      </w:r>
      <w:r w:rsidR="00C41612">
        <w:rPr>
          <w:rFonts w:asciiTheme="minorHAnsi" w:hAnsiTheme="minorHAnsi" w:cstheme="minorHAnsi"/>
          <w:i/>
          <w:color w:val="59595B"/>
          <w:lang w:val="en-GB"/>
        </w:rPr>
        <w:t>ed</w:t>
      </w:r>
      <w:r w:rsidRPr="00B307CC">
        <w:rPr>
          <w:rFonts w:asciiTheme="minorHAnsi" w:hAnsiTheme="minorHAnsi" w:cstheme="minorHAnsi"/>
          <w:i/>
          <w:color w:val="59595B"/>
          <w:lang w:val="en-GB"/>
        </w:rPr>
        <w:t xml:space="preserve"> again and we continue to expect the potential launch of the product in mid-2022.</w:t>
      </w:r>
      <w:r w:rsidRPr="00B26EE6">
        <w:rPr>
          <w:rFonts w:asciiTheme="minorHAnsi" w:hAnsiTheme="minorHAnsi" w:cstheme="minorHAnsi"/>
          <w:i/>
          <w:color w:val="59595B"/>
          <w:lang w:val="en-GB"/>
        </w:rPr>
        <w:t xml:space="preserve"> We remain confident we are well positioned to continue to deliver significant value to all our stakeholders in the second half of the year and beyond.”</w:t>
      </w:r>
    </w:p>
    <w:p w14:paraId="0CDFA5F6" w14:textId="77777777" w:rsidR="006446EE" w:rsidRPr="001D0FE2" w:rsidRDefault="006446EE" w:rsidP="002B3D43">
      <w:pPr>
        <w:spacing w:after="120"/>
        <w:rPr>
          <w:rFonts w:asciiTheme="minorHAnsi" w:hAnsiTheme="minorHAnsi" w:cstheme="minorHAnsi"/>
          <w:b/>
          <w:lang w:val="en-GB"/>
        </w:rPr>
      </w:pPr>
    </w:p>
    <w:p w14:paraId="00EFD453" w14:textId="77777777" w:rsidR="002B3D43" w:rsidRDefault="002B3D43" w:rsidP="002B3D43">
      <w:pPr>
        <w:spacing w:after="120"/>
        <w:rPr>
          <w:rFonts w:asciiTheme="minorHAnsi" w:hAnsiTheme="minorHAnsi" w:cstheme="minorHAnsi"/>
          <w:b/>
          <w:lang w:val="en-GB"/>
        </w:rPr>
      </w:pPr>
    </w:p>
    <w:p w14:paraId="27864EF0" w14:textId="77777777" w:rsidR="002B3D43" w:rsidRDefault="002B3D43" w:rsidP="002B3D43">
      <w:pPr>
        <w:spacing w:after="120"/>
        <w:rPr>
          <w:rFonts w:asciiTheme="minorHAnsi" w:hAnsiTheme="minorHAnsi" w:cstheme="minorHAnsi"/>
          <w:b/>
          <w:lang w:val="en-GB"/>
        </w:rPr>
      </w:pPr>
    </w:p>
    <w:p w14:paraId="7AEE74CD" w14:textId="47DC78E8" w:rsidR="006446EE" w:rsidRPr="001D0FE2" w:rsidRDefault="006446EE" w:rsidP="002B3D43">
      <w:pPr>
        <w:spacing w:after="120"/>
        <w:rPr>
          <w:rFonts w:asciiTheme="minorHAnsi" w:hAnsiTheme="minorHAnsi" w:cstheme="minorHAnsi"/>
          <w:b/>
          <w:lang w:val="en-GB"/>
        </w:rPr>
      </w:pPr>
      <w:r w:rsidRPr="001D0FE2">
        <w:rPr>
          <w:rFonts w:asciiTheme="minorHAnsi" w:hAnsiTheme="minorHAnsi" w:cstheme="minorHAnsi"/>
          <w:b/>
          <w:lang w:val="en-GB"/>
        </w:rPr>
        <w:lastRenderedPageBreak/>
        <w:t>Outlook</w:t>
      </w:r>
    </w:p>
    <w:p w14:paraId="2903E3A5" w14:textId="18F3A096" w:rsidR="006446EE" w:rsidRPr="001D0FE2" w:rsidRDefault="006446EE" w:rsidP="002B3D43">
      <w:pPr>
        <w:autoSpaceDE w:val="0"/>
        <w:autoSpaceDN w:val="0"/>
        <w:adjustRightInd w:val="0"/>
        <w:spacing w:after="120"/>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 xml:space="preserve">For the remainder of 2020, the Company expects: </w:t>
      </w:r>
    </w:p>
    <w:p w14:paraId="1540FE7F" w14:textId="77777777" w:rsidR="006446EE" w:rsidRPr="002B3D43" w:rsidRDefault="006446EE" w:rsidP="002B3D43">
      <w:pPr>
        <w:pStyle w:val="ListParagraph"/>
        <w:numPr>
          <w:ilvl w:val="0"/>
          <w:numId w:val="7"/>
        </w:numPr>
        <w:spacing w:after="120"/>
        <w:ind w:left="714" w:hanging="357"/>
        <w:contextualSpacing w:val="0"/>
        <w:rPr>
          <w:rFonts w:asciiTheme="minorHAnsi" w:eastAsiaTheme="majorEastAsia" w:hAnsiTheme="minorHAnsi" w:cstheme="minorHAnsi"/>
          <w:color w:val="59595B"/>
          <w:sz w:val="22"/>
          <w:szCs w:val="22"/>
          <w:lang w:val="en-GB"/>
        </w:rPr>
      </w:pPr>
      <w:r w:rsidRPr="002B3D43">
        <w:rPr>
          <w:rFonts w:asciiTheme="minorHAnsi" w:hAnsiTheme="minorHAnsi" w:cstheme="minorHAnsi"/>
          <w:noProof/>
          <w:color w:val="59595B"/>
          <w:sz w:val="22"/>
          <w:szCs w:val="22"/>
          <w:lang w:val="en-GB"/>
        </w:rPr>
        <mc:AlternateContent>
          <mc:Choice Requires="wps">
            <w:drawing>
              <wp:anchor distT="0" distB="0" distL="114300" distR="114300" simplePos="0" relativeHeight="251668992" behindDoc="0" locked="0" layoutInCell="1" allowOverlap="1" wp14:anchorId="6567D922" wp14:editId="5C01D8A6">
                <wp:simplePos x="0" y="0"/>
                <wp:positionH relativeFrom="page">
                  <wp:posOffset>12595225</wp:posOffset>
                </wp:positionH>
                <wp:positionV relativeFrom="paragraph">
                  <wp:posOffset>34925</wp:posOffset>
                </wp:positionV>
                <wp:extent cx="92075" cy="92075"/>
                <wp:effectExtent l="3175" t="6350" r="0" b="635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5 55"/>
                            <a:gd name="T3" fmla="*/ 55 h 145"/>
                            <a:gd name="T4" fmla="+- 0 19835 19835"/>
                            <a:gd name="T5" fmla="*/ T4 w 145"/>
                            <a:gd name="T6" fmla="+- 0 127 55"/>
                            <a:gd name="T7" fmla="*/ 127 h 145"/>
                            <a:gd name="T8" fmla="+- 0 19907 19835"/>
                            <a:gd name="T9" fmla="*/ T8 w 145"/>
                            <a:gd name="T10" fmla="+- 0 199 55"/>
                            <a:gd name="T11" fmla="*/ 199 h 145"/>
                            <a:gd name="T12" fmla="+- 0 19979 19835"/>
                            <a:gd name="T13" fmla="*/ T12 w 145"/>
                            <a:gd name="T14" fmla="+- 0 127 55"/>
                            <a:gd name="T15" fmla="*/ 127 h 145"/>
                            <a:gd name="T16" fmla="+- 0 19907 19835"/>
                            <a:gd name="T17" fmla="*/ T16 w 145"/>
                            <a:gd name="T18" fmla="+- 0 55 55"/>
                            <a:gd name="T19" fmla="*/ 55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5C19B1A" id="Freeform: Shape 27" o:spid="_x0000_s1026" style="position:absolute;margin-left:991.75pt;margin-top:2.75pt;width:7.25pt;height:7.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lbQQMAAO8IAAAOAAAAZHJzL2Uyb0RvYy54bWysVtFumzAUfZ+0f7D8uGkFp0nTRE2qql2m&#10;Sd1WqewDHDABDTCznZDu63dsICUJaatpL2Djw+Hcc319ubre5hnZCKVTWcwoO/MpEUUoo7RYzejP&#10;YPHpkhJteBHxTBZiRp+Eptfz9++uqnIqBjKRWSQUAUmhp1U5o4kx5dTzdJiInOszWYoCi7FUOTeY&#10;qpUXKV6BPc+8ge9feJVUUalkKLTG07t6kc4dfxyL0PyIYy0MyWYU2oy7Kndd2qs3v+LTleJlkoaN&#10;DP4PKnKeFvjojuqOG07WKj2iytNQSS1jcxbK3JNxnIbCxYBomH8QzWPCS+FigTm63Nmk/x9t+H3z&#10;oEgazehgTEnBc+RooYSwjk+JE0CwApuqUk+BfiwflA1Ul/cy/KWx4O2t2IkGhiyrbzICG18b6azZ&#10;xiq3byJosnUZeNplQGwNCfFwMvDHI0pCrNRDy8+n7avhWpsvQjoavrnXpk5fhJEzP2oiCJDqOM+Q&#10;yY+fiE/YZOKPcb08HzUJ3wFZC/zgkcAnFWHDI8ygxTiy0YiMjiDnLQQ0ACR9NMMW02iCmn5NMKAW&#10;bzUN+zVdtJiabDDuEYWE7ngYEL2qUJ9vc2rSAq2qy35V7Mj3Hlms6zlS06+L7bsO3HjSbxfrmh+w&#10;wQlpB/b3Osa61p+0jB2Y/8Lu6qYgYBcnpO3noHeDsa793R2G6li1+58nbUmE26KpCYwIt4ex74qw&#10;lNoWX4AcoMaCc1sPoADKFtAJMFyxYHcMvAqGUAtGlt9CbZPn4K6kXiVnMNTBJ132+rUmYIUz//C0&#10;V5TgtF/WxV9yY32y8dohqdC3UPQkqe/2eS43IpAOYaxdY2xGfNa1C3zseTkrujDsfqAAriNvF9t7&#10;2eViw+GLMLv+drZWWfupMJNa1CpsjC7Hu7itXZ2DVMssjRZpltl4tVotbzNFNhwNczi5WXxuqfdg&#10;mdsuhbSvtcE2ncAe/nW3WMroCY1Aybrr4i8Bg0SqP5RU6Lgzqn+vuRKUZF8LtLQJQrYt2k2Go/EA&#10;E9VdWXZXeBGCakYNxfa2w1tTt/V1qdJVgi8xt+ELeYMGFKe2VbhOVatqJuiqzpvmD8C27e7coZ7/&#10;U+Z/AQAA//8DAFBLAwQUAAYACAAAACEAr5A2ct8AAAAKAQAADwAAAGRycy9kb3ducmV2LnhtbEyP&#10;TU+DQBCG7yb+h82YeLOLVRSQpVErJl6M1h48btkpYNlZwi4t/fdOT3qavJkn70e+mGwn9jj41pGC&#10;61kEAqlypqVawfqrvEpA+KDJ6M4RKjiih0VxfpbrzLgDfeJ+FWrBJuQzraAJoc+k9FWDVvuZ65H4&#10;t3WD1YHlUEsz6AOb207Oo+hOWt0SJzS6x+cGq91qtApe7tfzchk/lXq3vP35ePt+f90eR6UuL6bH&#10;BxABp/AHw6k+V4eCO23cSMaLjnWa3MTMKoj5nIA0TXjdRgEHgyxy+X9C8QsAAP//AwBQSwECLQAU&#10;AAYACAAAACEAtoM4kv4AAADhAQAAEwAAAAAAAAAAAAAAAAAAAAAAW0NvbnRlbnRfVHlwZXNdLnht&#10;bFBLAQItABQABgAIAAAAIQA4/SH/1gAAAJQBAAALAAAAAAAAAAAAAAAAAC8BAABfcmVscy8ucmVs&#10;c1BLAQItABQABgAIAAAAIQDSlZlbQQMAAO8IAAAOAAAAAAAAAAAAAAAAAC4CAABkcnMvZTJvRG9j&#10;LnhtbFBLAQItABQABgAIAAAAIQCvkDZy3wAAAAoBAAAPAAAAAAAAAAAAAAAAAJsFAABkcnMvZG93&#10;bnJldi54bWxQSwUGAAAAAAQABADzAAAApwYAAAAA&#10;" path="m72,l,72r72,72l144,72,72,xe" fillcolor="#49afe0" stroked="f">
                <v:path arrowok="t" o:connecttype="custom" o:connectlocs="45720,34925;0,80645;45720,126365;91440,80645;45720,34925" o:connectangles="0,0,0,0,0"/>
                <w10:wrap anchorx="page"/>
              </v:shape>
            </w:pict>
          </mc:Fallback>
        </mc:AlternateContent>
      </w:r>
      <w:r w:rsidRPr="002B3D43">
        <w:rPr>
          <w:rFonts w:asciiTheme="minorHAnsi" w:eastAsiaTheme="majorEastAsia" w:hAnsiTheme="minorHAnsi" w:cstheme="minorHAnsi"/>
          <w:color w:val="59595B"/>
          <w:sz w:val="22"/>
          <w:szCs w:val="22"/>
          <w:lang w:val="en-GB"/>
        </w:rPr>
        <w:t>Subject to progression of the COVID-19 pandemic in the US; continued growth in revenues from sales of RUCONEST®, compared to the first half of 2020, mainly driven by the US and expanded European operations.</w:t>
      </w:r>
    </w:p>
    <w:p w14:paraId="79700189" w14:textId="77777777" w:rsidR="006446EE" w:rsidRPr="001D0FE2" w:rsidRDefault="006446EE" w:rsidP="002B3D43">
      <w:pPr>
        <w:pStyle w:val="ListParagraph"/>
        <w:numPr>
          <w:ilvl w:val="0"/>
          <w:numId w:val="7"/>
        </w:numPr>
        <w:spacing w:after="120"/>
        <w:ind w:left="714" w:hanging="357"/>
        <w:contextualSpacing w:val="0"/>
        <w:rPr>
          <w:rFonts w:asciiTheme="minorHAnsi" w:eastAsiaTheme="majorEastAsia" w:hAnsiTheme="minorHAnsi" w:cstheme="minorHAnsi"/>
          <w:color w:val="59595B"/>
          <w:sz w:val="22"/>
          <w:szCs w:val="22"/>
          <w:lang w:val="en-GB"/>
        </w:rPr>
      </w:pPr>
      <w:r w:rsidRPr="001D0FE2">
        <w:rPr>
          <w:rFonts w:asciiTheme="minorHAnsi" w:hAnsiTheme="minorHAnsi" w:cstheme="minorHAnsi"/>
          <w:noProof/>
          <w:color w:val="59595B"/>
          <w:sz w:val="22"/>
          <w:szCs w:val="22"/>
          <w:lang w:val="en-GB"/>
        </w:rPr>
        <mc:AlternateContent>
          <mc:Choice Requires="wps">
            <w:drawing>
              <wp:anchor distT="0" distB="0" distL="114300" distR="114300" simplePos="0" relativeHeight="251666944" behindDoc="0" locked="0" layoutInCell="1" allowOverlap="1" wp14:anchorId="4DE13657" wp14:editId="53EE7FDF">
                <wp:simplePos x="0" y="0"/>
                <wp:positionH relativeFrom="page">
                  <wp:posOffset>12595225</wp:posOffset>
                </wp:positionH>
                <wp:positionV relativeFrom="paragraph">
                  <wp:posOffset>34290</wp:posOffset>
                </wp:positionV>
                <wp:extent cx="92075" cy="92075"/>
                <wp:effectExtent l="3175" t="5715" r="0" b="6985"/>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BF5D6E2" id="Freeform: Shape 28" o:spid="_x0000_s1026" style="position:absolute;margin-left:991.75pt;margin-top:2.7pt;width:7.25pt;height:7.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orRQMAAO8IAAAOAAAAZHJzL2Uyb0RvYy54bWysVl1vmzAUfZ+0/2D5cdMKTvOtplXVrtOk&#10;bqtU9gMcMAENMLOdkO7X79jglKZ0q6a9gM09HM491/bl7GJfFmQnlM5ltaLsJKREVLFM8mqzot+j&#10;mw9zSrThVcILWYkVfRCaXpy/fXPW1EsxkpksEqEISCq9bOoVzYypl0Gg40yUXJ/IWlQIplKV3GCq&#10;NkGieAP2sghGYTgNGqmSWslYaI2n122Qnjv+NBWx+ZamWhhSrCi0GXdV7rq21+D8jC83itdZHncy&#10;+D+oKHle4aMHqmtuONmq/BlVmcdKapmak1iWgUzTPBYuB2TDwqNs7jNeC5cLzNH1wSb9/2jjr7s7&#10;RfJkRUeoVMVL1OhGCWEdXxIngCACm5paL4G+r++UTVTXtzL+oREInkTsRAND1s0XmYCNb4101uxT&#10;Vdo3kTTZuwo8HCog9obEeLgYhbMJJTEi7dDy86V/Nd5q80lIR8N3t9q05UswcuYnXQYRSp2WBSr5&#10;/gMJCVsswhmu89NJV/ADkHngu4BEIWkIGz/DjDzGkU3GZDI+pjn1ENAAkA3RjD2m0wQ1w5pgQCve&#10;ahoPa5p6TEs2mg6ImnkMeBgQg6pQ9dc5tfBAq2o+rIod+z4fkMX6nqMow7rYU9dRwtli2C7WNz9i&#10;oxekHdk/6BjrW/+iZezI/D+srn4JIjZ9QdrTGgwuMNa3v7/CsDs2fv3zzG+JeF91ewIjwu1hHLpN&#10;WEttN1+EGmCPRad2IYMCKLuBXgDDFQuevQoMoRaMKr+G2hbPwd2u+6sSBkMdfNFnb1/rElY4849P&#10;e0UJTvu1fYcva26sT35IGvQtbHqStXf7vJQ7EUmHMNauGRYjPuvaBT72GC6qPgyrHyiA28x90N/r&#10;Phcbu0MEbD7s7y3Mxl/P5pV5jriQWrQqbLquxoe8rV29g1TLIk9u8qKw+Wq1WV8Viuw4GuZ4cXnz&#10;0VM/gRVuuVTSvuaT7TqBPfzbbrGWyQMagZJt18VfAgaZVL8oadBxV1T/3HIlKCk+V2hpC6RsW7Sb&#10;jCezESaqH1n3I7yKQbWihmJ52+GVadv6tlb5JsOXmFvwlbxEA0pz2ypcp2pVdRN0VedN9wdg23Z/&#10;7lCP/ynnvwEAAP//AwBQSwMEFAAGAAgAAAAhAHp1J6/gAAAACgEAAA8AAABkcnMvZG93bnJldi54&#10;bWxMj01Pg0AQhu8m/ofNmHizi7VYQJZGrZh4Mbb24HEKW8Cys4RdWvrvnXrR27yZJ+9HuhhNKw66&#10;d40lBbeTAISmwpYNVQo2n/lNBMJ5pBJbS1rBSTtYZJcXKSalPdJKH9a+EmxCLkEFtfddIqUram3Q&#10;TWyniX872xv0LPtKlj0e2dy0choE99JgQ5xQY6efa13s14NR8DLfTPNl+JTjfjn7/nj7en/dnQal&#10;rq/GxwcQXo/+D4Zzfa4OGXfa2oFKJ1rWcXQXMqsgnIE4A3Ec8brt7wUyS+X/CdkPAAAA//8DAFBL&#10;AQItABQABgAIAAAAIQC2gziS/gAAAOEBAAATAAAAAAAAAAAAAAAAAAAAAABbQ29udGVudF9UeXBl&#10;c10ueG1sUEsBAi0AFAAGAAgAAAAhADj9If/WAAAAlAEAAAsAAAAAAAAAAAAAAAAALwEAAF9yZWxz&#10;Ly5yZWxzUEsBAi0AFAAGAAgAAAAhAFKFyitFAwAA7wgAAA4AAAAAAAAAAAAAAAAALgIAAGRycy9l&#10;Mm9Eb2MueG1sUEsBAi0AFAAGAAgAAAAhAHp1J6/gAAAACgEAAA8AAAAAAAAAAAAAAAAAnwUAAGRy&#10;cy9kb3ducmV2LnhtbFBLBQYAAAAABAAEAPMAAACsBgAAAAA=&#10;" path="m72,l,72r72,72l144,72,72,xe" fillcolor="#49afe0" stroked="f">
                <v:path arrowok="t" o:connecttype="custom" o:connectlocs="45720,34290;0,80010;45720,125730;91440,80010;45720,34290" o:connectangles="0,0,0,0,0"/>
                <w10:wrap anchorx="page"/>
              </v:shape>
            </w:pict>
          </mc:Fallback>
        </mc:AlternateContent>
      </w:r>
      <w:r w:rsidRPr="001D0FE2">
        <w:rPr>
          <w:rFonts w:asciiTheme="minorHAnsi" w:eastAsiaTheme="majorEastAsia" w:hAnsiTheme="minorHAnsi" w:cstheme="minorHAnsi"/>
          <w:color w:val="59595B"/>
          <w:sz w:val="22"/>
          <w:szCs w:val="22"/>
          <w:lang w:val="en-GB"/>
        </w:rPr>
        <w:t>Maintenance of positive net earnings during the year.</w:t>
      </w:r>
    </w:p>
    <w:p w14:paraId="58F7D5D6" w14:textId="77777777" w:rsidR="006446EE" w:rsidRPr="001D0FE2" w:rsidRDefault="006446EE" w:rsidP="002B3D43">
      <w:pPr>
        <w:pStyle w:val="ListParagraph"/>
        <w:numPr>
          <w:ilvl w:val="0"/>
          <w:numId w:val="7"/>
        </w:numPr>
        <w:spacing w:after="120"/>
        <w:ind w:left="714" w:hanging="357"/>
        <w:contextualSpacing w:val="0"/>
        <w:rPr>
          <w:rFonts w:asciiTheme="minorHAnsi" w:eastAsiaTheme="majorEastAsia" w:hAnsiTheme="minorHAnsi" w:cstheme="minorHAnsi"/>
          <w:color w:val="59595B"/>
          <w:sz w:val="22"/>
          <w:szCs w:val="22"/>
          <w:lang w:val="en-GB"/>
        </w:rPr>
      </w:pPr>
      <w:r w:rsidRPr="001D0FE2">
        <w:rPr>
          <w:rFonts w:asciiTheme="minorHAnsi" w:hAnsiTheme="minorHAnsi" w:cstheme="minorHAnsi"/>
          <w:noProof/>
          <w:color w:val="59595B"/>
          <w:sz w:val="22"/>
          <w:szCs w:val="22"/>
          <w:lang w:val="en-GB"/>
        </w:rPr>
        <mc:AlternateContent>
          <mc:Choice Requires="wps">
            <w:drawing>
              <wp:anchor distT="0" distB="0" distL="114300" distR="114300" simplePos="0" relativeHeight="251667968" behindDoc="0" locked="0" layoutInCell="1" allowOverlap="1" wp14:anchorId="7FAC66CC" wp14:editId="13F0A9AE">
                <wp:simplePos x="0" y="0"/>
                <wp:positionH relativeFrom="page">
                  <wp:posOffset>12595225</wp:posOffset>
                </wp:positionH>
                <wp:positionV relativeFrom="paragraph">
                  <wp:posOffset>34290</wp:posOffset>
                </wp:positionV>
                <wp:extent cx="92075" cy="92075"/>
                <wp:effectExtent l="3175" t="5715" r="0" b="6985"/>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E208BB" id="Freeform: Shape 29" o:spid="_x0000_s1026" style="position:absolute;margin-left:991.75pt;margin-top:2.7pt;width:7.25pt;height:7.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AHRwMAAO8IAAAOAAAAZHJzL2Uyb0RvYy54bWysVl1vmzAUfZ+0/2D5cdMKTvOtplXVrtOk&#10;bqtU9gMcMAENMLOdkO7X79jglKZ0q6a9gM09HM491/bl7GJfFmQnlM5ltaLsJKREVLFM8mqzot+j&#10;mw9zSrThVcILWYkVfRCaXpy/fXPW1EsxkpksEqEISCq9bOoVzYypl0Gg40yUXJ/IWlQIplKV3GCq&#10;NkGieAP2sghGYTgNGqmSWslYaI2n122Qnjv+NBWx+ZamWhhSrCi0GXdV7rq21+D8jC83itdZHncy&#10;+D+oKHle4aMHqmtuONmq/BlVmcdKapmak1iWgUzTPBYuB2TDwqNs7jNeC5cLzNH1wSb9/2jjr7s7&#10;RfJkRUcLSipeokY3Sgjr+JI4AQQR2NTUegn0fX2nbKK6vpXxD41A8CRiJxoYsm6+yARsfGuks2af&#10;qtK+iaTJ3lXg4VABsTckxsPFKJxNKIkRaYeWny/9q/FWm09COhq+u9WmLV+CkTM/6TKIUOq0LFDJ&#10;9x9ISNhiEc5wnZ9OuoIfgMwD3wUkCklD2PgZZuQxjmwyJpPxMc2ph4AGgGyIZuwxnSaoGdYEA1rx&#10;VtN4WNPUY1qy0XRA1MxjwMOAGFSF/fk6p7A8HlXNh1WxY9/nA7JY33MUZVgXe+o6SjhbDNvF+uZH&#10;bPSCtCP7Bx1jfetftIwdmf+H1dUvQcSmL0h7WoPBBcb69vdXGHbHxq9/nvktEe+rbk9gRLg9jEO3&#10;CWup7eaLUAPssejULmRQAGU30AtguGLBs1eBIdSCUeXXUNviObjbdX9VwmCog7sjycPbe5ewwpl/&#10;fNorSnDar9tdW3NjfbL52iFp0Lew6UnW3u3zUu5EJB3CWLtmWIz4rGsX+NhjuKj6MKx+oABuM/dB&#10;f6/7XGzsDhGw+bC/tzAbfz2bV+Y54kJq0aqwOboaH/K2dvUOUi2LPLnJi8Lmq9VmfVUosuNomOPF&#10;5c1HT/0EVrjlUkn7mk+26wT28G+7xVomD2gESrZdF38JGGRS/aKkQcddUf1zy5WgpPhcoaUtkLJt&#10;0W4ynsxGmKh+ZN2P8CoG1YoaiuVth1embevbWuWbDF9ibsFX8hINKM1tq3CdqlXVTdBVnTfdH4Bt&#10;2/25Qz3+p5z/BgAA//8DAFBLAwQUAAYACAAAACEAenUnr+AAAAAKAQAADwAAAGRycy9kb3ducmV2&#10;LnhtbEyPTU+DQBCG7yb+h82YeLOLtVhAlkatmHgxtvbgcQpbwLKzhF1a+u+detHbvJkn70e6GE0r&#10;Drp3jSUFt5MAhKbClg1VCjaf+U0EwnmkEltLWsFJO1hklxcpJqU90kof1r4SbEIuQQW1910ipStq&#10;bdBNbKeJfzvbG/Qs+0qWPR7Z3LRyGgT30mBDnFBjp59rXezXg1HwMt9M82X4lON+Ofv+ePt6f92d&#10;BqWur8bHBxBej/4PhnN9rg4Zd9ragUonWtZxdBcyqyCcgTgDcRzxuu3vBTJL5f8J2Q8AAAD//wMA&#10;UEsBAi0AFAAGAAgAAAAhALaDOJL+AAAA4QEAABMAAAAAAAAAAAAAAAAAAAAAAFtDb250ZW50X1R5&#10;cGVzXS54bWxQSwECLQAUAAYACAAAACEAOP0h/9YAAACUAQAACwAAAAAAAAAAAAAAAAAvAQAAX3Jl&#10;bHMvLnJlbHNQSwECLQAUAAYACAAAACEAK97QB0cDAADvCAAADgAAAAAAAAAAAAAAAAAuAgAAZHJz&#10;L2Uyb0RvYy54bWxQSwECLQAUAAYACAAAACEAenUnr+AAAAAKAQAADwAAAAAAAAAAAAAAAAChBQAA&#10;ZHJzL2Rvd25yZXYueG1sUEsFBgAAAAAEAAQA8wAAAK4GAAAAAA==&#10;" path="m72,l,72r72,72l144,72,72,xe" fillcolor="#49afe0" stroked="f">
                <v:path arrowok="t" o:connecttype="custom" o:connectlocs="45720,34290;0,80010;45720,125730;91440,80010;45720,34290" o:connectangles="0,0,0,0,0"/>
                <w10:wrap anchorx="page"/>
              </v:shape>
            </w:pict>
          </mc:Fallback>
        </mc:AlternateContent>
      </w:r>
      <w:r w:rsidRPr="001D0FE2">
        <w:rPr>
          <w:rFonts w:asciiTheme="minorHAnsi" w:eastAsiaTheme="majorEastAsia" w:hAnsiTheme="minorHAnsi" w:cstheme="minorHAnsi"/>
          <w:color w:val="59595B"/>
          <w:sz w:val="22"/>
          <w:szCs w:val="22"/>
          <w:lang w:val="en-GB"/>
        </w:rPr>
        <w:t>Continued investment in the expansion of production of RUCONEST® in order to ensure continuity of supply to the growing markets in the US, Europe, China and the RoW.</w:t>
      </w:r>
    </w:p>
    <w:p w14:paraId="36D35054" w14:textId="77777777" w:rsidR="006446EE" w:rsidRPr="002B3D43" w:rsidRDefault="006446EE" w:rsidP="002B3D43">
      <w:pPr>
        <w:pStyle w:val="ListParagraph"/>
        <w:numPr>
          <w:ilvl w:val="0"/>
          <w:numId w:val="7"/>
        </w:numPr>
        <w:spacing w:after="120"/>
        <w:ind w:left="714" w:hanging="357"/>
        <w:contextualSpacing w:val="0"/>
        <w:rPr>
          <w:rFonts w:asciiTheme="minorHAnsi" w:eastAsiaTheme="majorEastAsia" w:hAnsiTheme="minorHAnsi" w:cstheme="minorHAnsi"/>
          <w:color w:val="59595B"/>
          <w:sz w:val="22"/>
          <w:szCs w:val="22"/>
          <w:lang w:val="en-GB"/>
        </w:rPr>
      </w:pPr>
      <w:r w:rsidRPr="001D0FE2">
        <w:rPr>
          <w:rFonts w:asciiTheme="minorHAnsi" w:eastAsiaTheme="majorEastAsia" w:hAnsiTheme="minorHAnsi" w:cstheme="minorHAnsi"/>
          <w:noProof/>
          <w:color w:val="59595B"/>
          <w:sz w:val="22"/>
          <w:szCs w:val="22"/>
          <w:lang w:val="en-GB"/>
        </w:rPr>
        <mc:AlternateContent>
          <mc:Choice Requires="wps">
            <w:drawing>
              <wp:anchor distT="0" distB="0" distL="114300" distR="114300" simplePos="0" relativeHeight="251671040" behindDoc="0" locked="0" layoutInCell="1" allowOverlap="1" wp14:anchorId="12AA3E92" wp14:editId="282F3005">
                <wp:simplePos x="0" y="0"/>
                <wp:positionH relativeFrom="page">
                  <wp:posOffset>12595225</wp:posOffset>
                </wp:positionH>
                <wp:positionV relativeFrom="paragraph">
                  <wp:posOffset>34290</wp:posOffset>
                </wp:positionV>
                <wp:extent cx="92075" cy="92075"/>
                <wp:effectExtent l="3175" t="5715" r="0" b="6985"/>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CEE48B8" id="Freeform: Shape 30" o:spid="_x0000_s1026" style="position:absolute;margin-left:991.75pt;margin-top:2.7pt;width:7.25pt;height:7.2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y5RQMAAO8IAAAOAAAAZHJzL2Uyb0RvYy54bWysVl1vmzAUfZ+0/2D5cdMKTvOtplXVLtOk&#10;bqvU7Ac4YAIaYGY7Id2v37HBKUnpVk17AZt7OJx7ru3LxdW+yMlOKJ3JckHZWUiJKCMZZ+VmQb+v&#10;lh+mlGjDy5jnshQL+ig0vbp8++airuZiIFOZx0IRkJR6XlcLmhpTzYNAR6kouD6TlSgRTKQquMFU&#10;bYJY8RrsRR4MwnAc1FLFlZKR0BpPb5sgvXT8SSIi8y1JtDAkX1BoM+6q3HVtr8HlBZ9vFK/SLGpl&#10;8H9QUfCsxEcPVLfccLJV2TOqIouU1DIxZ5EsApkkWSRcDsiGhSfZPKS8Ei4XmKOrg036/9FGX3f3&#10;imTxgp7DnpIXqNFSCWEdnxMngCACm+pKz4F+qO6VTVRXdzL6oREIjiJ2ooEh6/qLjMHGt0Y6a/aJ&#10;KuybSJrsXQUeDxUQe0MiPJwNwsmIkgiRZmj5+dy/Gm21+SSko+G7O22a8sUYOfPjNoMVckmKHJV8&#10;/4GEhM1m4QTX6fmoLfgByDzwXUBWIakJGz7DDDzGkY2GZDQ8pTn3ENAAkPbRDD2m1QQ1/ZpgQCPe&#10;ahr2axp7TEM2GPeImngMeBgQvaqwP1/n1MwDrappvyp26vu0Rxbreo6i9Otix66jhJNZv12sa/6K&#10;DV6QdmJ/r2Osa/2LlrET8/+wurolWLHxC9KOa9C7wFjX/u4Kw+7Y+PXPU78lon3Z7gmMCLeHceg2&#10;YSW13Xwr1AB7bHVuFzIogLIb6AUwXLHgyavAEGrBqPJrqG3xHNztur8qYTDUwWdd9ua1NmGFM//0&#10;tFeU4LRf23f4vOLG+uSHpEbfwqYnaXO3zwu5EyvpEMbaNcFixGfdOYiPPYXzsgvD6gcK4CZzH/T3&#10;qsvFhu4QAZsP+3sDs/HXs3llniPKpRaNCpuuq/Ehb2tX5yDVMs/iZZbnNl+tNuubXJEdR8Mczq6X&#10;Hz31ESx3y6WU9jWfbNsJ7OHfdIu1jB/RCJRsui7+EjBIpfpFSY2Ou6D655YrQUn+uURLmyFlOGjc&#10;ZDiaDDBR3ci6G+FlBKoFNRTL2w5vTNPWt5XKNim+xNyCL+U1GlCS2VbhOlWjqp2gqzpv2j8A27a7&#10;c4d6+k+5/A0AAP//AwBQSwMEFAAGAAgAAAAhAHp1J6/gAAAACgEAAA8AAABkcnMvZG93bnJldi54&#10;bWxMj01Pg0AQhu8m/ofNmHizi7VYQJZGrZh4Mbb24HEKW8Cys4RdWvrvnXrR27yZJ+9HuhhNKw66&#10;d40lBbeTAISmwpYNVQo2n/lNBMJ5pBJbS1rBSTtYZJcXKSalPdJKH9a+EmxCLkEFtfddIqUram3Q&#10;TWyniX872xv0LPtKlj0e2dy0choE99JgQ5xQY6efa13s14NR8DLfTPNl+JTjfjn7/nj7en/dnQal&#10;rq/GxwcQXo/+D4Zzfa4OGXfa2oFKJ1rWcXQXMqsgnIE4A3Ec8brt7wUyS+X/CdkPAAAA//8DAFBL&#10;AQItABQABgAIAAAAIQC2gziS/gAAAOEBAAATAAAAAAAAAAAAAAAAAAAAAABbQ29udGVudF9UeXBl&#10;c10ueG1sUEsBAi0AFAAGAAgAAAAhADj9If/WAAAAlAEAAAsAAAAAAAAAAAAAAAAALwEAAF9yZWxz&#10;Ly5yZWxzUEsBAi0AFAAGAAgAAAAhABiLnLlFAwAA7wgAAA4AAAAAAAAAAAAAAAAALgIAAGRycy9l&#10;Mm9Eb2MueG1sUEsBAi0AFAAGAAgAAAAhAHp1J6/gAAAACgEAAA8AAAAAAAAAAAAAAAAAnwUAAGRy&#10;cy9kb3ducmV2LnhtbFBLBQYAAAAABAAEAPMAAACsBgAAAAA=&#10;" path="m72,l,72r72,72l144,72,72,xe" fillcolor="#49afe0" stroked="f">
                <v:path arrowok="t" o:connecttype="custom" o:connectlocs="45720,34290;0,80010;45720,125730;91440,80010;45720,34290" o:connectangles="0,0,0,0,0"/>
                <w10:wrap anchorx="page"/>
              </v:shape>
            </w:pict>
          </mc:Fallback>
        </mc:AlternateContent>
      </w:r>
      <w:r w:rsidRPr="001D0FE2">
        <w:rPr>
          <w:rFonts w:asciiTheme="minorHAnsi" w:eastAsiaTheme="majorEastAsia" w:hAnsiTheme="minorHAnsi" w:cstheme="minorHAnsi"/>
          <w:color w:val="59595B"/>
          <w:sz w:val="22"/>
          <w:szCs w:val="22"/>
          <w:lang w:val="en-GB"/>
        </w:rPr>
        <w:t xml:space="preserve">Investment in the ongoing clinical trials for pre-eclampsia and acute kidney injury, and support for investigators wishing to explore additional indications for RUCONEST®, such as the planned </w:t>
      </w:r>
      <w:r w:rsidRPr="002B3D43">
        <w:rPr>
          <w:rFonts w:asciiTheme="minorHAnsi" w:eastAsiaTheme="majorEastAsia" w:hAnsiTheme="minorHAnsi" w:cstheme="minorHAnsi"/>
          <w:color w:val="59595B"/>
          <w:sz w:val="22"/>
          <w:szCs w:val="22"/>
          <w:lang w:val="en-GB"/>
        </w:rPr>
        <w:t>study in patients confirmed with COVID-19 infections with related severe pneumonia.</w:t>
      </w:r>
    </w:p>
    <w:p w14:paraId="63BD7B55" w14:textId="77777777" w:rsidR="006446EE" w:rsidRPr="002B3D43" w:rsidRDefault="006446EE" w:rsidP="002B3D43">
      <w:pPr>
        <w:pStyle w:val="ListParagraph"/>
        <w:numPr>
          <w:ilvl w:val="0"/>
          <w:numId w:val="7"/>
        </w:numPr>
        <w:spacing w:after="120" w:line="276" w:lineRule="auto"/>
        <w:rPr>
          <w:rFonts w:asciiTheme="minorHAnsi" w:hAnsiTheme="minorHAnsi" w:cstheme="minorHAnsi"/>
          <w:color w:val="59595B"/>
          <w:sz w:val="22"/>
          <w:szCs w:val="22"/>
          <w:lang w:val="en-GB"/>
        </w:rPr>
      </w:pPr>
      <w:r w:rsidRPr="002B3D43">
        <w:rPr>
          <w:rFonts w:asciiTheme="minorHAnsi" w:hAnsiTheme="minorHAnsi" w:cstheme="minorHAnsi"/>
          <w:color w:val="59595B"/>
          <w:sz w:val="22"/>
          <w:szCs w:val="22"/>
          <w:lang w:val="en-GB"/>
        </w:rPr>
        <w:t xml:space="preserve">Initiation of patient recruitment of the investigator sponsored, randomised controlled COVID-19 study, in centres in Switzerland, USA and Latin America. </w:t>
      </w:r>
    </w:p>
    <w:p w14:paraId="77315D64" w14:textId="77777777" w:rsidR="006446EE" w:rsidRPr="001D0FE2" w:rsidRDefault="006446EE" w:rsidP="002B3D43">
      <w:pPr>
        <w:pStyle w:val="ListParagraph"/>
        <w:numPr>
          <w:ilvl w:val="0"/>
          <w:numId w:val="7"/>
        </w:numPr>
        <w:spacing w:after="120"/>
        <w:ind w:left="714" w:hanging="357"/>
        <w:contextualSpacing w:val="0"/>
        <w:rPr>
          <w:rFonts w:asciiTheme="minorHAnsi" w:eastAsiaTheme="majorEastAsia" w:hAnsiTheme="minorHAnsi" w:cstheme="minorHAnsi"/>
          <w:color w:val="59595B"/>
          <w:sz w:val="22"/>
          <w:szCs w:val="22"/>
          <w:lang w:val="en-GB"/>
        </w:rPr>
      </w:pPr>
      <w:r w:rsidRPr="001D0FE2">
        <w:rPr>
          <w:rFonts w:asciiTheme="minorHAnsi" w:eastAsiaTheme="majorEastAsia" w:hAnsiTheme="minorHAnsi" w:cstheme="minorHAnsi"/>
          <w:color w:val="59595B"/>
          <w:sz w:val="22"/>
          <w:szCs w:val="22"/>
          <w:lang w:val="en-GB"/>
        </w:rPr>
        <w:t>Investment in the continuing registration-enabling study for leniolisib for APDS, leading to headline data early in 2021.</w:t>
      </w:r>
    </w:p>
    <w:p w14:paraId="3BD8CCA6" w14:textId="77777777" w:rsidR="006446EE" w:rsidRPr="002B3D43" w:rsidRDefault="006446EE" w:rsidP="002B3D43">
      <w:pPr>
        <w:pStyle w:val="ListParagraph"/>
        <w:numPr>
          <w:ilvl w:val="0"/>
          <w:numId w:val="7"/>
        </w:numPr>
        <w:spacing w:after="120"/>
        <w:ind w:left="714" w:hanging="357"/>
        <w:contextualSpacing w:val="0"/>
        <w:rPr>
          <w:rFonts w:asciiTheme="minorHAnsi" w:eastAsiaTheme="majorEastAsia" w:hAnsiTheme="minorHAnsi" w:cstheme="minorHAnsi"/>
          <w:color w:val="59595B"/>
          <w:sz w:val="22"/>
          <w:szCs w:val="22"/>
          <w:lang w:val="en-GB"/>
        </w:rPr>
      </w:pPr>
      <w:r w:rsidRPr="001D0FE2">
        <w:rPr>
          <w:rFonts w:asciiTheme="minorHAnsi" w:eastAsiaTheme="majorEastAsia" w:hAnsiTheme="minorHAnsi" w:cstheme="minorHAnsi"/>
          <w:noProof/>
          <w:color w:val="59595B"/>
          <w:sz w:val="22"/>
          <w:szCs w:val="22"/>
          <w:lang w:val="en-GB"/>
        </w:rPr>
        <mc:AlternateContent>
          <mc:Choice Requires="wps">
            <w:drawing>
              <wp:anchor distT="0" distB="0" distL="114300" distR="114300" simplePos="0" relativeHeight="251672064" behindDoc="0" locked="0" layoutInCell="1" allowOverlap="1" wp14:anchorId="35520682" wp14:editId="26D08923">
                <wp:simplePos x="0" y="0"/>
                <wp:positionH relativeFrom="page">
                  <wp:posOffset>12595225</wp:posOffset>
                </wp:positionH>
                <wp:positionV relativeFrom="paragraph">
                  <wp:posOffset>34290</wp:posOffset>
                </wp:positionV>
                <wp:extent cx="92075" cy="92075"/>
                <wp:effectExtent l="3175" t="5715" r="0" b="6985"/>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D5278F9" id="Freeform: Shape 31" o:spid="_x0000_s1026" style="position:absolute;margin-left:991.75pt;margin-top:2.7pt;width:7.25pt;height:7.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aVRQMAAO8IAAAOAAAAZHJzL2Uyb0RvYy54bWysVl1vmzAUfZ+0/2D5cdMKTvOtplXVLtOk&#10;bqvU7Ac4YAIaYGY7Id2v37HBKUnpVk17AZt7OJx7ru3LxdW+yMlOKJ3JckHZWUiJKCMZZ+VmQb+v&#10;lh+mlGjDy5jnshQL+ig0vbp8++airuZiIFOZx0IRkJR6XlcLmhpTzYNAR6kouD6TlSgRTKQquMFU&#10;bYJY8RrsRR4MwnAc1FLFlZKR0BpPb5sgvXT8SSIi8y1JtDAkX1BoM+6q3HVtr8HlBZ9vFK/SLGpl&#10;8H9QUfCsxEcPVLfccLJV2TOqIouU1DIxZ5EsApkkWSRcDsiGhSfZPKS8Ei4XmKOrg036/9FGX3f3&#10;imTxgp4zSkpeoEZLJYR1fE6cAIIIbKorPQf6obpXNlFd3cnoh0YgOIrYiQaGrOsvMgYb3xrprNkn&#10;qrBvImmydxV4PFRA7A2J8HA2CCcjSiJEmqHl53P/arTV5pOQjobv7rRpyhdj5MyP2wxWKHVS5Kjk&#10;+w8kJGw2Cye4Ts9HbcEPQCTdAN8FZBWSmrDhM8zAYxzZaEhGw1Oacw8BDQBpH83QY1pNUNOvCQY8&#10;aRr2axp7TEM2GPeImngMRDEgelVhf77OqZkHWqem/arYqe/THlms6zmK0q+LHbuOEk5m/Xaxrvkr&#10;NnhB2on9vY6xrvUvWsZOzP/D6uqWYMXGL0g7rkHvAmNd+7srDLtj49c/T/2WiPZluycwItwexqHb&#10;hJXUdvOtUAPssdW5XcigAMpuoBfAcMWCJ68CQ6gFo8qvobbFc3C36/6qhMFQB5912ZvX2oQVzvzT&#10;015RgtN+bd/h84ob65Mfkhp9C5uepM3dPi/kTqykQxhr1wSLEZ917QIfewrnZReG1Q8UwE3mPujv&#10;VZeLDd0hAjYf9vcGZuOvZ/PKPEeUSy0aFTZdV+ND3tauzkGqZZ7FyyzPbb5abdY3uSI7joY5nF0v&#10;P3rqI1julksp7Ws+2bYT2MO/6RZrGT+iESjZdF38JWCQSvWLkhodd0H1zy1XgpL8c4mWNkPKtkW7&#10;yXA0GWCiupF1N8LLCFQLaiiWtx3emKatbyuVbVJ8ibkFX8prNKAks63CdapGVTtBV3XetH8Atm13&#10;5w719J9y+RsAAP//AwBQSwMEFAAGAAgAAAAhAHp1J6/gAAAACgEAAA8AAABkcnMvZG93bnJldi54&#10;bWxMj01Pg0AQhu8m/ofNmHizi7VYQJZGrZh4Mbb24HEKW8Cys4RdWvrvnXrR27yZJ+9HuhhNKw66&#10;d40lBbeTAISmwpYNVQo2n/lNBMJ5pBJbS1rBSTtYZJcXKSalPdJKH9a+EmxCLkEFtfddIqUram3Q&#10;TWyniX872xv0LPtKlj0e2dy0choE99JgQ5xQY6efa13s14NR8DLfTPNl+JTjfjn7/nj7en/dnQal&#10;rq/GxwcQXo/+D4Zzfa4OGXfa2oFKJ1rWcXQXMqsgnIE4A3Ec8brt7wUyS+X/CdkPAAAA//8DAFBL&#10;AQItABQABgAIAAAAIQC2gziS/gAAAOEBAAATAAAAAAAAAAAAAAAAAAAAAABbQ29udGVudF9UeXBl&#10;c10ueG1sUEsBAi0AFAAGAAgAAAAhADj9If/WAAAAlAEAAAsAAAAAAAAAAAAAAAAALwEAAF9yZWxz&#10;Ly5yZWxzUEsBAi0AFAAGAAgAAAAhAGHQhpVFAwAA7wgAAA4AAAAAAAAAAAAAAAAALgIAAGRycy9l&#10;Mm9Eb2MueG1sUEsBAi0AFAAGAAgAAAAhAHp1J6/gAAAACgEAAA8AAAAAAAAAAAAAAAAAnwUAAGRy&#10;cy9kb3ducmV2LnhtbFBLBQYAAAAABAAEAPMAAACsBgAAAAA=&#10;" path="m72,l,72r72,72l144,72,72,xe" fillcolor="#49afe0" stroked="f">
                <v:path arrowok="t" o:connecttype="custom" o:connectlocs="45720,34290;0,80010;45720,125730;91440,80010;45720,34290" o:connectangles="0,0,0,0,0"/>
                <w10:wrap anchorx="page"/>
              </v:shape>
            </w:pict>
          </mc:Fallback>
        </mc:AlternateContent>
      </w:r>
      <w:r w:rsidRPr="001D0FE2">
        <w:rPr>
          <w:rFonts w:asciiTheme="minorHAnsi" w:eastAsiaTheme="majorEastAsia" w:hAnsiTheme="minorHAnsi" w:cstheme="minorHAnsi"/>
          <w:color w:val="59595B"/>
          <w:sz w:val="22"/>
          <w:szCs w:val="22"/>
          <w:lang w:val="en-GB"/>
        </w:rPr>
        <w:t>Investment in an Investigational New Drug Application to the FDA enabling studies for α-glucosidase in Pompe disease and preclinical development of the new recombinant α-</w:t>
      </w:r>
      <w:r w:rsidRPr="002B3D43">
        <w:rPr>
          <w:rFonts w:asciiTheme="minorHAnsi" w:eastAsiaTheme="majorEastAsia" w:hAnsiTheme="minorHAnsi" w:cstheme="minorHAnsi"/>
          <w:color w:val="59595B"/>
          <w:sz w:val="22"/>
          <w:szCs w:val="22"/>
          <w:lang w:val="en-GB"/>
        </w:rPr>
        <w:t>galactosidase candidate for Fabry’s disease.</w:t>
      </w:r>
    </w:p>
    <w:p w14:paraId="072FD7F2" w14:textId="106F5FE3" w:rsidR="006446EE" w:rsidRPr="002B3D43" w:rsidRDefault="006446EE" w:rsidP="002B3D43">
      <w:pPr>
        <w:pStyle w:val="ListParagraph"/>
        <w:numPr>
          <w:ilvl w:val="0"/>
          <w:numId w:val="7"/>
        </w:numPr>
        <w:spacing w:after="120"/>
        <w:ind w:left="714" w:hanging="357"/>
        <w:contextualSpacing w:val="0"/>
        <w:rPr>
          <w:rFonts w:asciiTheme="minorHAnsi" w:eastAsiaTheme="majorEastAsia" w:hAnsiTheme="minorHAnsi" w:cstheme="minorHAnsi"/>
          <w:color w:val="59595B"/>
          <w:sz w:val="22"/>
          <w:szCs w:val="22"/>
          <w:lang w:val="en-GB"/>
        </w:rPr>
      </w:pPr>
      <w:r w:rsidRPr="002B3D43">
        <w:rPr>
          <w:rFonts w:asciiTheme="minorHAnsi" w:eastAsiaTheme="majorEastAsia" w:hAnsiTheme="minorHAnsi" w:cstheme="minorHAnsi"/>
          <w:color w:val="59595B"/>
          <w:sz w:val="22"/>
          <w:szCs w:val="22"/>
          <w:lang w:val="en-GB"/>
        </w:rPr>
        <w:t>Investment in acquisitions</w:t>
      </w:r>
      <w:r w:rsidR="006C636D" w:rsidRPr="002B3D43">
        <w:rPr>
          <w:rFonts w:asciiTheme="minorHAnsi" w:eastAsiaTheme="majorEastAsia" w:hAnsiTheme="minorHAnsi" w:cstheme="minorHAnsi"/>
          <w:color w:val="59595B"/>
          <w:sz w:val="22"/>
          <w:szCs w:val="22"/>
          <w:lang w:val="en-GB"/>
        </w:rPr>
        <w:t xml:space="preserve"> </w:t>
      </w:r>
      <w:r w:rsidRPr="002B3D43">
        <w:rPr>
          <w:rFonts w:asciiTheme="minorHAnsi" w:eastAsiaTheme="majorEastAsia" w:hAnsiTheme="minorHAnsi" w:cstheme="minorHAnsi"/>
          <w:color w:val="59595B"/>
          <w:sz w:val="22"/>
          <w:szCs w:val="22"/>
          <w:lang w:val="en-GB"/>
        </w:rPr>
        <w:t>/ in-licensing of other new development opportunities and assets as these occur.</w:t>
      </w:r>
    </w:p>
    <w:p w14:paraId="517C1802" w14:textId="77777777" w:rsidR="006446EE" w:rsidRPr="001D0FE2" w:rsidRDefault="006446EE" w:rsidP="002B3D43">
      <w:pPr>
        <w:pStyle w:val="ListParagraph"/>
        <w:numPr>
          <w:ilvl w:val="0"/>
          <w:numId w:val="7"/>
        </w:numPr>
        <w:spacing w:after="120"/>
        <w:ind w:left="714" w:hanging="357"/>
        <w:contextualSpacing w:val="0"/>
        <w:rPr>
          <w:rFonts w:asciiTheme="minorHAnsi" w:eastAsiaTheme="majorEastAsia" w:hAnsiTheme="minorHAnsi" w:cstheme="minorHAnsi"/>
          <w:color w:val="59595B"/>
          <w:sz w:val="22"/>
          <w:szCs w:val="22"/>
          <w:lang w:val="en-GB"/>
        </w:rPr>
      </w:pPr>
      <w:r w:rsidRPr="001D0FE2">
        <w:rPr>
          <w:rFonts w:asciiTheme="minorHAnsi" w:eastAsiaTheme="majorEastAsia" w:hAnsiTheme="minorHAnsi" w:cstheme="minorHAnsi"/>
          <w:noProof/>
          <w:color w:val="59595B"/>
          <w:sz w:val="22"/>
          <w:szCs w:val="22"/>
          <w:lang w:val="en-GB"/>
        </w:rPr>
        <mc:AlternateContent>
          <mc:Choice Requires="wps">
            <w:drawing>
              <wp:anchor distT="0" distB="0" distL="114300" distR="114300" simplePos="0" relativeHeight="251673088" behindDoc="0" locked="0" layoutInCell="1" allowOverlap="1" wp14:anchorId="2929CA60" wp14:editId="4345835E">
                <wp:simplePos x="0" y="0"/>
                <wp:positionH relativeFrom="page">
                  <wp:posOffset>12595225</wp:posOffset>
                </wp:positionH>
                <wp:positionV relativeFrom="paragraph">
                  <wp:posOffset>34290</wp:posOffset>
                </wp:positionV>
                <wp:extent cx="92075" cy="92075"/>
                <wp:effectExtent l="3175" t="5715" r="0" b="6985"/>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5D3AAAE" id="Freeform: Shape 32" o:spid="_x0000_s1026" style="position:absolute;margin-left:991.75pt;margin-top:2.7pt;width:7.25pt;height:7.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jhSQMAAO8IAAAOAAAAZHJzL2Uyb0RvYy54bWysVl1vmzAUfZ+0/2D5cVMLTvPRRE2qql2n&#10;Sd1WqdkPcMAENMDMdkK6X79jg1OS0q6a9gI293A491zbl4vLXZGTrVA6k+WcstOQElFGMs7K9Zz+&#10;WN6enFOiDS9jnstSzOmj0PRy8f7dRV3NxECmMo+FIiAp9ayu5jQ1ppoFgY5SUXB9KitRIphIVXCD&#10;qVoHseI12Is8GIThOKiliislI6E1nt40Qbpw/EkiIvM9SbQwJJ9TaDPuqtx1Za/B4oLP1opXaRa1&#10;Mvg/qCh4VuKje6obbjjZqOwZVZFFSmqZmNNIFoFMkiwSLgdkw8KjbB5SXgmXC8zR1d4m/f9oo2/b&#10;e0WyeE7PBpSUvECNbpUQ1vEZcQIIIrCprvQM6IfqXtlEdXUno58ageAgYicaGLKqv8oYbHxjpLNm&#10;l6jCvomkyc5V4HFfAbEzJMLD6SCcjCiJEGmGlp/P/KvRRpvPQjoavr3TpilfjJEzP24zWKLUSZGj&#10;kh9PSEjYdBpOcD0/G7UF3wOZB34IyDIkNWHDZxgY0yEbDcloeExz5iGgASDtoxl6TKsJavo1wYDm&#10;e1bTsF/T2GMassG4R9TEY8DDgOhVhf3ZSe4Vp6YeaFWd96tix76f98hiXc9RlH5d7NB1CJtM++1i&#10;XfOXbPCCtCP7ex1jXetftIwdmf/K6uqWYMnGL0g7rEHvAmNd+7srDLtj7dc/T/2WiHZluycwItwe&#10;xqHbhJXUdvMtUQPsseWZXcigAMpuoBfAcMWCJ28CQ6gFo8pvobbFc3C36/6qhMFQB5922ZvX2oQV&#10;zvzj015RgtN+Zd/hs4ob65Mfkhp9C5uepM3dPi/kViylQxhr1wSLEZ917QIfewrnZReG1Q8UwE3m&#10;PujvVZeLDd0hAjYf9vcGZuNvZ/PKPEeUSy0aFTZdV+N93tauzkGqZZ7Ft1me23y1Wq+uc0W2HA1z&#10;OL26/eSpD2C5Wy6ltK/5ZNtOYA//plusZPyIRqBk03Xxl4BBKtVvSmp03DnVvzZcCUryLyVa2hQp&#10;2xbtJsPRZICJ6kZW3QgvI1DNqaFY3nZ4bZq2vqlUtk7xJeYWfCmv0ICSzLYK16kaVe0EXdV50/4B&#10;2LbdnTvU03/K4g8AAAD//wMAUEsDBBQABgAIAAAAIQB6dSev4AAAAAoBAAAPAAAAZHJzL2Rvd25y&#10;ZXYueG1sTI9NT4NAEIbvJv6HzZh4s4u1WECWRq2YeDG29uBxClvAsrOEXVr675160du8mSfvR7oY&#10;TSsOuneNJQW3kwCEpsKWDVUKNp/5TQTCeaQSW0tawUk7WGSXFykmpT3SSh/WvhJsQi5BBbX3XSKl&#10;K2pt0E1sp4l/O9sb9Cz7SpY9HtnctHIaBPfSYEOcUGOnn2td7NeDUfAy30zzZfiU4345+/54+3p/&#10;3Z0Gpa6vxscHEF6P/g+Gc32uDhl32tqBSida1nF0FzKrIJyBOANxHPG67e8FMkvl/wnZDwAAAP//&#10;AwBQSwECLQAUAAYACAAAACEAtoM4kv4AAADhAQAAEwAAAAAAAAAAAAAAAAAAAAAAW0NvbnRlbnRf&#10;VHlwZXNdLnhtbFBLAQItABQABgAIAAAAIQA4/SH/1gAAAJQBAAALAAAAAAAAAAAAAAAAAC8BAABf&#10;cmVscy8ucmVsc1BLAQItABQABgAIAAAAIQDqPajhSQMAAO8IAAAOAAAAAAAAAAAAAAAAAC4CAABk&#10;cnMvZTJvRG9jLnhtbFBLAQItABQABgAIAAAAIQB6dSev4AAAAAoBAAAPAAAAAAAAAAAAAAAAAKMF&#10;AABkcnMvZG93bnJldi54bWxQSwUGAAAAAAQABADzAAAAsAYAAAAA&#10;" path="m72,l,72r72,72l144,72,72,xe" fillcolor="#49afe0" stroked="f">
                <v:path arrowok="t" o:connecttype="custom" o:connectlocs="45720,34290;0,80010;45720,125730;91440,80010;45720,34290" o:connectangles="0,0,0,0,0"/>
                <w10:wrap anchorx="page"/>
              </v:shape>
            </w:pict>
          </mc:Fallback>
        </mc:AlternateContent>
      </w:r>
      <w:r w:rsidRPr="001D0FE2">
        <w:rPr>
          <w:rFonts w:asciiTheme="minorHAnsi" w:eastAsiaTheme="majorEastAsia" w:hAnsiTheme="minorHAnsi" w:cstheme="minorHAnsi"/>
          <w:color w:val="59595B"/>
          <w:sz w:val="22"/>
          <w:szCs w:val="22"/>
          <w:lang w:val="en-GB"/>
        </w:rPr>
        <w:t>Increasing marketing activity where this can be profit-enhancing for Pharming.</w:t>
      </w:r>
    </w:p>
    <w:p w14:paraId="20B1EE4E" w14:textId="77777777" w:rsidR="006446EE" w:rsidRPr="001D0FE2" w:rsidRDefault="006446EE" w:rsidP="002B3D43">
      <w:pPr>
        <w:pStyle w:val="ListParagraph"/>
        <w:numPr>
          <w:ilvl w:val="0"/>
          <w:numId w:val="7"/>
        </w:numPr>
        <w:spacing w:after="120"/>
        <w:ind w:left="714" w:hanging="357"/>
        <w:contextualSpacing w:val="0"/>
        <w:rPr>
          <w:rFonts w:asciiTheme="minorHAnsi" w:eastAsiaTheme="majorEastAsia" w:hAnsiTheme="minorHAnsi" w:cstheme="minorHAnsi"/>
          <w:color w:val="59595B"/>
          <w:sz w:val="22"/>
          <w:szCs w:val="22"/>
          <w:lang w:val="en-GB"/>
        </w:rPr>
      </w:pPr>
      <w:r w:rsidRPr="001D0FE2">
        <w:rPr>
          <w:rFonts w:asciiTheme="minorHAnsi" w:eastAsiaTheme="majorEastAsia" w:hAnsiTheme="minorHAnsi" w:cstheme="minorHAnsi"/>
          <w:color w:val="59595B"/>
          <w:sz w:val="22"/>
          <w:szCs w:val="22"/>
          <w:lang w:val="en-GB"/>
        </w:rPr>
        <w:t xml:space="preserve">Continued close monitoring of the ongoing COVID-19 pandemic and the potential impact on the business. </w:t>
      </w:r>
    </w:p>
    <w:p w14:paraId="650FD730" w14:textId="77777777" w:rsidR="006446EE" w:rsidRPr="001D0FE2" w:rsidRDefault="006446EE" w:rsidP="002B3D43">
      <w:pPr>
        <w:shd w:val="clear" w:color="auto" w:fill="FFFFFF"/>
        <w:autoSpaceDE w:val="0"/>
        <w:autoSpaceDN w:val="0"/>
        <w:adjustRightInd w:val="0"/>
        <w:spacing w:after="120"/>
        <w:rPr>
          <w:rFonts w:asciiTheme="minorHAnsi" w:eastAsia="Calibri" w:hAnsiTheme="minorHAnsi" w:cstheme="minorHAnsi"/>
          <w:color w:val="59595B"/>
          <w:sz w:val="22"/>
          <w:szCs w:val="22"/>
          <w:lang w:val="en-GB"/>
        </w:rPr>
      </w:pPr>
      <w:r w:rsidRPr="001D0FE2">
        <w:rPr>
          <w:rFonts w:asciiTheme="minorHAnsi" w:eastAsia="Calibri" w:hAnsiTheme="minorHAnsi" w:cstheme="minorHAnsi"/>
          <w:color w:val="59595B"/>
          <w:sz w:val="22"/>
          <w:szCs w:val="22"/>
          <w:lang w:val="en-GB"/>
        </w:rPr>
        <w:t>No further financial guidance for 2020 is provided.</w:t>
      </w:r>
    </w:p>
    <w:p w14:paraId="2BBF36C3" w14:textId="77777777" w:rsidR="006446EE" w:rsidRPr="001D0FE2" w:rsidRDefault="006446EE" w:rsidP="006446EE">
      <w:pPr>
        <w:jc w:val="left"/>
        <w:rPr>
          <w:rStyle w:val="Strong"/>
          <w:rFonts w:asciiTheme="minorHAnsi" w:hAnsiTheme="minorHAnsi" w:cstheme="minorHAnsi"/>
          <w:color w:val="0070C0"/>
          <w:szCs w:val="22"/>
          <w:shd w:val="clear" w:color="auto" w:fill="FFFFFF"/>
          <w:lang w:val="en-GB"/>
        </w:rPr>
      </w:pPr>
    </w:p>
    <w:p w14:paraId="61A4A703" w14:textId="77777777" w:rsidR="006446EE" w:rsidRPr="001D0FE2" w:rsidRDefault="006446EE" w:rsidP="002B3D43">
      <w:pPr>
        <w:spacing w:after="120"/>
        <w:jc w:val="left"/>
        <w:rPr>
          <w:rStyle w:val="Strong"/>
          <w:rFonts w:asciiTheme="minorHAnsi" w:hAnsiTheme="minorHAnsi" w:cstheme="minorHAnsi"/>
          <w:sz w:val="28"/>
          <w:szCs w:val="22"/>
          <w:shd w:val="clear" w:color="auto" w:fill="FFFFFF"/>
          <w:lang w:val="en-GB"/>
        </w:rPr>
      </w:pPr>
      <w:r w:rsidRPr="001D0FE2">
        <w:rPr>
          <w:rStyle w:val="Strong"/>
          <w:rFonts w:asciiTheme="minorHAnsi" w:hAnsiTheme="minorHAnsi" w:cstheme="minorHAnsi"/>
          <w:sz w:val="28"/>
          <w:szCs w:val="22"/>
          <w:shd w:val="clear" w:color="auto" w:fill="FFFFFF"/>
          <w:lang w:val="en-GB"/>
        </w:rPr>
        <w:t>About Pharming Group N.V.</w:t>
      </w:r>
    </w:p>
    <w:p w14:paraId="04A80592" w14:textId="77777777" w:rsidR="006446EE" w:rsidRPr="001D0FE2" w:rsidRDefault="006446EE" w:rsidP="002B3D43">
      <w:pPr>
        <w:spacing w:after="120"/>
        <w:rPr>
          <w:rFonts w:asciiTheme="minorHAnsi" w:hAnsiTheme="minorHAnsi" w:cstheme="minorHAnsi"/>
          <w:color w:val="59595B"/>
          <w:sz w:val="22"/>
          <w:szCs w:val="22"/>
          <w:lang w:val="en-GB" w:eastAsia="nl-NL"/>
        </w:rPr>
      </w:pPr>
      <w:r w:rsidRPr="001D0FE2">
        <w:rPr>
          <w:rFonts w:asciiTheme="minorHAnsi" w:hAnsiTheme="minorHAnsi" w:cstheme="minorHAnsi"/>
          <w:color w:val="59595B"/>
          <w:sz w:val="22"/>
          <w:szCs w:val="22"/>
          <w:lang w:val="en-GB" w:eastAsia="nl-NL"/>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authorisation.</w:t>
      </w:r>
    </w:p>
    <w:p w14:paraId="3CEA5F99" w14:textId="77777777" w:rsidR="006446EE" w:rsidRPr="001D0FE2" w:rsidRDefault="006446EE" w:rsidP="002B3D43">
      <w:pPr>
        <w:spacing w:after="120"/>
        <w:rPr>
          <w:rFonts w:asciiTheme="minorHAnsi" w:hAnsiTheme="minorHAnsi" w:cstheme="minorHAnsi"/>
          <w:color w:val="59595B"/>
          <w:sz w:val="22"/>
          <w:szCs w:val="22"/>
          <w:lang w:val="en-GB" w:eastAsia="nl-NL"/>
        </w:rPr>
      </w:pPr>
      <w:r w:rsidRPr="001D0FE2">
        <w:rPr>
          <w:rFonts w:asciiTheme="minorHAnsi" w:hAnsiTheme="minorHAnsi" w:cstheme="minorHAnsi"/>
          <w:color w:val="59595B"/>
          <w:sz w:val="22"/>
          <w:szCs w:val="22"/>
          <w:lang w:val="en-GB" w:eastAsia="nl-NL"/>
        </w:rPr>
        <w:t xml:space="preserve">RUCONEST® is commercialised by Pharming in the US and in Europe, and the Company holds all other commercialisation rights in other countries not specified below. In some of these other countries distribution is made in association with the HAEi Global Access Program (GAP). RUCONEST® is distributed in Argentina, Colombia, Costa Rica, the Dominican Republic, Panama, and Venezuela by Cytobioteck, in South Korea by HyupJin Corporation and in Israel by Kamada. </w:t>
      </w:r>
    </w:p>
    <w:p w14:paraId="066234D8" w14:textId="77777777" w:rsidR="006446EE" w:rsidRPr="001D0FE2" w:rsidRDefault="006446EE" w:rsidP="002B3D43">
      <w:pPr>
        <w:spacing w:after="120"/>
        <w:rPr>
          <w:rFonts w:asciiTheme="minorHAnsi" w:hAnsiTheme="minorHAnsi" w:cstheme="minorHAnsi"/>
          <w:color w:val="59595B"/>
          <w:sz w:val="22"/>
          <w:szCs w:val="22"/>
          <w:lang w:val="en-GB" w:eastAsia="nl-NL"/>
        </w:rPr>
      </w:pPr>
      <w:r w:rsidRPr="001D0FE2">
        <w:rPr>
          <w:rFonts w:asciiTheme="minorHAnsi" w:hAnsiTheme="minorHAnsi" w:cstheme="minorHAnsi"/>
          <w:color w:val="59595B"/>
          <w:sz w:val="22"/>
          <w:szCs w:val="22"/>
          <w:lang w:val="en-GB" w:eastAsia="nl-NL"/>
        </w:rPr>
        <w:t xml:space="preserve">RUCONEST® is also being evaluated for various additional indications. Pharming’s technology platform includes a unique production process that has proven capable of producing industrial quantities of pure high quality recombinant human proteins in a more economical and less immunogenic way compared with current cell-line based methods. </w:t>
      </w:r>
    </w:p>
    <w:p w14:paraId="00920828" w14:textId="77777777" w:rsidR="006446EE" w:rsidRPr="001D0FE2" w:rsidRDefault="006446EE" w:rsidP="002B3D43">
      <w:pPr>
        <w:spacing w:after="120"/>
        <w:rPr>
          <w:rFonts w:asciiTheme="minorHAnsi" w:hAnsiTheme="minorHAnsi" w:cstheme="minorHAnsi"/>
          <w:color w:val="59595B"/>
          <w:sz w:val="22"/>
          <w:szCs w:val="22"/>
          <w:lang w:val="en-GB" w:eastAsia="nl-NL"/>
        </w:rPr>
      </w:pPr>
      <w:r w:rsidRPr="001D0FE2">
        <w:rPr>
          <w:rFonts w:asciiTheme="minorHAnsi" w:hAnsiTheme="minorHAnsi" w:cstheme="minorHAnsi"/>
          <w:color w:val="59595B"/>
          <w:sz w:val="22"/>
          <w:szCs w:val="22"/>
          <w:lang w:val="en-GB" w:eastAsia="nl-NL"/>
        </w:rPr>
        <w:t>Leads for enzyme replacement therapy (“ERT”) for Pompe and Fabry’s diseases are also being produced and optimised respectively at present.</w:t>
      </w:r>
    </w:p>
    <w:p w14:paraId="7D4F9728" w14:textId="77777777" w:rsidR="006446EE" w:rsidRPr="001D0FE2" w:rsidRDefault="006446EE" w:rsidP="002B3D43">
      <w:pPr>
        <w:spacing w:after="120"/>
        <w:rPr>
          <w:rFonts w:asciiTheme="minorHAnsi" w:hAnsiTheme="minorHAnsi" w:cstheme="minorHAnsi"/>
          <w:color w:val="59595B"/>
          <w:sz w:val="22"/>
          <w:szCs w:val="22"/>
          <w:lang w:val="en-GB" w:eastAsia="nl-NL"/>
        </w:rPr>
      </w:pPr>
      <w:r w:rsidRPr="001D0FE2">
        <w:rPr>
          <w:rFonts w:asciiTheme="minorHAnsi" w:hAnsiTheme="minorHAnsi" w:cstheme="minorHAnsi"/>
          <w:color w:val="59595B"/>
          <w:sz w:val="22"/>
          <w:szCs w:val="22"/>
          <w:lang w:val="en-GB" w:eastAsia="nl-NL"/>
        </w:rPr>
        <w:lastRenderedPageBreak/>
        <w:t>Pharming has recently in-licensed leniolisib from Novartis, a small molecule and selective PI3Kδ inhibitor, which is in a registrational study for activated PI3K-delta syndrome (APDS), a rare form of Primary Immunodeficiency.</w:t>
      </w:r>
    </w:p>
    <w:p w14:paraId="7166D550" w14:textId="77777777" w:rsidR="006446EE" w:rsidRPr="001D0FE2" w:rsidRDefault="006446EE" w:rsidP="002B3D43">
      <w:pPr>
        <w:spacing w:after="120"/>
        <w:rPr>
          <w:rFonts w:asciiTheme="minorHAnsi" w:hAnsiTheme="minorHAnsi" w:cstheme="minorHAnsi"/>
          <w:color w:val="59595B"/>
          <w:sz w:val="22"/>
          <w:szCs w:val="22"/>
          <w:lang w:val="en-GB" w:eastAsia="nl-NL"/>
        </w:rPr>
      </w:pPr>
      <w:r w:rsidRPr="001D0FE2">
        <w:rPr>
          <w:rFonts w:asciiTheme="minorHAnsi" w:hAnsiTheme="minorHAnsi" w:cstheme="minorHAnsi"/>
          <w:color w:val="59595B"/>
          <w:sz w:val="22"/>
          <w:szCs w:val="22"/>
          <w:lang w:val="en-GB" w:eastAsia="nl-NL"/>
        </w:rPr>
        <w:t xml:space="preserve">Pharming has a long 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its affiliates and are funded by CSIPI. Clinical development will be shared between the partners with each partner taking the costs for their territories under the partnership. </w:t>
      </w:r>
    </w:p>
    <w:p w14:paraId="11124624" w14:textId="77777777" w:rsidR="006446EE" w:rsidRPr="001D0FE2" w:rsidRDefault="006446EE" w:rsidP="002B3D43">
      <w:pPr>
        <w:spacing w:after="120"/>
        <w:rPr>
          <w:rFonts w:asciiTheme="minorHAnsi" w:eastAsia="MS Mincho" w:hAnsiTheme="minorHAnsi" w:cstheme="minorHAnsi"/>
          <w:b/>
          <w:color w:val="59595B"/>
          <w:sz w:val="22"/>
          <w:szCs w:val="22"/>
          <w:u w:val="single"/>
          <w:lang w:val="en-GB"/>
        </w:rPr>
      </w:pPr>
      <w:r w:rsidRPr="001D0FE2">
        <w:rPr>
          <w:rFonts w:asciiTheme="minorHAnsi" w:eastAsia="Calibri" w:hAnsiTheme="minorHAnsi" w:cstheme="minorHAnsi"/>
          <w:color w:val="59595B"/>
          <w:sz w:val="22"/>
          <w:szCs w:val="22"/>
          <w:lang w:val="en-GB"/>
        </w:rPr>
        <w:t>Additional information is available on the Pharming website:</w:t>
      </w:r>
      <w:r w:rsidRPr="001D0FE2">
        <w:rPr>
          <w:rFonts w:asciiTheme="minorHAnsi" w:eastAsia="MS Mincho" w:hAnsiTheme="minorHAnsi" w:cstheme="minorHAnsi"/>
          <w:color w:val="59595B"/>
          <w:sz w:val="22"/>
          <w:szCs w:val="22"/>
          <w:lang w:val="en-GB"/>
        </w:rPr>
        <w:t xml:space="preserve"> </w:t>
      </w:r>
      <w:hyperlink r:id="rId11" w:history="1">
        <w:r w:rsidRPr="001D0FE2">
          <w:rPr>
            <w:rStyle w:val="Hyperlink"/>
            <w:rFonts w:asciiTheme="minorHAnsi" w:eastAsia="MS Mincho" w:hAnsiTheme="minorHAnsi" w:cstheme="minorHAnsi"/>
            <w:b/>
            <w:color w:val="00679B"/>
            <w:sz w:val="22"/>
            <w:szCs w:val="22"/>
            <w:lang w:val="en-GB"/>
          </w:rPr>
          <w:t>www.pharming.com</w:t>
        </w:r>
      </w:hyperlink>
    </w:p>
    <w:p w14:paraId="05199219" w14:textId="77777777" w:rsidR="006446EE" w:rsidRPr="001D0FE2" w:rsidRDefault="006446EE" w:rsidP="002B3D43">
      <w:pPr>
        <w:spacing w:after="120"/>
        <w:jc w:val="left"/>
        <w:rPr>
          <w:rStyle w:val="Strong"/>
          <w:rFonts w:asciiTheme="minorHAnsi" w:hAnsiTheme="minorHAnsi" w:cstheme="minorHAnsi"/>
          <w:sz w:val="22"/>
          <w:szCs w:val="22"/>
          <w:shd w:val="clear" w:color="auto" w:fill="FFFFFF"/>
          <w:lang w:val="en-GB"/>
        </w:rPr>
      </w:pPr>
    </w:p>
    <w:p w14:paraId="41067358" w14:textId="77777777" w:rsidR="006446EE" w:rsidRPr="001D0FE2" w:rsidRDefault="006446EE" w:rsidP="002B3D43">
      <w:pPr>
        <w:spacing w:after="120"/>
        <w:jc w:val="left"/>
        <w:rPr>
          <w:rStyle w:val="Strong"/>
          <w:rFonts w:asciiTheme="minorHAnsi" w:hAnsiTheme="minorHAnsi" w:cstheme="minorHAnsi"/>
          <w:b w:val="0"/>
          <w:szCs w:val="22"/>
          <w:shd w:val="clear" w:color="auto" w:fill="FFFFFF"/>
          <w:lang w:val="en-GB"/>
        </w:rPr>
      </w:pPr>
      <w:r w:rsidRPr="001D0FE2">
        <w:rPr>
          <w:rStyle w:val="Strong"/>
          <w:rFonts w:asciiTheme="minorHAnsi" w:hAnsiTheme="minorHAnsi" w:cstheme="minorHAnsi"/>
          <w:sz w:val="28"/>
          <w:szCs w:val="22"/>
          <w:shd w:val="clear" w:color="auto" w:fill="FFFFFF"/>
          <w:lang w:val="en-GB"/>
        </w:rPr>
        <w:t>Forward-looking Statements</w:t>
      </w:r>
    </w:p>
    <w:p w14:paraId="2F83BB88" w14:textId="77777777" w:rsidR="006446EE" w:rsidRPr="001D0FE2" w:rsidRDefault="006446EE" w:rsidP="002B3D43">
      <w:pPr>
        <w:spacing w:after="120" w:line="276" w:lineRule="auto"/>
        <w:rPr>
          <w:rFonts w:asciiTheme="minorHAnsi" w:eastAsia="MS Mincho" w:hAnsiTheme="minorHAnsi" w:cstheme="minorHAnsi"/>
          <w:i/>
          <w:iCs/>
          <w:color w:val="59595B"/>
          <w:sz w:val="22"/>
          <w:szCs w:val="22"/>
          <w:lang w:val="en-GB"/>
        </w:rPr>
      </w:pPr>
      <w:r w:rsidRPr="001D0FE2">
        <w:rPr>
          <w:rFonts w:asciiTheme="minorHAnsi" w:eastAsia="MS Mincho" w:hAnsiTheme="minorHAnsi" w:cstheme="minorHAnsi"/>
          <w:i/>
          <w:iCs/>
          <w:color w:val="59595B"/>
          <w:sz w:val="22"/>
          <w:szCs w:val="22"/>
          <w:lang w:val="en-GB"/>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6BBE0B99" w14:textId="77777777" w:rsidR="006446EE" w:rsidRPr="001D0FE2" w:rsidRDefault="006446EE" w:rsidP="002B3D43">
      <w:pPr>
        <w:spacing w:after="120"/>
        <w:rPr>
          <w:rFonts w:asciiTheme="minorHAnsi" w:eastAsia="MS Mincho" w:hAnsiTheme="minorHAnsi" w:cstheme="minorHAnsi"/>
          <w:i/>
          <w:iCs/>
          <w:color w:val="59595B"/>
          <w:sz w:val="22"/>
          <w:szCs w:val="22"/>
          <w:lang w:val="en-GB"/>
        </w:rPr>
      </w:pPr>
      <w:r w:rsidRPr="001D0FE2">
        <w:rPr>
          <w:rFonts w:asciiTheme="minorHAnsi" w:eastAsia="MS Mincho" w:hAnsiTheme="minorHAnsi" w:cstheme="minorHAnsi"/>
          <w:i/>
          <w:iCs/>
          <w:color w:val="59595B"/>
          <w:sz w:val="22"/>
          <w:szCs w:val="22"/>
          <w:lang w:val="en-GB"/>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74CFD973" w14:textId="77777777" w:rsidR="006446EE" w:rsidRPr="001D0FE2" w:rsidRDefault="006446EE" w:rsidP="002B3D43">
      <w:pPr>
        <w:spacing w:after="120"/>
        <w:rPr>
          <w:rFonts w:asciiTheme="minorHAnsi" w:eastAsia="MS Mincho" w:hAnsiTheme="minorHAnsi" w:cstheme="minorHAnsi"/>
          <w:i/>
          <w:iCs/>
          <w:color w:val="59595B"/>
          <w:sz w:val="22"/>
          <w:szCs w:val="22"/>
          <w:lang w:val="en-GB"/>
        </w:rPr>
      </w:pPr>
      <w:r w:rsidRPr="001D0FE2">
        <w:rPr>
          <w:rFonts w:asciiTheme="minorHAnsi" w:eastAsia="MS Mincho" w:hAnsiTheme="minorHAnsi" w:cstheme="minorHAnsi"/>
          <w:i/>
          <w:iCs/>
          <w:color w:val="59595B"/>
          <w:sz w:val="22"/>
          <w:szCs w:val="22"/>
          <w:lang w:val="en-GB"/>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64D60E21" w14:textId="77777777" w:rsidR="006446EE" w:rsidRPr="001D0FE2" w:rsidRDefault="006446EE" w:rsidP="002B3D43">
      <w:pPr>
        <w:spacing w:after="120" w:line="276" w:lineRule="auto"/>
        <w:rPr>
          <w:rFonts w:asciiTheme="minorHAnsi" w:eastAsia="SimSun" w:hAnsiTheme="minorHAnsi" w:cstheme="minorHAnsi"/>
          <w:i/>
          <w:color w:val="59595B"/>
          <w:sz w:val="20"/>
          <w:szCs w:val="20"/>
          <w:highlight w:val="yellow"/>
          <w:lang w:val="en-GB" w:eastAsia="zh-CN"/>
        </w:rPr>
      </w:pPr>
    </w:p>
    <w:p w14:paraId="02E903D9" w14:textId="77777777" w:rsidR="006446EE" w:rsidRPr="001D0FE2" w:rsidRDefault="006446EE" w:rsidP="002B3D43">
      <w:pPr>
        <w:spacing w:after="120" w:line="276" w:lineRule="auto"/>
        <w:rPr>
          <w:rFonts w:asciiTheme="minorHAnsi" w:eastAsiaTheme="majorEastAsia" w:hAnsiTheme="minorHAnsi" w:cstheme="minorHAnsi"/>
          <w:b/>
          <w:color w:val="59595B"/>
          <w:szCs w:val="28"/>
          <w:lang w:val="en-GB" w:eastAsia="zh-CN"/>
        </w:rPr>
      </w:pPr>
      <w:r w:rsidRPr="001D0FE2">
        <w:rPr>
          <w:rFonts w:asciiTheme="minorHAnsi" w:eastAsiaTheme="majorEastAsia" w:hAnsiTheme="minorHAnsi" w:cstheme="minorHAnsi"/>
          <w:b/>
          <w:color w:val="59595B"/>
          <w:szCs w:val="28"/>
          <w:lang w:val="en-GB" w:eastAsia="zh-CN"/>
        </w:rPr>
        <w:t>For further public information, contact:</w:t>
      </w:r>
    </w:p>
    <w:p w14:paraId="404558F9" w14:textId="77777777" w:rsidR="006446EE" w:rsidRPr="001D0FE2" w:rsidRDefault="006446EE" w:rsidP="002B3D43">
      <w:p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b/>
          <w:bCs/>
          <w:color w:val="59595B"/>
          <w:sz w:val="22"/>
          <w:szCs w:val="22"/>
          <w:lang w:val="en-GB"/>
        </w:rPr>
        <w:t>Pharming Group N.V.</w:t>
      </w:r>
    </w:p>
    <w:p w14:paraId="3F732AB1" w14:textId="77777777" w:rsidR="006446EE" w:rsidRPr="001D0FE2" w:rsidRDefault="006446EE" w:rsidP="002B3D43">
      <w:pPr>
        <w:spacing w:after="120" w:line="276" w:lineRule="auto"/>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Sijmen de Vries, CEO, Tel: +31 71 524 7400</w:t>
      </w:r>
    </w:p>
    <w:p w14:paraId="403997CD" w14:textId="77777777" w:rsidR="006446EE" w:rsidRPr="001D0FE2" w:rsidRDefault="006446EE" w:rsidP="002B3D43">
      <w:pPr>
        <w:spacing w:after="120" w:line="360" w:lineRule="auto"/>
        <w:jc w:val="left"/>
        <w:rPr>
          <w:rFonts w:asciiTheme="minorHAnsi" w:eastAsia="SimSun" w:hAnsiTheme="minorHAnsi" w:cstheme="minorHAnsi"/>
          <w:i/>
          <w:color w:val="59595B"/>
          <w:sz w:val="22"/>
          <w:szCs w:val="22"/>
          <w:lang w:val="en-GB" w:eastAsia="zh-CN"/>
        </w:rPr>
      </w:pPr>
      <w:r w:rsidRPr="001D0FE2">
        <w:rPr>
          <w:rFonts w:asciiTheme="minorHAnsi" w:hAnsiTheme="minorHAnsi" w:cstheme="minorHAnsi"/>
          <w:color w:val="59595B"/>
          <w:sz w:val="22"/>
          <w:szCs w:val="22"/>
          <w:lang w:val="en-GB"/>
        </w:rPr>
        <w:t>Susanne Embleton, Investor Relations Manager: +31 71 524 7400</w:t>
      </w:r>
    </w:p>
    <w:p w14:paraId="7C816298" w14:textId="77777777" w:rsidR="006446EE" w:rsidRPr="001D0FE2" w:rsidRDefault="006446EE" w:rsidP="002B3D43">
      <w:pPr>
        <w:spacing w:before="120" w:after="120" w:line="276" w:lineRule="auto"/>
        <w:rPr>
          <w:rFonts w:asciiTheme="minorHAnsi" w:eastAsia="SimSun" w:hAnsiTheme="minorHAnsi" w:cstheme="minorHAnsi"/>
          <w:b/>
          <w:color w:val="59595B"/>
          <w:sz w:val="22"/>
          <w:szCs w:val="22"/>
          <w:lang w:val="en-GB" w:eastAsia="zh-CN"/>
        </w:rPr>
      </w:pPr>
      <w:r w:rsidRPr="001D0FE2">
        <w:rPr>
          <w:rFonts w:asciiTheme="minorHAnsi" w:eastAsia="SimSun" w:hAnsiTheme="minorHAnsi" w:cstheme="minorHAnsi"/>
          <w:b/>
          <w:color w:val="59595B"/>
          <w:sz w:val="22"/>
          <w:szCs w:val="22"/>
          <w:lang w:val="en-GB" w:eastAsia="zh-CN"/>
        </w:rPr>
        <w:t>FTI Consulting, London, UK:</w:t>
      </w:r>
    </w:p>
    <w:p w14:paraId="0AB05A3B" w14:textId="77777777" w:rsidR="006446EE" w:rsidRPr="001D0FE2" w:rsidRDefault="006446EE" w:rsidP="002B3D43">
      <w:pPr>
        <w:spacing w:after="120"/>
        <w:rPr>
          <w:rFonts w:asciiTheme="minorHAnsi" w:hAnsiTheme="minorHAnsi" w:cstheme="minorHAnsi"/>
          <w:color w:val="59595B"/>
          <w:sz w:val="22"/>
          <w:szCs w:val="22"/>
          <w:lang w:val="en-GB"/>
        </w:rPr>
      </w:pPr>
      <w:r w:rsidRPr="001D0FE2">
        <w:rPr>
          <w:rFonts w:asciiTheme="minorHAnsi" w:eastAsia="SimSun" w:hAnsiTheme="minorHAnsi" w:cstheme="minorHAnsi"/>
          <w:color w:val="59595B"/>
          <w:sz w:val="22"/>
          <w:szCs w:val="22"/>
          <w:lang w:val="en-GB" w:eastAsia="zh-CN"/>
        </w:rPr>
        <w:t xml:space="preserve">Victoria Foster Mitchell, Tel: +44 </w:t>
      </w:r>
      <w:r w:rsidRPr="001D0FE2">
        <w:rPr>
          <w:rFonts w:asciiTheme="minorHAnsi" w:hAnsiTheme="minorHAnsi" w:cstheme="minorHAnsi"/>
          <w:color w:val="59595B"/>
          <w:sz w:val="22"/>
          <w:szCs w:val="22"/>
          <w:lang w:val="en-GB"/>
        </w:rPr>
        <w:t>203 727 1136</w:t>
      </w:r>
    </w:p>
    <w:p w14:paraId="2A824A66" w14:textId="77777777" w:rsidR="006446EE" w:rsidRPr="001D0FE2" w:rsidRDefault="006446EE" w:rsidP="002B3D43">
      <w:pPr>
        <w:spacing w:before="120" w:after="120"/>
        <w:rPr>
          <w:rFonts w:asciiTheme="minorHAnsi" w:eastAsia="MS Mincho" w:hAnsiTheme="minorHAnsi" w:cstheme="minorHAnsi"/>
          <w:b/>
          <w:color w:val="59595B"/>
          <w:sz w:val="22"/>
          <w:szCs w:val="22"/>
          <w:lang w:val="en-GB"/>
        </w:rPr>
      </w:pPr>
      <w:r w:rsidRPr="001D0FE2">
        <w:rPr>
          <w:rFonts w:asciiTheme="minorHAnsi" w:eastAsia="MS Mincho" w:hAnsiTheme="minorHAnsi" w:cstheme="minorHAnsi"/>
          <w:b/>
          <w:color w:val="59595B"/>
          <w:sz w:val="22"/>
          <w:szCs w:val="22"/>
          <w:lang w:val="en-GB"/>
        </w:rPr>
        <w:t xml:space="preserve">LifeSpring Life Sciences Communication, Amsterdam, The Netherlands: </w:t>
      </w:r>
    </w:p>
    <w:p w14:paraId="636CF109" w14:textId="77777777" w:rsidR="006446EE" w:rsidRPr="001D0FE2" w:rsidRDefault="006446EE" w:rsidP="002B3D43">
      <w:pPr>
        <w:spacing w:after="120" w:line="276" w:lineRule="auto"/>
        <w:rPr>
          <w:rFonts w:asciiTheme="minorHAnsi" w:hAnsiTheme="minorHAnsi" w:cstheme="minorHAnsi"/>
          <w:color w:val="59595B"/>
          <w:sz w:val="22"/>
          <w:szCs w:val="22"/>
          <w:lang w:val="en-GB"/>
        </w:rPr>
      </w:pPr>
      <w:r w:rsidRPr="001D0FE2">
        <w:rPr>
          <w:rFonts w:asciiTheme="minorHAnsi" w:eastAsia="MS Mincho" w:hAnsiTheme="minorHAnsi" w:cstheme="minorHAnsi"/>
          <w:color w:val="59595B"/>
          <w:sz w:val="22"/>
          <w:szCs w:val="22"/>
          <w:lang w:val="en-GB"/>
        </w:rPr>
        <w:t>Leon Melens, Tel: +</w:t>
      </w:r>
      <w:r w:rsidRPr="001D0FE2">
        <w:rPr>
          <w:rFonts w:asciiTheme="minorHAnsi" w:hAnsiTheme="minorHAnsi" w:cstheme="minorHAnsi"/>
          <w:color w:val="59595B"/>
          <w:sz w:val="22"/>
          <w:szCs w:val="22"/>
          <w:lang w:val="en-GB"/>
        </w:rPr>
        <w:t>31 6 53 81 64 27</w:t>
      </w:r>
    </w:p>
    <w:p w14:paraId="14004870" w14:textId="77777777" w:rsidR="00C15121" w:rsidRPr="001D0FE2" w:rsidRDefault="00C15121" w:rsidP="00D84743">
      <w:pPr>
        <w:autoSpaceDE w:val="0"/>
        <w:autoSpaceDN w:val="0"/>
        <w:adjustRightInd w:val="0"/>
        <w:rPr>
          <w:rFonts w:asciiTheme="minorHAnsi" w:eastAsia="MS Mincho" w:hAnsiTheme="minorHAnsi" w:cstheme="minorHAnsi"/>
          <w:b/>
          <w:color w:val="59595B"/>
          <w:lang w:val="en-GB"/>
        </w:rPr>
      </w:pPr>
    </w:p>
    <w:p w14:paraId="091483B9" w14:textId="77777777" w:rsidR="00CA3F64" w:rsidRPr="001D0FE2" w:rsidRDefault="00CA3F64" w:rsidP="00D84743">
      <w:pPr>
        <w:autoSpaceDE w:val="0"/>
        <w:autoSpaceDN w:val="0"/>
        <w:adjustRightInd w:val="0"/>
        <w:rPr>
          <w:rFonts w:asciiTheme="minorHAnsi" w:eastAsia="MS Mincho" w:hAnsiTheme="minorHAnsi" w:cstheme="minorHAnsi"/>
          <w:b/>
          <w:color w:val="59595B"/>
          <w:lang w:val="en-GB"/>
        </w:rPr>
      </w:pPr>
    </w:p>
    <w:p w14:paraId="7D50EF7E" w14:textId="641B1EA6" w:rsidR="00CA3F64" w:rsidRPr="001D0FE2" w:rsidRDefault="00CA3F64" w:rsidP="001411F2">
      <w:pPr>
        <w:autoSpaceDE w:val="0"/>
        <w:autoSpaceDN w:val="0"/>
        <w:adjustRightInd w:val="0"/>
        <w:ind w:firstLine="720"/>
        <w:rPr>
          <w:rFonts w:asciiTheme="minorHAnsi" w:eastAsia="MS Mincho" w:hAnsiTheme="minorHAnsi" w:cstheme="minorHAnsi"/>
          <w:b/>
          <w:color w:val="59595B"/>
          <w:lang w:val="en-GB"/>
        </w:rPr>
      </w:pPr>
    </w:p>
    <w:p w14:paraId="7F73A071" w14:textId="11DEFC99" w:rsidR="001411F2" w:rsidRPr="001D0FE2" w:rsidRDefault="001411F2" w:rsidP="001411F2">
      <w:pPr>
        <w:autoSpaceDE w:val="0"/>
        <w:autoSpaceDN w:val="0"/>
        <w:adjustRightInd w:val="0"/>
        <w:ind w:firstLine="720"/>
        <w:rPr>
          <w:rFonts w:asciiTheme="minorHAnsi" w:eastAsia="MS Mincho" w:hAnsiTheme="minorHAnsi" w:cstheme="minorHAnsi"/>
          <w:b/>
          <w:color w:val="59595B"/>
          <w:lang w:val="en-GB"/>
        </w:rPr>
      </w:pPr>
    </w:p>
    <w:p w14:paraId="35556C82" w14:textId="77777777" w:rsidR="006F5C94" w:rsidRPr="001D0FE2" w:rsidRDefault="006F5C94" w:rsidP="006F5C94">
      <w:pPr>
        <w:autoSpaceDE w:val="0"/>
        <w:autoSpaceDN w:val="0"/>
        <w:adjustRightInd w:val="0"/>
        <w:ind w:firstLine="720"/>
        <w:rPr>
          <w:rFonts w:asciiTheme="minorHAnsi" w:eastAsia="MS Mincho" w:hAnsiTheme="minorHAnsi" w:cstheme="minorHAnsi"/>
          <w:b/>
          <w:color w:val="59595B"/>
          <w:lang w:val="en-GB"/>
        </w:rPr>
      </w:pPr>
    </w:p>
    <w:p w14:paraId="43BEF2F0" w14:textId="77777777" w:rsidR="006F5C94" w:rsidRPr="001D0FE2" w:rsidRDefault="006F5C94" w:rsidP="006F5C94">
      <w:pPr>
        <w:autoSpaceDE w:val="0"/>
        <w:autoSpaceDN w:val="0"/>
        <w:adjustRightInd w:val="0"/>
        <w:ind w:firstLine="720"/>
        <w:rPr>
          <w:rFonts w:asciiTheme="minorHAnsi" w:eastAsia="MS Mincho" w:hAnsiTheme="minorHAnsi" w:cstheme="minorHAnsi"/>
          <w:b/>
          <w:color w:val="59595B"/>
          <w:lang w:val="en-GB"/>
        </w:rPr>
      </w:pPr>
    </w:p>
    <w:p w14:paraId="740F3A12" w14:textId="77777777" w:rsidR="006F5C94" w:rsidRPr="001D0FE2" w:rsidRDefault="006F5C94" w:rsidP="006F5C94">
      <w:pPr>
        <w:autoSpaceDE w:val="0"/>
        <w:autoSpaceDN w:val="0"/>
        <w:adjustRightInd w:val="0"/>
        <w:ind w:firstLine="720"/>
        <w:rPr>
          <w:rFonts w:asciiTheme="minorHAnsi" w:eastAsia="MS Mincho" w:hAnsiTheme="minorHAnsi" w:cstheme="minorHAnsi"/>
          <w:b/>
          <w:color w:val="59595B"/>
          <w:lang w:val="en-GB"/>
        </w:rPr>
      </w:pPr>
    </w:p>
    <w:p w14:paraId="66470F3F" w14:textId="77777777" w:rsidR="00320026" w:rsidRDefault="00320026" w:rsidP="00D84743">
      <w:pPr>
        <w:autoSpaceDE w:val="0"/>
        <w:autoSpaceDN w:val="0"/>
        <w:adjustRightInd w:val="0"/>
        <w:rPr>
          <w:rFonts w:asciiTheme="minorHAnsi" w:eastAsia="MS Mincho" w:hAnsiTheme="minorHAnsi" w:cstheme="minorHAnsi"/>
          <w:b/>
          <w:color w:val="59595B"/>
          <w:lang w:val="en-GB"/>
        </w:rPr>
      </w:pPr>
    </w:p>
    <w:p w14:paraId="7BD4E02F" w14:textId="69BF2DA5" w:rsidR="00D84743" w:rsidRPr="00DF39D8" w:rsidRDefault="00D84743" w:rsidP="00D84743">
      <w:pPr>
        <w:autoSpaceDE w:val="0"/>
        <w:autoSpaceDN w:val="0"/>
        <w:adjustRightInd w:val="0"/>
        <w:rPr>
          <w:rFonts w:asciiTheme="minorHAnsi" w:eastAsia="MS Mincho" w:hAnsiTheme="minorHAnsi" w:cstheme="minorHAnsi"/>
          <w:b/>
          <w:color w:val="59595B"/>
          <w:lang w:val="en-GB"/>
        </w:rPr>
      </w:pPr>
      <w:r w:rsidRPr="00DF39D8">
        <w:rPr>
          <w:rFonts w:asciiTheme="minorHAnsi" w:eastAsia="MS Mincho" w:hAnsiTheme="minorHAnsi" w:cstheme="minorHAnsi"/>
          <w:b/>
          <w:color w:val="59595B"/>
          <w:lang w:val="en-GB"/>
        </w:rPr>
        <w:t>Conference call information</w:t>
      </w:r>
    </w:p>
    <w:p w14:paraId="30A95746" w14:textId="77777777" w:rsidR="00D84743" w:rsidRPr="00DF39D8" w:rsidRDefault="00D84743" w:rsidP="00D84743">
      <w:pPr>
        <w:autoSpaceDE w:val="0"/>
        <w:autoSpaceDN w:val="0"/>
        <w:adjustRightInd w:val="0"/>
        <w:rPr>
          <w:rFonts w:asciiTheme="minorHAnsi" w:eastAsia="MS Mincho" w:hAnsiTheme="minorHAnsi" w:cstheme="minorHAnsi"/>
          <w:color w:val="59595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900"/>
      </w:tblGrid>
      <w:tr w:rsidR="000D0314" w:rsidRPr="00DF39D8" w14:paraId="31BFE829" w14:textId="77777777" w:rsidTr="000D0314">
        <w:trPr>
          <w:trHeight w:val="577"/>
        </w:trPr>
        <w:tc>
          <w:tcPr>
            <w:tcW w:w="2900" w:type="dxa"/>
          </w:tcPr>
          <w:p w14:paraId="33C082E4" w14:textId="228D627B" w:rsidR="000D0314" w:rsidRPr="00DF39D8" w:rsidRDefault="000D0314" w:rsidP="00D84743">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From the Netherlands:</w:t>
            </w:r>
          </w:p>
        </w:tc>
        <w:tc>
          <w:tcPr>
            <w:tcW w:w="2900" w:type="dxa"/>
          </w:tcPr>
          <w:p w14:paraId="4A843250" w14:textId="77777777" w:rsidR="000D0314" w:rsidRPr="00DF39D8" w:rsidRDefault="000D0314" w:rsidP="000D0314">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+31 207095189</w:t>
            </w:r>
          </w:p>
          <w:p w14:paraId="7B6A22A4" w14:textId="6E8D7D8A" w:rsidR="000D0314" w:rsidRPr="00DF39D8" w:rsidRDefault="000D0314" w:rsidP="00D84743">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Toll-Free: 08004050000</w:t>
            </w:r>
          </w:p>
        </w:tc>
      </w:tr>
      <w:tr w:rsidR="000D0314" w:rsidRPr="00DF39D8" w14:paraId="252DA14D" w14:textId="77777777" w:rsidTr="000D0314">
        <w:trPr>
          <w:trHeight w:val="577"/>
        </w:trPr>
        <w:tc>
          <w:tcPr>
            <w:tcW w:w="2900" w:type="dxa"/>
          </w:tcPr>
          <w:p w14:paraId="2A3A4D07" w14:textId="16E9C9FB" w:rsidR="000D0314" w:rsidRPr="00DF39D8" w:rsidRDefault="000D0314" w:rsidP="00D84743">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From the UK:</w:t>
            </w:r>
            <w:r w:rsidRPr="00DF39D8">
              <w:rPr>
                <w:rFonts w:asciiTheme="minorHAnsi" w:eastAsia="MS Mincho" w:hAnsiTheme="minorHAnsi" w:cstheme="minorHAnsi"/>
                <w:color w:val="59595B"/>
                <w:lang w:val="en-GB"/>
              </w:rPr>
              <w:tab/>
            </w:r>
          </w:p>
        </w:tc>
        <w:tc>
          <w:tcPr>
            <w:tcW w:w="2900" w:type="dxa"/>
          </w:tcPr>
          <w:p w14:paraId="08710074" w14:textId="77777777" w:rsidR="000D0314" w:rsidRPr="00DF39D8" w:rsidRDefault="000D0314" w:rsidP="000D0314">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+44 3333000804</w:t>
            </w:r>
          </w:p>
          <w:p w14:paraId="19A9E11C" w14:textId="63C18C80" w:rsidR="000D0314" w:rsidRPr="00DF39D8" w:rsidRDefault="000D0314" w:rsidP="00D84743">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Toll-Free: 08003589473</w:t>
            </w:r>
          </w:p>
        </w:tc>
      </w:tr>
      <w:tr w:rsidR="000D0314" w:rsidRPr="00DF39D8" w14:paraId="52977531" w14:textId="77777777" w:rsidTr="000D0314">
        <w:trPr>
          <w:trHeight w:val="577"/>
        </w:trPr>
        <w:tc>
          <w:tcPr>
            <w:tcW w:w="2900" w:type="dxa"/>
          </w:tcPr>
          <w:p w14:paraId="6291CE4D" w14:textId="040A1FDB" w:rsidR="000D0314" w:rsidRPr="00DF39D8" w:rsidRDefault="000D0314" w:rsidP="00D84743">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From Belgium:</w:t>
            </w:r>
          </w:p>
        </w:tc>
        <w:tc>
          <w:tcPr>
            <w:tcW w:w="2900" w:type="dxa"/>
          </w:tcPr>
          <w:p w14:paraId="55D3FB86" w14:textId="77777777" w:rsidR="000D0314" w:rsidRPr="00DF39D8" w:rsidRDefault="000D0314" w:rsidP="000D0314">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 xml:space="preserve">+32 24035814     </w:t>
            </w:r>
          </w:p>
          <w:p w14:paraId="0EA45D2E" w14:textId="75037B30" w:rsidR="000D0314" w:rsidRPr="00DF39D8" w:rsidRDefault="000D0314" w:rsidP="00D84743">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Toll-Free: 080029913</w:t>
            </w:r>
          </w:p>
        </w:tc>
      </w:tr>
      <w:tr w:rsidR="000D0314" w:rsidRPr="00DF39D8" w14:paraId="023747AE" w14:textId="77777777" w:rsidTr="000D0314">
        <w:trPr>
          <w:trHeight w:val="577"/>
        </w:trPr>
        <w:tc>
          <w:tcPr>
            <w:tcW w:w="2900" w:type="dxa"/>
          </w:tcPr>
          <w:p w14:paraId="1777BD95" w14:textId="750F40ED" w:rsidR="000D0314" w:rsidRPr="00DF39D8" w:rsidRDefault="000D0314" w:rsidP="00D84743">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From France:</w:t>
            </w:r>
            <w:r w:rsidRPr="00DF39D8">
              <w:rPr>
                <w:rFonts w:asciiTheme="minorHAnsi" w:eastAsia="MS Mincho" w:hAnsiTheme="minorHAnsi" w:cstheme="minorHAnsi"/>
                <w:color w:val="59595B"/>
                <w:lang w:val="en-GB"/>
              </w:rPr>
              <w:tab/>
            </w:r>
          </w:p>
        </w:tc>
        <w:tc>
          <w:tcPr>
            <w:tcW w:w="2900" w:type="dxa"/>
          </w:tcPr>
          <w:p w14:paraId="0A2AB3F2" w14:textId="77777777" w:rsidR="000D0314" w:rsidRPr="00DF39D8" w:rsidRDefault="000D0314" w:rsidP="000D0314">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+33 170750711</w:t>
            </w:r>
          </w:p>
          <w:p w14:paraId="67B0BC5E" w14:textId="4A9E6B95" w:rsidR="000D0314" w:rsidRPr="00DF39D8" w:rsidRDefault="000D0314" w:rsidP="00D84743">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Toll-Free: 0800946608</w:t>
            </w:r>
          </w:p>
        </w:tc>
      </w:tr>
      <w:tr w:rsidR="000D0314" w:rsidRPr="00DF39D8" w14:paraId="5827062D" w14:textId="77777777" w:rsidTr="000D0314">
        <w:trPr>
          <w:trHeight w:val="577"/>
        </w:trPr>
        <w:tc>
          <w:tcPr>
            <w:tcW w:w="2900" w:type="dxa"/>
          </w:tcPr>
          <w:p w14:paraId="1DC59669" w14:textId="00BD10A0" w:rsidR="000D0314" w:rsidRPr="00DF39D8" w:rsidRDefault="000D0314" w:rsidP="00D84743">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From Switzerland:</w:t>
            </w:r>
          </w:p>
        </w:tc>
        <w:tc>
          <w:tcPr>
            <w:tcW w:w="2900" w:type="dxa"/>
          </w:tcPr>
          <w:p w14:paraId="3D86E84C" w14:textId="77777777" w:rsidR="000D0314" w:rsidRPr="00DF39D8" w:rsidRDefault="000D0314" w:rsidP="000D0314">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+41 225809034</w:t>
            </w:r>
          </w:p>
          <w:p w14:paraId="4027F677" w14:textId="5DC62052" w:rsidR="000D0314" w:rsidRPr="00DF39D8" w:rsidRDefault="000D0314" w:rsidP="00D84743">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Toll-Free: 0800721298</w:t>
            </w:r>
          </w:p>
        </w:tc>
      </w:tr>
      <w:tr w:rsidR="000D0314" w:rsidRPr="00DF39D8" w14:paraId="7F8FBA5E" w14:textId="77777777" w:rsidTr="000D0314">
        <w:trPr>
          <w:trHeight w:val="577"/>
        </w:trPr>
        <w:tc>
          <w:tcPr>
            <w:tcW w:w="2900" w:type="dxa"/>
          </w:tcPr>
          <w:p w14:paraId="6C24C91B" w14:textId="6CCBAF1C" w:rsidR="000D0314" w:rsidRPr="00DF39D8" w:rsidRDefault="000D0314" w:rsidP="00D84743">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From the US:</w:t>
            </w:r>
            <w:r w:rsidRPr="00DF39D8">
              <w:rPr>
                <w:rFonts w:asciiTheme="minorHAnsi" w:eastAsia="MS Mincho" w:hAnsiTheme="minorHAnsi" w:cstheme="minorHAnsi"/>
                <w:color w:val="59595B"/>
                <w:lang w:val="en-GB"/>
              </w:rPr>
              <w:tab/>
            </w:r>
          </w:p>
        </w:tc>
        <w:tc>
          <w:tcPr>
            <w:tcW w:w="2900" w:type="dxa"/>
          </w:tcPr>
          <w:p w14:paraId="60547ED0" w14:textId="77777777" w:rsidR="000D0314" w:rsidRPr="00DF39D8" w:rsidRDefault="000D0314" w:rsidP="000D0314">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+1 6319131422</w:t>
            </w:r>
          </w:p>
          <w:p w14:paraId="5A440C10" w14:textId="02E6D5D8" w:rsidR="000D0314" w:rsidRPr="00DF39D8" w:rsidRDefault="000D0314" w:rsidP="00D84743">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Toll-Free: +1 855 85 70686</w:t>
            </w:r>
          </w:p>
        </w:tc>
      </w:tr>
    </w:tbl>
    <w:p w14:paraId="4F7394E2" w14:textId="27A88E8A" w:rsidR="00D84743" w:rsidRPr="00DF39D8" w:rsidRDefault="00D84743" w:rsidP="000D0314">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ab/>
      </w:r>
    </w:p>
    <w:p w14:paraId="1E04D96B" w14:textId="77777777" w:rsidR="00D84743" w:rsidRPr="00DF39D8" w:rsidRDefault="00D84743" w:rsidP="00D84743">
      <w:pPr>
        <w:autoSpaceDE w:val="0"/>
        <w:autoSpaceDN w:val="0"/>
        <w:adjustRightInd w:val="0"/>
        <w:rPr>
          <w:rFonts w:asciiTheme="minorHAnsi" w:eastAsia="MS Mincho" w:hAnsiTheme="minorHAnsi" w:cstheme="minorHAnsi"/>
          <w:color w:val="59595B"/>
          <w:lang w:val="en-GB"/>
        </w:rPr>
      </w:pPr>
      <w:r w:rsidRPr="00DF39D8">
        <w:rPr>
          <w:rFonts w:asciiTheme="minorHAnsi" w:eastAsia="MS Mincho" w:hAnsiTheme="minorHAnsi" w:cstheme="minorHAnsi"/>
          <w:color w:val="59595B"/>
          <w:lang w:val="en-GB"/>
        </w:rPr>
        <w:t xml:space="preserve">For other numbers, please see: </w:t>
      </w:r>
    </w:p>
    <w:p w14:paraId="770A5113" w14:textId="7A62CF56" w:rsidR="006F5C94" w:rsidRPr="00DF39D8" w:rsidRDefault="00A67679" w:rsidP="006F5C94">
      <w:pPr>
        <w:autoSpaceDE w:val="0"/>
        <w:autoSpaceDN w:val="0"/>
        <w:adjustRightInd w:val="0"/>
        <w:rPr>
          <w:rFonts w:asciiTheme="minorHAnsi" w:eastAsia="MS Mincho" w:hAnsiTheme="minorHAnsi" w:cstheme="minorHAnsi"/>
          <w:bCs/>
          <w:color w:val="59595B"/>
          <w:lang w:val="en-GB"/>
        </w:rPr>
      </w:pPr>
      <w:hyperlink r:id="rId12" w:history="1">
        <w:r w:rsidR="006F5C94" w:rsidRPr="00DF39D8">
          <w:rPr>
            <w:rStyle w:val="Hyperlink"/>
            <w:rFonts w:asciiTheme="minorHAnsi" w:eastAsia="MS Mincho" w:hAnsiTheme="minorHAnsi" w:cstheme="minorHAnsi"/>
            <w:bCs/>
            <w:color w:val="59595B"/>
            <w:lang w:val="en-GB"/>
          </w:rPr>
          <w:t>https://events-ftp.arkadin.com/ev/docs/NE_W2_TF_Events_International_Access_List.pdf</w:t>
        </w:r>
      </w:hyperlink>
      <w:r w:rsidR="006F5C94" w:rsidRPr="00DF39D8">
        <w:rPr>
          <w:rFonts w:asciiTheme="minorHAnsi" w:eastAsia="MS Mincho" w:hAnsiTheme="minorHAnsi" w:cstheme="minorHAnsi"/>
          <w:bCs/>
          <w:color w:val="59595B"/>
          <w:lang w:val="en-GB"/>
        </w:rPr>
        <w:t xml:space="preserve"> </w:t>
      </w:r>
    </w:p>
    <w:p w14:paraId="61D52EA6" w14:textId="77777777" w:rsidR="006F5C94" w:rsidRPr="00DF39D8" w:rsidRDefault="006F5C94" w:rsidP="006F5C94">
      <w:pPr>
        <w:autoSpaceDE w:val="0"/>
        <w:autoSpaceDN w:val="0"/>
        <w:adjustRightInd w:val="0"/>
        <w:ind w:firstLine="720"/>
        <w:rPr>
          <w:rFonts w:asciiTheme="minorHAnsi" w:eastAsia="MS Mincho" w:hAnsiTheme="minorHAnsi" w:cstheme="minorHAnsi"/>
          <w:b/>
          <w:color w:val="59595B"/>
          <w:lang w:val="en-GB"/>
        </w:rPr>
      </w:pPr>
      <w:r w:rsidRPr="00DF39D8">
        <w:rPr>
          <w:rFonts w:asciiTheme="minorHAnsi" w:eastAsia="MS Mincho" w:hAnsiTheme="minorHAnsi" w:cstheme="minorHAnsi"/>
          <w:b/>
          <w:color w:val="59595B"/>
          <w:lang w:val="en-GB"/>
        </w:rPr>
        <w:t xml:space="preserve"> </w:t>
      </w:r>
    </w:p>
    <w:p w14:paraId="08199C39" w14:textId="77777777" w:rsidR="00D84743" w:rsidRPr="00DF39D8" w:rsidRDefault="00D84743" w:rsidP="00D84743">
      <w:pPr>
        <w:autoSpaceDE w:val="0"/>
        <w:autoSpaceDN w:val="0"/>
        <w:adjustRightInd w:val="0"/>
        <w:rPr>
          <w:rFonts w:asciiTheme="minorHAnsi" w:eastAsia="MS Mincho" w:hAnsiTheme="minorHAnsi" w:cstheme="minorHAnsi"/>
          <w:b/>
          <w:color w:val="59595B"/>
          <w:lang w:val="en-GB"/>
        </w:rPr>
      </w:pPr>
      <w:r w:rsidRPr="00DF39D8">
        <w:rPr>
          <w:rFonts w:asciiTheme="minorHAnsi" w:eastAsia="MS Mincho" w:hAnsiTheme="minorHAnsi" w:cstheme="minorHAnsi"/>
          <w:b/>
          <w:color w:val="59595B"/>
          <w:lang w:val="en-GB"/>
        </w:rPr>
        <w:t xml:space="preserve">Presentation link: </w:t>
      </w:r>
    </w:p>
    <w:p w14:paraId="47E0D6AD" w14:textId="4F635450" w:rsidR="006F5C94" w:rsidRPr="00DF39D8" w:rsidRDefault="00A67679" w:rsidP="006F5C94">
      <w:pPr>
        <w:autoSpaceDE w:val="0"/>
        <w:autoSpaceDN w:val="0"/>
        <w:adjustRightInd w:val="0"/>
        <w:rPr>
          <w:rFonts w:asciiTheme="minorHAnsi" w:eastAsia="MS Mincho" w:hAnsiTheme="minorHAnsi" w:cstheme="minorHAnsi"/>
          <w:bCs/>
          <w:color w:val="59595B"/>
          <w:lang w:val="en-GB"/>
        </w:rPr>
      </w:pPr>
      <w:hyperlink r:id="rId13" w:history="1">
        <w:r w:rsidR="006F5C94" w:rsidRPr="00DF39D8">
          <w:rPr>
            <w:rStyle w:val="Hyperlink"/>
            <w:rFonts w:asciiTheme="minorHAnsi" w:eastAsia="MS Mincho" w:hAnsiTheme="minorHAnsi" w:cstheme="minorHAnsi"/>
            <w:bCs/>
            <w:color w:val="59595B"/>
            <w:lang w:val="en-GB"/>
          </w:rPr>
          <w:t>https://arkadin-event.webex.com/arkadin-event/onstage/g.php?MTID=e46000d81240a97b2024e3fa98526bd10</w:t>
        </w:r>
      </w:hyperlink>
      <w:r w:rsidR="006F5C94" w:rsidRPr="00DF39D8">
        <w:rPr>
          <w:rFonts w:asciiTheme="minorHAnsi" w:eastAsia="MS Mincho" w:hAnsiTheme="minorHAnsi" w:cstheme="minorHAnsi"/>
          <w:bCs/>
          <w:color w:val="59595B"/>
          <w:lang w:val="en-GB"/>
        </w:rPr>
        <w:t xml:space="preserve"> </w:t>
      </w:r>
    </w:p>
    <w:p w14:paraId="40892748" w14:textId="77777777" w:rsidR="00D84743" w:rsidRPr="00DF39D8" w:rsidRDefault="00D84743" w:rsidP="00D84743">
      <w:pPr>
        <w:autoSpaceDE w:val="0"/>
        <w:autoSpaceDN w:val="0"/>
        <w:adjustRightInd w:val="0"/>
        <w:rPr>
          <w:rFonts w:asciiTheme="minorHAnsi" w:eastAsia="MS Mincho" w:hAnsiTheme="minorHAnsi" w:cstheme="minorHAnsi"/>
          <w:color w:val="59595B"/>
          <w:lang w:val="en-GB"/>
        </w:rPr>
      </w:pPr>
    </w:p>
    <w:p w14:paraId="68B4D1FE" w14:textId="2B6DDAE6" w:rsidR="00D84743" w:rsidRPr="00DF39D8" w:rsidRDefault="00D84743" w:rsidP="00D84743">
      <w:pPr>
        <w:autoSpaceDE w:val="0"/>
        <w:autoSpaceDN w:val="0"/>
        <w:adjustRightInd w:val="0"/>
        <w:rPr>
          <w:rFonts w:asciiTheme="minorHAnsi" w:eastAsia="MS Mincho" w:hAnsiTheme="minorHAnsi" w:cstheme="minorHAnsi"/>
          <w:b/>
          <w:color w:val="59595B"/>
          <w:lang w:val="en-GB"/>
        </w:rPr>
      </w:pPr>
      <w:r w:rsidRPr="00DF39D8">
        <w:rPr>
          <w:rFonts w:asciiTheme="minorHAnsi" w:eastAsia="MS Mincho" w:hAnsiTheme="minorHAnsi" w:cstheme="minorHAnsi"/>
          <w:b/>
          <w:color w:val="59595B"/>
          <w:lang w:val="en-GB"/>
        </w:rPr>
        <w:t>Presentation Password</w:t>
      </w:r>
      <w:r w:rsidR="006871A3" w:rsidRPr="00DF39D8">
        <w:rPr>
          <w:rFonts w:asciiTheme="minorHAnsi" w:eastAsia="MS Mincho" w:hAnsiTheme="minorHAnsi" w:cstheme="minorHAnsi"/>
          <w:b/>
          <w:color w:val="59595B"/>
          <w:lang w:val="en-GB"/>
        </w:rPr>
        <w:t>/PIN</w:t>
      </w:r>
      <w:r w:rsidRPr="00DF39D8">
        <w:rPr>
          <w:rFonts w:asciiTheme="minorHAnsi" w:eastAsia="MS Mincho" w:hAnsiTheme="minorHAnsi" w:cstheme="minorHAnsi"/>
          <w:b/>
          <w:color w:val="59595B"/>
          <w:lang w:val="en-GB"/>
        </w:rPr>
        <w:t xml:space="preserve">: </w:t>
      </w:r>
      <w:r w:rsidR="006F5C94" w:rsidRPr="00DF39D8">
        <w:rPr>
          <w:rFonts w:asciiTheme="minorHAnsi" w:eastAsia="MS Mincho" w:hAnsiTheme="minorHAnsi" w:cstheme="minorHAnsi"/>
          <w:b/>
          <w:color w:val="59595B"/>
          <w:lang w:val="en-GB"/>
        </w:rPr>
        <w:t>31591389#</w:t>
      </w:r>
    </w:p>
    <w:p w14:paraId="555C1C3E" w14:textId="77777777" w:rsidR="00A27C22" w:rsidRPr="001D0FE2" w:rsidRDefault="004154CE" w:rsidP="00A27C22">
      <w:pPr>
        <w:jc w:val="left"/>
        <w:rPr>
          <w:rFonts w:asciiTheme="minorHAnsi" w:eastAsiaTheme="majorEastAsia" w:hAnsiTheme="minorHAnsi" w:cstheme="minorHAnsi"/>
          <w:b/>
          <w:color w:val="59595B"/>
          <w:szCs w:val="28"/>
          <w:lang w:val="en-GB" w:eastAsia="zh-CN"/>
        </w:rPr>
      </w:pPr>
      <w:r w:rsidRPr="001D0FE2">
        <w:rPr>
          <w:rFonts w:asciiTheme="minorHAnsi" w:hAnsiTheme="minorHAnsi" w:cstheme="minorHAnsi"/>
          <w:b/>
          <w:bCs/>
          <w:color w:val="59595B"/>
          <w:szCs w:val="22"/>
          <w:lang w:val="en-GB"/>
        </w:rPr>
        <w:br w:type="page"/>
      </w:r>
      <w:bookmarkStart w:id="0" w:name="_Hlk14347366"/>
      <w:bookmarkEnd w:id="0"/>
    </w:p>
    <w:p w14:paraId="49B44AD1" w14:textId="77777777" w:rsidR="00A27C22" w:rsidRPr="002B3D43" w:rsidRDefault="00A27C22" w:rsidP="00104F59">
      <w:pPr>
        <w:spacing w:after="120"/>
        <w:rPr>
          <w:rFonts w:asciiTheme="minorHAnsi" w:eastAsiaTheme="majorEastAsia" w:hAnsiTheme="minorHAnsi" w:cstheme="minorHAnsi"/>
          <w:b/>
          <w:color w:val="59595B"/>
          <w:szCs w:val="28"/>
          <w:lang w:val="en-GB" w:eastAsia="zh-CN"/>
        </w:rPr>
      </w:pPr>
      <w:r w:rsidRPr="002B3D43">
        <w:rPr>
          <w:rFonts w:asciiTheme="minorHAnsi" w:eastAsiaTheme="majorEastAsia" w:hAnsiTheme="minorHAnsi" w:cstheme="minorHAnsi"/>
          <w:b/>
          <w:color w:val="59595B"/>
          <w:szCs w:val="28"/>
          <w:lang w:val="en-GB" w:eastAsia="zh-CN"/>
        </w:rPr>
        <w:lastRenderedPageBreak/>
        <w:t>Pharming Group N.V.</w:t>
      </w:r>
    </w:p>
    <w:p w14:paraId="24A71B07" w14:textId="77777777" w:rsidR="00A27C22" w:rsidRPr="001D0FE2" w:rsidRDefault="00A27C22" w:rsidP="00104F59">
      <w:pPr>
        <w:spacing w:after="120"/>
        <w:rPr>
          <w:rFonts w:asciiTheme="minorHAnsi" w:hAnsiTheme="minorHAnsi" w:cstheme="minorHAnsi"/>
          <w:b/>
          <w:color w:val="59595B"/>
          <w:szCs w:val="22"/>
          <w:lang w:val="en-GB"/>
        </w:rPr>
      </w:pPr>
    </w:p>
    <w:p w14:paraId="39C4B2FC" w14:textId="412478A4" w:rsidR="00A27C22" w:rsidRPr="002B3D43" w:rsidRDefault="00A27C22" w:rsidP="00104F59">
      <w:pPr>
        <w:spacing w:after="120"/>
        <w:rPr>
          <w:rFonts w:asciiTheme="minorHAnsi" w:hAnsiTheme="minorHAnsi" w:cstheme="minorHAnsi"/>
          <w:lang w:val="en-GB"/>
        </w:rPr>
      </w:pPr>
      <w:r w:rsidRPr="002B3D43">
        <w:rPr>
          <w:rFonts w:asciiTheme="minorHAnsi" w:hAnsiTheme="minorHAnsi" w:cstheme="minorHAnsi"/>
          <w:b/>
          <w:lang w:val="en-GB"/>
        </w:rPr>
        <w:t xml:space="preserve">Condensed </w:t>
      </w:r>
      <w:r w:rsidR="000D0314" w:rsidRPr="002B3D43">
        <w:rPr>
          <w:rFonts w:asciiTheme="minorHAnsi" w:hAnsiTheme="minorHAnsi" w:cstheme="minorHAnsi"/>
          <w:b/>
          <w:lang w:val="en-GB"/>
        </w:rPr>
        <w:t>Consolidated Interim</w:t>
      </w:r>
      <w:r w:rsidRPr="002B3D43">
        <w:rPr>
          <w:rFonts w:asciiTheme="minorHAnsi" w:hAnsiTheme="minorHAnsi" w:cstheme="minorHAnsi"/>
          <w:b/>
          <w:lang w:val="en-GB"/>
        </w:rPr>
        <w:t xml:space="preserve"> Financial Statements</w:t>
      </w:r>
      <w:r w:rsidRPr="002B3D43">
        <w:rPr>
          <w:rFonts w:asciiTheme="minorHAnsi" w:hAnsiTheme="minorHAnsi" w:cstheme="minorHAnsi"/>
          <w:lang w:val="en-GB"/>
        </w:rPr>
        <w:t xml:space="preserve"> (unaudited)</w:t>
      </w:r>
    </w:p>
    <w:p w14:paraId="4A134669" w14:textId="77777777" w:rsidR="00A27C22" w:rsidRPr="002B3D43" w:rsidRDefault="00A27C22" w:rsidP="00104F59">
      <w:pPr>
        <w:spacing w:after="120"/>
        <w:rPr>
          <w:rFonts w:asciiTheme="minorHAnsi" w:hAnsiTheme="minorHAnsi" w:cstheme="minorHAnsi"/>
          <w:lang w:val="en-GB"/>
        </w:rPr>
      </w:pPr>
      <w:r w:rsidRPr="002B3D43">
        <w:rPr>
          <w:rFonts w:asciiTheme="minorHAnsi" w:hAnsiTheme="minorHAnsi" w:cstheme="minorHAnsi"/>
          <w:lang w:val="en-GB"/>
        </w:rPr>
        <w:t>For the period ended 30 June 2020</w:t>
      </w:r>
    </w:p>
    <w:p w14:paraId="52F55006" w14:textId="77777777" w:rsidR="00A27C22" w:rsidRPr="002B3D43" w:rsidRDefault="00A27C22" w:rsidP="00104F59">
      <w:pPr>
        <w:pStyle w:val="ListParagraph"/>
        <w:numPr>
          <w:ilvl w:val="0"/>
          <w:numId w:val="41"/>
        </w:numPr>
        <w:spacing w:after="120"/>
        <w:rPr>
          <w:rFonts w:asciiTheme="minorHAnsi" w:hAnsiTheme="minorHAnsi" w:cstheme="minorHAnsi"/>
          <w:color w:val="59595B"/>
          <w:szCs w:val="22"/>
          <w:lang w:val="en-GB"/>
        </w:rPr>
      </w:pPr>
      <w:r w:rsidRPr="002B3D43">
        <w:rPr>
          <w:rFonts w:asciiTheme="minorHAnsi" w:hAnsiTheme="minorHAnsi" w:cstheme="minorHAnsi"/>
          <w:color w:val="59595B"/>
          <w:szCs w:val="22"/>
          <w:lang w:val="en-GB"/>
        </w:rPr>
        <w:t>Condensed consolidated statement of profit or loss</w:t>
      </w:r>
    </w:p>
    <w:p w14:paraId="280BE5E6" w14:textId="77777777" w:rsidR="00A27C22" w:rsidRPr="002B3D43" w:rsidRDefault="00A27C22" w:rsidP="00104F59">
      <w:pPr>
        <w:pStyle w:val="ListParagraph"/>
        <w:numPr>
          <w:ilvl w:val="0"/>
          <w:numId w:val="41"/>
        </w:numPr>
        <w:spacing w:after="120"/>
        <w:rPr>
          <w:rFonts w:asciiTheme="minorHAnsi" w:hAnsiTheme="minorHAnsi" w:cstheme="minorHAnsi"/>
          <w:color w:val="59595B"/>
          <w:szCs w:val="22"/>
          <w:lang w:val="en-GB"/>
        </w:rPr>
      </w:pPr>
      <w:r w:rsidRPr="002B3D43">
        <w:rPr>
          <w:rFonts w:asciiTheme="minorHAnsi" w:hAnsiTheme="minorHAnsi" w:cstheme="minorHAnsi"/>
          <w:color w:val="59595B"/>
          <w:szCs w:val="22"/>
          <w:lang w:val="en-GB"/>
        </w:rPr>
        <w:t>Condensed consolidated statement of comprehensive income</w:t>
      </w:r>
    </w:p>
    <w:p w14:paraId="6B7F7BB9" w14:textId="1BBE2EA8" w:rsidR="00A27C22" w:rsidRPr="002B3D43" w:rsidRDefault="00A27C22" w:rsidP="00104F59">
      <w:pPr>
        <w:pStyle w:val="ListParagraph"/>
        <w:numPr>
          <w:ilvl w:val="0"/>
          <w:numId w:val="41"/>
        </w:numPr>
        <w:spacing w:after="120"/>
        <w:rPr>
          <w:rFonts w:asciiTheme="minorHAnsi" w:hAnsiTheme="minorHAnsi" w:cstheme="minorHAnsi"/>
          <w:color w:val="59595B"/>
          <w:szCs w:val="22"/>
          <w:lang w:val="en-GB"/>
        </w:rPr>
      </w:pPr>
      <w:r w:rsidRPr="002B3D43">
        <w:rPr>
          <w:rFonts w:asciiTheme="minorHAnsi" w:hAnsiTheme="minorHAnsi" w:cstheme="minorHAnsi"/>
          <w:color w:val="59595B"/>
          <w:szCs w:val="22"/>
          <w:lang w:val="en-GB"/>
        </w:rPr>
        <w:t xml:space="preserve">Condensed consolidated </w:t>
      </w:r>
      <w:r w:rsidR="00286312" w:rsidRPr="002B3D43">
        <w:rPr>
          <w:rFonts w:asciiTheme="minorHAnsi" w:hAnsiTheme="minorHAnsi" w:cstheme="minorHAnsi"/>
          <w:color w:val="59595B"/>
          <w:szCs w:val="22"/>
          <w:lang w:val="en-GB"/>
        </w:rPr>
        <w:t>statement of financial position</w:t>
      </w:r>
    </w:p>
    <w:p w14:paraId="14BA59E0" w14:textId="77777777" w:rsidR="00A27C22" w:rsidRPr="002B3D43" w:rsidRDefault="00A27C22" w:rsidP="00104F59">
      <w:pPr>
        <w:pStyle w:val="ListParagraph"/>
        <w:numPr>
          <w:ilvl w:val="0"/>
          <w:numId w:val="41"/>
        </w:numPr>
        <w:spacing w:after="120"/>
        <w:rPr>
          <w:rFonts w:asciiTheme="minorHAnsi" w:hAnsiTheme="minorHAnsi" w:cstheme="minorHAnsi"/>
          <w:color w:val="59595B"/>
          <w:szCs w:val="22"/>
          <w:lang w:val="en-GB"/>
        </w:rPr>
      </w:pPr>
      <w:r w:rsidRPr="002B3D43">
        <w:rPr>
          <w:rFonts w:asciiTheme="minorHAnsi" w:hAnsiTheme="minorHAnsi" w:cstheme="minorHAnsi"/>
          <w:color w:val="59595B"/>
          <w:szCs w:val="22"/>
          <w:lang w:val="en-GB"/>
        </w:rPr>
        <w:t>Condensed consolidated statement of changes in equity</w:t>
      </w:r>
    </w:p>
    <w:p w14:paraId="4C16AEFB" w14:textId="77777777" w:rsidR="00A27C22" w:rsidRPr="002B3D43" w:rsidRDefault="00A27C22" w:rsidP="00104F59">
      <w:pPr>
        <w:pStyle w:val="ListParagraph"/>
        <w:numPr>
          <w:ilvl w:val="0"/>
          <w:numId w:val="41"/>
        </w:numPr>
        <w:spacing w:after="120"/>
        <w:rPr>
          <w:rFonts w:asciiTheme="minorHAnsi" w:hAnsiTheme="minorHAnsi" w:cstheme="minorHAnsi"/>
          <w:color w:val="59595B"/>
          <w:szCs w:val="22"/>
          <w:lang w:val="en-GB"/>
        </w:rPr>
      </w:pPr>
      <w:r w:rsidRPr="002B3D43">
        <w:rPr>
          <w:rFonts w:asciiTheme="minorHAnsi" w:hAnsiTheme="minorHAnsi" w:cstheme="minorHAnsi"/>
          <w:color w:val="59595B"/>
          <w:szCs w:val="22"/>
          <w:lang w:val="en-GB"/>
        </w:rPr>
        <w:t>Condensed consolidated statement of cash flow</w:t>
      </w:r>
    </w:p>
    <w:p w14:paraId="485FF034" w14:textId="77777777" w:rsidR="00A27C22" w:rsidRPr="002B3D43" w:rsidRDefault="00A27C22" w:rsidP="00104F59">
      <w:pPr>
        <w:spacing w:after="120"/>
        <w:rPr>
          <w:rFonts w:asciiTheme="minorHAnsi" w:hAnsiTheme="minorHAnsi" w:cstheme="minorHAnsi"/>
          <w:b/>
          <w:color w:val="59595B"/>
          <w:szCs w:val="22"/>
          <w:lang w:val="en-GB"/>
        </w:rPr>
      </w:pPr>
      <w:r w:rsidRPr="002B3D43">
        <w:rPr>
          <w:rFonts w:asciiTheme="minorHAnsi" w:hAnsiTheme="minorHAnsi" w:cstheme="minorHAnsi"/>
          <w:color w:val="59595B"/>
          <w:szCs w:val="22"/>
          <w:lang w:val="en-GB"/>
        </w:rPr>
        <w:t>Notes to the condensed consolidated interim financial statements</w:t>
      </w:r>
    </w:p>
    <w:p w14:paraId="238EE60A" w14:textId="3F5FDF1F" w:rsidR="00A27C22" w:rsidRDefault="00A27C22" w:rsidP="00104F59">
      <w:pPr>
        <w:spacing w:after="120"/>
        <w:ind w:left="540" w:hanging="540"/>
        <w:rPr>
          <w:rFonts w:asciiTheme="minorHAnsi" w:hAnsiTheme="minorHAnsi" w:cstheme="minorHAnsi"/>
          <w:b/>
          <w:color w:val="59595B"/>
          <w:szCs w:val="22"/>
          <w:lang w:val="en-GB"/>
        </w:rPr>
      </w:pPr>
    </w:p>
    <w:p w14:paraId="5BFF876B" w14:textId="77777777" w:rsidR="00104F59" w:rsidRPr="002B3D43" w:rsidRDefault="00104F59" w:rsidP="00104F59">
      <w:pPr>
        <w:spacing w:after="120"/>
        <w:ind w:left="540" w:hanging="540"/>
        <w:rPr>
          <w:rFonts w:asciiTheme="minorHAnsi" w:hAnsiTheme="minorHAnsi" w:cstheme="minorHAnsi"/>
          <w:b/>
          <w:color w:val="59595B"/>
          <w:szCs w:val="22"/>
          <w:lang w:val="en-GB"/>
        </w:rPr>
      </w:pPr>
    </w:p>
    <w:p w14:paraId="17898E9B" w14:textId="127B9167" w:rsidR="00A27C22" w:rsidRPr="002B3D43" w:rsidRDefault="00104F59" w:rsidP="00104F59">
      <w:pPr>
        <w:spacing w:after="120"/>
        <w:ind w:left="540" w:hanging="540"/>
        <w:rPr>
          <w:rFonts w:asciiTheme="minorHAnsi" w:hAnsiTheme="minorHAnsi" w:cstheme="minorHAnsi"/>
          <w:b/>
          <w:color w:val="59595B"/>
          <w:szCs w:val="22"/>
          <w:lang w:val="en-GB"/>
        </w:rPr>
      </w:pPr>
      <w:r>
        <w:rPr>
          <w:rFonts w:asciiTheme="minorHAnsi" w:hAnsiTheme="minorHAnsi" w:cstheme="minorHAnsi"/>
          <w:b/>
          <w:color w:val="59595B"/>
          <w:szCs w:val="22"/>
          <w:lang w:val="en-GB"/>
        </w:rPr>
        <w:t>A</w:t>
      </w:r>
      <w:r w:rsidR="00A27C22" w:rsidRPr="002B3D43">
        <w:rPr>
          <w:rFonts w:asciiTheme="minorHAnsi" w:hAnsiTheme="minorHAnsi" w:cstheme="minorHAnsi"/>
          <w:b/>
          <w:color w:val="59595B"/>
          <w:szCs w:val="22"/>
          <w:lang w:val="en-GB"/>
        </w:rPr>
        <w:t xml:space="preserve">ppendix: Main Condensed Consolidated Interim Financial Statements reported in </w:t>
      </w:r>
      <w:r w:rsidR="00A27C22" w:rsidRPr="002B3D43">
        <w:rPr>
          <w:rFonts w:asciiTheme="minorHAnsi" w:hAnsiTheme="minorHAnsi" w:cstheme="minorHAnsi"/>
          <w:b/>
          <w:color w:val="59595B"/>
          <w:szCs w:val="22"/>
          <w:u w:val="single"/>
          <w:lang w:val="en-GB"/>
        </w:rPr>
        <w:t>US dollars</w:t>
      </w:r>
    </w:p>
    <w:p w14:paraId="13309984" w14:textId="77777777" w:rsidR="00A27C22" w:rsidRPr="001D0FE2" w:rsidRDefault="00A27C22" w:rsidP="00104F59">
      <w:pPr>
        <w:spacing w:after="120"/>
        <w:ind w:left="540" w:hanging="540"/>
        <w:rPr>
          <w:rFonts w:asciiTheme="minorHAnsi" w:hAnsiTheme="minorHAnsi" w:cstheme="minorHAnsi"/>
          <w:color w:val="0070C0"/>
          <w:szCs w:val="22"/>
          <w:lang w:val="en-GB"/>
        </w:rPr>
      </w:pPr>
      <w:r w:rsidRPr="001D0FE2">
        <w:rPr>
          <w:rFonts w:asciiTheme="minorHAnsi" w:hAnsiTheme="minorHAnsi" w:cstheme="minorHAnsi"/>
          <w:b/>
          <w:szCs w:val="22"/>
          <w:lang w:val="en-GB"/>
        </w:rPr>
        <w:br/>
      </w:r>
      <w:r w:rsidRPr="001D0FE2">
        <w:rPr>
          <w:rFonts w:asciiTheme="minorHAnsi" w:hAnsiTheme="minorHAnsi" w:cstheme="minorHAnsi"/>
          <w:color w:val="1C6194" w:themeColor="accent6" w:themeShade="BF"/>
          <w:szCs w:val="22"/>
          <w:lang w:val="en-GB"/>
        </w:rPr>
        <w:t>(This appendix is not part of the Condensed Consolidated Interim Financial Statements)</w:t>
      </w:r>
    </w:p>
    <w:p w14:paraId="4A7E2230" w14:textId="77777777" w:rsidR="00A27C22" w:rsidRPr="001D0FE2" w:rsidRDefault="00A27C22" w:rsidP="00104F59">
      <w:pPr>
        <w:spacing w:after="120"/>
        <w:ind w:left="540" w:hanging="540"/>
        <w:rPr>
          <w:rFonts w:asciiTheme="minorHAnsi" w:hAnsiTheme="minorHAnsi" w:cstheme="minorHAnsi"/>
          <w:b/>
          <w:szCs w:val="22"/>
          <w:lang w:val="en-GB"/>
        </w:rPr>
      </w:pPr>
    </w:p>
    <w:p w14:paraId="63F25EFB" w14:textId="6A10966E" w:rsidR="00A27C22" w:rsidRPr="00DC3886" w:rsidRDefault="00A27C22" w:rsidP="00104F59">
      <w:pPr>
        <w:pStyle w:val="ListParagraph"/>
        <w:numPr>
          <w:ilvl w:val="0"/>
          <w:numId w:val="40"/>
        </w:numPr>
        <w:spacing w:after="120"/>
        <w:rPr>
          <w:rFonts w:asciiTheme="minorHAnsi" w:hAnsiTheme="minorHAnsi" w:cstheme="minorHAnsi"/>
          <w:color w:val="59595B"/>
          <w:szCs w:val="22"/>
          <w:lang w:val="en-GB"/>
        </w:rPr>
      </w:pPr>
      <w:r w:rsidRPr="00DC3886">
        <w:rPr>
          <w:rFonts w:asciiTheme="minorHAnsi" w:hAnsiTheme="minorHAnsi" w:cstheme="minorHAnsi"/>
          <w:color w:val="59595B"/>
          <w:szCs w:val="22"/>
          <w:lang w:val="en-GB"/>
        </w:rPr>
        <w:t xml:space="preserve">Condensed consolidated statement of </w:t>
      </w:r>
      <w:r w:rsidR="00286312" w:rsidRPr="00DC3886">
        <w:rPr>
          <w:rFonts w:asciiTheme="minorHAnsi" w:hAnsiTheme="minorHAnsi" w:cstheme="minorHAnsi"/>
          <w:color w:val="59595B"/>
          <w:szCs w:val="22"/>
          <w:lang w:val="en-GB"/>
        </w:rPr>
        <w:t>profit or loss</w:t>
      </w:r>
      <w:r w:rsidRPr="00DC3886">
        <w:rPr>
          <w:rFonts w:asciiTheme="minorHAnsi" w:hAnsiTheme="minorHAnsi" w:cstheme="minorHAnsi"/>
          <w:color w:val="59595B"/>
          <w:szCs w:val="22"/>
          <w:lang w:val="en-GB"/>
        </w:rPr>
        <w:t xml:space="preserve"> in US Dollar</w:t>
      </w:r>
    </w:p>
    <w:p w14:paraId="6432B154" w14:textId="1967EB08" w:rsidR="00A27C22" w:rsidRPr="00DC3886" w:rsidRDefault="00A27C22" w:rsidP="00104F59">
      <w:pPr>
        <w:pStyle w:val="ListParagraph"/>
        <w:numPr>
          <w:ilvl w:val="0"/>
          <w:numId w:val="40"/>
        </w:numPr>
        <w:spacing w:after="120"/>
        <w:rPr>
          <w:rFonts w:asciiTheme="minorHAnsi" w:hAnsiTheme="minorHAnsi" w:cstheme="minorHAnsi"/>
          <w:color w:val="59595B"/>
          <w:szCs w:val="22"/>
          <w:lang w:val="en-GB"/>
        </w:rPr>
      </w:pPr>
      <w:r w:rsidRPr="00DC3886">
        <w:rPr>
          <w:rFonts w:asciiTheme="minorHAnsi" w:hAnsiTheme="minorHAnsi" w:cstheme="minorHAnsi"/>
          <w:color w:val="59595B"/>
          <w:szCs w:val="22"/>
          <w:lang w:val="en-GB"/>
        </w:rPr>
        <w:t xml:space="preserve">Condensed consolidated </w:t>
      </w:r>
      <w:r w:rsidR="00286312" w:rsidRPr="00DC3886">
        <w:rPr>
          <w:rFonts w:asciiTheme="minorHAnsi" w:hAnsiTheme="minorHAnsi" w:cstheme="minorHAnsi"/>
          <w:color w:val="59595B"/>
          <w:szCs w:val="22"/>
          <w:lang w:val="en-GB"/>
        </w:rPr>
        <w:t xml:space="preserve">statement of financial position </w:t>
      </w:r>
      <w:r w:rsidRPr="00DC3886">
        <w:rPr>
          <w:rFonts w:asciiTheme="minorHAnsi" w:hAnsiTheme="minorHAnsi" w:cstheme="minorHAnsi"/>
          <w:color w:val="59595B"/>
          <w:szCs w:val="22"/>
          <w:lang w:val="en-GB"/>
        </w:rPr>
        <w:t>in US Dollar</w:t>
      </w:r>
    </w:p>
    <w:p w14:paraId="07C9BDCF" w14:textId="77777777" w:rsidR="00A27C22" w:rsidRPr="001D0FE2" w:rsidRDefault="00A27C22" w:rsidP="00104F59">
      <w:pPr>
        <w:pStyle w:val="ListParagraph"/>
        <w:numPr>
          <w:ilvl w:val="0"/>
          <w:numId w:val="40"/>
        </w:numPr>
        <w:spacing w:after="120"/>
        <w:rPr>
          <w:rFonts w:asciiTheme="minorHAnsi" w:hAnsiTheme="minorHAnsi" w:cstheme="minorHAnsi"/>
          <w:b/>
          <w:szCs w:val="22"/>
          <w:lang w:val="en-GB"/>
        </w:rPr>
      </w:pPr>
      <w:r w:rsidRPr="00DC3886">
        <w:rPr>
          <w:rFonts w:asciiTheme="minorHAnsi" w:hAnsiTheme="minorHAnsi" w:cstheme="minorHAnsi"/>
          <w:color w:val="59595B"/>
          <w:szCs w:val="22"/>
          <w:lang w:val="en-GB"/>
        </w:rPr>
        <w:t>Condensed consolidated statement of cash flows in US Dollar</w:t>
      </w:r>
      <w:r w:rsidRPr="001D0FE2">
        <w:rPr>
          <w:rFonts w:asciiTheme="minorHAnsi" w:hAnsiTheme="minorHAnsi" w:cstheme="minorHAnsi"/>
          <w:b/>
          <w:szCs w:val="22"/>
          <w:lang w:val="en-GB"/>
        </w:rPr>
        <w:br w:type="page"/>
      </w:r>
    </w:p>
    <w:p w14:paraId="61835CF4" w14:textId="42B0490E" w:rsidR="00A27C22" w:rsidRPr="001D0FE2" w:rsidRDefault="00A27C22" w:rsidP="00A27C22">
      <w:pPr>
        <w:rPr>
          <w:rFonts w:asciiTheme="minorHAnsi" w:eastAsiaTheme="majorEastAsia" w:hAnsiTheme="minorHAnsi" w:cstheme="minorHAnsi"/>
          <w:b/>
          <w:color w:val="59595B"/>
          <w:szCs w:val="28"/>
          <w:lang w:val="en-GB" w:eastAsia="zh-CN"/>
        </w:rPr>
      </w:pPr>
      <w:r w:rsidRPr="002D6138">
        <w:rPr>
          <w:rFonts w:asciiTheme="minorHAnsi" w:eastAsiaTheme="majorEastAsia" w:hAnsiTheme="minorHAnsi" w:cstheme="minorHAnsi"/>
          <w:b/>
          <w:color w:val="59595B"/>
          <w:szCs w:val="28"/>
          <w:lang w:val="en-GB" w:eastAsia="zh-CN"/>
        </w:rPr>
        <w:lastRenderedPageBreak/>
        <w:t xml:space="preserve">Condensed Consolidated Statement of </w:t>
      </w:r>
      <w:r w:rsidR="00286312" w:rsidRPr="002D6138">
        <w:rPr>
          <w:rFonts w:asciiTheme="minorHAnsi" w:eastAsiaTheme="majorEastAsia" w:hAnsiTheme="minorHAnsi" w:cstheme="minorHAnsi"/>
          <w:b/>
          <w:color w:val="59595B"/>
          <w:szCs w:val="28"/>
          <w:lang w:val="en-GB" w:eastAsia="zh-CN"/>
        </w:rPr>
        <w:t>Profit or Loss</w:t>
      </w:r>
      <w:r w:rsidRPr="002D6138">
        <w:rPr>
          <w:rFonts w:asciiTheme="minorHAnsi" w:eastAsiaTheme="majorEastAsia" w:hAnsiTheme="minorHAnsi" w:cstheme="minorHAnsi"/>
          <w:b/>
          <w:color w:val="59595B"/>
          <w:szCs w:val="28"/>
          <w:lang w:val="en-GB" w:eastAsia="zh-CN"/>
        </w:rPr>
        <w:t xml:space="preserve"> </w:t>
      </w:r>
      <w:r w:rsidRPr="001D0FE2">
        <w:rPr>
          <w:rFonts w:asciiTheme="minorHAnsi" w:eastAsiaTheme="majorEastAsia" w:hAnsiTheme="minorHAnsi" w:cstheme="minorHAnsi"/>
          <w:b/>
          <w:color w:val="59595B"/>
          <w:szCs w:val="28"/>
          <w:lang w:val="en-GB" w:eastAsia="zh-CN"/>
        </w:rPr>
        <w:tab/>
      </w:r>
      <w:r w:rsidRPr="001D0FE2">
        <w:rPr>
          <w:rFonts w:asciiTheme="minorHAnsi" w:eastAsiaTheme="majorEastAsia" w:hAnsiTheme="minorHAnsi" w:cstheme="minorHAnsi"/>
          <w:b/>
          <w:color w:val="59595B"/>
          <w:szCs w:val="28"/>
          <w:lang w:val="en-GB" w:eastAsia="zh-CN"/>
        </w:rPr>
        <w:tab/>
      </w:r>
      <w:r w:rsidRPr="001D0FE2">
        <w:rPr>
          <w:rFonts w:asciiTheme="minorHAnsi" w:eastAsiaTheme="majorEastAsia" w:hAnsiTheme="minorHAnsi" w:cstheme="minorHAnsi"/>
          <w:b/>
          <w:color w:val="59595B"/>
          <w:szCs w:val="28"/>
          <w:lang w:val="en-GB" w:eastAsia="zh-CN"/>
        </w:rPr>
        <w:tab/>
      </w:r>
      <w:r w:rsidRPr="001D0FE2">
        <w:rPr>
          <w:rFonts w:asciiTheme="minorHAnsi" w:eastAsiaTheme="majorEastAsia" w:hAnsiTheme="minorHAnsi" w:cstheme="minorHAnsi"/>
          <w:b/>
          <w:color w:val="59595B"/>
          <w:szCs w:val="28"/>
          <w:lang w:val="en-GB" w:eastAsia="zh-CN"/>
        </w:rPr>
        <w:tab/>
      </w:r>
    </w:p>
    <w:p w14:paraId="0791E3AC" w14:textId="77777777" w:rsidR="00A27C22" w:rsidRPr="002D6138" w:rsidRDefault="00A27C22" w:rsidP="00A27C22">
      <w:pPr>
        <w:rPr>
          <w:rFonts w:asciiTheme="minorHAnsi" w:hAnsiTheme="minorHAnsi" w:cstheme="minorHAnsi"/>
          <w:lang w:val="en-GB"/>
        </w:rPr>
      </w:pPr>
      <w:r w:rsidRPr="002D6138">
        <w:rPr>
          <w:rFonts w:asciiTheme="minorHAnsi" w:hAnsiTheme="minorHAnsi" w:cstheme="minorHAnsi"/>
          <w:lang w:val="en-GB"/>
        </w:rPr>
        <w:t>For the period ended 30 June</w:t>
      </w:r>
    </w:p>
    <w:p w14:paraId="02D7E799" w14:textId="77777777" w:rsidR="00A27C22" w:rsidRPr="001D0FE2" w:rsidRDefault="00A27C22" w:rsidP="00A27C22">
      <w:pPr>
        <w:rPr>
          <w:rFonts w:asciiTheme="minorHAnsi" w:hAnsiTheme="minorHAnsi" w:cstheme="minorHAnsi"/>
          <w:color w:val="1C6194" w:themeColor="accent6" w:themeShade="BF"/>
          <w:lang w:val="en-GB"/>
        </w:rPr>
      </w:pPr>
    </w:p>
    <w:tbl>
      <w:tblPr>
        <w:tblW w:w="9072" w:type="dxa"/>
        <w:tblLook w:val="04A0" w:firstRow="1" w:lastRow="0" w:firstColumn="1" w:lastColumn="0" w:noHBand="0" w:noVBand="1"/>
      </w:tblPr>
      <w:tblGrid>
        <w:gridCol w:w="4667"/>
        <w:gridCol w:w="645"/>
        <w:gridCol w:w="1880"/>
        <w:gridCol w:w="1880"/>
      </w:tblGrid>
      <w:tr w:rsidR="00A27C22" w:rsidRPr="001D0FE2" w14:paraId="35F101E0" w14:textId="77777777" w:rsidTr="00B81D69">
        <w:trPr>
          <w:trHeight w:val="613"/>
        </w:trPr>
        <w:tc>
          <w:tcPr>
            <w:tcW w:w="6340" w:type="dxa"/>
            <w:tcBorders>
              <w:top w:val="nil"/>
              <w:left w:val="nil"/>
              <w:bottom w:val="single" w:sz="8" w:space="0" w:color="BFBFBF"/>
              <w:right w:val="nil"/>
            </w:tcBorders>
            <w:shd w:val="clear" w:color="000000" w:fill="366092"/>
            <w:vAlign w:val="center"/>
            <w:hideMark/>
          </w:tcPr>
          <w:p w14:paraId="2FDC8F35"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680" w:type="dxa"/>
            <w:tcBorders>
              <w:top w:val="nil"/>
              <w:left w:val="nil"/>
              <w:bottom w:val="single" w:sz="8" w:space="0" w:color="BFBFBF"/>
              <w:right w:val="nil"/>
            </w:tcBorders>
            <w:shd w:val="clear" w:color="000000" w:fill="366092"/>
            <w:vAlign w:val="center"/>
            <w:hideMark/>
          </w:tcPr>
          <w:p w14:paraId="3B6EA7B1" w14:textId="77777777" w:rsidR="00A27C22" w:rsidRPr="001D0FE2" w:rsidRDefault="00A27C22" w:rsidP="00B81D69">
            <w:pPr>
              <w:jc w:val="center"/>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notes</w:t>
            </w:r>
          </w:p>
        </w:tc>
        <w:tc>
          <w:tcPr>
            <w:tcW w:w="1880" w:type="dxa"/>
            <w:tcBorders>
              <w:top w:val="nil"/>
              <w:left w:val="nil"/>
              <w:bottom w:val="single" w:sz="8" w:space="0" w:color="BFBFBF"/>
              <w:right w:val="nil"/>
            </w:tcBorders>
            <w:shd w:val="clear" w:color="000000" w:fill="366092"/>
            <w:vAlign w:val="center"/>
            <w:hideMark/>
          </w:tcPr>
          <w:p w14:paraId="1F240E10"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2020</w:t>
            </w:r>
          </w:p>
        </w:tc>
        <w:tc>
          <w:tcPr>
            <w:tcW w:w="1880" w:type="dxa"/>
            <w:tcBorders>
              <w:top w:val="nil"/>
              <w:left w:val="nil"/>
              <w:bottom w:val="nil"/>
              <w:right w:val="nil"/>
            </w:tcBorders>
            <w:shd w:val="clear" w:color="000000" w:fill="366092"/>
            <w:vAlign w:val="center"/>
            <w:hideMark/>
          </w:tcPr>
          <w:p w14:paraId="453C50B5"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2019</w:t>
            </w:r>
          </w:p>
        </w:tc>
      </w:tr>
      <w:tr w:rsidR="00A27C22" w:rsidRPr="001D0FE2" w14:paraId="29455F25" w14:textId="77777777" w:rsidTr="00B81D69">
        <w:trPr>
          <w:trHeight w:val="208"/>
        </w:trPr>
        <w:tc>
          <w:tcPr>
            <w:tcW w:w="6340" w:type="dxa"/>
            <w:tcBorders>
              <w:top w:val="nil"/>
              <w:left w:val="single" w:sz="8" w:space="0" w:color="BFBFBF"/>
              <w:bottom w:val="nil"/>
              <w:right w:val="single" w:sz="8" w:space="0" w:color="BFBFBF"/>
            </w:tcBorders>
            <w:shd w:val="clear" w:color="000000" w:fill="FFFFFF"/>
            <w:vAlign w:val="center"/>
            <w:hideMark/>
          </w:tcPr>
          <w:p w14:paraId="79E1CB35"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680" w:type="dxa"/>
            <w:tcBorders>
              <w:top w:val="nil"/>
              <w:left w:val="nil"/>
              <w:bottom w:val="nil"/>
              <w:right w:val="single" w:sz="8" w:space="0" w:color="BFBFBF"/>
            </w:tcBorders>
            <w:shd w:val="clear" w:color="000000" w:fill="FFFFFF"/>
            <w:vAlign w:val="center"/>
            <w:hideMark/>
          </w:tcPr>
          <w:p w14:paraId="663DB27A" w14:textId="77777777" w:rsidR="00A27C22" w:rsidRPr="001D0FE2" w:rsidRDefault="00A27C22" w:rsidP="00B81D69">
            <w:pPr>
              <w:jc w:val="center"/>
              <w:rPr>
                <w:rFonts w:asciiTheme="minorHAnsi" w:hAnsiTheme="minorHAnsi" w:cstheme="minorHAnsi"/>
                <w:color w:val="808080"/>
                <w:sz w:val="18"/>
                <w:szCs w:val="18"/>
                <w:lang w:val="en-GB"/>
              </w:rPr>
            </w:pPr>
            <w:r w:rsidRPr="001D0FE2">
              <w:rPr>
                <w:rFonts w:asciiTheme="minorHAnsi" w:hAnsiTheme="minorHAnsi" w:cstheme="minorHAnsi"/>
                <w:color w:val="808080"/>
                <w:sz w:val="18"/>
                <w:szCs w:val="18"/>
                <w:lang w:val="en-GB"/>
              </w:rPr>
              <w:t> </w:t>
            </w:r>
          </w:p>
        </w:tc>
        <w:tc>
          <w:tcPr>
            <w:tcW w:w="1880" w:type="dxa"/>
            <w:tcBorders>
              <w:top w:val="nil"/>
              <w:left w:val="nil"/>
              <w:bottom w:val="nil"/>
              <w:right w:val="single" w:sz="8" w:space="0" w:color="BFBFBF"/>
            </w:tcBorders>
            <w:shd w:val="clear" w:color="000000" w:fill="DCE6F1"/>
            <w:noWrap/>
            <w:vAlign w:val="bottom"/>
            <w:hideMark/>
          </w:tcPr>
          <w:p w14:paraId="67F4E6D5" w14:textId="77777777" w:rsidR="00A27C22" w:rsidRPr="001D0FE2" w:rsidRDefault="00A27C22" w:rsidP="00B81D69">
            <w:pPr>
              <w:jc w:val="left"/>
              <w:rPr>
                <w:rFonts w:asciiTheme="minorHAnsi" w:hAnsiTheme="minorHAnsi" w:cstheme="minorHAnsi"/>
                <w:color w:val="00B0F0"/>
                <w:sz w:val="20"/>
                <w:szCs w:val="20"/>
                <w:lang w:val="en-GB"/>
              </w:rPr>
            </w:pPr>
            <w:r w:rsidRPr="001D0FE2">
              <w:rPr>
                <w:rFonts w:asciiTheme="minorHAnsi" w:hAnsiTheme="minorHAnsi" w:cstheme="minorHAnsi"/>
                <w:color w:val="00B0F0"/>
                <w:sz w:val="20"/>
                <w:szCs w:val="20"/>
                <w:lang w:val="en-GB"/>
              </w:rPr>
              <w:t> </w:t>
            </w:r>
          </w:p>
        </w:tc>
        <w:tc>
          <w:tcPr>
            <w:tcW w:w="1880" w:type="dxa"/>
            <w:tcBorders>
              <w:top w:val="single" w:sz="8" w:space="0" w:color="BFBFBF"/>
              <w:left w:val="nil"/>
              <w:bottom w:val="nil"/>
              <w:right w:val="single" w:sz="8" w:space="0" w:color="BFBFBF"/>
            </w:tcBorders>
            <w:shd w:val="clear" w:color="auto" w:fill="auto"/>
            <w:noWrap/>
            <w:vAlign w:val="bottom"/>
            <w:hideMark/>
          </w:tcPr>
          <w:p w14:paraId="39486487"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73520C64" w14:textId="77777777" w:rsidTr="00B81D69">
        <w:trPr>
          <w:trHeight w:val="390"/>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655FC895"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Revenues</w:t>
            </w:r>
          </w:p>
        </w:tc>
        <w:tc>
          <w:tcPr>
            <w:tcW w:w="680" w:type="dxa"/>
            <w:tcBorders>
              <w:top w:val="nil"/>
              <w:left w:val="nil"/>
              <w:bottom w:val="single" w:sz="8" w:space="0" w:color="BFBFBF"/>
              <w:right w:val="single" w:sz="8" w:space="0" w:color="BFBFBF"/>
            </w:tcBorders>
            <w:shd w:val="clear" w:color="000000" w:fill="FFFFFF"/>
            <w:vAlign w:val="center"/>
            <w:hideMark/>
          </w:tcPr>
          <w:p w14:paraId="269EFA89" w14:textId="77777777" w:rsidR="00A27C22" w:rsidRPr="002D6138" w:rsidRDefault="00A27C22" w:rsidP="00B81D69">
            <w:pPr>
              <w:jc w:val="center"/>
              <w:rPr>
                <w:rFonts w:asciiTheme="minorHAnsi" w:hAnsiTheme="minorHAnsi" w:cstheme="minorHAnsi"/>
                <w:sz w:val="18"/>
                <w:szCs w:val="18"/>
                <w:lang w:val="en-GB"/>
              </w:rPr>
            </w:pPr>
            <w:r w:rsidRPr="002D6138">
              <w:rPr>
                <w:rFonts w:asciiTheme="minorHAnsi" w:hAnsiTheme="minorHAnsi" w:cstheme="minorHAnsi"/>
                <w:color w:val="59595B"/>
                <w:sz w:val="18"/>
                <w:szCs w:val="18"/>
                <w:lang w:val="en-GB"/>
              </w:rPr>
              <w:t xml:space="preserve">7 </w:t>
            </w:r>
          </w:p>
        </w:tc>
        <w:tc>
          <w:tcPr>
            <w:tcW w:w="1880" w:type="dxa"/>
            <w:tcBorders>
              <w:top w:val="nil"/>
              <w:left w:val="nil"/>
              <w:bottom w:val="single" w:sz="8" w:space="0" w:color="BFBFBF"/>
              <w:right w:val="single" w:sz="8" w:space="0" w:color="BFBFBF"/>
            </w:tcBorders>
            <w:shd w:val="clear" w:color="000000" w:fill="DCE6F1"/>
            <w:noWrap/>
            <w:vAlign w:val="center"/>
            <w:hideMark/>
          </w:tcPr>
          <w:p w14:paraId="3BFE1DA8"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88.593 </w:t>
            </w:r>
          </w:p>
        </w:tc>
        <w:tc>
          <w:tcPr>
            <w:tcW w:w="1880" w:type="dxa"/>
            <w:tcBorders>
              <w:top w:val="nil"/>
              <w:left w:val="nil"/>
              <w:bottom w:val="single" w:sz="8" w:space="0" w:color="BFBFBF"/>
              <w:right w:val="single" w:sz="8" w:space="0" w:color="BFBFBF"/>
            </w:tcBorders>
            <w:shd w:val="clear" w:color="auto" w:fill="auto"/>
            <w:noWrap/>
            <w:vAlign w:val="center"/>
            <w:hideMark/>
          </w:tcPr>
          <w:p w14:paraId="1EC47F3D" w14:textId="77777777" w:rsidR="00A27C22" w:rsidRPr="002D6138" w:rsidRDefault="00A27C22" w:rsidP="00B81D69">
            <w:pPr>
              <w:jc w:val="righ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77.935 </w:t>
            </w:r>
          </w:p>
        </w:tc>
      </w:tr>
      <w:tr w:rsidR="00A27C22" w:rsidRPr="001D0FE2" w14:paraId="1C12F2F0" w14:textId="77777777" w:rsidTr="00B81D69">
        <w:trPr>
          <w:trHeight w:val="390"/>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2DB2523D"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Costs of sales</w:t>
            </w:r>
          </w:p>
        </w:tc>
        <w:tc>
          <w:tcPr>
            <w:tcW w:w="680" w:type="dxa"/>
            <w:tcBorders>
              <w:top w:val="nil"/>
              <w:left w:val="nil"/>
              <w:bottom w:val="single" w:sz="8" w:space="0" w:color="BFBFBF"/>
              <w:right w:val="single" w:sz="8" w:space="0" w:color="BFBFBF"/>
            </w:tcBorders>
            <w:shd w:val="clear" w:color="000000" w:fill="FFFFFF"/>
            <w:vAlign w:val="center"/>
            <w:hideMark/>
          </w:tcPr>
          <w:p w14:paraId="2D09B605"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8 </w:t>
            </w:r>
          </w:p>
        </w:tc>
        <w:tc>
          <w:tcPr>
            <w:tcW w:w="1880" w:type="dxa"/>
            <w:tcBorders>
              <w:top w:val="nil"/>
              <w:left w:val="nil"/>
              <w:bottom w:val="single" w:sz="8" w:space="0" w:color="BFBFBF"/>
              <w:right w:val="single" w:sz="8" w:space="0" w:color="BFBFBF"/>
            </w:tcBorders>
            <w:shd w:val="clear" w:color="000000" w:fill="DCE6F1"/>
            <w:noWrap/>
            <w:vAlign w:val="center"/>
            <w:hideMark/>
          </w:tcPr>
          <w:p w14:paraId="689898B5"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(9.858)</w:t>
            </w:r>
          </w:p>
        </w:tc>
        <w:tc>
          <w:tcPr>
            <w:tcW w:w="1880" w:type="dxa"/>
            <w:tcBorders>
              <w:top w:val="nil"/>
              <w:left w:val="nil"/>
              <w:bottom w:val="single" w:sz="8" w:space="0" w:color="BFBFBF"/>
              <w:right w:val="single" w:sz="8" w:space="0" w:color="BFBFBF"/>
            </w:tcBorders>
            <w:shd w:val="clear" w:color="auto" w:fill="auto"/>
            <w:noWrap/>
            <w:vAlign w:val="center"/>
            <w:hideMark/>
          </w:tcPr>
          <w:p w14:paraId="41274F1D"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(10.956)</w:t>
            </w:r>
          </w:p>
        </w:tc>
      </w:tr>
      <w:tr w:rsidR="00A27C22" w:rsidRPr="001D0FE2" w14:paraId="32DA1CF2" w14:textId="77777777" w:rsidTr="00B81D69">
        <w:trPr>
          <w:trHeight w:val="390"/>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1DFEAE24"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Gross profit</w:t>
            </w:r>
          </w:p>
        </w:tc>
        <w:tc>
          <w:tcPr>
            <w:tcW w:w="680" w:type="dxa"/>
            <w:tcBorders>
              <w:top w:val="nil"/>
              <w:left w:val="nil"/>
              <w:bottom w:val="single" w:sz="8" w:space="0" w:color="BFBFBF"/>
              <w:right w:val="single" w:sz="8" w:space="0" w:color="BFBFBF"/>
            </w:tcBorders>
            <w:shd w:val="clear" w:color="000000" w:fill="FFFFFF"/>
            <w:vAlign w:val="center"/>
            <w:hideMark/>
          </w:tcPr>
          <w:p w14:paraId="4E6B6375" w14:textId="77777777" w:rsidR="00A27C22" w:rsidRPr="002D6138" w:rsidRDefault="00A27C22" w:rsidP="00B81D69">
            <w:pPr>
              <w:jc w:val="center"/>
              <w:rPr>
                <w:rFonts w:asciiTheme="minorHAnsi" w:hAnsiTheme="minorHAnsi" w:cstheme="minorHAnsi"/>
                <w:sz w:val="18"/>
                <w:szCs w:val="18"/>
                <w:lang w:val="en-GB"/>
              </w:rPr>
            </w:pPr>
            <w:r w:rsidRPr="002D6138">
              <w:rPr>
                <w:rFonts w:asciiTheme="minorHAnsi" w:hAnsiTheme="minorHAnsi" w:cstheme="minorHAnsi"/>
                <w:sz w:val="18"/>
                <w:szCs w:val="18"/>
                <w:lang w:val="en-GB"/>
              </w:rPr>
              <w:t> </w:t>
            </w:r>
          </w:p>
        </w:tc>
        <w:tc>
          <w:tcPr>
            <w:tcW w:w="1880" w:type="dxa"/>
            <w:tcBorders>
              <w:top w:val="nil"/>
              <w:left w:val="nil"/>
              <w:bottom w:val="single" w:sz="8" w:space="0" w:color="BFBFBF"/>
              <w:right w:val="single" w:sz="8" w:space="0" w:color="BFBFBF"/>
            </w:tcBorders>
            <w:shd w:val="clear" w:color="000000" w:fill="DCE6F1"/>
            <w:noWrap/>
            <w:vAlign w:val="center"/>
            <w:hideMark/>
          </w:tcPr>
          <w:p w14:paraId="08D36B2E"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78.735 </w:t>
            </w:r>
          </w:p>
        </w:tc>
        <w:tc>
          <w:tcPr>
            <w:tcW w:w="1880" w:type="dxa"/>
            <w:tcBorders>
              <w:top w:val="nil"/>
              <w:left w:val="nil"/>
              <w:bottom w:val="single" w:sz="8" w:space="0" w:color="D9D9D9"/>
              <w:right w:val="single" w:sz="8" w:space="0" w:color="BFBFBF"/>
            </w:tcBorders>
            <w:shd w:val="clear" w:color="auto" w:fill="auto"/>
            <w:noWrap/>
            <w:vAlign w:val="center"/>
            <w:hideMark/>
          </w:tcPr>
          <w:p w14:paraId="31C377DD"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66.979 </w:t>
            </w:r>
          </w:p>
        </w:tc>
      </w:tr>
      <w:tr w:rsidR="00A27C22" w:rsidRPr="001D0FE2" w14:paraId="46B1D737" w14:textId="77777777" w:rsidTr="00B81D69">
        <w:trPr>
          <w:trHeight w:val="390"/>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74954A93"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Other income</w:t>
            </w:r>
          </w:p>
        </w:tc>
        <w:tc>
          <w:tcPr>
            <w:tcW w:w="680" w:type="dxa"/>
            <w:tcBorders>
              <w:top w:val="nil"/>
              <w:left w:val="nil"/>
              <w:bottom w:val="single" w:sz="8" w:space="0" w:color="BFBFBF"/>
              <w:right w:val="single" w:sz="8" w:space="0" w:color="BFBFBF"/>
            </w:tcBorders>
            <w:shd w:val="clear" w:color="000000" w:fill="FFFFFF"/>
            <w:vAlign w:val="center"/>
            <w:hideMark/>
          </w:tcPr>
          <w:p w14:paraId="1E5AE15D"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880" w:type="dxa"/>
            <w:tcBorders>
              <w:top w:val="nil"/>
              <w:left w:val="nil"/>
              <w:bottom w:val="single" w:sz="8" w:space="0" w:color="BFBFBF"/>
              <w:right w:val="single" w:sz="8" w:space="0" w:color="BFBFBF"/>
            </w:tcBorders>
            <w:shd w:val="clear" w:color="000000" w:fill="DCE6F1"/>
            <w:noWrap/>
            <w:vAlign w:val="center"/>
            <w:hideMark/>
          </w:tcPr>
          <w:p w14:paraId="1F847F49"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475 </w:t>
            </w:r>
          </w:p>
        </w:tc>
        <w:tc>
          <w:tcPr>
            <w:tcW w:w="1880" w:type="dxa"/>
            <w:tcBorders>
              <w:top w:val="nil"/>
              <w:left w:val="nil"/>
              <w:bottom w:val="single" w:sz="8" w:space="0" w:color="BFBFBF"/>
              <w:right w:val="single" w:sz="8" w:space="0" w:color="BFBFBF"/>
            </w:tcBorders>
            <w:shd w:val="clear" w:color="auto" w:fill="auto"/>
            <w:noWrap/>
            <w:vAlign w:val="center"/>
            <w:hideMark/>
          </w:tcPr>
          <w:p w14:paraId="3913C679"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148 </w:t>
            </w:r>
          </w:p>
        </w:tc>
      </w:tr>
      <w:tr w:rsidR="00A27C22" w:rsidRPr="001D0FE2" w14:paraId="095A6612" w14:textId="77777777" w:rsidTr="00B81D69">
        <w:trPr>
          <w:trHeight w:val="313"/>
        </w:trPr>
        <w:tc>
          <w:tcPr>
            <w:tcW w:w="6340" w:type="dxa"/>
            <w:tcBorders>
              <w:top w:val="nil"/>
              <w:left w:val="single" w:sz="8" w:space="0" w:color="BFBFBF"/>
              <w:bottom w:val="nil"/>
              <w:right w:val="single" w:sz="8" w:space="0" w:color="BFBFBF"/>
            </w:tcBorders>
            <w:shd w:val="clear" w:color="auto" w:fill="auto"/>
            <w:vAlign w:val="center"/>
            <w:hideMark/>
          </w:tcPr>
          <w:p w14:paraId="2F9A28DB"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Research and development</w:t>
            </w:r>
          </w:p>
        </w:tc>
        <w:tc>
          <w:tcPr>
            <w:tcW w:w="680" w:type="dxa"/>
            <w:tcBorders>
              <w:top w:val="nil"/>
              <w:left w:val="nil"/>
              <w:bottom w:val="nil"/>
              <w:right w:val="single" w:sz="8" w:space="0" w:color="BFBFBF"/>
            </w:tcBorders>
            <w:shd w:val="clear" w:color="auto" w:fill="auto"/>
            <w:vAlign w:val="center"/>
            <w:hideMark/>
          </w:tcPr>
          <w:p w14:paraId="481E2529"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880" w:type="dxa"/>
            <w:tcBorders>
              <w:top w:val="nil"/>
              <w:left w:val="nil"/>
              <w:bottom w:val="nil"/>
              <w:right w:val="single" w:sz="8" w:space="0" w:color="BFBFBF"/>
            </w:tcBorders>
            <w:shd w:val="clear" w:color="000000" w:fill="DCE6F1"/>
            <w:noWrap/>
            <w:vAlign w:val="bottom"/>
            <w:hideMark/>
          </w:tcPr>
          <w:p w14:paraId="47847A4C"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(15.991)</w:t>
            </w:r>
          </w:p>
        </w:tc>
        <w:tc>
          <w:tcPr>
            <w:tcW w:w="1880" w:type="dxa"/>
            <w:tcBorders>
              <w:top w:val="nil"/>
              <w:left w:val="nil"/>
              <w:bottom w:val="nil"/>
              <w:right w:val="single" w:sz="8" w:space="0" w:color="BFBFBF"/>
            </w:tcBorders>
            <w:shd w:val="clear" w:color="auto" w:fill="auto"/>
            <w:noWrap/>
            <w:vAlign w:val="bottom"/>
            <w:hideMark/>
          </w:tcPr>
          <w:p w14:paraId="40549EBC"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(14.877)</w:t>
            </w:r>
          </w:p>
        </w:tc>
      </w:tr>
      <w:tr w:rsidR="00A27C22" w:rsidRPr="001D0FE2" w14:paraId="67EA99FC" w14:textId="77777777" w:rsidTr="00B81D69">
        <w:trPr>
          <w:trHeight w:val="313"/>
        </w:trPr>
        <w:tc>
          <w:tcPr>
            <w:tcW w:w="6340" w:type="dxa"/>
            <w:tcBorders>
              <w:top w:val="nil"/>
              <w:left w:val="single" w:sz="8" w:space="0" w:color="BFBFBF"/>
              <w:bottom w:val="nil"/>
              <w:right w:val="single" w:sz="8" w:space="0" w:color="BFBFBF"/>
            </w:tcBorders>
            <w:shd w:val="clear" w:color="auto" w:fill="auto"/>
            <w:vAlign w:val="center"/>
            <w:hideMark/>
          </w:tcPr>
          <w:p w14:paraId="6C0A76DC"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General and administrative</w:t>
            </w:r>
          </w:p>
        </w:tc>
        <w:tc>
          <w:tcPr>
            <w:tcW w:w="680" w:type="dxa"/>
            <w:tcBorders>
              <w:top w:val="nil"/>
              <w:left w:val="nil"/>
              <w:bottom w:val="nil"/>
              <w:right w:val="single" w:sz="8" w:space="0" w:color="BFBFBF"/>
            </w:tcBorders>
            <w:shd w:val="clear" w:color="auto" w:fill="auto"/>
            <w:vAlign w:val="center"/>
            <w:hideMark/>
          </w:tcPr>
          <w:p w14:paraId="687ECA35"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880" w:type="dxa"/>
            <w:tcBorders>
              <w:top w:val="nil"/>
              <w:left w:val="nil"/>
              <w:bottom w:val="nil"/>
              <w:right w:val="single" w:sz="8" w:space="0" w:color="BFBFBF"/>
            </w:tcBorders>
            <w:shd w:val="clear" w:color="000000" w:fill="DCE6F1"/>
            <w:noWrap/>
            <w:vAlign w:val="bottom"/>
            <w:hideMark/>
          </w:tcPr>
          <w:p w14:paraId="63204FDC"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(8.917)</w:t>
            </w:r>
          </w:p>
        </w:tc>
        <w:tc>
          <w:tcPr>
            <w:tcW w:w="1880" w:type="dxa"/>
            <w:tcBorders>
              <w:top w:val="nil"/>
              <w:left w:val="nil"/>
              <w:bottom w:val="nil"/>
              <w:right w:val="single" w:sz="8" w:space="0" w:color="BFBFBF"/>
            </w:tcBorders>
            <w:shd w:val="clear" w:color="auto" w:fill="auto"/>
            <w:noWrap/>
            <w:vAlign w:val="bottom"/>
            <w:hideMark/>
          </w:tcPr>
          <w:p w14:paraId="69A48762"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(6.842)    </w:t>
            </w:r>
          </w:p>
        </w:tc>
      </w:tr>
      <w:tr w:rsidR="00A27C22" w:rsidRPr="001D0FE2" w14:paraId="59ED746F" w14:textId="77777777" w:rsidTr="00B81D69">
        <w:trPr>
          <w:trHeight w:val="313"/>
        </w:trPr>
        <w:tc>
          <w:tcPr>
            <w:tcW w:w="6340" w:type="dxa"/>
            <w:tcBorders>
              <w:top w:val="nil"/>
              <w:left w:val="single" w:sz="8" w:space="0" w:color="BFBFBF"/>
              <w:bottom w:val="single" w:sz="8" w:space="0" w:color="BFBFBF"/>
              <w:right w:val="single" w:sz="8" w:space="0" w:color="BFBFBF"/>
            </w:tcBorders>
            <w:shd w:val="clear" w:color="auto" w:fill="auto"/>
            <w:vAlign w:val="center"/>
            <w:hideMark/>
          </w:tcPr>
          <w:p w14:paraId="2E223B27"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Marketing and sales</w:t>
            </w:r>
          </w:p>
        </w:tc>
        <w:tc>
          <w:tcPr>
            <w:tcW w:w="680" w:type="dxa"/>
            <w:tcBorders>
              <w:top w:val="nil"/>
              <w:left w:val="nil"/>
              <w:bottom w:val="single" w:sz="8" w:space="0" w:color="BFBFBF"/>
              <w:right w:val="single" w:sz="8" w:space="0" w:color="BFBFBF"/>
            </w:tcBorders>
            <w:shd w:val="clear" w:color="auto" w:fill="auto"/>
            <w:vAlign w:val="center"/>
            <w:hideMark/>
          </w:tcPr>
          <w:p w14:paraId="72442281"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880" w:type="dxa"/>
            <w:tcBorders>
              <w:top w:val="nil"/>
              <w:left w:val="nil"/>
              <w:bottom w:val="single" w:sz="8" w:space="0" w:color="BFBFBF"/>
              <w:right w:val="single" w:sz="8" w:space="0" w:color="BFBFBF"/>
            </w:tcBorders>
            <w:shd w:val="clear" w:color="000000" w:fill="DCE6F1"/>
            <w:noWrap/>
            <w:vAlign w:val="bottom"/>
            <w:hideMark/>
          </w:tcPr>
          <w:p w14:paraId="3AEC98D0"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(21.991)</w:t>
            </w:r>
          </w:p>
        </w:tc>
        <w:tc>
          <w:tcPr>
            <w:tcW w:w="1880" w:type="dxa"/>
            <w:tcBorders>
              <w:top w:val="nil"/>
              <w:left w:val="nil"/>
              <w:bottom w:val="single" w:sz="8" w:space="0" w:color="BFBFBF"/>
              <w:right w:val="single" w:sz="8" w:space="0" w:color="BFBFBF"/>
            </w:tcBorders>
            <w:shd w:val="clear" w:color="auto" w:fill="auto"/>
            <w:noWrap/>
            <w:vAlign w:val="bottom"/>
            <w:hideMark/>
          </w:tcPr>
          <w:p w14:paraId="21AF3769"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(20.776)</w:t>
            </w:r>
          </w:p>
        </w:tc>
      </w:tr>
      <w:tr w:rsidR="00A27C22" w:rsidRPr="001D0FE2" w14:paraId="5BDAAAF2" w14:textId="77777777" w:rsidTr="00B81D69">
        <w:trPr>
          <w:trHeight w:val="390"/>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0598B67F"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Costs</w:t>
            </w:r>
          </w:p>
        </w:tc>
        <w:tc>
          <w:tcPr>
            <w:tcW w:w="680" w:type="dxa"/>
            <w:tcBorders>
              <w:top w:val="nil"/>
              <w:left w:val="nil"/>
              <w:bottom w:val="single" w:sz="8" w:space="0" w:color="BFBFBF"/>
              <w:right w:val="single" w:sz="8" w:space="0" w:color="BFBFBF"/>
            </w:tcBorders>
            <w:shd w:val="clear" w:color="000000" w:fill="FFFFFF"/>
            <w:vAlign w:val="center"/>
            <w:hideMark/>
          </w:tcPr>
          <w:p w14:paraId="4E9DD664"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8 </w:t>
            </w:r>
          </w:p>
        </w:tc>
        <w:tc>
          <w:tcPr>
            <w:tcW w:w="1880" w:type="dxa"/>
            <w:tcBorders>
              <w:top w:val="nil"/>
              <w:left w:val="nil"/>
              <w:bottom w:val="single" w:sz="8" w:space="0" w:color="BFBFBF"/>
              <w:right w:val="single" w:sz="8" w:space="0" w:color="BFBFBF"/>
            </w:tcBorders>
            <w:shd w:val="clear" w:color="000000" w:fill="DCE6F1"/>
            <w:noWrap/>
            <w:vAlign w:val="center"/>
            <w:hideMark/>
          </w:tcPr>
          <w:p w14:paraId="18369345"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(46.899)</w:t>
            </w:r>
          </w:p>
        </w:tc>
        <w:tc>
          <w:tcPr>
            <w:tcW w:w="1880" w:type="dxa"/>
            <w:tcBorders>
              <w:top w:val="nil"/>
              <w:left w:val="nil"/>
              <w:bottom w:val="single" w:sz="8" w:space="0" w:color="BFBFBF"/>
              <w:right w:val="single" w:sz="8" w:space="0" w:color="BFBFBF"/>
            </w:tcBorders>
            <w:shd w:val="clear" w:color="auto" w:fill="auto"/>
            <w:noWrap/>
            <w:vAlign w:val="center"/>
            <w:hideMark/>
          </w:tcPr>
          <w:p w14:paraId="00BC88D9"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(42.495)</w:t>
            </w:r>
          </w:p>
        </w:tc>
      </w:tr>
      <w:tr w:rsidR="00A27C22" w:rsidRPr="001D0FE2" w14:paraId="1A836DE2" w14:textId="77777777" w:rsidTr="00B81D69">
        <w:trPr>
          <w:trHeight w:val="390"/>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6EDCF601"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Operating result</w:t>
            </w:r>
          </w:p>
        </w:tc>
        <w:tc>
          <w:tcPr>
            <w:tcW w:w="680" w:type="dxa"/>
            <w:tcBorders>
              <w:top w:val="nil"/>
              <w:left w:val="nil"/>
              <w:bottom w:val="single" w:sz="8" w:space="0" w:color="BFBFBF"/>
              <w:right w:val="single" w:sz="8" w:space="0" w:color="BFBFBF"/>
            </w:tcBorders>
            <w:shd w:val="clear" w:color="000000" w:fill="FFFFFF"/>
            <w:vAlign w:val="center"/>
            <w:hideMark/>
          </w:tcPr>
          <w:p w14:paraId="2DD685D7" w14:textId="77777777" w:rsidR="00A27C22" w:rsidRPr="002D6138" w:rsidRDefault="00A27C22" w:rsidP="00B81D69">
            <w:pPr>
              <w:jc w:val="center"/>
              <w:rPr>
                <w:rFonts w:asciiTheme="minorHAnsi" w:hAnsiTheme="minorHAnsi" w:cstheme="minorHAnsi"/>
                <w:sz w:val="18"/>
                <w:szCs w:val="18"/>
                <w:lang w:val="en-GB"/>
              </w:rPr>
            </w:pPr>
            <w:r w:rsidRPr="002D6138">
              <w:rPr>
                <w:rFonts w:asciiTheme="minorHAnsi" w:hAnsiTheme="minorHAnsi" w:cstheme="minorHAnsi"/>
                <w:sz w:val="18"/>
                <w:szCs w:val="18"/>
                <w:lang w:val="en-GB"/>
              </w:rPr>
              <w:t> </w:t>
            </w:r>
          </w:p>
        </w:tc>
        <w:tc>
          <w:tcPr>
            <w:tcW w:w="1880" w:type="dxa"/>
            <w:tcBorders>
              <w:top w:val="nil"/>
              <w:left w:val="nil"/>
              <w:bottom w:val="single" w:sz="8" w:space="0" w:color="BFBFBF"/>
              <w:right w:val="single" w:sz="8" w:space="0" w:color="BFBFBF"/>
            </w:tcBorders>
            <w:shd w:val="clear" w:color="000000" w:fill="DCE6F1"/>
            <w:noWrap/>
            <w:vAlign w:val="center"/>
            <w:hideMark/>
          </w:tcPr>
          <w:p w14:paraId="19D95E27"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32.311 </w:t>
            </w:r>
          </w:p>
        </w:tc>
        <w:tc>
          <w:tcPr>
            <w:tcW w:w="1880" w:type="dxa"/>
            <w:tcBorders>
              <w:top w:val="nil"/>
              <w:left w:val="nil"/>
              <w:bottom w:val="single" w:sz="8" w:space="0" w:color="D9D9D9"/>
              <w:right w:val="single" w:sz="8" w:space="0" w:color="BFBFBF"/>
            </w:tcBorders>
            <w:shd w:val="clear" w:color="auto" w:fill="auto"/>
            <w:noWrap/>
            <w:vAlign w:val="center"/>
            <w:hideMark/>
          </w:tcPr>
          <w:p w14:paraId="42FDB7DD"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24.632 </w:t>
            </w:r>
          </w:p>
        </w:tc>
      </w:tr>
      <w:tr w:rsidR="00A27C22" w:rsidRPr="001D0FE2" w14:paraId="0562BE2F" w14:textId="77777777" w:rsidTr="00B81D69">
        <w:trPr>
          <w:trHeight w:val="313"/>
        </w:trPr>
        <w:tc>
          <w:tcPr>
            <w:tcW w:w="6340" w:type="dxa"/>
            <w:tcBorders>
              <w:top w:val="nil"/>
              <w:left w:val="single" w:sz="8" w:space="0" w:color="BFBFBF"/>
              <w:bottom w:val="nil"/>
              <w:right w:val="single" w:sz="8" w:space="0" w:color="BFBFBF"/>
            </w:tcBorders>
            <w:shd w:val="clear" w:color="auto" w:fill="auto"/>
            <w:vAlign w:val="center"/>
            <w:hideMark/>
          </w:tcPr>
          <w:p w14:paraId="3F1B2D5A"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Fair value gain (loss) on revaluation derivatives</w:t>
            </w:r>
          </w:p>
        </w:tc>
        <w:tc>
          <w:tcPr>
            <w:tcW w:w="680" w:type="dxa"/>
            <w:tcBorders>
              <w:top w:val="nil"/>
              <w:left w:val="nil"/>
              <w:bottom w:val="nil"/>
              <w:right w:val="single" w:sz="8" w:space="0" w:color="BFBFBF"/>
            </w:tcBorders>
            <w:shd w:val="clear" w:color="auto" w:fill="auto"/>
            <w:vAlign w:val="center"/>
            <w:hideMark/>
          </w:tcPr>
          <w:p w14:paraId="10A79CA8"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880" w:type="dxa"/>
            <w:tcBorders>
              <w:top w:val="nil"/>
              <w:left w:val="nil"/>
              <w:bottom w:val="nil"/>
              <w:right w:val="single" w:sz="8" w:space="0" w:color="BFBFBF"/>
            </w:tcBorders>
            <w:shd w:val="clear" w:color="000000" w:fill="DCE6F1"/>
            <w:noWrap/>
            <w:vAlign w:val="bottom"/>
            <w:hideMark/>
          </w:tcPr>
          <w:p w14:paraId="09318D09"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84 </w:t>
            </w:r>
          </w:p>
        </w:tc>
        <w:tc>
          <w:tcPr>
            <w:tcW w:w="1880" w:type="dxa"/>
            <w:tcBorders>
              <w:top w:val="nil"/>
              <w:left w:val="nil"/>
              <w:bottom w:val="nil"/>
              <w:right w:val="single" w:sz="8" w:space="0" w:color="BFBFBF"/>
            </w:tcBorders>
            <w:shd w:val="clear" w:color="auto" w:fill="auto"/>
            <w:noWrap/>
            <w:vAlign w:val="bottom"/>
            <w:hideMark/>
          </w:tcPr>
          <w:p w14:paraId="4CFC47FE"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(8)</w:t>
            </w:r>
          </w:p>
        </w:tc>
      </w:tr>
      <w:tr w:rsidR="00A27C22" w:rsidRPr="001D0FE2" w14:paraId="05CA8C89" w14:textId="77777777" w:rsidTr="00B81D69">
        <w:trPr>
          <w:trHeight w:val="313"/>
        </w:trPr>
        <w:tc>
          <w:tcPr>
            <w:tcW w:w="6340" w:type="dxa"/>
            <w:tcBorders>
              <w:top w:val="nil"/>
              <w:left w:val="single" w:sz="8" w:space="0" w:color="BFBFBF"/>
              <w:bottom w:val="nil"/>
              <w:right w:val="single" w:sz="8" w:space="0" w:color="BFBFBF"/>
            </w:tcBorders>
            <w:shd w:val="clear" w:color="auto" w:fill="auto"/>
            <w:vAlign w:val="center"/>
            <w:hideMark/>
          </w:tcPr>
          <w:p w14:paraId="3826BB8F"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Other financial income</w:t>
            </w:r>
          </w:p>
        </w:tc>
        <w:tc>
          <w:tcPr>
            <w:tcW w:w="680" w:type="dxa"/>
            <w:tcBorders>
              <w:top w:val="nil"/>
              <w:left w:val="nil"/>
              <w:bottom w:val="nil"/>
              <w:right w:val="single" w:sz="8" w:space="0" w:color="BFBFBF"/>
            </w:tcBorders>
            <w:shd w:val="clear" w:color="auto" w:fill="auto"/>
            <w:vAlign w:val="center"/>
            <w:hideMark/>
          </w:tcPr>
          <w:p w14:paraId="40F6366A"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9 </w:t>
            </w:r>
          </w:p>
        </w:tc>
        <w:tc>
          <w:tcPr>
            <w:tcW w:w="1880" w:type="dxa"/>
            <w:tcBorders>
              <w:top w:val="nil"/>
              <w:left w:val="nil"/>
              <w:bottom w:val="nil"/>
              <w:right w:val="single" w:sz="8" w:space="0" w:color="BFBFBF"/>
            </w:tcBorders>
            <w:shd w:val="clear" w:color="000000" w:fill="DCE6F1"/>
            <w:noWrap/>
            <w:vAlign w:val="bottom"/>
            <w:hideMark/>
          </w:tcPr>
          <w:p w14:paraId="409255B4"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1.121 </w:t>
            </w:r>
          </w:p>
        </w:tc>
        <w:tc>
          <w:tcPr>
            <w:tcW w:w="1880" w:type="dxa"/>
            <w:tcBorders>
              <w:top w:val="nil"/>
              <w:left w:val="nil"/>
              <w:bottom w:val="nil"/>
              <w:right w:val="single" w:sz="8" w:space="0" w:color="BFBFBF"/>
            </w:tcBorders>
            <w:shd w:val="clear" w:color="auto" w:fill="auto"/>
            <w:noWrap/>
            <w:vAlign w:val="bottom"/>
            <w:hideMark/>
          </w:tcPr>
          <w:p w14:paraId="48EEA206"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506 </w:t>
            </w:r>
          </w:p>
        </w:tc>
      </w:tr>
      <w:tr w:rsidR="00A27C22" w:rsidRPr="001D0FE2" w14:paraId="0F872C7A" w14:textId="77777777" w:rsidTr="00B81D69">
        <w:trPr>
          <w:trHeight w:val="313"/>
        </w:trPr>
        <w:tc>
          <w:tcPr>
            <w:tcW w:w="6340" w:type="dxa"/>
            <w:tcBorders>
              <w:top w:val="nil"/>
              <w:left w:val="single" w:sz="8" w:space="0" w:color="BFBFBF"/>
              <w:bottom w:val="single" w:sz="8" w:space="0" w:color="BFBFBF"/>
              <w:right w:val="single" w:sz="8" w:space="0" w:color="BFBFBF"/>
            </w:tcBorders>
            <w:shd w:val="clear" w:color="auto" w:fill="auto"/>
            <w:vAlign w:val="center"/>
            <w:hideMark/>
          </w:tcPr>
          <w:p w14:paraId="467E1AC4"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Other financial expenses </w:t>
            </w:r>
          </w:p>
        </w:tc>
        <w:tc>
          <w:tcPr>
            <w:tcW w:w="680" w:type="dxa"/>
            <w:tcBorders>
              <w:top w:val="nil"/>
              <w:left w:val="nil"/>
              <w:bottom w:val="single" w:sz="8" w:space="0" w:color="BFBFBF"/>
              <w:right w:val="single" w:sz="8" w:space="0" w:color="BFBFBF"/>
            </w:tcBorders>
            <w:shd w:val="clear" w:color="auto" w:fill="auto"/>
            <w:vAlign w:val="center"/>
            <w:hideMark/>
          </w:tcPr>
          <w:p w14:paraId="6ED5B77A"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9 </w:t>
            </w:r>
          </w:p>
        </w:tc>
        <w:tc>
          <w:tcPr>
            <w:tcW w:w="1880" w:type="dxa"/>
            <w:tcBorders>
              <w:top w:val="nil"/>
              <w:left w:val="nil"/>
              <w:bottom w:val="single" w:sz="8" w:space="0" w:color="BFBFBF"/>
              <w:right w:val="single" w:sz="8" w:space="0" w:color="BFBFBF"/>
            </w:tcBorders>
            <w:shd w:val="clear" w:color="000000" w:fill="DCE6F1"/>
            <w:noWrap/>
            <w:vAlign w:val="bottom"/>
            <w:hideMark/>
          </w:tcPr>
          <w:p w14:paraId="17ECC134"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(7.741)</w:t>
            </w:r>
          </w:p>
        </w:tc>
        <w:tc>
          <w:tcPr>
            <w:tcW w:w="1880" w:type="dxa"/>
            <w:tcBorders>
              <w:top w:val="nil"/>
              <w:left w:val="nil"/>
              <w:bottom w:val="single" w:sz="8" w:space="0" w:color="BFBFBF"/>
              <w:right w:val="single" w:sz="8" w:space="0" w:color="BFBFBF"/>
            </w:tcBorders>
            <w:shd w:val="clear" w:color="auto" w:fill="auto"/>
            <w:noWrap/>
            <w:vAlign w:val="bottom"/>
            <w:hideMark/>
          </w:tcPr>
          <w:p w14:paraId="70BCA15C"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(6.767)</w:t>
            </w:r>
          </w:p>
        </w:tc>
      </w:tr>
      <w:tr w:rsidR="00A27C22" w:rsidRPr="001D0FE2" w14:paraId="100E4F86" w14:textId="77777777" w:rsidTr="00B81D69">
        <w:trPr>
          <w:trHeight w:val="390"/>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4FC20715"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Financial income and expenses</w:t>
            </w:r>
          </w:p>
        </w:tc>
        <w:tc>
          <w:tcPr>
            <w:tcW w:w="680" w:type="dxa"/>
            <w:tcBorders>
              <w:top w:val="nil"/>
              <w:left w:val="nil"/>
              <w:bottom w:val="single" w:sz="8" w:space="0" w:color="BFBFBF"/>
              <w:right w:val="single" w:sz="8" w:space="0" w:color="BFBFBF"/>
            </w:tcBorders>
            <w:shd w:val="clear" w:color="000000" w:fill="FFFFFF"/>
            <w:vAlign w:val="center"/>
            <w:hideMark/>
          </w:tcPr>
          <w:p w14:paraId="61968466"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880" w:type="dxa"/>
            <w:tcBorders>
              <w:top w:val="nil"/>
              <w:left w:val="nil"/>
              <w:bottom w:val="single" w:sz="8" w:space="0" w:color="BFBFBF"/>
              <w:right w:val="single" w:sz="8" w:space="0" w:color="BFBFBF"/>
            </w:tcBorders>
            <w:shd w:val="clear" w:color="000000" w:fill="DCE6F1"/>
            <w:noWrap/>
            <w:vAlign w:val="center"/>
            <w:hideMark/>
          </w:tcPr>
          <w:p w14:paraId="666219BD"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(6.536)</w:t>
            </w:r>
          </w:p>
        </w:tc>
        <w:tc>
          <w:tcPr>
            <w:tcW w:w="1880" w:type="dxa"/>
            <w:tcBorders>
              <w:top w:val="nil"/>
              <w:left w:val="nil"/>
              <w:bottom w:val="single" w:sz="8" w:space="0" w:color="BFBFBF"/>
              <w:right w:val="single" w:sz="8" w:space="0" w:color="BFBFBF"/>
            </w:tcBorders>
            <w:shd w:val="clear" w:color="auto" w:fill="auto"/>
            <w:noWrap/>
            <w:vAlign w:val="center"/>
            <w:hideMark/>
          </w:tcPr>
          <w:p w14:paraId="5C825BF3"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(6.269)</w:t>
            </w:r>
          </w:p>
        </w:tc>
      </w:tr>
      <w:tr w:rsidR="00A27C22" w:rsidRPr="001D0FE2" w14:paraId="48E06445" w14:textId="77777777" w:rsidTr="00B81D69">
        <w:trPr>
          <w:trHeight w:val="390"/>
        </w:trPr>
        <w:tc>
          <w:tcPr>
            <w:tcW w:w="6340" w:type="dxa"/>
            <w:tcBorders>
              <w:top w:val="nil"/>
              <w:left w:val="single" w:sz="8" w:space="0" w:color="BFBFBF"/>
              <w:bottom w:val="single" w:sz="8" w:space="0" w:color="BFBFBF"/>
              <w:right w:val="single" w:sz="8" w:space="0" w:color="BFBFBF"/>
            </w:tcBorders>
            <w:shd w:val="clear" w:color="auto" w:fill="auto"/>
            <w:vAlign w:val="center"/>
            <w:hideMark/>
          </w:tcPr>
          <w:p w14:paraId="100D7DC8"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Share of net profits in associates using the equity method</w:t>
            </w:r>
          </w:p>
        </w:tc>
        <w:tc>
          <w:tcPr>
            <w:tcW w:w="680" w:type="dxa"/>
            <w:tcBorders>
              <w:top w:val="nil"/>
              <w:left w:val="nil"/>
              <w:bottom w:val="single" w:sz="8" w:space="0" w:color="BFBFBF"/>
              <w:right w:val="single" w:sz="8" w:space="0" w:color="BFBFBF"/>
            </w:tcBorders>
            <w:shd w:val="clear" w:color="000000" w:fill="FFFFFF"/>
            <w:vAlign w:val="center"/>
            <w:hideMark/>
          </w:tcPr>
          <w:p w14:paraId="709F1AAD"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10 </w:t>
            </w:r>
          </w:p>
        </w:tc>
        <w:tc>
          <w:tcPr>
            <w:tcW w:w="1880" w:type="dxa"/>
            <w:tcBorders>
              <w:top w:val="nil"/>
              <w:left w:val="nil"/>
              <w:bottom w:val="single" w:sz="8" w:space="0" w:color="BFBFBF"/>
              <w:right w:val="single" w:sz="8" w:space="0" w:color="BFBFBF"/>
            </w:tcBorders>
            <w:shd w:val="clear" w:color="000000" w:fill="DCE6F1"/>
            <w:noWrap/>
            <w:vAlign w:val="center"/>
            <w:hideMark/>
          </w:tcPr>
          <w:p w14:paraId="22CF4175"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121 </w:t>
            </w:r>
          </w:p>
        </w:tc>
        <w:tc>
          <w:tcPr>
            <w:tcW w:w="1880" w:type="dxa"/>
            <w:tcBorders>
              <w:top w:val="nil"/>
              <w:left w:val="nil"/>
              <w:bottom w:val="single" w:sz="8" w:space="0" w:color="D9D9D9"/>
              <w:right w:val="single" w:sz="8" w:space="0" w:color="BFBFBF"/>
            </w:tcBorders>
            <w:shd w:val="clear" w:color="auto" w:fill="auto"/>
            <w:noWrap/>
            <w:vAlign w:val="center"/>
            <w:hideMark/>
          </w:tcPr>
          <w:p w14:paraId="040EDA7B"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299 </w:t>
            </w:r>
          </w:p>
        </w:tc>
      </w:tr>
      <w:tr w:rsidR="00A27C22" w:rsidRPr="001D0FE2" w14:paraId="7D982BD8" w14:textId="77777777" w:rsidTr="00B81D69">
        <w:trPr>
          <w:trHeight w:val="390"/>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63737EC2"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Result before income tax</w:t>
            </w:r>
          </w:p>
        </w:tc>
        <w:tc>
          <w:tcPr>
            <w:tcW w:w="680" w:type="dxa"/>
            <w:tcBorders>
              <w:top w:val="nil"/>
              <w:left w:val="nil"/>
              <w:bottom w:val="single" w:sz="8" w:space="0" w:color="BFBFBF"/>
              <w:right w:val="single" w:sz="8" w:space="0" w:color="BFBFBF"/>
            </w:tcBorders>
            <w:shd w:val="clear" w:color="000000" w:fill="FFFFFF"/>
            <w:vAlign w:val="center"/>
            <w:hideMark/>
          </w:tcPr>
          <w:p w14:paraId="60D2D48E" w14:textId="77777777" w:rsidR="00A27C22" w:rsidRPr="002D6138" w:rsidRDefault="00A27C22" w:rsidP="00B81D69">
            <w:pPr>
              <w:jc w:val="center"/>
              <w:rPr>
                <w:rFonts w:asciiTheme="minorHAnsi" w:hAnsiTheme="minorHAnsi" w:cstheme="minorHAnsi"/>
                <w:sz w:val="18"/>
                <w:szCs w:val="18"/>
                <w:lang w:val="en-GB"/>
              </w:rPr>
            </w:pPr>
            <w:r w:rsidRPr="002D6138">
              <w:rPr>
                <w:rFonts w:asciiTheme="minorHAnsi" w:hAnsiTheme="minorHAnsi" w:cstheme="minorHAnsi"/>
                <w:sz w:val="18"/>
                <w:szCs w:val="18"/>
                <w:lang w:val="en-GB"/>
              </w:rPr>
              <w:t> </w:t>
            </w:r>
          </w:p>
        </w:tc>
        <w:tc>
          <w:tcPr>
            <w:tcW w:w="1880" w:type="dxa"/>
            <w:tcBorders>
              <w:top w:val="nil"/>
              <w:left w:val="nil"/>
              <w:bottom w:val="single" w:sz="8" w:space="0" w:color="BFBFBF"/>
              <w:right w:val="single" w:sz="8" w:space="0" w:color="BFBFBF"/>
            </w:tcBorders>
            <w:shd w:val="clear" w:color="000000" w:fill="DCE6F1"/>
            <w:noWrap/>
            <w:vAlign w:val="center"/>
            <w:hideMark/>
          </w:tcPr>
          <w:p w14:paraId="13314400"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25.896 </w:t>
            </w:r>
          </w:p>
        </w:tc>
        <w:tc>
          <w:tcPr>
            <w:tcW w:w="1880" w:type="dxa"/>
            <w:tcBorders>
              <w:top w:val="nil"/>
              <w:left w:val="nil"/>
              <w:bottom w:val="single" w:sz="8" w:space="0" w:color="D9D9D9"/>
              <w:right w:val="single" w:sz="8" w:space="0" w:color="BFBFBF"/>
            </w:tcBorders>
            <w:shd w:val="clear" w:color="auto" w:fill="auto"/>
            <w:noWrap/>
            <w:vAlign w:val="center"/>
            <w:hideMark/>
          </w:tcPr>
          <w:p w14:paraId="640A6381"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18.662 </w:t>
            </w:r>
          </w:p>
        </w:tc>
      </w:tr>
      <w:tr w:rsidR="00A27C22" w:rsidRPr="001D0FE2" w14:paraId="64007AF9" w14:textId="77777777" w:rsidTr="00B81D69">
        <w:trPr>
          <w:trHeight w:val="390"/>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51D6F175"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Income tax credit (expense)</w:t>
            </w:r>
          </w:p>
        </w:tc>
        <w:tc>
          <w:tcPr>
            <w:tcW w:w="680" w:type="dxa"/>
            <w:tcBorders>
              <w:top w:val="nil"/>
              <w:left w:val="nil"/>
              <w:bottom w:val="single" w:sz="8" w:space="0" w:color="BFBFBF"/>
              <w:right w:val="single" w:sz="8" w:space="0" w:color="BFBFBF"/>
            </w:tcBorders>
            <w:shd w:val="clear" w:color="000000" w:fill="FFFFFF"/>
            <w:vAlign w:val="center"/>
            <w:hideMark/>
          </w:tcPr>
          <w:p w14:paraId="3DF9F63D"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880" w:type="dxa"/>
            <w:tcBorders>
              <w:top w:val="nil"/>
              <w:left w:val="nil"/>
              <w:bottom w:val="single" w:sz="8" w:space="0" w:color="BFBFBF"/>
              <w:right w:val="single" w:sz="8" w:space="0" w:color="BFBFBF"/>
            </w:tcBorders>
            <w:shd w:val="clear" w:color="000000" w:fill="DCE6F1"/>
            <w:noWrap/>
            <w:vAlign w:val="center"/>
            <w:hideMark/>
          </w:tcPr>
          <w:p w14:paraId="396848BE"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(7.753)</w:t>
            </w:r>
          </w:p>
        </w:tc>
        <w:tc>
          <w:tcPr>
            <w:tcW w:w="1880" w:type="dxa"/>
            <w:tcBorders>
              <w:top w:val="nil"/>
              <w:left w:val="nil"/>
              <w:bottom w:val="single" w:sz="8" w:space="0" w:color="D9D9D9"/>
              <w:right w:val="single" w:sz="8" w:space="0" w:color="BFBFBF"/>
            </w:tcBorders>
            <w:shd w:val="clear" w:color="auto" w:fill="auto"/>
            <w:noWrap/>
            <w:vAlign w:val="center"/>
            <w:hideMark/>
          </w:tcPr>
          <w:p w14:paraId="70BB7EE8"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(5.068)</w:t>
            </w:r>
          </w:p>
        </w:tc>
      </w:tr>
      <w:tr w:rsidR="00A27C22" w:rsidRPr="001D0FE2" w14:paraId="6ADEEC74" w14:textId="77777777" w:rsidTr="00B81D69">
        <w:trPr>
          <w:trHeight w:val="390"/>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017A837E"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Net result for the year</w:t>
            </w:r>
          </w:p>
        </w:tc>
        <w:tc>
          <w:tcPr>
            <w:tcW w:w="680" w:type="dxa"/>
            <w:tcBorders>
              <w:top w:val="nil"/>
              <w:left w:val="nil"/>
              <w:bottom w:val="single" w:sz="8" w:space="0" w:color="BFBFBF"/>
              <w:right w:val="single" w:sz="8" w:space="0" w:color="BFBFBF"/>
            </w:tcBorders>
            <w:shd w:val="clear" w:color="000000" w:fill="FFFFFF"/>
            <w:vAlign w:val="center"/>
            <w:hideMark/>
          </w:tcPr>
          <w:p w14:paraId="541334DD" w14:textId="77777777" w:rsidR="00A27C22" w:rsidRPr="002D6138" w:rsidRDefault="00A27C22" w:rsidP="00B81D69">
            <w:pPr>
              <w:jc w:val="center"/>
              <w:rPr>
                <w:rFonts w:asciiTheme="minorHAnsi" w:hAnsiTheme="minorHAnsi" w:cstheme="minorHAnsi"/>
                <w:sz w:val="18"/>
                <w:szCs w:val="18"/>
                <w:lang w:val="en-GB"/>
              </w:rPr>
            </w:pPr>
            <w:r w:rsidRPr="002D6138">
              <w:rPr>
                <w:rFonts w:asciiTheme="minorHAnsi" w:hAnsiTheme="minorHAnsi" w:cstheme="minorHAnsi"/>
                <w:sz w:val="18"/>
                <w:szCs w:val="18"/>
                <w:lang w:val="en-GB"/>
              </w:rPr>
              <w:t> </w:t>
            </w:r>
          </w:p>
        </w:tc>
        <w:tc>
          <w:tcPr>
            <w:tcW w:w="1880" w:type="dxa"/>
            <w:tcBorders>
              <w:top w:val="nil"/>
              <w:left w:val="nil"/>
              <w:bottom w:val="single" w:sz="8" w:space="0" w:color="BFBFBF"/>
              <w:right w:val="single" w:sz="8" w:space="0" w:color="BFBFBF"/>
            </w:tcBorders>
            <w:shd w:val="clear" w:color="000000" w:fill="DCE6F1"/>
            <w:noWrap/>
            <w:vAlign w:val="center"/>
            <w:hideMark/>
          </w:tcPr>
          <w:p w14:paraId="7FDFF60C"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18.143 </w:t>
            </w:r>
          </w:p>
        </w:tc>
        <w:tc>
          <w:tcPr>
            <w:tcW w:w="1880" w:type="dxa"/>
            <w:tcBorders>
              <w:top w:val="nil"/>
              <w:left w:val="nil"/>
              <w:bottom w:val="single" w:sz="8" w:space="0" w:color="D9D9D9"/>
              <w:right w:val="single" w:sz="8" w:space="0" w:color="BFBFBF"/>
            </w:tcBorders>
            <w:shd w:val="clear" w:color="auto" w:fill="auto"/>
            <w:noWrap/>
            <w:vAlign w:val="center"/>
            <w:hideMark/>
          </w:tcPr>
          <w:p w14:paraId="4DEF2803"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13.594 </w:t>
            </w:r>
          </w:p>
        </w:tc>
      </w:tr>
      <w:tr w:rsidR="00A27C22" w:rsidRPr="001D0FE2" w14:paraId="6737EDF6" w14:textId="77777777" w:rsidTr="00B81D69">
        <w:trPr>
          <w:trHeight w:val="390"/>
        </w:trPr>
        <w:tc>
          <w:tcPr>
            <w:tcW w:w="6340" w:type="dxa"/>
            <w:tcBorders>
              <w:top w:val="nil"/>
              <w:left w:val="single" w:sz="8" w:space="0" w:color="BFBFBF"/>
              <w:bottom w:val="nil"/>
              <w:right w:val="single" w:sz="8" w:space="0" w:color="BFBFBF"/>
            </w:tcBorders>
            <w:shd w:val="clear" w:color="000000" w:fill="FFFFFF"/>
            <w:vAlign w:val="center"/>
            <w:hideMark/>
          </w:tcPr>
          <w:p w14:paraId="05221787"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Attributable to:</w:t>
            </w:r>
          </w:p>
        </w:tc>
        <w:tc>
          <w:tcPr>
            <w:tcW w:w="680" w:type="dxa"/>
            <w:tcBorders>
              <w:top w:val="nil"/>
              <w:left w:val="nil"/>
              <w:bottom w:val="nil"/>
              <w:right w:val="single" w:sz="8" w:space="0" w:color="BFBFBF"/>
            </w:tcBorders>
            <w:shd w:val="clear" w:color="000000" w:fill="FFFFFF"/>
            <w:vAlign w:val="center"/>
            <w:hideMark/>
          </w:tcPr>
          <w:p w14:paraId="07ED536A"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880" w:type="dxa"/>
            <w:tcBorders>
              <w:top w:val="nil"/>
              <w:left w:val="nil"/>
              <w:bottom w:val="nil"/>
              <w:right w:val="single" w:sz="8" w:space="0" w:color="BFBFBF"/>
            </w:tcBorders>
            <w:shd w:val="clear" w:color="000000" w:fill="DCE6F1"/>
            <w:noWrap/>
            <w:vAlign w:val="bottom"/>
            <w:hideMark/>
          </w:tcPr>
          <w:p w14:paraId="36A5B3EB"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880" w:type="dxa"/>
            <w:tcBorders>
              <w:top w:val="nil"/>
              <w:left w:val="nil"/>
              <w:bottom w:val="nil"/>
              <w:right w:val="single" w:sz="8" w:space="0" w:color="BFBFBF"/>
            </w:tcBorders>
            <w:shd w:val="clear" w:color="auto" w:fill="auto"/>
            <w:noWrap/>
            <w:vAlign w:val="bottom"/>
            <w:hideMark/>
          </w:tcPr>
          <w:p w14:paraId="0DF410DF"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A27C22" w:rsidRPr="001D0FE2" w14:paraId="5A71B662" w14:textId="77777777" w:rsidTr="00B81D69">
        <w:trPr>
          <w:trHeight w:val="390"/>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67B0E3FC"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Owners of the parent</w:t>
            </w:r>
          </w:p>
        </w:tc>
        <w:tc>
          <w:tcPr>
            <w:tcW w:w="680" w:type="dxa"/>
            <w:tcBorders>
              <w:top w:val="nil"/>
              <w:left w:val="nil"/>
              <w:bottom w:val="single" w:sz="8" w:space="0" w:color="BFBFBF"/>
              <w:right w:val="single" w:sz="8" w:space="0" w:color="BFBFBF"/>
            </w:tcBorders>
            <w:shd w:val="clear" w:color="000000" w:fill="FFFFFF"/>
            <w:vAlign w:val="center"/>
            <w:hideMark/>
          </w:tcPr>
          <w:p w14:paraId="082730CA"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880" w:type="dxa"/>
            <w:tcBorders>
              <w:top w:val="nil"/>
              <w:left w:val="nil"/>
              <w:bottom w:val="single" w:sz="8" w:space="0" w:color="BFBFBF"/>
              <w:right w:val="single" w:sz="8" w:space="0" w:color="BFBFBF"/>
            </w:tcBorders>
            <w:shd w:val="clear" w:color="000000" w:fill="DCE6F1"/>
            <w:noWrap/>
            <w:vAlign w:val="center"/>
            <w:hideMark/>
          </w:tcPr>
          <w:p w14:paraId="62875A9F"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18.143 </w:t>
            </w:r>
          </w:p>
        </w:tc>
        <w:tc>
          <w:tcPr>
            <w:tcW w:w="1880" w:type="dxa"/>
            <w:tcBorders>
              <w:top w:val="nil"/>
              <w:left w:val="nil"/>
              <w:bottom w:val="single" w:sz="8" w:space="0" w:color="BFBFBF"/>
              <w:right w:val="single" w:sz="8" w:space="0" w:color="BFBFBF"/>
            </w:tcBorders>
            <w:shd w:val="clear" w:color="auto" w:fill="auto"/>
            <w:noWrap/>
            <w:vAlign w:val="center"/>
            <w:hideMark/>
          </w:tcPr>
          <w:p w14:paraId="7DAC6A2A"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13.594 </w:t>
            </w:r>
          </w:p>
        </w:tc>
      </w:tr>
      <w:tr w:rsidR="00A27C22" w:rsidRPr="001D0FE2" w14:paraId="33662B6F" w14:textId="77777777" w:rsidTr="00B81D69">
        <w:trPr>
          <w:trHeight w:val="630"/>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576EA172"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Total net result</w:t>
            </w:r>
          </w:p>
        </w:tc>
        <w:tc>
          <w:tcPr>
            <w:tcW w:w="680" w:type="dxa"/>
            <w:tcBorders>
              <w:top w:val="nil"/>
              <w:left w:val="nil"/>
              <w:bottom w:val="single" w:sz="8" w:space="0" w:color="BFBFBF"/>
              <w:right w:val="single" w:sz="8" w:space="0" w:color="BFBFBF"/>
            </w:tcBorders>
            <w:shd w:val="clear" w:color="000000" w:fill="FFFFFF"/>
            <w:vAlign w:val="center"/>
            <w:hideMark/>
          </w:tcPr>
          <w:p w14:paraId="4A347612" w14:textId="77777777" w:rsidR="00A27C22" w:rsidRPr="002D6138" w:rsidRDefault="00A27C22" w:rsidP="00B81D69">
            <w:pPr>
              <w:jc w:val="center"/>
              <w:rPr>
                <w:rFonts w:asciiTheme="minorHAnsi" w:hAnsiTheme="minorHAnsi" w:cstheme="minorHAnsi"/>
                <w:sz w:val="18"/>
                <w:szCs w:val="18"/>
                <w:lang w:val="en-GB"/>
              </w:rPr>
            </w:pPr>
            <w:r w:rsidRPr="002D6138">
              <w:rPr>
                <w:rFonts w:asciiTheme="minorHAnsi" w:hAnsiTheme="minorHAnsi" w:cstheme="minorHAnsi"/>
                <w:sz w:val="18"/>
                <w:szCs w:val="18"/>
                <w:lang w:val="en-GB"/>
              </w:rPr>
              <w:t> </w:t>
            </w:r>
          </w:p>
        </w:tc>
        <w:tc>
          <w:tcPr>
            <w:tcW w:w="1880" w:type="dxa"/>
            <w:tcBorders>
              <w:top w:val="nil"/>
              <w:left w:val="nil"/>
              <w:bottom w:val="single" w:sz="8" w:space="0" w:color="BFBFBF"/>
              <w:right w:val="single" w:sz="8" w:space="0" w:color="BFBFBF"/>
            </w:tcBorders>
            <w:shd w:val="clear" w:color="000000" w:fill="DCE6F1"/>
            <w:noWrap/>
            <w:vAlign w:val="center"/>
            <w:hideMark/>
          </w:tcPr>
          <w:p w14:paraId="59A25A58"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18.143 </w:t>
            </w:r>
          </w:p>
        </w:tc>
        <w:tc>
          <w:tcPr>
            <w:tcW w:w="1880" w:type="dxa"/>
            <w:tcBorders>
              <w:top w:val="nil"/>
              <w:left w:val="nil"/>
              <w:bottom w:val="single" w:sz="8" w:space="0" w:color="BFBFBF"/>
              <w:right w:val="single" w:sz="8" w:space="0" w:color="BFBFBF"/>
            </w:tcBorders>
            <w:shd w:val="clear" w:color="auto" w:fill="auto"/>
            <w:noWrap/>
            <w:vAlign w:val="center"/>
            <w:hideMark/>
          </w:tcPr>
          <w:p w14:paraId="4470B896"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13.594 </w:t>
            </w:r>
          </w:p>
        </w:tc>
      </w:tr>
      <w:tr w:rsidR="00A27C22" w:rsidRPr="001D0FE2" w14:paraId="3BC2B2B6" w14:textId="77777777" w:rsidTr="00B81D69">
        <w:trPr>
          <w:trHeight w:val="390"/>
        </w:trPr>
        <w:tc>
          <w:tcPr>
            <w:tcW w:w="6340" w:type="dxa"/>
            <w:tcBorders>
              <w:top w:val="nil"/>
              <w:left w:val="single" w:sz="8" w:space="0" w:color="BFBFBF"/>
              <w:bottom w:val="nil"/>
              <w:right w:val="single" w:sz="8" w:space="0" w:color="BFBFBF"/>
            </w:tcBorders>
            <w:shd w:val="clear" w:color="000000" w:fill="FFFFFF"/>
            <w:vAlign w:val="center"/>
            <w:hideMark/>
          </w:tcPr>
          <w:p w14:paraId="719D0C1A"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Basic earnings per share (€) </w:t>
            </w:r>
          </w:p>
        </w:tc>
        <w:tc>
          <w:tcPr>
            <w:tcW w:w="680" w:type="dxa"/>
            <w:tcBorders>
              <w:top w:val="nil"/>
              <w:left w:val="nil"/>
              <w:bottom w:val="nil"/>
              <w:right w:val="single" w:sz="8" w:space="0" w:color="BFBFBF"/>
            </w:tcBorders>
            <w:shd w:val="clear" w:color="000000" w:fill="FFFFFF"/>
            <w:vAlign w:val="center"/>
            <w:hideMark/>
          </w:tcPr>
          <w:p w14:paraId="30E625ED"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15 </w:t>
            </w:r>
          </w:p>
        </w:tc>
        <w:tc>
          <w:tcPr>
            <w:tcW w:w="1880" w:type="dxa"/>
            <w:tcBorders>
              <w:top w:val="nil"/>
              <w:left w:val="nil"/>
              <w:bottom w:val="single" w:sz="8" w:space="0" w:color="BFBFBF"/>
              <w:right w:val="single" w:sz="8" w:space="0" w:color="BFBFBF"/>
            </w:tcBorders>
            <w:shd w:val="clear" w:color="000000" w:fill="DCE6F1"/>
            <w:noWrap/>
            <w:vAlign w:val="center"/>
            <w:hideMark/>
          </w:tcPr>
          <w:p w14:paraId="0849BEE8"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0,029 </w:t>
            </w:r>
          </w:p>
        </w:tc>
        <w:tc>
          <w:tcPr>
            <w:tcW w:w="1880" w:type="dxa"/>
            <w:tcBorders>
              <w:top w:val="nil"/>
              <w:left w:val="nil"/>
              <w:bottom w:val="single" w:sz="8" w:space="0" w:color="D9D9D9"/>
              <w:right w:val="single" w:sz="8" w:space="0" w:color="BFBFBF"/>
            </w:tcBorders>
            <w:shd w:val="clear" w:color="auto" w:fill="auto"/>
            <w:noWrap/>
            <w:vAlign w:val="center"/>
            <w:hideMark/>
          </w:tcPr>
          <w:p w14:paraId="102D7A8A"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0,022 </w:t>
            </w:r>
          </w:p>
        </w:tc>
      </w:tr>
      <w:tr w:rsidR="00A27C22" w:rsidRPr="001D0FE2" w14:paraId="77BFA98C" w14:textId="77777777" w:rsidTr="00B81D69">
        <w:trPr>
          <w:trHeight w:val="390"/>
        </w:trPr>
        <w:tc>
          <w:tcPr>
            <w:tcW w:w="634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374EBAE5" w14:textId="77777777" w:rsidR="00A27C22" w:rsidRPr="002D6138" w:rsidRDefault="00A27C22" w:rsidP="00B81D69">
            <w:pPr>
              <w:jc w:val="left"/>
              <w:rPr>
                <w:rFonts w:asciiTheme="minorHAnsi" w:hAnsiTheme="minorHAnsi" w:cstheme="minorHAnsi"/>
                <w:color w:val="59595B"/>
                <w:sz w:val="20"/>
                <w:szCs w:val="20"/>
                <w:lang w:val="en-GB"/>
              </w:rPr>
            </w:pPr>
            <w:proofErr w:type="gramStart"/>
            <w:r w:rsidRPr="002D6138">
              <w:rPr>
                <w:rFonts w:asciiTheme="minorHAnsi" w:hAnsiTheme="minorHAnsi" w:cstheme="minorHAnsi"/>
                <w:color w:val="59595B"/>
                <w:sz w:val="20"/>
                <w:szCs w:val="20"/>
                <w:lang w:val="en-GB"/>
              </w:rPr>
              <w:t>Fully-diluted</w:t>
            </w:r>
            <w:proofErr w:type="gramEnd"/>
            <w:r w:rsidRPr="002D6138">
              <w:rPr>
                <w:rFonts w:asciiTheme="minorHAnsi" w:hAnsiTheme="minorHAnsi" w:cstheme="minorHAnsi"/>
                <w:color w:val="59595B"/>
                <w:sz w:val="20"/>
                <w:szCs w:val="20"/>
                <w:lang w:val="en-GB"/>
              </w:rPr>
              <w:t xml:space="preserve"> earnings per share (€) </w:t>
            </w:r>
          </w:p>
        </w:tc>
        <w:tc>
          <w:tcPr>
            <w:tcW w:w="680" w:type="dxa"/>
            <w:tcBorders>
              <w:top w:val="single" w:sz="8" w:space="0" w:color="BFBFBF"/>
              <w:left w:val="nil"/>
              <w:bottom w:val="single" w:sz="8" w:space="0" w:color="BFBFBF"/>
              <w:right w:val="single" w:sz="8" w:space="0" w:color="BFBFBF"/>
            </w:tcBorders>
            <w:shd w:val="clear" w:color="000000" w:fill="FFFFFF"/>
            <w:vAlign w:val="center"/>
            <w:hideMark/>
          </w:tcPr>
          <w:p w14:paraId="6264C7AB"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15 </w:t>
            </w:r>
          </w:p>
        </w:tc>
        <w:tc>
          <w:tcPr>
            <w:tcW w:w="1880" w:type="dxa"/>
            <w:tcBorders>
              <w:top w:val="nil"/>
              <w:left w:val="nil"/>
              <w:bottom w:val="single" w:sz="8" w:space="0" w:color="BFBFBF"/>
              <w:right w:val="single" w:sz="8" w:space="0" w:color="BFBFBF"/>
            </w:tcBorders>
            <w:shd w:val="clear" w:color="000000" w:fill="DCE6F1"/>
            <w:noWrap/>
            <w:vAlign w:val="center"/>
            <w:hideMark/>
          </w:tcPr>
          <w:p w14:paraId="4F4CDB37"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0,025 </w:t>
            </w:r>
          </w:p>
        </w:tc>
        <w:tc>
          <w:tcPr>
            <w:tcW w:w="1880" w:type="dxa"/>
            <w:tcBorders>
              <w:top w:val="nil"/>
              <w:left w:val="nil"/>
              <w:bottom w:val="single" w:sz="8" w:space="0" w:color="D9D9D9"/>
              <w:right w:val="single" w:sz="8" w:space="0" w:color="BFBFBF"/>
            </w:tcBorders>
            <w:shd w:val="clear" w:color="auto" w:fill="auto"/>
            <w:noWrap/>
            <w:vAlign w:val="center"/>
            <w:hideMark/>
          </w:tcPr>
          <w:p w14:paraId="52829CA1"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0,020 </w:t>
            </w:r>
          </w:p>
        </w:tc>
      </w:tr>
    </w:tbl>
    <w:p w14:paraId="0ED850A1" w14:textId="77777777" w:rsidR="00A27C22" w:rsidRPr="001D0FE2" w:rsidRDefault="00A27C22" w:rsidP="00A27C22">
      <w:pPr>
        <w:rPr>
          <w:rFonts w:asciiTheme="minorHAnsi" w:hAnsiTheme="minorHAnsi" w:cstheme="minorHAnsi"/>
          <w:color w:val="1C6194" w:themeColor="accent6" w:themeShade="BF"/>
          <w:lang w:val="en-GB"/>
        </w:rPr>
      </w:pPr>
    </w:p>
    <w:p w14:paraId="1B99F234" w14:textId="77777777" w:rsidR="00A27C22" w:rsidRPr="001D0FE2" w:rsidRDefault="00A27C22" w:rsidP="00A27C22">
      <w:pPr>
        <w:jc w:val="right"/>
        <w:rPr>
          <w:rFonts w:asciiTheme="minorHAnsi" w:hAnsiTheme="minorHAnsi" w:cstheme="minorHAnsi"/>
          <w:szCs w:val="22"/>
          <w:lang w:val="en-GB"/>
        </w:rPr>
      </w:pPr>
    </w:p>
    <w:p w14:paraId="7BED73D4" w14:textId="77777777" w:rsidR="00A27C22" w:rsidRPr="001D0FE2" w:rsidRDefault="00A27C22" w:rsidP="00A27C22">
      <w:pPr>
        <w:jc w:val="right"/>
        <w:rPr>
          <w:rFonts w:asciiTheme="minorHAnsi" w:hAnsiTheme="minorHAnsi" w:cstheme="minorHAnsi"/>
          <w:szCs w:val="22"/>
          <w:lang w:val="en-GB"/>
        </w:rPr>
      </w:pPr>
    </w:p>
    <w:p w14:paraId="5F817C08" w14:textId="77777777" w:rsidR="00A27C22" w:rsidRPr="001D0FE2" w:rsidRDefault="00A27C22" w:rsidP="00A27C22">
      <w:pPr>
        <w:jc w:val="right"/>
        <w:rPr>
          <w:rFonts w:asciiTheme="minorHAnsi" w:hAnsiTheme="minorHAnsi" w:cstheme="minorHAnsi"/>
          <w:szCs w:val="22"/>
          <w:lang w:val="en-GB"/>
        </w:rPr>
      </w:pPr>
    </w:p>
    <w:p w14:paraId="05802E07" w14:textId="77777777" w:rsidR="00A27C22" w:rsidRPr="001D0FE2" w:rsidRDefault="00A27C22" w:rsidP="00A27C22">
      <w:pPr>
        <w:jc w:val="right"/>
        <w:rPr>
          <w:rFonts w:asciiTheme="minorHAnsi" w:hAnsiTheme="minorHAnsi" w:cstheme="minorHAnsi"/>
          <w:szCs w:val="22"/>
          <w:lang w:val="en-GB"/>
        </w:rPr>
      </w:pPr>
    </w:p>
    <w:p w14:paraId="21728455" w14:textId="77777777" w:rsidR="00A27C22" w:rsidRPr="001D0FE2" w:rsidRDefault="00A27C22" w:rsidP="00A27C22">
      <w:pPr>
        <w:jc w:val="right"/>
        <w:rPr>
          <w:rFonts w:asciiTheme="minorHAnsi" w:hAnsiTheme="minorHAnsi" w:cstheme="minorHAnsi"/>
          <w:szCs w:val="22"/>
          <w:lang w:val="en-GB"/>
        </w:rPr>
      </w:pPr>
    </w:p>
    <w:p w14:paraId="414B76CA" w14:textId="77777777" w:rsidR="00A27C22" w:rsidRPr="001D0FE2" w:rsidRDefault="00A27C22" w:rsidP="00A27C22">
      <w:pPr>
        <w:jc w:val="right"/>
        <w:rPr>
          <w:rFonts w:asciiTheme="minorHAnsi" w:hAnsiTheme="minorHAnsi" w:cstheme="minorHAnsi"/>
          <w:szCs w:val="22"/>
          <w:lang w:val="en-GB"/>
        </w:rPr>
      </w:pPr>
    </w:p>
    <w:p w14:paraId="0718E8EC" w14:textId="77777777" w:rsidR="00A27C22" w:rsidRPr="001D0FE2" w:rsidRDefault="00A27C22" w:rsidP="00A27C22">
      <w:pPr>
        <w:jc w:val="right"/>
        <w:rPr>
          <w:rFonts w:asciiTheme="minorHAnsi" w:hAnsiTheme="minorHAnsi" w:cstheme="minorHAnsi"/>
          <w:szCs w:val="22"/>
          <w:lang w:val="en-GB"/>
        </w:rPr>
      </w:pPr>
    </w:p>
    <w:p w14:paraId="61AC486D" w14:textId="77777777" w:rsidR="00A27C22" w:rsidRPr="001D0FE2" w:rsidRDefault="00A27C22" w:rsidP="00A27C22">
      <w:pPr>
        <w:jc w:val="right"/>
        <w:rPr>
          <w:rFonts w:asciiTheme="minorHAnsi" w:hAnsiTheme="minorHAnsi" w:cstheme="minorHAnsi"/>
          <w:szCs w:val="22"/>
          <w:lang w:val="en-GB"/>
        </w:rPr>
      </w:pPr>
    </w:p>
    <w:p w14:paraId="29635B42" w14:textId="77777777" w:rsidR="00A27C22" w:rsidRPr="001D0FE2" w:rsidRDefault="00A27C22" w:rsidP="00A27C22">
      <w:pPr>
        <w:jc w:val="right"/>
        <w:rPr>
          <w:rFonts w:asciiTheme="minorHAnsi" w:hAnsiTheme="minorHAnsi" w:cstheme="minorHAnsi"/>
          <w:szCs w:val="22"/>
          <w:lang w:val="en-GB"/>
        </w:rPr>
      </w:pPr>
    </w:p>
    <w:p w14:paraId="63B0CEC3" w14:textId="77777777" w:rsidR="00A27C22" w:rsidRPr="001D0FE2" w:rsidRDefault="00A27C22" w:rsidP="00A27C22">
      <w:pPr>
        <w:jc w:val="right"/>
        <w:rPr>
          <w:rFonts w:asciiTheme="minorHAnsi" w:hAnsiTheme="minorHAnsi" w:cstheme="minorHAnsi"/>
          <w:szCs w:val="22"/>
          <w:lang w:val="en-GB"/>
        </w:rPr>
      </w:pPr>
    </w:p>
    <w:p w14:paraId="10F8FC3D" w14:textId="77777777" w:rsidR="00A27C22" w:rsidRPr="001D0FE2" w:rsidRDefault="00A27C22" w:rsidP="00A27C22">
      <w:pPr>
        <w:jc w:val="right"/>
        <w:rPr>
          <w:rFonts w:asciiTheme="minorHAnsi" w:hAnsiTheme="minorHAnsi" w:cstheme="minorHAnsi"/>
          <w:sz w:val="18"/>
          <w:szCs w:val="22"/>
          <w:lang w:val="en-GB"/>
        </w:rPr>
      </w:pPr>
      <w:r w:rsidRPr="001D0FE2">
        <w:rPr>
          <w:rFonts w:asciiTheme="minorHAnsi" w:hAnsiTheme="minorHAnsi" w:cstheme="minorHAnsi"/>
          <w:sz w:val="18"/>
          <w:szCs w:val="22"/>
          <w:lang w:val="en-GB"/>
        </w:rPr>
        <w:t>The notes are an integral part of these interim financial statements</w:t>
      </w:r>
    </w:p>
    <w:p w14:paraId="3AF16B21" w14:textId="77777777" w:rsidR="00A27C22" w:rsidRPr="002D6138" w:rsidRDefault="00A27C22" w:rsidP="00A27C22">
      <w:pPr>
        <w:jc w:val="left"/>
        <w:rPr>
          <w:rFonts w:asciiTheme="minorHAnsi" w:hAnsiTheme="minorHAnsi" w:cstheme="minorHAnsi"/>
          <w:b/>
          <w:color w:val="59595B"/>
          <w:szCs w:val="22"/>
          <w:lang w:val="en-GB"/>
        </w:rPr>
      </w:pPr>
      <w:r w:rsidRPr="002D6138">
        <w:rPr>
          <w:rFonts w:asciiTheme="minorHAnsi" w:eastAsiaTheme="majorEastAsia" w:hAnsiTheme="minorHAnsi" w:cstheme="minorHAnsi"/>
          <w:b/>
          <w:color w:val="59595B"/>
          <w:szCs w:val="28"/>
          <w:lang w:val="en-GB" w:eastAsia="zh-CN"/>
        </w:rPr>
        <w:lastRenderedPageBreak/>
        <w:t>Condensed Consolidated Statement of Comprehensive Income</w:t>
      </w:r>
      <w:r w:rsidRPr="002D6138">
        <w:rPr>
          <w:rFonts w:asciiTheme="minorHAnsi" w:hAnsiTheme="minorHAnsi" w:cstheme="minorHAnsi"/>
          <w:b/>
          <w:color w:val="59595B"/>
          <w:szCs w:val="22"/>
          <w:lang w:val="en-GB"/>
        </w:rPr>
        <w:t xml:space="preserve"> </w:t>
      </w:r>
    </w:p>
    <w:p w14:paraId="5AA7A8F4" w14:textId="77777777" w:rsidR="00A27C22" w:rsidRPr="002D6138" w:rsidRDefault="00A27C22" w:rsidP="00A27C22">
      <w:pPr>
        <w:pStyle w:val="NoSpacing"/>
        <w:rPr>
          <w:rFonts w:asciiTheme="minorHAnsi" w:hAnsiTheme="minorHAnsi" w:cstheme="minorHAnsi"/>
          <w:sz w:val="24"/>
          <w:lang w:val="en-GB"/>
        </w:rPr>
      </w:pPr>
      <w:r w:rsidRPr="002D6138">
        <w:rPr>
          <w:rFonts w:asciiTheme="minorHAnsi" w:hAnsiTheme="minorHAnsi" w:cstheme="minorHAnsi"/>
          <w:sz w:val="24"/>
          <w:lang w:val="en-GB"/>
        </w:rPr>
        <w:t>For the period ended 30 June</w:t>
      </w:r>
    </w:p>
    <w:p w14:paraId="6D097BEB" w14:textId="77777777" w:rsidR="00A27C22" w:rsidRPr="001D0FE2" w:rsidRDefault="00A27C22" w:rsidP="00A27C22">
      <w:pPr>
        <w:jc w:val="left"/>
        <w:rPr>
          <w:rFonts w:asciiTheme="minorHAnsi" w:hAnsiTheme="minorHAnsi" w:cstheme="minorHAnsi"/>
          <w:b/>
          <w:color w:val="276E8B" w:themeColor="accent1" w:themeShade="BF"/>
          <w:szCs w:val="22"/>
          <w:lang w:val="en-GB"/>
        </w:rPr>
      </w:pPr>
    </w:p>
    <w:tbl>
      <w:tblPr>
        <w:tblW w:w="9072" w:type="dxa"/>
        <w:tblLook w:val="04A0" w:firstRow="1" w:lastRow="0" w:firstColumn="1" w:lastColumn="0" w:noHBand="0" w:noVBand="1"/>
      </w:tblPr>
      <w:tblGrid>
        <w:gridCol w:w="5392"/>
        <w:gridCol w:w="1840"/>
        <w:gridCol w:w="1840"/>
      </w:tblGrid>
      <w:tr w:rsidR="00A27C22" w:rsidRPr="001D0FE2" w14:paraId="4A24429C" w14:textId="77777777" w:rsidTr="00B81D69">
        <w:trPr>
          <w:trHeight w:val="480"/>
        </w:trPr>
        <w:tc>
          <w:tcPr>
            <w:tcW w:w="6340" w:type="dxa"/>
            <w:tcBorders>
              <w:top w:val="nil"/>
              <w:left w:val="nil"/>
              <w:bottom w:val="single" w:sz="8" w:space="0" w:color="BFBFBF"/>
              <w:right w:val="nil"/>
            </w:tcBorders>
            <w:shd w:val="clear" w:color="000000" w:fill="366092"/>
            <w:vAlign w:val="center"/>
            <w:hideMark/>
          </w:tcPr>
          <w:p w14:paraId="1FE3DA10"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1840" w:type="dxa"/>
            <w:tcBorders>
              <w:top w:val="nil"/>
              <w:left w:val="nil"/>
              <w:bottom w:val="single" w:sz="8" w:space="0" w:color="BFBFBF"/>
              <w:right w:val="nil"/>
            </w:tcBorders>
            <w:shd w:val="clear" w:color="000000" w:fill="366092"/>
            <w:vAlign w:val="center"/>
            <w:hideMark/>
          </w:tcPr>
          <w:p w14:paraId="03315CAD"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2020</w:t>
            </w:r>
          </w:p>
        </w:tc>
        <w:tc>
          <w:tcPr>
            <w:tcW w:w="1840" w:type="dxa"/>
            <w:tcBorders>
              <w:top w:val="nil"/>
              <w:left w:val="nil"/>
              <w:bottom w:val="single" w:sz="8" w:space="0" w:color="BFBFBF"/>
              <w:right w:val="nil"/>
            </w:tcBorders>
            <w:shd w:val="clear" w:color="000000" w:fill="366092"/>
            <w:vAlign w:val="center"/>
            <w:hideMark/>
          </w:tcPr>
          <w:p w14:paraId="17BD098E"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2019</w:t>
            </w:r>
          </w:p>
        </w:tc>
      </w:tr>
      <w:tr w:rsidR="00A27C22" w:rsidRPr="001D0FE2" w14:paraId="1D99944D" w14:textId="77777777" w:rsidTr="00B81D69">
        <w:trPr>
          <w:trHeight w:val="495"/>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6C1C4A16"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Net result for the year</w:t>
            </w:r>
          </w:p>
        </w:tc>
        <w:tc>
          <w:tcPr>
            <w:tcW w:w="1840" w:type="dxa"/>
            <w:tcBorders>
              <w:top w:val="nil"/>
              <w:left w:val="nil"/>
              <w:bottom w:val="single" w:sz="8" w:space="0" w:color="BFBFBF"/>
              <w:right w:val="single" w:sz="8" w:space="0" w:color="BFBFBF"/>
            </w:tcBorders>
            <w:shd w:val="clear" w:color="000000" w:fill="DCE6F1"/>
            <w:noWrap/>
            <w:vAlign w:val="center"/>
            <w:hideMark/>
          </w:tcPr>
          <w:p w14:paraId="14533205"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18.143 </w:t>
            </w:r>
          </w:p>
        </w:tc>
        <w:tc>
          <w:tcPr>
            <w:tcW w:w="1840" w:type="dxa"/>
            <w:tcBorders>
              <w:top w:val="nil"/>
              <w:left w:val="nil"/>
              <w:bottom w:val="single" w:sz="8" w:space="0" w:color="D9D9D9"/>
              <w:right w:val="single" w:sz="8" w:space="0" w:color="BFBFBF"/>
            </w:tcBorders>
            <w:shd w:val="clear" w:color="auto" w:fill="auto"/>
            <w:noWrap/>
            <w:vAlign w:val="center"/>
            <w:hideMark/>
          </w:tcPr>
          <w:p w14:paraId="56B29F64"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13.594 </w:t>
            </w:r>
          </w:p>
        </w:tc>
      </w:tr>
      <w:tr w:rsidR="00A27C22" w:rsidRPr="001D0FE2" w14:paraId="2B63F8D2" w14:textId="77777777" w:rsidTr="00B81D69">
        <w:trPr>
          <w:trHeight w:val="495"/>
        </w:trPr>
        <w:tc>
          <w:tcPr>
            <w:tcW w:w="6340" w:type="dxa"/>
            <w:tcBorders>
              <w:top w:val="nil"/>
              <w:left w:val="single" w:sz="8" w:space="0" w:color="BFBFBF"/>
              <w:bottom w:val="nil"/>
              <w:right w:val="single" w:sz="8" w:space="0" w:color="BFBFBF"/>
            </w:tcBorders>
            <w:shd w:val="clear" w:color="000000" w:fill="FFFFFF"/>
            <w:vAlign w:val="center"/>
            <w:hideMark/>
          </w:tcPr>
          <w:p w14:paraId="27DB00B3"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Currency translation differences</w:t>
            </w:r>
          </w:p>
        </w:tc>
        <w:tc>
          <w:tcPr>
            <w:tcW w:w="1840" w:type="dxa"/>
            <w:tcBorders>
              <w:top w:val="nil"/>
              <w:left w:val="nil"/>
              <w:bottom w:val="nil"/>
              <w:right w:val="single" w:sz="8" w:space="0" w:color="BFBFBF"/>
            </w:tcBorders>
            <w:shd w:val="clear" w:color="000000" w:fill="DCE6F1"/>
            <w:noWrap/>
            <w:vAlign w:val="center"/>
            <w:hideMark/>
          </w:tcPr>
          <w:p w14:paraId="17B6ABBF"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35 </w:t>
            </w:r>
          </w:p>
        </w:tc>
        <w:tc>
          <w:tcPr>
            <w:tcW w:w="1840" w:type="dxa"/>
            <w:tcBorders>
              <w:top w:val="nil"/>
              <w:left w:val="nil"/>
              <w:bottom w:val="nil"/>
              <w:right w:val="single" w:sz="8" w:space="0" w:color="BFBFBF"/>
            </w:tcBorders>
            <w:shd w:val="clear" w:color="auto" w:fill="auto"/>
            <w:noWrap/>
            <w:vAlign w:val="center"/>
            <w:hideMark/>
          </w:tcPr>
          <w:p w14:paraId="55E77442"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(200)</w:t>
            </w:r>
          </w:p>
        </w:tc>
      </w:tr>
      <w:tr w:rsidR="00A27C22" w:rsidRPr="001D0FE2" w14:paraId="6A3D07AE" w14:textId="77777777" w:rsidTr="00B81D69">
        <w:trPr>
          <w:trHeight w:val="495"/>
        </w:trPr>
        <w:tc>
          <w:tcPr>
            <w:tcW w:w="6340" w:type="dxa"/>
            <w:tcBorders>
              <w:top w:val="nil"/>
              <w:left w:val="single" w:sz="8" w:space="0" w:color="BFBFBF"/>
              <w:bottom w:val="nil"/>
              <w:right w:val="single" w:sz="8" w:space="0" w:color="BFBFBF"/>
            </w:tcBorders>
            <w:shd w:val="clear" w:color="000000" w:fill="FFFFFF"/>
            <w:vAlign w:val="center"/>
            <w:hideMark/>
          </w:tcPr>
          <w:p w14:paraId="354D58E5"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Items that may be subsequently reclassified to profit or loss</w:t>
            </w:r>
          </w:p>
        </w:tc>
        <w:tc>
          <w:tcPr>
            <w:tcW w:w="1840" w:type="dxa"/>
            <w:tcBorders>
              <w:top w:val="nil"/>
              <w:left w:val="nil"/>
              <w:bottom w:val="nil"/>
              <w:right w:val="single" w:sz="8" w:space="0" w:color="BFBFBF"/>
            </w:tcBorders>
            <w:shd w:val="clear" w:color="000000" w:fill="DCE6F1"/>
            <w:noWrap/>
            <w:vAlign w:val="center"/>
            <w:hideMark/>
          </w:tcPr>
          <w:p w14:paraId="73582367"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35 </w:t>
            </w:r>
          </w:p>
        </w:tc>
        <w:tc>
          <w:tcPr>
            <w:tcW w:w="1840" w:type="dxa"/>
            <w:tcBorders>
              <w:top w:val="nil"/>
              <w:left w:val="nil"/>
              <w:bottom w:val="nil"/>
              <w:right w:val="single" w:sz="8" w:space="0" w:color="BFBFBF"/>
            </w:tcBorders>
            <w:shd w:val="clear" w:color="auto" w:fill="auto"/>
            <w:noWrap/>
            <w:vAlign w:val="center"/>
            <w:hideMark/>
          </w:tcPr>
          <w:p w14:paraId="17531AEF"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(200)</w:t>
            </w:r>
          </w:p>
        </w:tc>
      </w:tr>
      <w:tr w:rsidR="00A27C22" w:rsidRPr="001D0FE2" w14:paraId="0D158C2C" w14:textId="77777777" w:rsidTr="00B81D69">
        <w:trPr>
          <w:trHeight w:val="495"/>
        </w:trPr>
        <w:tc>
          <w:tcPr>
            <w:tcW w:w="6340" w:type="dxa"/>
            <w:tcBorders>
              <w:top w:val="nil"/>
              <w:left w:val="single" w:sz="8" w:space="0" w:color="BFBFBF"/>
              <w:bottom w:val="nil"/>
              <w:right w:val="single" w:sz="8" w:space="0" w:color="BFBFBF"/>
            </w:tcBorders>
            <w:shd w:val="clear" w:color="000000" w:fill="FFFFFF"/>
            <w:vAlign w:val="center"/>
            <w:hideMark/>
          </w:tcPr>
          <w:p w14:paraId="425C9BA4"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Other comprehensive income (loss), net of tax</w:t>
            </w:r>
          </w:p>
        </w:tc>
        <w:tc>
          <w:tcPr>
            <w:tcW w:w="1840" w:type="dxa"/>
            <w:tcBorders>
              <w:top w:val="nil"/>
              <w:left w:val="nil"/>
              <w:bottom w:val="nil"/>
              <w:right w:val="single" w:sz="8" w:space="0" w:color="BFBFBF"/>
            </w:tcBorders>
            <w:shd w:val="clear" w:color="000000" w:fill="DCE6F1"/>
            <w:noWrap/>
            <w:vAlign w:val="center"/>
            <w:hideMark/>
          </w:tcPr>
          <w:p w14:paraId="75CBBEF6"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35 </w:t>
            </w:r>
          </w:p>
        </w:tc>
        <w:tc>
          <w:tcPr>
            <w:tcW w:w="1840" w:type="dxa"/>
            <w:tcBorders>
              <w:top w:val="nil"/>
              <w:left w:val="nil"/>
              <w:bottom w:val="nil"/>
              <w:right w:val="single" w:sz="8" w:space="0" w:color="BFBFBF"/>
            </w:tcBorders>
            <w:shd w:val="clear" w:color="auto" w:fill="auto"/>
            <w:noWrap/>
            <w:vAlign w:val="center"/>
            <w:hideMark/>
          </w:tcPr>
          <w:p w14:paraId="2469E226"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(200)</w:t>
            </w:r>
          </w:p>
        </w:tc>
      </w:tr>
      <w:tr w:rsidR="00A27C22" w:rsidRPr="001D0FE2" w14:paraId="3627E3F2" w14:textId="77777777" w:rsidTr="00B81D69">
        <w:trPr>
          <w:trHeight w:val="495"/>
        </w:trPr>
        <w:tc>
          <w:tcPr>
            <w:tcW w:w="634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0EAF2896"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Total comprehensive income (loss) for the year</w:t>
            </w:r>
          </w:p>
        </w:tc>
        <w:tc>
          <w:tcPr>
            <w:tcW w:w="1840" w:type="dxa"/>
            <w:tcBorders>
              <w:top w:val="single" w:sz="8" w:space="0" w:color="BFBFBF"/>
              <w:left w:val="nil"/>
              <w:bottom w:val="single" w:sz="8" w:space="0" w:color="BFBFBF"/>
              <w:right w:val="single" w:sz="8" w:space="0" w:color="BFBFBF"/>
            </w:tcBorders>
            <w:shd w:val="clear" w:color="000000" w:fill="DCE6F1"/>
            <w:noWrap/>
            <w:vAlign w:val="center"/>
            <w:hideMark/>
          </w:tcPr>
          <w:p w14:paraId="70B4C999"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18.178 </w:t>
            </w:r>
          </w:p>
        </w:tc>
        <w:tc>
          <w:tcPr>
            <w:tcW w:w="1840" w:type="dxa"/>
            <w:tcBorders>
              <w:top w:val="single" w:sz="8" w:space="0" w:color="BFBFBF"/>
              <w:left w:val="nil"/>
              <w:bottom w:val="single" w:sz="8" w:space="0" w:color="BFBFBF"/>
              <w:right w:val="single" w:sz="8" w:space="0" w:color="BFBFBF"/>
            </w:tcBorders>
            <w:shd w:val="clear" w:color="auto" w:fill="auto"/>
            <w:noWrap/>
            <w:vAlign w:val="center"/>
            <w:hideMark/>
          </w:tcPr>
          <w:p w14:paraId="62A6DAE1"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13.394 </w:t>
            </w:r>
          </w:p>
        </w:tc>
      </w:tr>
      <w:tr w:rsidR="00A27C22" w:rsidRPr="001D0FE2" w14:paraId="2266F5EF" w14:textId="77777777" w:rsidTr="00B81D69">
        <w:trPr>
          <w:trHeight w:val="495"/>
        </w:trPr>
        <w:tc>
          <w:tcPr>
            <w:tcW w:w="6340" w:type="dxa"/>
            <w:tcBorders>
              <w:top w:val="nil"/>
              <w:left w:val="single" w:sz="8" w:space="0" w:color="BFBFBF"/>
              <w:bottom w:val="nil"/>
              <w:right w:val="single" w:sz="8" w:space="0" w:color="BFBFBF"/>
            </w:tcBorders>
            <w:shd w:val="clear" w:color="000000" w:fill="FFFFFF"/>
            <w:vAlign w:val="center"/>
            <w:hideMark/>
          </w:tcPr>
          <w:p w14:paraId="33609E92"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Attributable to:</w:t>
            </w:r>
          </w:p>
        </w:tc>
        <w:tc>
          <w:tcPr>
            <w:tcW w:w="1840" w:type="dxa"/>
            <w:tcBorders>
              <w:top w:val="nil"/>
              <w:left w:val="nil"/>
              <w:bottom w:val="nil"/>
              <w:right w:val="single" w:sz="8" w:space="0" w:color="BFBFBF"/>
            </w:tcBorders>
            <w:shd w:val="clear" w:color="000000" w:fill="DCE6F1"/>
            <w:noWrap/>
            <w:vAlign w:val="bottom"/>
            <w:hideMark/>
          </w:tcPr>
          <w:p w14:paraId="1CB010D9"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840" w:type="dxa"/>
            <w:tcBorders>
              <w:top w:val="nil"/>
              <w:left w:val="nil"/>
              <w:bottom w:val="nil"/>
              <w:right w:val="single" w:sz="8" w:space="0" w:color="BFBFBF"/>
            </w:tcBorders>
            <w:shd w:val="clear" w:color="auto" w:fill="auto"/>
            <w:noWrap/>
            <w:vAlign w:val="bottom"/>
            <w:hideMark/>
          </w:tcPr>
          <w:p w14:paraId="29830516"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A27C22" w:rsidRPr="001D0FE2" w14:paraId="11496D2B" w14:textId="77777777" w:rsidTr="00B81D69">
        <w:trPr>
          <w:trHeight w:val="495"/>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62F59C9A"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Owners of the parent</w:t>
            </w:r>
          </w:p>
        </w:tc>
        <w:tc>
          <w:tcPr>
            <w:tcW w:w="1840" w:type="dxa"/>
            <w:tcBorders>
              <w:top w:val="nil"/>
              <w:left w:val="nil"/>
              <w:bottom w:val="single" w:sz="8" w:space="0" w:color="BFBFBF"/>
              <w:right w:val="single" w:sz="8" w:space="0" w:color="BFBFBF"/>
            </w:tcBorders>
            <w:shd w:val="clear" w:color="000000" w:fill="DCE6F1"/>
            <w:noWrap/>
            <w:vAlign w:val="center"/>
            <w:hideMark/>
          </w:tcPr>
          <w:p w14:paraId="0385A46E"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18.178 </w:t>
            </w:r>
          </w:p>
        </w:tc>
        <w:tc>
          <w:tcPr>
            <w:tcW w:w="1840" w:type="dxa"/>
            <w:tcBorders>
              <w:top w:val="nil"/>
              <w:left w:val="nil"/>
              <w:bottom w:val="single" w:sz="8" w:space="0" w:color="BFBFBF"/>
              <w:right w:val="single" w:sz="8" w:space="0" w:color="BFBFBF"/>
            </w:tcBorders>
            <w:shd w:val="clear" w:color="auto" w:fill="auto"/>
            <w:noWrap/>
            <w:vAlign w:val="center"/>
            <w:hideMark/>
          </w:tcPr>
          <w:p w14:paraId="3901B354"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13.394 </w:t>
            </w:r>
          </w:p>
        </w:tc>
      </w:tr>
    </w:tbl>
    <w:p w14:paraId="48EDC152"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641E3131"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75520CCC"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303D6B00"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3F3E9938"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5F88D85A"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1FE0DAD3"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10379A3C"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4024B182"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5ABAAD87"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46A00410"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03C8A27F"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430E9CF5"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22A82D09"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28D4776E"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79F68389"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0121110A"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6C976042"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0654A397"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78148E2D"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479F48A3"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44B26B75"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0BD143F8"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76293A1C"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26A74D25"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7B47396A"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76728174"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21DD395A"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3EEDEF10"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48F90996" w14:textId="77777777" w:rsidR="00A27C22" w:rsidRPr="001D0FE2" w:rsidRDefault="00A27C22" w:rsidP="00A27C22">
      <w:pPr>
        <w:jc w:val="left"/>
        <w:rPr>
          <w:rFonts w:asciiTheme="minorHAnsi" w:hAnsiTheme="minorHAnsi" w:cstheme="minorHAnsi"/>
          <w:b/>
          <w:color w:val="276E8B" w:themeColor="accent1" w:themeShade="BF"/>
          <w:szCs w:val="22"/>
          <w:lang w:val="en-GB"/>
        </w:rPr>
      </w:pPr>
    </w:p>
    <w:p w14:paraId="14F191FE" w14:textId="77777777" w:rsidR="00A27C22" w:rsidRPr="001D0FE2" w:rsidRDefault="00A27C22" w:rsidP="00A27C22">
      <w:pPr>
        <w:jc w:val="right"/>
        <w:rPr>
          <w:rFonts w:asciiTheme="minorHAnsi" w:hAnsiTheme="minorHAnsi" w:cstheme="minorHAnsi"/>
          <w:sz w:val="18"/>
          <w:szCs w:val="22"/>
          <w:lang w:val="en-GB"/>
        </w:rPr>
      </w:pPr>
      <w:r w:rsidRPr="001D0FE2">
        <w:rPr>
          <w:rFonts w:asciiTheme="minorHAnsi" w:hAnsiTheme="minorHAnsi" w:cstheme="minorHAnsi"/>
          <w:sz w:val="18"/>
          <w:szCs w:val="18"/>
          <w:lang w:val="en-GB"/>
        </w:rPr>
        <w:t>Th</w:t>
      </w:r>
      <w:r w:rsidRPr="001D0FE2">
        <w:rPr>
          <w:rFonts w:asciiTheme="minorHAnsi" w:hAnsiTheme="minorHAnsi" w:cstheme="minorHAnsi"/>
          <w:sz w:val="18"/>
          <w:szCs w:val="22"/>
          <w:lang w:val="en-GB"/>
        </w:rPr>
        <w:t>e notes are an integral part of these interim financial statements</w:t>
      </w:r>
    </w:p>
    <w:p w14:paraId="127A703A" w14:textId="77777777" w:rsidR="00A27C22" w:rsidRPr="002D6138" w:rsidRDefault="00A27C22" w:rsidP="00A27C22">
      <w:pPr>
        <w:rPr>
          <w:rFonts w:asciiTheme="minorHAnsi" w:eastAsiaTheme="majorEastAsia" w:hAnsiTheme="minorHAnsi" w:cstheme="minorHAnsi"/>
          <w:b/>
          <w:color w:val="59595B"/>
          <w:szCs w:val="28"/>
          <w:lang w:val="en-GB" w:eastAsia="zh-CN"/>
        </w:rPr>
      </w:pPr>
      <w:r w:rsidRPr="002D6138">
        <w:rPr>
          <w:rFonts w:asciiTheme="minorHAnsi" w:eastAsiaTheme="majorEastAsia" w:hAnsiTheme="minorHAnsi" w:cstheme="minorHAnsi"/>
          <w:b/>
          <w:color w:val="59595B"/>
          <w:szCs w:val="28"/>
          <w:lang w:val="en-GB" w:eastAsia="zh-CN"/>
        </w:rPr>
        <w:lastRenderedPageBreak/>
        <w:t xml:space="preserve">Condensed Consolidated Balance Sheet </w:t>
      </w:r>
    </w:p>
    <w:p w14:paraId="7E302853" w14:textId="77777777" w:rsidR="00A27C22" w:rsidRPr="002D6138" w:rsidRDefault="00A27C22" w:rsidP="00A27C22">
      <w:pPr>
        <w:pStyle w:val="NoSpacing"/>
        <w:rPr>
          <w:rFonts w:asciiTheme="minorHAnsi" w:hAnsiTheme="minorHAnsi" w:cstheme="minorHAnsi"/>
          <w:sz w:val="24"/>
          <w:lang w:val="en-GB"/>
        </w:rPr>
      </w:pPr>
      <w:r w:rsidRPr="002D6138">
        <w:rPr>
          <w:rFonts w:asciiTheme="minorHAnsi" w:hAnsiTheme="minorHAnsi" w:cstheme="minorHAnsi"/>
          <w:sz w:val="24"/>
          <w:lang w:val="en-GB"/>
        </w:rPr>
        <w:t>As at date shown</w:t>
      </w:r>
    </w:p>
    <w:p w14:paraId="1887EE64" w14:textId="77777777" w:rsidR="00A27C22" w:rsidRPr="001D0FE2" w:rsidRDefault="00A27C22" w:rsidP="00A27C22">
      <w:pPr>
        <w:pStyle w:val="NoSpacing"/>
        <w:rPr>
          <w:rFonts w:asciiTheme="minorHAnsi" w:hAnsiTheme="minorHAnsi" w:cstheme="minorHAnsi"/>
          <w:color w:val="1C6194" w:themeColor="accent6" w:themeShade="BF"/>
          <w:sz w:val="24"/>
          <w:lang w:val="en-GB"/>
        </w:rPr>
      </w:pPr>
    </w:p>
    <w:tbl>
      <w:tblPr>
        <w:tblW w:w="9072" w:type="dxa"/>
        <w:tblLook w:val="04A0" w:firstRow="1" w:lastRow="0" w:firstColumn="1" w:lastColumn="0" w:noHBand="0" w:noVBand="1"/>
      </w:tblPr>
      <w:tblGrid>
        <w:gridCol w:w="5274"/>
        <w:gridCol w:w="638"/>
        <w:gridCol w:w="1580"/>
        <w:gridCol w:w="1580"/>
      </w:tblGrid>
      <w:tr w:rsidR="000E0548" w:rsidRPr="001D0FE2" w14:paraId="469AA16F" w14:textId="77777777" w:rsidTr="00B81D69">
        <w:trPr>
          <w:trHeight w:val="510"/>
        </w:trPr>
        <w:tc>
          <w:tcPr>
            <w:tcW w:w="5274" w:type="dxa"/>
            <w:tcBorders>
              <w:top w:val="nil"/>
              <w:left w:val="nil"/>
              <w:bottom w:val="nil"/>
              <w:right w:val="nil"/>
            </w:tcBorders>
            <w:shd w:val="clear" w:color="000000" w:fill="366092"/>
            <w:vAlign w:val="center"/>
            <w:hideMark/>
          </w:tcPr>
          <w:p w14:paraId="31D13E15" w14:textId="2BB92C39" w:rsidR="000E0548" w:rsidRPr="001D0FE2" w:rsidRDefault="000E0548" w:rsidP="000E0548">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638" w:type="dxa"/>
            <w:tcBorders>
              <w:top w:val="nil"/>
              <w:left w:val="nil"/>
              <w:bottom w:val="nil"/>
              <w:right w:val="nil"/>
            </w:tcBorders>
            <w:shd w:val="clear" w:color="000000" w:fill="366092"/>
            <w:vAlign w:val="center"/>
            <w:hideMark/>
          </w:tcPr>
          <w:p w14:paraId="4347779B" w14:textId="77777777" w:rsidR="000E0548" w:rsidRPr="001D0FE2" w:rsidRDefault="000E0548" w:rsidP="000E0548">
            <w:pPr>
              <w:jc w:val="center"/>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notes</w:t>
            </w:r>
          </w:p>
        </w:tc>
        <w:tc>
          <w:tcPr>
            <w:tcW w:w="1580" w:type="dxa"/>
            <w:tcBorders>
              <w:top w:val="nil"/>
              <w:left w:val="nil"/>
              <w:bottom w:val="nil"/>
              <w:right w:val="nil"/>
            </w:tcBorders>
            <w:shd w:val="clear" w:color="000000" w:fill="366092"/>
            <w:vAlign w:val="center"/>
            <w:hideMark/>
          </w:tcPr>
          <w:p w14:paraId="27C45631" w14:textId="77777777" w:rsidR="000E0548" w:rsidRPr="001D0FE2" w:rsidRDefault="000E0548" w:rsidP="000E0548">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30 June</w:t>
            </w:r>
            <w:r w:rsidRPr="001D0FE2">
              <w:rPr>
                <w:rFonts w:asciiTheme="minorHAnsi" w:hAnsiTheme="minorHAnsi" w:cstheme="minorHAnsi"/>
                <w:b/>
                <w:bCs/>
                <w:color w:val="FFFFFF"/>
                <w:sz w:val="20"/>
                <w:szCs w:val="20"/>
                <w:lang w:val="en-GB"/>
              </w:rPr>
              <w:br/>
              <w:t>2020</w:t>
            </w:r>
          </w:p>
        </w:tc>
        <w:tc>
          <w:tcPr>
            <w:tcW w:w="1580" w:type="dxa"/>
            <w:tcBorders>
              <w:top w:val="nil"/>
              <w:left w:val="nil"/>
              <w:bottom w:val="nil"/>
              <w:right w:val="nil"/>
            </w:tcBorders>
            <w:shd w:val="clear" w:color="000000" w:fill="366092"/>
            <w:vAlign w:val="center"/>
            <w:hideMark/>
          </w:tcPr>
          <w:p w14:paraId="322B6A52" w14:textId="77777777" w:rsidR="000E0548" w:rsidRPr="001D0FE2" w:rsidRDefault="000E0548" w:rsidP="000E0548">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31 December</w:t>
            </w:r>
            <w:r w:rsidRPr="001D0FE2">
              <w:rPr>
                <w:rFonts w:asciiTheme="minorHAnsi" w:hAnsiTheme="minorHAnsi" w:cstheme="minorHAnsi"/>
                <w:b/>
                <w:bCs/>
                <w:color w:val="FFFFFF"/>
                <w:sz w:val="20"/>
                <w:szCs w:val="20"/>
                <w:lang w:val="en-GB"/>
              </w:rPr>
              <w:br/>
              <w:t>2019</w:t>
            </w:r>
          </w:p>
        </w:tc>
      </w:tr>
      <w:tr w:rsidR="000E0548" w:rsidRPr="001D0FE2" w14:paraId="6A38E44B" w14:textId="77777777" w:rsidTr="00B81D69">
        <w:trPr>
          <w:trHeight w:val="240"/>
        </w:trPr>
        <w:tc>
          <w:tcPr>
            <w:tcW w:w="5274" w:type="dxa"/>
            <w:tcBorders>
              <w:top w:val="nil"/>
              <w:left w:val="single" w:sz="8" w:space="0" w:color="D9D9D9"/>
              <w:bottom w:val="nil"/>
              <w:right w:val="single" w:sz="8" w:space="0" w:color="D9D9D9"/>
            </w:tcBorders>
            <w:shd w:val="clear" w:color="000000" w:fill="FFFFFF"/>
            <w:vAlign w:val="center"/>
            <w:hideMark/>
          </w:tcPr>
          <w:p w14:paraId="352FEA67"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w:t>
            </w:r>
          </w:p>
        </w:tc>
        <w:tc>
          <w:tcPr>
            <w:tcW w:w="638" w:type="dxa"/>
            <w:tcBorders>
              <w:top w:val="nil"/>
              <w:left w:val="nil"/>
              <w:bottom w:val="nil"/>
              <w:right w:val="single" w:sz="8" w:space="0" w:color="BFBFBF"/>
            </w:tcBorders>
            <w:shd w:val="clear" w:color="000000" w:fill="FFFFFF"/>
            <w:vAlign w:val="bottom"/>
            <w:hideMark/>
          </w:tcPr>
          <w:p w14:paraId="0A404B69"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vAlign w:val="center"/>
            <w:hideMark/>
          </w:tcPr>
          <w:p w14:paraId="5F99B463" w14:textId="77777777" w:rsidR="000E0548" w:rsidRPr="002D6138" w:rsidRDefault="000E0548" w:rsidP="000E0548">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580" w:type="dxa"/>
            <w:tcBorders>
              <w:top w:val="nil"/>
              <w:left w:val="nil"/>
              <w:bottom w:val="nil"/>
              <w:right w:val="single" w:sz="8" w:space="0" w:color="BFBFBF"/>
            </w:tcBorders>
            <w:shd w:val="clear" w:color="000000" w:fill="FFFFFF"/>
            <w:vAlign w:val="center"/>
            <w:hideMark/>
          </w:tcPr>
          <w:p w14:paraId="26AA317A" w14:textId="77777777" w:rsidR="000E0548" w:rsidRPr="002D6138" w:rsidRDefault="000E0548" w:rsidP="000E0548">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0E0548" w:rsidRPr="001D0FE2" w14:paraId="78A59486"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239AFC52"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Intangible assets</w:t>
            </w:r>
          </w:p>
        </w:tc>
        <w:tc>
          <w:tcPr>
            <w:tcW w:w="638" w:type="dxa"/>
            <w:tcBorders>
              <w:top w:val="nil"/>
              <w:left w:val="nil"/>
              <w:bottom w:val="nil"/>
              <w:right w:val="single" w:sz="8" w:space="0" w:color="BFBFBF"/>
            </w:tcBorders>
            <w:shd w:val="clear" w:color="000000" w:fill="FFFFFF"/>
            <w:vAlign w:val="bottom"/>
            <w:hideMark/>
          </w:tcPr>
          <w:p w14:paraId="0BCE9EEC" w14:textId="14EC862C" w:rsidR="000E0548" w:rsidRPr="002D6138" w:rsidRDefault="009C0951"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16</w:t>
            </w:r>
            <w:r w:rsidR="000E0548"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10B38201"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77.219 </w:t>
            </w:r>
          </w:p>
        </w:tc>
        <w:tc>
          <w:tcPr>
            <w:tcW w:w="1580" w:type="dxa"/>
            <w:tcBorders>
              <w:top w:val="nil"/>
              <w:left w:val="nil"/>
              <w:bottom w:val="nil"/>
              <w:right w:val="single" w:sz="8" w:space="0" w:color="BFBFBF"/>
            </w:tcBorders>
            <w:shd w:val="clear" w:color="auto" w:fill="auto"/>
            <w:noWrap/>
            <w:vAlign w:val="bottom"/>
            <w:hideMark/>
          </w:tcPr>
          <w:p w14:paraId="518F11AA"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70.809 </w:t>
            </w:r>
          </w:p>
        </w:tc>
      </w:tr>
      <w:tr w:rsidR="000E0548" w:rsidRPr="001D0FE2" w14:paraId="17B65C10"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033FDCDB"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Property, plant and equipment</w:t>
            </w:r>
          </w:p>
        </w:tc>
        <w:tc>
          <w:tcPr>
            <w:tcW w:w="638" w:type="dxa"/>
            <w:tcBorders>
              <w:top w:val="nil"/>
              <w:left w:val="nil"/>
              <w:bottom w:val="nil"/>
              <w:right w:val="single" w:sz="8" w:space="0" w:color="BFBFBF"/>
            </w:tcBorders>
            <w:shd w:val="clear" w:color="000000" w:fill="FFFFFF"/>
            <w:vAlign w:val="bottom"/>
            <w:hideMark/>
          </w:tcPr>
          <w:p w14:paraId="440880EB"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15469C88"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8.748 </w:t>
            </w:r>
          </w:p>
        </w:tc>
        <w:tc>
          <w:tcPr>
            <w:tcW w:w="1580" w:type="dxa"/>
            <w:tcBorders>
              <w:top w:val="nil"/>
              <w:left w:val="nil"/>
              <w:bottom w:val="nil"/>
              <w:right w:val="single" w:sz="8" w:space="0" w:color="BFBFBF"/>
            </w:tcBorders>
            <w:shd w:val="clear" w:color="auto" w:fill="auto"/>
            <w:noWrap/>
            <w:vAlign w:val="bottom"/>
            <w:hideMark/>
          </w:tcPr>
          <w:p w14:paraId="50EFB9C3"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8.553 </w:t>
            </w:r>
          </w:p>
        </w:tc>
      </w:tr>
      <w:tr w:rsidR="000E0548" w:rsidRPr="001D0FE2" w14:paraId="00AB2FB9" w14:textId="77777777" w:rsidTr="00B81D69">
        <w:trPr>
          <w:trHeight w:val="315"/>
        </w:trPr>
        <w:tc>
          <w:tcPr>
            <w:tcW w:w="5274" w:type="dxa"/>
            <w:tcBorders>
              <w:top w:val="nil"/>
              <w:left w:val="single" w:sz="8" w:space="0" w:color="D9D9D9"/>
              <w:bottom w:val="nil"/>
              <w:right w:val="single" w:sz="8" w:space="0" w:color="D9D9D9"/>
            </w:tcBorders>
            <w:shd w:val="clear" w:color="auto" w:fill="auto"/>
            <w:vAlign w:val="bottom"/>
            <w:hideMark/>
          </w:tcPr>
          <w:p w14:paraId="49F68CB5"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Right-of-use assets</w:t>
            </w:r>
          </w:p>
        </w:tc>
        <w:tc>
          <w:tcPr>
            <w:tcW w:w="638" w:type="dxa"/>
            <w:tcBorders>
              <w:top w:val="nil"/>
              <w:left w:val="nil"/>
              <w:bottom w:val="nil"/>
              <w:right w:val="single" w:sz="8" w:space="0" w:color="BFBFBF"/>
            </w:tcBorders>
            <w:shd w:val="clear" w:color="000000" w:fill="FFFFFF"/>
            <w:vAlign w:val="bottom"/>
            <w:hideMark/>
          </w:tcPr>
          <w:p w14:paraId="1280CCC1"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723BC926"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5.284 </w:t>
            </w:r>
          </w:p>
        </w:tc>
        <w:tc>
          <w:tcPr>
            <w:tcW w:w="1580" w:type="dxa"/>
            <w:tcBorders>
              <w:top w:val="nil"/>
              <w:left w:val="nil"/>
              <w:bottom w:val="nil"/>
              <w:right w:val="single" w:sz="8" w:space="0" w:color="BFBFBF"/>
            </w:tcBorders>
            <w:shd w:val="clear" w:color="auto" w:fill="auto"/>
            <w:noWrap/>
            <w:vAlign w:val="bottom"/>
            <w:hideMark/>
          </w:tcPr>
          <w:p w14:paraId="7AA0AA1E"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5.979 </w:t>
            </w:r>
          </w:p>
        </w:tc>
      </w:tr>
      <w:tr w:rsidR="000E0548" w:rsidRPr="001D0FE2" w14:paraId="6B71903C"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42527232"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Deferred tax assets</w:t>
            </w:r>
          </w:p>
        </w:tc>
        <w:tc>
          <w:tcPr>
            <w:tcW w:w="638" w:type="dxa"/>
            <w:tcBorders>
              <w:top w:val="nil"/>
              <w:left w:val="nil"/>
              <w:bottom w:val="nil"/>
              <w:right w:val="single" w:sz="8" w:space="0" w:color="BFBFBF"/>
            </w:tcBorders>
            <w:shd w:val="clear" w:color="000000" w:fill="FFFFFF"/>
            <w:vAlign w:val="bottom"/>
            <w:hideMark/>
          </w:tcPr>
          <w:p w14:paraId="6FF3C586" w14:textId="7FEF6BEF" w:rsidR="000E0548" w:rsidRPr="002D6138" w:rsidRDefault="009C0951"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17</w:t>
            </w:r>
          </w:p>
        </w:tc>
        <w:tc>
          <w:tcPr>
            <w:tcW w:w="1580" w:type="dxa"/>
            <w:tcBorders>
              <w:top w:val="nil"/>
              <w:left w:val="nil"/>
              <w:bottom w:val="nil"/>
              <w:right w:val="single" w:sz="8" w:space="0" w:color="BFBFBF"/>
            </w:tcBorders>
            <w:shd w:val="clear" w:color="000000" w:fill="DCE6F1"/>
            <w:noWrap/>
            <w:vAlign w:val="bottom"/>
            <w:hideMark/>
          </w:tcPr>
          <w:p w14:paraId="75ED976B"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22.582 </w:t>
            </w:r>
          </w:p>
        </w:tc>
        <w:tc>
          <w:tcPr>
            <w:tcW w:w="1580" w:type="dxa"/>
            <w:tcBorders>
              <w:top w:val="nil"/>
              <w:left w:val="nil"/>
              <w:bottom w:val="nil"/>
              <w:right w:val="single" w:sz="8" w:space="0" w:color="BFBFBF"/>
            </w:tcBorders>
            <w:shd w:val="clear" w:color="auto" w:fill="auto"/>
            <w:noWrap/>
            <w:vAlign w:val="bottom"/>
            <w:hideMark/>
          </w:tcPr>
          <w:p w14:paraId="36D6D9E2"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28.590 </w:t>
            </w:r>
          </w:p>
        </w:tc>
      </w:tr>
      <w:tr w:rsidR="000E0548" w:rsidRPr="001D0FE2" w14:paraId="1C3CF64D" w14:textId="77777777" w:rsidTr="00B81D69">
        <w:trPr>
          <w:trHeight w:val="315"/>
        </w:trPr>
        <w:tc>
          <w:tcPr>
            <w:tcW w:w="5274" w:type="dxa"/>
            <w:tcBorders>
              <w:top w:val="nil"/>
              <w:left w:val="single" w:sz="8" w:space="0" w:color="D9D9D9"/>
              <w:bottom w:val="nil"/>
              <w:right w:val="single" w:sz="8" w:space="0" w:color="D9D9D9"/>
            </w:tcBorders>
            <w:shd w:val="clear" w:color="auto" w:fill="auto"/>
            <w:vAlign w:val="bottom"/>
            <w:hideMark/>
          </w:tcPr>
          <w:p w14:paraId="7EB74587"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Investments accounted for using the equity method</w:t>
            </w:r>
          </w:p>
        </w:tc>
        <w:tc>
          <w:tcPr>
            <w:tcW w:w="638" w:type="dxa"/>
            <w:tcBorders>
              <w:top w:val="nil"/>
              <w:left w:val="nil"/>
              <w:bottom w:val="nil"/>
              <w:right w:val="single" w:sz="8" w:space="0" w:color="BFBFBF"/>
            </w:tcBorders>
            <w:shd w:val="clear" w:color="000000" w:fill="FFFFFF"/>
            <w:vAlign w:val="bottom"/>
            <w:hideMark/>
          </w:tcPr>
          <w:p w14:paraId="57F3566F"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10 </w:t>
            </w:r>
          </w:p>
        </w:tc>
        <w:tc>
          <w:tcPr>
            <w:tcW w:w="1580" w:type="dxa"/>
            <w:tcBorders>
              <w:top w:val="nil"/>
              <w:left w:val="nil"/>
              <w:bottom w:val="nil"/>
              <w:right w:val="single" w:sz="8" w:space="0" w:color="BFBFBF"/>
            </w:tcBorders>
            <w:shd w:val="clear" w:color="000000" w:fill="DCE6F1"/>
            <w:noWrap/>
            <w:vAlign w:val="bottom"/>
            <w:hideMark/>
          </w:tcPr>
          <w:p w14:paraId="2D47CD0C"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5.616 </w:t>
            </w:r>
          </w:p>
        </w:tc>
        <w:tc>
          <w:tcPr>
            <w:tcW w:w="1580" w:type="dxa"/>
            <w:tcBorders>
              <w:top w:val="nil"/>
              <w:left w:val="nil"/>
              <w:bottom w:val="nil"/>
              <w:right w:val="single" w:sz="8" w:space="0" w:color="BFBFBF"/>
            </w:tcBorders>
            <w:shd w:val="clear" w:color="auto" w:fill="auto"/>
            <w:noWrap/>
            <w:vAlign w:val="bottom"/>
            <w:hideMark/>
          </w:tcPr>
          <w:p w14:paraId="36920E57"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5.508 </w:t>
            </w:r>
          </w:p>
        </w:tc>
      </w:tr>
      <w:tr w:rsidR="000E0548" w:rsidRPr="001D0FE2" w14:paraId="65B3A18C" w14:textId="77777777" w:rsidTr="00B81D69">
        <w:trPr>
          <w:trHeight w:val="315"/>
        </w:trPr>
        <w:tc>
          <w:tcPr>
            <w:tcW w:w="5274" w:type="dxa"/>
            <w:tcBorders>
              <w:top w:val="nil"/>
              <w:left w:val="single" w:sz="8" w:space="0" w:color="D9D9D9"/>
              <w:bottom w:val="nil"/>
              <w:right w:val="single" w:sz="8" w:space="0" w:color="D9D9D9"/>
            </w:tcBorders>
            <w:shd w:val="clear" w:color="auto" w:fill="auto"/>
            <w:vAlign w:val="bottom"/>
            <w:hideMark/>
          </w:tcPr>
          <w:p w14:paraId="69C1A184"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Restricted cash</w:t>
            </w:r>
          </w:p>
        </w:tc>
        <w:tc>
          <w:tcPr>
            <w:tcW w:w="638" w:type="dxa"/>
            <w:tcBorders>
              <w:top w:val="nil"/>
              <w:left w:val="nil"/>
              <w:bottom w:val="nil"/>
              <w:right w:val="single" w:sz="8" w:space="0" w:color="BFBFBF"/>
            </w:tcBorders>
            <w:shd w:val="clear" w:color="000000" w:fill="FFFFFF"/>
            <w:vAlign w:val="bottom"/>
            <w:hideMark/>
          </w:tcPr>
          <w:p w14:paraId="445E31F9"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6CB0024F"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2.272 </w:t>
            </w:r>
          </w:p>
        </w:tc>
        <w:tc>
          <w:tcPr>
            <w:tcW w:w="1580" w:type="dxa"/>
            <w:tcBorders>
              <w:top w:val="nil"/>
              <w:left w:val="nil"/>
              <w:bottom w:val="nil"/>
              <w:right w:val="single" w:sz="8" w:space="0" w:color="BFBFBF"/>
            </w:tcBorders>
            <w:shd w:val="clear" w:color="auto" w:fill="auto"/>
            <w:noWrap/>
            <w:vAlign w:val="bottom"/>
            <w:hideMark/>
          </w:tcPr>
          <w:p w14:paraId="37557D45"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2.268 </w:t>
            </w:r>
          </w:p>
        </w:tc>
      </w:tr>
      <w:tr w:rsidR="000E0548" w:rsidRPr="001D0FE2" w14:paraId="4616793E" w14:textId="77777777" w:rsidTr="00B81D69">
        <w:trPr>
          <w:trHeight w:val="315"/>
        </w:trPr>
        <w:tc>
          <w:tcPr>
            <w:tcW w:w="5274" w:type="dxa"/>
            <w:tcBorders>
              <w:top w:val="nil"/>
              <w:left w:val="single" w:sz="8" w:space="0" w:color="D9D9D9"/>
              <w:bottom w:val="nil"/>
              <w:right w:val="single" w:sz="8" w:space="0" w:color="D9D9D9"/>
            </w:tcBorders>
            <w:shd w:val="clear" w:color="auto" w:fill="auto"/>
            <w:vAlign w:val="bottom"/>
            <w:hideMark/>
          </w:tcPr>
          <w:p w14:paraId="37495DC3"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Non-current assets</w:t>
            </w:r>
          </w:p>
        </w:tc>
        <w:tc>
          <w:tcPr>
            <w:tcW w:w="638" w:type="dxa"/>
            <w:tcBorders>
              <w:top w:val="nil"/>
              <w:left w:val="nil"/>
              <w:bottom w:val="nil"/>
              <w:right w:val="single" w:sz="8" w:space="0" w:color="BFBFBF"/>
            </w:tcBorders>
            <w:shd w:val="clear" w:color="000000" w:fill="FFFFFF"/>
            <w:vAlign w:val="bottom"/>
            <w:hideMark/>
          </w:tcPr>
          <w:p w14:paraId="149EDCE1" w14:textId="77777777" w:rsidR="000E0548" w:rsidRPr="002D6138" w:rsidRDefault="000E0548" w:rsidP="000E0548">
            <w:pPr>
              <w:jc w:val="center"/>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2D8C71D1"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121.721 </w:t>
            </w:r>
          </w:p>
        </w:tc>
        <w:tc>
          <w:tcPr>
            <w:tcW w:w="1580" w:type="dxa"/>
            <w:tcBorders>
              <w:top w:val="nil"/>
              <w:left w:val="nil"/>
              <w:bottom w:val="nil"/>
              <w:right w:val="single" w:sz="8" w:space="0" w:color="BFBFBF"/>
            </w:tcBorders>
            <w:shd w:val="clear" w:color="auto" w:fill="auto"/>
            <w:noWrap/>
            <w:vAlign w:val="bottom"/>
            <w:hideMark/>
          </w:tcPr>
          <w:p w14:paraId="7FF71CBD"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121.707 </w:t>
            </w:r>
          </w:p>
        </w:tc>
      </w:tr>
      <w:tr w:rsidR="000E0548" w:rsidRPr="001D0FE2" w14:paraId="669A199E" w14:textId="77777777" w:rsidTr="00B81D69">
        <w:trPr>
          <w:trHeight w:val="240"/>
        </w:trPr>
        <w:tc>
          <w:tcPr>
            <w:tcW w:w="5274" w:type="dxa"/>
            <w:tcBorders>
              <w:top w:val="nil"/>
              <w:left w:val="single" w:sz="8" w:space="0" w:color="D9D9D9"/>
              <w:bottom w:val="nil"/>
              <w:right w:val="single" w:sz="8" w:space="0" w:color="D9D9D9"/>
            </w:tcBorders>
            <w:shd w:val="clear" w:color="auto" w:fill="auto"/>
            <w:vAlign w:val="bottom"/>
            <w:hideMark/>
          </w:tcPr>
          <w:p w14:paraId="67361FA8"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638" w:type="dxa"/>
            <w:tcBorders>
              <w:top w:val="nil"/>
              <w:left w:val="nil"/>
              <w:bottom w:val="nil"/>
              <w:right w:val="single" w:sz="8" w:space="0" w:color="BFBFBF"/>
            </w:tcBorders>
            <w:shd w:val="clear" w:color="000000" w:fill="FFFFFF"/>
            <w:vAlign w:val="bottom"/>
            <w:hideMark/>
          </w:tcPr>
          <w:p w14:paraId="22694B99"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3C85DEB6"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580" w:type="dxa"/>
            <w:tcBorders>
              <w:top w:val="nil"/>
              <w:left w:val="nil"/>
              <w:bottom w:val="nil"/>
              <w:right w:val="single" w:sz="8" w:space="0" w:color="BFBFBF"/>
            </w:tcBorders>
            <w:shd w:val="clear" w:color="auto" w:fill="auto"/>
            <w:noWrap/>
            <w:vAlign w:val="bottom"/>
            <w:hideMark/>
          </w:tcPr>
          <w:p w14:paraId="76BDB372"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0E0548" w:rsidRPr="001D0FE2" w14:paraId="4F16DE64"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40D5B052"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Inventories</w:t>
            </w:r>
          </w:p>
        </w:tc>
        <w:tc>
          <w:tcPr>
            <w:tcW w:w="638" w:type="dxa"/>
            <w:tcBorders>
              <w:top w:val="nil"/>
              <w:left w:val="nil"/>
              <w:bottom w:val="nil"/>
              <w:right w:val="single" w:sz="8" w:space="0" w:color="BFBFBF"/>
            </w:tcBorders>
            <w:shd w:val="clear" w:color="000000" w:fill="FFFFFF"/>
            <w:vAlign w:val="bottom"/>
            <w:hideMark/>
          </w:tcPr>
          <w:p w14:paraId="60D9FF2C"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11 </w:t>
            </w:r>
          </w:p>
        </w:tc>
        <w:tc>
          <w:tcPr>
            <w:tcW w:w="1580" w:type="dxa"/>
            <w:tcBorders>
              <w:top w:val="nil"/>
              <w:left w:val="nil"/>
              <w:bottom w:val="nil"/>
              <w:right w:val="single" w:sz="8" w:space="0" w:color="BFBFBF"/>
            </w:tcBorders>
            <w:shd w:val="clear" w:color="000000" w:fill="DCE6F1"/>
            <w:noWrap/>
            <w:vAlign w:val="bottom"/>
            <w:hideMark/>
          </w:tcPr>
          <w:p w14:paraId="261F1C78"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16.223 </w:t>
            </w:r>
          </w:p>
        </w:tc>
        <w:tc>
          <w:tcPr>
            <w:tcW w:w="1580" w:type="dxa"/>
            <w:tcBorders>
              <w:top w:val="nil"/>
              <w:left w:val="nil"/>
              <w:bottom w:val="nil"/>
              <w:right w:val="single" w:sz="8" w:space="0" w:color="BFBFBF"/>
            </w:tcBorders>
            <w:shd w:val="clear" w:color="auto" w:fill="auto"/>
            <w:noWrap/>
            <w:vAlign w:val="bottom"/>
            <w:hideMark/>
          </w:tcPr>
          <w:p w14:paraId="1293E723"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14.467 </w:t>
            </w:r>
          </w:p>
        </w:tc>
      </w:tr>
      <w:tr w:rsidR="000E0548" w:rsidRPr="001D0FE2" w14:paraId="2EA8E5DF"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3B5E7067"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Trade and other receivables</w:t>
            </w:r>
          </w:p>
        </w:tc>
        <w:tc>
          <w:tcPr>
            <w:tcW w:w="638" w:type="dxa"/>
            <w:tcBorders>
              <w:top w:val="nil"/>
              <w:left w:val="nil"/>
              <w:bottom w:val="nil"/>
              <w:right w:val="single" w:sz="8" w:space="0" w:color="BFBFBF"/>
            </w:tcBorders>
            <w:shd w:val="clear" w:color="000000" w:fill="FFFFFF"/>
            <w:vAlign w:val="bottom"/>
            <w:hideMark/>
          </w:tcPr>
          <w:p w14:paraId="310B0399"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0E95D8CE"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26.386 </w:t>
            </w:r>
          </w:p>
        </w:tc>
        <w:tc>
          <w:tcPr>
            <w:tcW w:w="1580" w:type="dxa"/>
            <w:tcBorders>
              <w:top w:val="nil"/>
              <w:left w:val="nil"/>
              <w:bottom w:val="nil"/>
              <w:right w:val="single" w:sz="8" w:space="0" w:color="BFBFBF"/>
            </w:tcBorders>
            <w:shd w:val="clear" w:color="auto" w:fill="auto"/>
            <w:noWrap/>
            <w:vAlign w:val="bottom"/>
            <w:hideMark/>
          </w:tcPr>
          <w:p w14:paraId="25AB109C"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25.737 </w:t>
            </w:r>
          </w:p>
        </w:tc>
      </w:tr>
      <w:tr w:rsidR="000E0548" w:rsidRPr="001D0FE2" w14:paraId="50471708" w14:textId="77777777" w:rsidTr="00B81D69">
        <w:trPr>
          <w:trHeight w:val="315"/>
        </w:trPr>
        <w:tc>
          <w:tcPr>
            <w:tcW w:w="5274" w:type="dxa"/>
            <w:tcBorders>
              <w:top w:val="nil"/>
              <w:left w:val="single" w:sz="8" w:space="0" w:color="D9D9D9"/>
              <w:bottom w:val="nil"/>
              <w:right w:val="single" w:sz="8" w:space="0" w:color="D9D9D9"/>
            </w:tcBorders>
            <w:shd w:val="clear" w:color="auto" w:fill="auto"/>
            <w:vAlign w:val="bottom"/>
            <w:hideMark/>
          </w:tcPr>
          <w:p w14:paraId="20877481"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Cash and cash equivalents</w:t>
            </w:r>
          </w:p>
        </w:tc>
        <w:tc>
          <w:tcPr>
            <w:tcW w:w="638" w:type="dxa"/>
            <w:tcBorders>
              <w:top w:val="nil"/>
              <w:left w:val="nil"/>
              <w:bottom w:val="nil"/>
              <w:right w:val="single" w:sz="8" w:space="0" w:color="BFBFBF"/>
            </w:tcBorders>
            <w:shd w:val="clear" w:color="000000" w:fill="FFFFFF"/>
            <w:vAlign w:val="bottom"/>
            <w:hideMark/>
          </w:tcPr>
          <w:p w14:paraId="078D4033"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50E49501"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152.782 </w:t>
            </w:r>
          </w:p>
        </w:tc>
        <w:tc>
          <w:tcPr>
            <w:tcW w:w="1580" w:type="dxa"/>
            <w:tcBorders>
              <w:top w:val="nil"/>
              <w:left w:val="nil"/>
              <w:bottom w:val="nil"/>
              <w:right w:val="single" w:sz="8" w:space="0" w:color="BFBFBF"/>
            </w:tcBorders>
            <w:shd w:val="clear" w:color="auto" w:fill="auto"/>
            <w:noWrap/>
            <w:vAlign w:val="bottom"/>
            <w:hideMark/>
          </w:tcPr>
          <w:p w14:paraId="6C353535"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66.299 </w:t>
            </w:r>
          </w:p>
        </w:tc>
      </w:tr>
      <w:tr w:rsidR="000E0548" w:rsidRPr="001D0FE2" w14:paraId="7D46C6EE" w14:textId="77777777" w:rsidTr="00B81D69">
        <w:trPr>
          <w:trHeight w:val="315"/>
        </w:trPr>
        <w:tc>
          <w:tcPr>
            <w:tcW w:w="5274" w:type="dxa"/>
            <w:tcBorders>
              <w:top w:val="nil"/>
              <w:left w:val="single" w:sz="8" w:space="0" w:color="D9D9D9"/>
              <w:bottom w:val="nil"/>
              <w:right w:val="single" w:sz="8" w:space="0" w:color="D9D9D9"/>
            </w:tcBorders>
            <w:shd w:val="clear" w:color="auto" w:fill="auto"/>
            <w:vAlign w:val="bottom"/>
            <w:hideMark/>
          </w:tcPr>
          <w:p w14:paraId="524B7395"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Current assets</w:t>
            </w:r>
          </w:p>
        </w:tc>
        <w:tc>
          <w:tcPr>
            <w:tcW w:w="638" w:type="dxa"/>
            <w:tcBorders>
              <w:top w:val="nil"/>
              <w:left w:val="nil"/>
              <w:bottom w:val="nil"/>
              <w:right w:val="single" w:sz="8" w:space="0" w:color="BFBFBF"/>
            </w:tcBorders>
            <w:shd w:val="clear" w:color="000000" w:fill="FFFFFF"/>
            <w:vAlign w:val="bottom"/>
            <w:hideMark/>
          </w:tcPr>
          <w:p w14:paraId="339E07A0" w14:textId="77777777" w:rsidR="000E0548" w:rsidRPr="002D6138" w:rsidRDefault="000E0548" w:rsidP="000E0548">
            <w:pPr>
              <w:jc w:val="center"/>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50975F90"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195.391 </w:t>
            </w:r>
          </w:p>
        </w:tc>
        <w:tc>
          <w:tcPr>
            <w:tcW w:w="1580" w:type="dxa"/>
            <w:tcBorders>
              <w:top w:val="nil"/>
              <w:left w:val="nil"/>
              <w:bottom w:val="nil"/>
              <w:right w:val="single" w:sz="8" w:space="0" w:color="BFBFBF"/>
            </w:tcBorders>
            <w:shd w:val="clear" w:color="auto" w:fill="auto"/>
            <w:noWrap/>
            <w:vAlign w:val="bottom"/>
            <w:hideMark/>
          </w:tcPr>
          <w:p w14:paraId="5A39FA5E"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106.503 </w:t>
            </w:r>
          </w:p>
        </w:tc>
      </w:tr>
      <w:tr w:rsidR="000E0548" w:rsidRPr="001D0FE2" w14:paraId="0FA6980E"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center"/>
            <w:hideMark/>
          </w:tcPr>
          <w:p w14:paraId="1F4A900C"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638" w:type="dxa"/>
            <w:tcBorders>
              <w:top w:val="nil"/>
              <w:left w:val="nil"/>
              <w:bottom w:val="nil"/>
              <w:right w:val="single" w:sz="8" w:space="0" w:color="BFBFBF"/>
            </w:tcBorders>
            <w:shd w:val="clear" w:color="000000" w:fill="FFFFFF"/>
            <w:vAlign w:val="bottom"/>
            <w:hideMark/>
          </w:tcPr>
          <w:p w14:paraId="0A84F24E"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29505AED"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580" w:type="dxa"/>
            <w:tcBorders>
              <w:top w:val="nil"/>
              <w:left w:val="nil"/>
              <w:bottom w:val="nil"/>
              <w:right w:val="single" w:sz="8" w:space="0" w:color="BFBFBF"/>
            </w:tcBorders>
            <w:shd w:val="clear" w:color="auto" w:fill="auto"/>
            <w:noWrap/>
            <w:vAlign w:val="bottom"/>
            <w:hideMark/>
          </w:tcPr>
          <w:p w14:paraId="0ABCFF9B"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0E0548" w:rsidRPr="001D0FE2" w14:paraId="0D40F504" w14:textId="77777777" w:rsidTr="00B81D69">
        <w:trPr>
          <w:trHeight w:val="313"/>
        </w:trPr>
        <w:tc>
          <w:tcPr>
            <w:tcW w:w="5274"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05241427" w14:textId="77777777" w:rsidR="000E0548" w:rsidRPr="002D6138" w:rsidRDefault="000E0548" w:rsidP="000E0548">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Total assets</w:t>
            </w:r>
          </w:p>
        </w:tc>
        <w:tc>
          <w:tcPr>
            <w:tcW w:w="638" w:type="dxa"/>
            <w:tcBorders>
              <w:top w:val="single" w:sz="8" w:space="0" w:color="BFBFBF"/>
              <w:left w:val="nil"/>
              <w:bottom w:val="single" w:sz="8" w:space="0" w:color="BFBFBF"/>
              <w:right w:val="single" w:sz="8" w:space="0" w:color="BFBFBF"/>
            </w:tcBorders>
            <w:shd w:val="clear" w:color="000000" w:fill="FFFFFF"/>
            <w:vAlign w:val="center"/>
            <w:hideMark/>
          </w:tcPr>
          <w:p w14:paraId="5425BF15" w14:textId="77777777" w:rsidR="000E0548" w:rsidRPr="002D6138" w:rsidRDefault="000E0548" w:rsidP="000E0548">
            <w:pPr>
              <w:jc w:val="center"/>
              <w:rPr>
                <w:rFonts w:asciiTheme="minorHAnsi" w:hAnsiTheme="minorHAnsi" w:cstheme="minorHAnsi"/>
                <w:sz w:val="18"/>
                <w:szCs w:val="18"/>
                <w:lang w:val="en-GB"/>
              </w:rPr>
            </w:pPr>
            <w:r w:rsidRPr="002D6138">
              <w:rPr>
                <w:rFonts w:asciiTheme="minorHAnsi" w:hAnsiTheme="minorHAnsi" w:cstheme="minorHAnsi"/>
                <w:sz w:val="18"/>
                <w:szCs w:val="18"/>
                <w:lang w:val="en-GB"/>
              </w:rPr>
              <w:t> </w:t>
            </w:r>
          </w:p>
        </w:tc>
        <w:tc>
          <w:tcPr>
            <w:tcW w:w="1580" w:type="dxa"/>
            <w:tcBorders>
              <w:top w:val="single" w:sz="8" w:space="0" w:color="BFBFBF"/>
              <w:left w:val="nil"/>
              <w:bottom w:val="single" w:sz="8" w:space="0" w:color="BFBFBF"/>
              <w:right w:val="single" w:sz="8" w:space="0" w:color="BFBFBF"/>
            </w:tcBorders>
            <w:shd w:val="clear" w:color="000000" w:fill="DCE6F1"/>
            <w:noWrap/>
            <w:vAlign w:val="center"/>
            <w:hideMark/>
          </w:tcPr>
          <w:p w14:paraId="47207B32" w14:textId="77777777" w:rsidR="000E0548" w:rsidRPr="002D6138" w:rsidRDefault="000E0548" w:rsidP="000E0548">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317.112 </w:t>
            </w:r>
          </w:p>
        </w:tc>
        <w:tc>
          <w:tcPr>
            <w:tcW w:w="1580" w:type="dxa"/>
            <w:tcBorders>
              <w:top w:val="single" w:sz="8" w:space="0" w:color="BFBFBF"/>
              <w:left w:val="nil"/>
              <w:bottom w:val="single" w:sz="8" w:space="0" w:color="BFBFBF"/>
              <w:right w:val="single" w:sz="8" w:space="0" w:color="BFBFBF"/>
            </w:tcBorders>
            <w:shd w:val="clear" w:color="auto" w:fill="auto"/>
            <w:noWrap/>
            <w:vAlign w:val="center"/>
            <w:hideMark/>
          </w:tcPr>
          <w:p w14:paraId="4422FC97" w14:textId="77777777" w:rsidR="000E0548" w:rsidRPr="002D6138" w:rsidRDefault="000E0548" w:rsidP="000E0548">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228.210 </w:t>
            </w:r>
          </w:p>
        </w:tc>
      </w:tr>
      <w:tr w:rsidR="000E0548" w:rsidRPr="001D0FE2" w14:paraId="643031DF" w14:textId="77777777" w:rsidTr="00B81D69">
        <w:trPr>
          <w:trHeight w:val="240"/>
        </w:trPr>
        <w:tc>
          <w:tcPr>
            <w:tcW w:w="5274" w:type="dxa"/>
            <w:tcBorders>
              <w:top w:val="nil"/>
              <w:left w:val="single" w:sz="8" w:space="0" w:color="D9D9D9"/>
              <w:bottom w:val="nil"/>
              <w:right w:val="single" w:sz="8" w:space="0" w:color="D9D9D9"/>
            </w:tcBorders>
            <w:shd w:val="clear" w:color="000000" w:fill="FFFFFF"/>
            <w:vAlign w:val="center"/>
            <w:hideMark/>
          </w:tcPr>
          <w:p w14:paraId="10044ADC"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w:t>
            </w:r>
          </w:p>
        </w:tc>
        <w:tc>
          <w:tcPr>
            <w:tcW w:w="638" w:type="dxa"/>
            <w:tcBorders>
              <w:top w:val="nil"/>
              <w:left w:val="nil"/>
              <w:bottom w:val="nil"/>
              <w:right w:val="single" w:sz="8" w:space="0" w:color="BFBFBF"/>
            </w:tcBorders>
            <w:shd w:val="clear" w:color="000000" w:fill="FFFFFF"/>
            <w:vAlign w:val="bottom"/>
            <w:hideMark/>
          </w:tcPr>
          <w:p w14:paraId="0FB89A70"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38097D3A"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580" w:type="dxa"/>
            <w:tcBorders>
              <w:top w:val="nil"/>
              <w:left w:val="nil"/>
              <w:bottom w:val="nil"/>
              <w:right w:val="single" w:sz="8" w:space="0" w:color="BFBFBF"/>
            </w:tcBorders>
            <w:shd w:val="clear" w:color="auto" w:fill="auto"/>
            <w:noWrap/>
            <w:vAlign w:val="bottom"/>
            <w:hideMark/>
          </w:tcPr>
          <w:p w14:paraId="5F15D8EF"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0E0548" w:rsidRPr="001D0FE2" w14:paraId="1A03F266"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27F62B2E"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Share capital</w:t>
            </w:r>
          </w:p>
        </w:tc>
        <w:tc>
          <w:tcPr>
            <w:tcW w:w="638" w:type="dxa"/>
            <w:tcBorders>
              <w:top w:val="nil"/>
              <w:left w:val="nil"/>
              <w:bottom w:val="nil"/>
              <w:right w:val="single" w:sz="8" w:space="0" w:color="BFBFBF"/>
            </w:tcBorders>
            <w:shd w:val="clear" w:color="000000" w:fill="FFFFFF"/>
            <w:vAlign w:val="bottom"/>
            <w:hideMark/>
          </w:tcPr>
          <w:p w14:paraId="29E33E28"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0DD45216"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6.377 </w:t>
            </w:r>
          </w:p>
        </w:tc>
        <w:tc>
          <w:tcPr>
            <w:tcW w:w="1580" w:type="dxa"/>
            <w:tcBorders>
              <w:top w:val="nil"/>
              <w:left w:val="nil"/>
              <w:bottom w:val="nil"/>
              <w:right w:val="single" w:sz="8" w:space="0" w:color="BFBFBF"/>
            </w:tcBorders>
            <w:shd w:val="clear" w:color="auto" w:fill="auto"/>
            <w:noWrap/>
            <w:vAlign w:val="bottom"/>
            <w:hideMark/>
          </w:tcPr>
          <w:p w14:paraId="255DC965"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6.313 </w:t>
            </w:r>
          </w:p>
        </w:tc>
      </w:tr>
      <w:tr w:rsidR="000E0548" w:rsidRPr="001D0FE2" w14:paraId="55F0804F"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2476EA34"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Share premium</w:t>
            </w:r>
          </w:p>
        </w:tc>
        <w:tc>
          <w:tcPr>
            <w:tcW w:w="638" w:type="dxa"/>
            <w:tcBorders>
              <w:top w:val="nil"/>
              <w:left w:val="nil"/>
              <w:bottom w:val="nil"/>
              <w:right w:val="single" w:sz="8" w:space="0" w:color="BFBFBF"/>
            </w:tcBorders>
            <w:shd w:val="clear" w:color="000000" w:fill="FFFFFF"/>
            <w:vAlign w:val="bottom"/>
            <w:hideMark/>
          </w:tcPr>
          <w:p w14:paraId="01039ABF"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02543A4D"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396.033 </w:t>
            </w:r>
          </w:p>
        </w:tc>
        <w:tc>
          <w:tcPr>
            <w:tcW w:w="1580" w:type="dxa"/>
            <w:tcBorders>
              <w:top w:val="nil"/>
              <w:left w:val="nil"/>
              <w:bottom w:val="nil"/>
              <w:right w:val="single" w:sz="8" w:space="0" w:color="BFBFBF"/>
            </w:tcBorders>
            <w:shd w:val="clear" w:color="auto" w:fill="auto"/>
            <w:noWrap/>
            <w:vAlign w:val="bottom"/>
            <w:hideMark/>
          </w:tcPr>
          <w:p w14:paraId="744D5631"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392.266 </w:t>
            </w:r>
          </w:p>
        </w:tc>
      </w:tr>
      <w:tr w:rsidR="000E0548" w:rsidRPr="001D0FE2" w14:paraId="0857E34B"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06773497"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Legal reserves</w:t>
            </w:r>
          </w:p>
        </w:tc>
        <w:tc>
          <w:tcPr>
            <w:tcW w:w="638" w:type="dxa"/>
            <w:tcBorders>
              <w:top w:val="nil"/>
              <w:left w:val="nil"/>
              <w:bottom w:val="nil"/>
              <w:right w:val="single" w:sz="8" w:space="0" w:color="BFBFBF"/>
            </w:tcBorders>
            <w:shd w:val="clear" w:color="000000" w:fill="FFFFFF"/>
            <w:vAlign w:val="bottom"/>
            <w:hideMark/>
          </w:tcPr>
          <w:p w14:paraId="262928D3"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140FE153"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3.809 </w:t>
            </w:r>
          </w:p>
        </w:tc>
        <w:tc>
          <w:tcPr>
            <w:tcW w:w="1580" w:type="dxa"/>
            <w:tcBorders>
              <w:top w:val="nil"/>
              <w:left w:val="nil"/>
              <w:bottom w:val="nil"/>
              <w:right w:val="single" w:sz="8" w:space="0" w:color="BFBFBF"/>
            </w:tcBorders>
            <w:shd w:val="clear" w:color="auto" w:fill="auto"/>
            <w:noWrap/>
            <w:vAlign w:val="bottom"/>
            <w:hideMark/>
          </w:tcPr>
          <w:p w14:paraId="4043E93F"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3.718 </w:t>
            </w:r>
          </w:p>
        </w:tc>
      </w:tr>
      <w:tr w:rsidR="000E0548" w:rsidRPr="001D0FE2" w14:paraId="62EE19BB"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2EB759B6"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Accumulated deficit</w:t>
            </w:r>
          </w:p>
        </w:tc>
        <w:tc>
          <w:tcPr>
            <w:tcW w:w="638" w:type="dxa"/>
            <w:tcBorders>
              <w:top w:val="nil"/>
              <w:left w:val="nil"/>
              <w:bottom w:val="nil"/>
              <w:right w:val="single" w:sz="8" w:space="0" w:color="BFBFBF"/>
            </w:tcBorders>
            <w:shd w:val="clear" w:color="000000" w:fill="FFFFFF"/>
            <w:vAlign w:val="bottom"/>
            <w:hideMark/>
          </w:tcPr>
          <w:p w14:paraId="4AF96E10"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5E003892"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(278.650)</w:t>
            </w:r>
          </w:p>
        </w:tc>
        <w:tc>
          <w:tcPr>
            <w:tcW w:w="1580" w:type="dxa"/>
            <w:tcBorders>
              <w:top w:val="nil"/>
              <w:left w:val="nil"/>
              <w:bottom w:val="nil"/>
              <w:right w:val="single" w:sz="8" w:space="0" w:color="BFBFBF"/>
            </w:tcBorders>
            <w:shd w:val="clear" w:color="auto" w:fill="auto"/>
            <w:noWrap/>
            <w:vAlign w:val="bottom"/>
            <w:hideMark/>
          </w:tcPr>
          <w:p w14:paraId="4987344C"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(297.618)</w:t>
            </w:r>
          </w:p>
        </w:tc>
      </w:tr>
      <w:tr w:rsidR="000E0548" w:rsidRPr="001D0FE2" w14:paraId="2266751C"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635DF7C5"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Shareholders’ equity</w:t>
            </w:r>
          </w:p>
        </w:tc>
        <w:tc>
          <w:tcPr>
            <w:tcW w:w="638" w:type="dxa"/>
            <w:tcBorders>
              <w:top w:val="nil"/>
              <w:left w:val="nil"/>
              <w:bottom w:val="nil"/>
              <w:right w:val="single" w:sz="8" w:space="0" w:color="BFBFBF"/>
            </w:tcBorders>
            <w:shd w:val="clear" w:color="000000" w:fill="FFFFFF"/>
            <w:vAlign w:val="bottom"/>
            <w:hideMark/>
          </w:tcPr>
          <w:p w14:paraId="26F71C6E" w14:textId="77777777" w:rsidR="000E0548" w:rsidRPr="002D6138" w:rsidRDefault="000E0548" w:rsidP="000E0548">
            <w:pPr>
              <w:jc w:val="center"/>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12 </w:t>
            </w:r>
          </w:p>
        </w:tc>
        <w:tc>
          <w:tcPr>
            <w:tcW w:w="1580" w:type="dxa"/>
            <w:tcBorders>
              <w:top w:val="nil"/>
              <w:left w:val="nil"/>
              <w:bottom w:val="nil"/>
              <w:right w:val="single" w:sz="8" w:space="0" w:color="BFBFBF"/>
            </w:tcBorders>
            <w:shd w:val="clear" w:color="000000" w:fill="DCE6F1"/>
            <w:noWrap/>
            <w:vAlign w:val="bottom"/>
            <w:hideMark/>
          </w:tcPr>
          <w:p w14:paraId="710A75F5"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127.569 </w:t>
            </w:r>
          </w:p>
        </w:tc>
        <w:tc>
          <w:tcPr>
            <w:tcW w:w="1580" w:type="dxa"/>
            <w:tcBorders>
              <w:top w:val="nil"/>
              <w:left w:val="nil"/>
              <w:bottom w:val="nil"/>
              <w:right w:val="single" w:sz="8" w:space="0" w:color="BFBFBF"/>
            </w:tcBorders>
            <w:shd w:val="clear" w:color="auto" w:fill="auto"/>
            <w:noWrap/>
            <w:vAlign w:val="bottom"/>
            <w:hideMark/>
          </w:tcPr>
          <w:p w14:paraId="395C3B94"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104.679 </w:t>
            </w:r>
          </w:p>
        </w:tc>
      </w:tr>
      <w:tr w:rsidR="000E0548" w:rsidRPr="001D0FE2" w14:paraId="45AE5C5F" w14:textId="77777777" w:rsidTr="00B81D69">
        <w:trPr>
          <w:trHeight w:val="253"/>
        </w:trPr>
        <w:tc>
          <w:tcPr>
            <w:tcW w:w="5274" w:type="dxa"/>
            <w:tcBorders>
              <w:top w:val="nil"/>
              <w:left w:val="single" w:sz="8" w:space="0" w:color="D9D9D9"/>
              <w:bottom w:val="nil"/>
              <w:right w:val="single" w:sz="8" w:space="0" w:color="D9D9D9"/>
            </w:tcBorders>
            <w:shd w:val="clear" w:color="000000" w:fill="FFFFFF"/>
            <w:vAlign w:val="bottom"/>
            <w:hideMark/>
          </w:tcPr>
          <w:p w14:paraId="4FA76C91"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638" w:type="dxa"/>
            <w:tcBorders>
              <w:top w:val="nil"/>
              <w:left w:val="nil"/>
              <w:bottom w:val="nil"/>
              <w:right w:val="single" w:sz="8" w:space="0" w:color="BFBFBF"/>
            </w:tcBorders>
            <w:shd w:val="clear" w:color="000000" w:fill="FFFFFF"/>
            <w:vAlign w:val="bottom"/>
            <w:hideMark/>
          </w:tcPr>
          <w:p w14:paraId="64FCD5C2"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52A16092"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580" w:type="dxa"/>
            <w:tcBorders>
              <w:top w:val="nil"/>
              <w:left w:val="nil"/>
              <w:bottom w:val="nil"/>
              <w:right w:val="single" w:sz="8" w:space="0" w:color="BFBFBF"/>
            </w:tcBorders>
            <w:shd w:val="clear" w:color="auto" w:fill="auto"/>
            <w:noWrap/>
            <w:vAlign w:val="bottom"/>
            <w:hideMark/>
          </w:tcPr>
          <w:p w14:paraId="1402ACDD"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0E0548" w:rsidRPr="001D0FE2" w14:paraId="64441D49"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4D1A8A4B"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Convertible bonds</w:t>
            </w:r>
          </w:p>
        </w:tc>
        <w:tc>
          <w:tcPr>
            <w:tcW w:w="638" w:type="dxa"/>
            <w:tcBorders>
              <w:top w:val="nil"/>
              <w:left w:val="nil"/>
              <w:bottom w:val="nil"/>
              <w:right w:val="single" w:sz="8" w:space="0" w:color="BFBFBF"/>
            </w:tcBorders>
            <w:shd w:val="clear" w:color="000000" w:fill="FFFFFF"/>
            <w:vAlign w:val="bottom"/>
            <w:hideMark/>
          </w:tcPr>
          <w:p w14:paraId="0E383AA9"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13 </w:t>
            </w:r>
          </w:p>
        </w:tc>
        <w:tc>
          <w:tcPr>
            <w:tcW w:w="1580" w:type="dxa"/>
            <w:tcBorders>
              <w:top w:val="nil"/>
              <w:left w:val="nil"/>
              <w:bottom w:val="nil"/>
              <w:right w:val="single" w:sz="8" w:space="0" w:color="BFBFBF"/>
            </w:tcBorders>
            <w:shd w:val="clear" w:color="000000" w:fill="DCE6F1"/>
            <w:noWrap/>
            <w:vAlign w:val="bottom"/>
            <w:hideMark/>
          </w:tcPr>
          <w:p w14:paraId="1E2F2FF3"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123.222 </w:t>
            </w:r>
          </w:p>
        </w:tc>
        <w:tc>
          <w:tcPr>
            <w:tcW w:w="1580" w:type="dxa"/>
            <w:tcBorders>
              <w:top w:val="nil"/>
              <w:left w:val="nil"/>
              <w:bottom w:val="nil"/>
              <w:right w:val="single" w:sz="8" w:space="0" w:color="BFBFBF"/>
            </w:tcBorders>
            <w:shd w:val="clear" w:color="auto" w:fill="auto"/>
            <w:noWrap/>
            <w:vAlign w:val="bottom"/>
            <w:hideMark/>
          </w:tcPr>
          <w:p w14:paraId="134F4CDB"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   </w:t>
            </w:r>
          </w:p>
        </w:tc>
      </w:tr>
      <w:tr w:rsidR="000E0548" w:rsidRPr="001D0FE2" w14:paraId="51D61504" w14:textId="77777777" w:rsidTr="00B81D69">
        <w:trPr>
          <w:trHeight w:val="315"/>
        </w:trPr>
        <w:tc>
          <w:tcPr>
            <w:tcW w:w="5274" w:type="dxa"/>
            <w:tcBorders>
              <w:top w:val="nil"/>
              <w:left w:val="single" w:sz="8" w:space="0" w:color="D9D9D9"/>
              <w:bottom w:val="nil"/>
              <w:right w:val="single" w:sz="8" w:space="0" w:color="D9D9D9"/>
            </w:tcBorders>
            <w:shd w:val="clear" w:color="auto" w:fill="auto"/>
            <w:vAlign w:val="bottom"/>
            <w:hideMark/>
          </w:tcPr>
          <w:p w14:paraId="24246E69"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Lease liabilities</w:t>
            </w:r>
          </w:p>
        </w:tc>
        <w:tc>
          <w:tcPr>
            <w:tcW w:w="638" w:type="dxa"/>
            <w:tcBorders>
              <w:top w:val="nil"/>
              <w:left w:val="nil"/>
              <w:bottom w:val="nil"/>
              <w:right w:val="single" w:sz="8" w:space="0" w:color="BFBFBF"/>
            </w:tcBorders>
            <w:shd w:val="clear" w:color="000000" w:fill="FFFFFF"/>
            <w:vAlign w:val="bottom"/>
            <w:hideMark/>
          </w:tcPr>
          <w:p w14:paraId="24AC7369"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14 </w:t>
            </w:r>
          </w:p>
        </w:tc>
        <w:tc>
          <w:tcPr>
            <w:tcW w:w="1580" w:type="dxa"/>
            <w:tcBorders>
              <w:top w:val="nil"/>
              <w:left w:val="nil"/>
              <w:bottom w:val="nil"/>
              <w:right w:val="single" w:sz="8" w:space="0" w:color="BFBFBF"/>
            </w:tcBorders>
            <w:shd w:val="clear" w:color="000000" w:fill="DCE6F1"/>
            <w:noWrap/>
            <w:vAlign w:val="bottom"/>
            <w:hideMark/>
          </w:tcPr>
          <w:p w14:paraId="06D43EA4"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4.133 </w:t>
            </w:r>
          </w:p>
        </w:tc>
        <w:tc>
          <w:tcPr>
            <w:tcW w:w="1580" w:type="dxa"/>
            <w:tcBorders>
              <w:top w:val="nil"/>
              <w:left w:val="nil"/>
              <w:bottom w:val="nil"/>
              <w:right w:val="single" w:sz="8" w:space="0" w:color="BFBFBF"/>
            </w:tcBorders>
            <w:shd w:val="clear" w:color="auto" w:fill="auto"/>
            <w:noWrap/>
            <w:vAlign w:val="bottom"/>
            <w:hideMark/>
          </w:tcPr>
          <w:p w14:paraId="1773D599"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4.363 </w:t>
            </w:r>
          </w:p>
        </w:tc>
      </w:tr>
      <w:tr w:rsidR="000E0548" w:rsidRPr="001D0FE2" w14:paraId="0C410039"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1CF10A67"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Other financial liabilities</w:t>
            </w:r>
          </w:p>
        </w:tc>
        <w:tc>
          <w:tcPr>
            <w:tcW w:w="638" w:type="dxa"/>
            <w:tcBorders>
              <w:top w:val="nil"/>
              <w:left w:val="nil"/>
              <w:bottom w:val="nil"/>
              <w:right w:val="single" w:sz="8" w:space="0" w:color="BFBFBF"/>
            </w:tcBorders>
            <w:shd w:val="clear" w:color="000000" w:fill="FFFFFF"/>
            <w:vAlign w:val="bottom"/>
            <w:hideMark/>
          </w:tcPr>
          <w:p w14:paraId="6628E3FD"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49BF4131"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18.298 </w:t>
            </w:r>
          </w:p>
        </w:tc>
        <w:tc>
          <w:tcPr>
            <w:tcW w:w="1580" w:type="dxa"/>
            <w:tcBorders>
              <w:top w:val="nil"/>
              <w:left w:val="nil"/>
              <w:bottom w:val="nil"/>
              <w:right w:val="single" w:sz="8" w:space="0" w:color="BFBFBF"/>
            </w:tcBorders>
            <w:shd w:val="clear" w:color="auto" w:fill="auto"/>
            <w:noWrap/>
            <w:vAlign w:val="bottom"/>
            <w:hideMark/>
          </w:tcPr>
          <w:p w14:paraId="4934DE4D"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17.282 </w:t>
            </w:r>
          </w:p>
        </w:tc>
      </w:tr>
      <w:tr w:rsidR="000E0548" w:rsidRPr="001D0FE2" w14:paraId="4105568B"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34B252CA"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Non-current liabilities</w:t>
            </w:r>
          </w:p>
        </w:tc>
        <w:tc>
          <w:tcPr>
            <w:tcW w:w="638" w:type="dxa"/>
            <w:tcBorders>
              <w:top w:val="nil"/>
              <w:left w:val="nil"/>
              <w:bottom w:val="nil"/>
              <w:right w:val="single" w:sz="8" w:space="0" w:color="BFBFBF"/>
            </w:tcBorders>
            <w:shd w:val="clear" w:color="000000" w:fill="FFFFFF"/>
            <w:vAlign w:val="bottom"/>
            <w:hideMark/>
          </w:tcPr>
          <w:p w14:paraId="381EDF2F" w14:textId="77777777" w:rsidR="000E0548" w:rsidRPr="002D6138" w:rsidRDefault="000E0548" w:rsidP="000E0548">
            <w:pPr>
              <w:jc w:val="center"/>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1364D2B6"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145.653 </w:t>
            </w:r>
          </w:p>
        </w:tc>
        <w:tc>
          <w:tcPr>
            <w:tcW w:w="1580" w:type="dxa"/>
            <w:tcBorders>
              <w:top w:val="nil"/>
              <w:left w:val="nil"/>
              <w:bottom w:val="nil"/>
              <w:right w:val="single" w:sz="8" w:space="0" w:color="BFBFBF"/>
            </w:tcBorders>
            <w:shd w:val="clear" w:color="auto" w:fill="auto"/>
            <w:noWrap/>
            <w:vAlign w:val="bottom"/>
            <w:hideMark/>
          </w:tcPr>
          <w:p w14:paraId="1DF45248"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21.645 </w:t>
            </w:r>
          </w:p>
        </w:tc>
      </w:tr>
      <w:tr w:rsidR="000E0548" w:rsidRPr="001D0FE2" w14:paraId="09744084" w14:textId="77777777" w:rsidTr="00B81D69">
        <w:trPr>
          <w:trHeight w:val="240"/>
        </w:trPr>
        <w:tc>
          <w:tcPr>
            <w:tcW w:w="5274" w:type="dxa"/>
            <w:tcBorders>
              <w:top w:val="nil"/>
              <w:left w:val="single" w:sz="8" w:space="0" w:color="D9D9D9"/>
              <w:bottom w:val="nil"/>
              <w:right w:val="single" w:sz="8" w:space="0" w:color="D9D9D9"/>
            </w:tcBorders>
            <w:shd w:val="clear" w:color="000000" w:fill="FFFFFF"/>
            <w:vAlign w:val="bottom"/>
            <w:hideMark/>
          </w:tcPr>
          <w:p w14:paraId="04D5E9CB"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638" w:type="dxa"/>
            <w:tcBorders>
              <w:top w:val="nil"/>
              <w:left w:val="nil"/>
              <w:bottom w:val="nil"/>
              <w:right w:val="single" w:sz="8" w:space="0" w:color="BFBFBF"/>
            </w:tcBorders>
            <w:shd w:val="clear" w:color="000000" w:fill="FFFFFF"/>
            <w:vAlign w:val="bottom"/>
            <w:hideMark/>
          </w:tcPr>
          <w:p w14:paraId="1D76B550"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6E168A1D"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580" w:type="dxa"/>
            <w:tcBorders>
              <w:top w:val="nil"/>
              <w:left w:val="nil"/>
              <w:bottom w:val="nil"/>
              <w:right w:val="single" w:sz="8" w:space="0" w:color="BFBFBF"/>
            </w:tcBorders>
            <w:shd w:val="clear" w:color="auto" w:fill="auto"/>
            <w:noWrap/>
            <w:vAlign w:val="bottom"/>
            <w:hideMark/>
          </w:tcPr>
          <w:p w14:paraId="71BD6262"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0E0548" w:rsidRPr="001D0FE2" w14:paraId="7153FFAF"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4BDBC59E"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Loans and borrowings</w:t>
            </w:r>
          </w:p>
        </w:tc>
        <w:tc>
          <w:tcPr>
            <w:tcW w:w="638" w:type="dxa"/>
            <w:tcBorders>
              <w:top w:val="nil"/>
              <w:left w:val="nil"/>
              <w:bottom w:val="nil"/>
              <w:right w:val="single" w:sz="8" w:space="0" w:color="BFBFBF"/>
            </w:tcBorders>
            <w:shd w:val="clear" w:color="000000" w:fill="FFFFFF"/>
            <w:vAlign w:val="bottom"/>
            <w:hideMark/>
          </w:tcPr>
          <w:p w14:paraId="49392B0B"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13 </w:t>
            </w:r>
          </w:p>
        </w:tc>
        <w:tc>
          <w:tcPr>
            <w:tcW w:w="1580" w:type="dxa"/>
            <w:tcBorders>
              <w:top w:val="nil"/>
              <w:left w:val="nil"/>
              <w:bottom w:val="nil"/>
              <w:right w:val="single" w:sz="8" w:space="0" w:color="BFBFBF"/>
            </w:tcBorders>
            <w:shd w:val="clear" w:color="000000" w:fill="DCE6F1"/>
            <w:noWrap/>
            <w:vAlign w:val="bottom"/>
            <w:hideMark/>
          </w:tcPr>
          <w:p w14:paraId="31352D5F"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   </w:t>
            </w:r>
          </w:p>
        </w:tc>
        <w:tc>
          <w:tcPr>
            <w:tcW w:w="1580" w:type="dxa"/>
            <w:tcBorders>
              <w:top w:val="nil"/>
              <w:left w:val="nil"/>
              <w:bottom w:val="nil"/>
              <w:right w:val="single" w:sz="8" w:space="0" w:color="BFBFBF"/>
            </w:tcBorders>
            <w:shd w:val="clear" w:color="auto" w:fill="auto"/>
            <w:noWrap/>
            <w:vAlign w:val="bottom"/>
            <w:hideMark/>
          </w:tcPr>
          <w:p w14:paraId="601A7053"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45.590 </w:t>
            </w:r>
          </w:p>
        </w:tc>
      </w:tr>
      <w:tr w:rsidR="000E0548" w:rsidRPr="001D0FE2" w14:paraId="61496A72"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3E84CD1E"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Derivative financial liabilities</w:t>
            </w:r>
          </w:p>
        </w:tc>
        <w:tc>
          <w:tcPr>
            <w:tcW w:w="638" w:type="dxa"/>
            <w:tcBorders>
              <w:top w:val="nil"/>
              <w:left w:val="nil"/>
              <w:bottom w:val="nil"/>
              <w:right w:val="single" w:sz="8" w:space="0" w:color="BFBFBF"/>
            </w:tcBorders>
            <w:shd w:val="clear" w:color="000000" w:fill="FFFFFF"/>
            <w:vAlign w:val="bottom"/>
            <w:hideMark/>
          </w:tcPr>
          <w:p w14:paraId="07BDCB26"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17271CB7"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185 </w:t>
            </w:r>
          </w:p>
        </w:tc>
        <w:tc>
          <w:tcPr>
            <w:tcW w:w="1580" w:type="dxa"/>
            <w:tcBorders>
              <w:top w:val="nil"/>
              <w:left w:val="nil"/>
              <w:bottom w:val="nil"/>
              <w:right w:val="single" w:sz="8" w:space="0" w:color="BFBFBF"/>
            </w:tcBorders>
            <w:shd w:val="clear" w:color="auto" w:fill="auto"/>
            <w:noWrap/>
            <w:vAlign w:val="bottom"/>
            <w:hideMark/>
          </w:tcPr>
          <w:p w14:paraId="52855CE4"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268 </w:t>
            </w:r>
          </w:p>
        </w:tc>
      </w:tr>
      <w:tr w:rsidR="000E0548" w:rsidRPr="001D0FE2" w14:paraId="63292614"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58858C87"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Trade and other payables</w:t>
            </w:r>
          </w:p>
        </w:tc>
        <w:tc>
          <w:tcPr>
            <w:tcW w:w="638" w:type="dxa"/>
            <w:tcBorders>
              <w:top w:val="nil"/>
              <w:left w:val="nil"/>
              <w:bottom w:val="nil"/>
              <w:right w:val="single" w:sz="8" w:space="0" w:color="BFBFBF"/>
            </w:tcBorders>
            <w:shd w:val="clear" w:color="000000" w:fill="FFFFFF"/>
            <w:vAlign w:val="bottom"/>
            <w:hideMark/>
          </w:tcPr>
          <w:p w14:paraId="166CED37"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6BD5061C"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42.158 </w:t>
            </w:r>
          </w:p>
        </w:tc>
        <w:tc>
          <w:tcPr>
            <w:tcW w:w="1580" w:type="dxa"/>
            <w:tcBorders>
              <w:top w:val="nil"/>
              <w:left w:val="nil"/>
              <w:bottom w:val="nil"/>
              <w:right w:val="single" w:sz="8" w:space="0" w:color="BFBFBF"/>
            </w:tcBorders>
            <w:shd w:val="clear" w:color="auto" w:fill="auto"/>
            <w:noWrap/>
            <w:vAlign w:val="bottom"/>
            <w:hideMark/>
          </w:tcPr>
          <w:p w14:paraId="665843AD"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36.247 </w:t>
            </w:r>
          </w:p>
        </w:tc>
      </w:tr>
      <w:tr w:rsidR="000E0548" w:rsidRPr="001D0FE2" w14:paraId="6696F676" w14:textId="77777777" w:rsidTr="00B81D69">
        <w:trPr>
          <w:trHeight w:val="315"/>
        </w:trPr>
        <w:tc>
          <w:tcPr>
            <w:tcW w:w="5274" w:type="dxa"/>
            <w:tcBorders>
              <w:top w:val="nil"/>
              <w:left w:val="single" w:sz="8" w:space="0" w:color="D9D9D9"/>
              <w:bottom w:val="nil"/>
              <w:right w:val="single" w:sz="8" w:space="0" w:color="D9D9D9"/>
            </w:tcBorders>
            <w:shd w:val="clear" w:color="auto" w:fill="auto"/>
            <w:vAlign w:val="bottom"/>
            <w:hideMark/>
          </w:tcPr>
          <w:p w14:paraId="3CA6AC20"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Lease liabilities</w:t>
            </w:r>
          </w:p>
        </w:tc>
        <w:tc>
          <w:tcPr>
            <w:tcW w:w="638" w:type="dxa"/>
            <w:tcBorders>
              <w:top w:val="nil"/>
              <w:left w:val="nil"/>
              <w:bottom w:val="nil"/>
              <w:right w:val="single" w:sz="8" w:space="0" w:color="BFBFBF"/>
            </w:tcBorders>
            <w:shd w:val="clear" w:color="000000" w:fill="FFFFFF"/>
            <w:vAlign w:val="bottom"/>
            <w:hideMark/>
          </w:tcPr>
          <w:p w14:paraId="61261FD0"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0E9F66C0"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1.547 </w:t>
            </w:r>
          </w:p>
        </w:tc>
        <w:tc>
          <w:tcPr>
            <w:tcW w:w="1580" w:type="dxa"/>
            <w:tcBorders>
              <w:top w:val="nil"/>
              <w:left w:val="nil"/>
              <w:bottom w:val="nil"/>
              <w:right w:val="single" w:sz="8" w:space="0" w:color="BFBFBF"/>
            </w:tcBorders>
            <w:shd w:val="clear" w:color="auto" w:fill="auto"/>
            <w:noWrap/>
            <w:vAlign w:val="bottom"/>
            <w:hideMark/>
          </w:tcPr>
          <w:p w14:paraId="143594B7"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1.946 </w:t>
            </w:r>
          </w:p>
        </w:tc>
      </w:tr>
      <w:tr w:rsidR="000E0548" w:rsidRPr="001D0FE2" w14:paraId="26A578B7"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4879FFBB"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Other financial liabilities</w:t>
            </w:r>
          </w:p>
        </w:tc>
        <w:tc>
          <w:tcPr>
            <w:tcW w:w="638" w:type="dxa"/>
            <w:tcBorders>
              <w:top w:val="nil"/>
              <w:left w:val="nil"/>
              <w:bottom w:val="nil"/>
              <w:right w:val="single" w:sz="8" w:space="0" w:color="BFBFBF"/>
            </w:tcBorders>
            <w:shd w:val="clear" w:color="000000" w:fill="FFFFFF"/>
            <w:vAlign w:val="bottom"/>
            <w:hideMark/>
          </w:tcPr>
          <w:p w14:paraId="0B54943C" w14:textId="77777777" w:rsidR="000E0548" w:rsidRPr="002D6138" w:rsidRDefault="000E0548" w:rsidP="000E0548">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46C77978"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   </w:t>
            </w:r>
          </w:p>
        </w:tc>
        <w:tc>
          <w:tcPr>
            <w:tcW w:w="1580" w:type="dxa"/>
            <w:tcBorders>
              <w:top w:val="nil"/>
              <w:left w:val="nil"/>
              <w:bottom w:val="nil"/>
              <w:right w:val="single" w:sz="8" w:space="0" w:color="BFBFBF"/>
            </w:tcBorders>
            <w:shd w:val="clear" w:color="auto" w:fill="auto"/>
            <w:noWrap/>
            <w:vAlign w:val="bottom"/>
            <w:hideMark/>
          </w:tcPr>
          <w:p w14:paraId="6D8BC8DB" w14:textId="77777777" w:rsidR="000E0548" w:rsidRPr="002D6138" w:rsidRDefault="000E0548" w:rsidP="000E0548">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17.835 </w:t>
            </w:r>
          </w:p>
        </w:tc>
      </w:tr>
      <w:tr w:rsidR="000E0548" w:rsidRPr="001D0FE2" w14:paraId="008EF116" w14:textId="77777777" w:rsidTr="00B81D69">
        <w:trPr>
          <w:trHeight w:val="315"/>
        </w:trPr>
        <w:tc>
          <w:tcPr>
            <w:tcW w:w="5274" w:type="dxa"/>
            <w:tcBorders>
              <w:top w:val="nil"/>
              <w:left w:val="single" w:sz="8" w:space="0" w:color="D9D9D9"/>
              <w:bottom w:val="nil"/>
              <w:right w:val="single" w:sz="8" w:space="0" w:color="D9D9D9"/>
            </w:tcBorders>
            <w:shd w:val="clear" w:color="000000" w:fill="FFFFFF"/>
            <w:vAlign w:val="bottom"/>
            <w:hideMark/>
          </w:tcPr>
          <w:p w14:paraId="3514C166"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Current liabilities</w:t>
            </w:r>
          </w:p>
        </w:tc>
        <w:tc>
          <w:tcPr>
            <w:tcW w:w="638" w:type="dxa"/>
            <w:tcBorders>
              <w:top w:val="nil"/>
              <w:left w:val="nil"/>
              <w:bottom w:val="nil"/>
              <w:right w:val="single" w:sz="8" w:space="0" w:color="BFBFBF"/>
            </w:tcBorders>
            <w:shd w:val="clear" w:color="000000" w:fill="FFFFFF"/>
            <w:vAlign w:val="bottom"/>
            <w:hideMark/>
          </w:tcPr>
          <w:p w14:paraId="784C3361" w14:textId="77777777" w:rsidR="000E0548" w:rsidRPr="002D6138" w:rsidRDefault="000E0548" w:rsidP="000E0548">
            <w:pPr>
              <w:jc w:val="center"/>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1E5BFB77"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43.890 </w:t>
            </w:r>
          </w:p>
        </w:tc>
        <w:tc>
          <w:tcPr>
            <w:tcW w:w="1580" w:type="dxa"/>
            <w:tcBorders>
              <w:top w:val="nil"/>
              <w:left w:val="nil"/>
              <w:bottom w:val="nil"/>
              <w:right w:val="single" w:sz="8" w:space="0" w:color="BFBFBF"/>
            </w:tcBorders>
            <w:shd w:val="clear" w:color="auto" w:fill="auto"/>
            <w:noWrap/>
            <w:vAlign w:val="bottom"/>
            <w:hideMark/>
          </w:tcPr>
          <w:p w14:paraId="49CAB502" w14:textId="77777777" w:rsidR="000E0548" w:rsidRPr="002D6138" w:rsidRDefault="000E0548" w:rsidP="000E0548">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101.886 </w:t>
            </w:r>
          </w:p>
        </w:tc>
      </w:tr>
      <w:tr w:rsidR="000E0548" w:rsidRPr="001D0FE2" w14:paraId="1338818B" w14:textId="77777777" w:rsidTr="00B81D69">
        <w:trPr>
          <w:trHeight w:val="315"/>
        </w:trPr>
        <w:tc>
          <w:tcPr>
            <w:tcW w:w="5274" w:type="dxa"/>
            <w:tcBorders>
              <w:top w:val="nil"/>
              <w:left w:val="single" w:sz="8" w:space="0" w:color="D9D9D9"/>
              <w:bottom w:val="single" w:sz="8" w:space="0" w:color="BFBFBF"/>
              <w:right w:val="single" w:sz="8" w:space="0" w:color="D9D9D9"/>
            </w:tcBorders>
            <w:shd w:val="clear" w:color="000000" w:fill="FFFFFF"/>
            <w:vAlign w:val="center"/>
            <w:hideMark/>
          </w:tcPr>
          <w:p w14:paraId="06C386ED" w14:textId="77777777" w:rsidR="000E0548" w:rsidRPr="001D0FE2" w:rsidRDefault="000E0548" w:rsidP="000E0548">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638" w:type="dxa"/>
            <w:tcBorders>
              <w:top w:val="nil"/>
              <w:left w:val="nil"/>
              <w:bottom w:val="nil"/>
              <w:right w:val="single" w:sz="8" w:space="0" w:color="BFBFBF"/>
            </w:tcBorders>
            <w:shd w:val="clear" w:color="000000" w:fill="FFFFFF"/>
            <w:vAlign w:val="bottom"/>
            <w:hideMark/>
          </w:tcPr>
          <w:p w14:paraId="161BF2D7" w14:textId="77777777" w:rsidR="000E0548" w:rsidRPr="001D0FE2" w:rsidRDefault="000E0548" w:rsidP="000E0548">
            <w:pPr>
              <w:jc w:val="center"/>
              <w:rPr>
                <w:rFonts w:asciiTheme="minorHAnsi" w:hAnsiTheme="minorHAnsi" w:cstheme="minorHAnsi"/>
                <w:color w:val="808080"/>
                <w:sz w:val="18"/>
                <w:szCs w:val="18"/>
                <w:lang w:val="en-GB"/>
              </w:rPr>
            </w:pPr>
            <w:r w:rsidRPr="001D0FE2">
              <w:rPr>
                <w:rFonts w:asciiTheme="minorHAnsi" w:hAnsiTheme="minorHAnsi" w:cstheme="minorHAnsi"/>
                <w:color w:val="808080"/>
                <w:sz w:val="18"/>
                <w:szCs w:val="18"/>
                <w:lang w:val="en-GB"/>
              </w:rPr>
              <w:t> </w:t>
            </w:r>
          </w:p>
        </w:tc>
        <w:tc>
          <w:tcPr>
            <w:tcW w:w="1580" w:type="dxa"/>
            <w:tcBorders>
              <w:top w:val="nil"/>
              <w:left w:val="nil"/>
              <w:bottom w:val="nil"/>
              <w:right w:val="single" w:sz="8" w:space="0" w:color="BFBFBF"/>
            </w:tcBorders>
            <w:shd w:val="clear" w:color="000000" w:fill="DCE6F1"/>
            <w:noWrap/>
            <w:vAlign w:val="bottom"/>
            <w:hideMark/>
          </w:tcPr>
          <w:p w14:paraId="493FDEAF" w14:textId="77777777" w:rsidR="000E0548" w:rsidRPr="001D0FE2" w:rsidRDefault="000E0548" w:rsidP="000E0548">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580" w:type="dxa"/>
            <w:tcBorders>
              <w:top w:val="nil"/>
              <w:left w:val="nil"/>
              <w:bottom w:val="nil"/>
              <w:right w:val="single" w:sz="8" w:space="0" w:color="BFBFBF"/>
            </w:tcBorders>
            <w:shd w:val="clear" w:color="auto" w:fill="auto"/>
            <w:noWrap/>
            <w:vAlign w:val="bottom"/>
            <w:hideMark/>
          </w:tcPr>
          <w:p w14:paraId="324EC717" w14:textId="77777777" w:rsidR="000E0548" w:rsidRPr="001D0FE2" w:rsidRDefault="000E0548" w:rsidP="000E0548">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0E0548" w:rsidRPr="001D0FE2" w14:paraId="7255FE33" w14:textId="77777777" w:rsidTr="00B81D69">
        <w:trPr>
          <w:trHeight w:val="315"/>
        </w:trPr>
        <w:tc>
          <w:tcPr>
            <w:tcW w:w="5274" w:type="dxa"/>
            <w:tcBorders>
              <w:top w:val="nil"/>
              <w:left w:val="single" w:sz="8" w:space="0" w:color="BFBFBF"/>
              <w:bottom w:val="single" w:sz="8" w:space="0" w:color="BFBFBF"/>
              <w:right w:val="single" w:sz="8" w:space="0" w:color="BFBFBF"/>
            </w:tcBorders>
            <w:shd w:val="clear" w:color="000000" w:fill="FFFFFF"/>
            <w:vAlign w:val="center"/>
            <w:hideMark/>
          </w:tcPr>
          <w:p w14:paraId="79CE7035" w14:textId="77777777" w:rsidR="000E0548" w:rsidRPr="002D6138" w:rsidRDefault="000E0548" w:rsidP="000E0548">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Total equity and liabilities</w:t>
            </w:r>
          </w:p>
        </w:tc>
        <w:tc>
          <w:tcPr>
            <w:tcW w:w="638" w:type="dxa"/>
            <w:tcBorders>
              <w:top w:val="single" w:sz="8" w:space="0" w:color="BFBFBF"/>
              <w:left w:val="nil"/>
              <w:bottom w:val="single" w:sz="8" w:space="0" w:color="BFBFBF"/>
              <w:right w:val="single" w:sz="8" w:space="0" w:color="BFBFBF"/>
            </w:tcBorders>
            <w:shd w:val="clear" w:color="000000" w:fill="FFFFFF"/>
            <w:vAlign w:val="center"/>
            <w:hideMark/>
          </w:tcPr>
          <w:p w14:paraId="7FB3A2BA" w14:textId="77777777" w:rsidR="000E0548" w:rsidRPr="002D6138" w:rsidRDefault="000E0548" w:rsidP="000E0548">
            <w:pPr>
              <w:jc w:val="center"/>
              <w:rPr>
                <w:rFonts w:asciiTheme="minorHAnsi" w:hAnsiTheme="minorHAnsi" w:cstheme="minorHAnsi"/>
                <w:sz w:val="18"/>
                <w:szCs w:val="18"/>
                <w:lang w:val="en-GB"/>
              </w:rPr>
            </w:pPr>
            <w:r w:rsidRPr="002D6138">
              <w:rPr>
                <w:rFonts w:asciiTheme="minorHAnsi" w:hAnsiTheme="minorHAnsi" w:cstheme="minorHAnsi"/>
                <w:sz w:val="18"/>
                <w:szCs w:val="18"/>
                <w:lang w:val="en-GB"/>
              </w:rPr>
              <w:t> </w:t>
            </w:r>
          </w:p>
        </w:tc>
        <w:tc>
          <w:tcPr>
            <w:tcW w:w="1580" w:type="dxa"/>
            <w:tcBorders>
              <w:top w:val="single" w:sz="8" w:space="0" w:color="BFBFBF"/>
              <w:left w:val="nil"/>
              <w:bottom w:val="single" w:sz="8" w:space="0" w:color="BFBFBF"/>
              <w:right w:val="single" w:sz="8" w:space="0" w:color="BFBFBF"/>
            </w:tcBorders>
            <w:shd w:val="clear" w:color="000000" w:fill="DCE6F1"/>
            <w:noWrap/>
            <w:vAlign w:val="center"/>
            <w:hideMark/>
          </w:tcPr>
          <w:p w14:paraId="2976B4FB" w14:textId="77777777" w:rsidR="000E0548" w:rsidRPr="002D6138" w:rsidRDefault="000E0548" w:rsidP="000E0548">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317.112 </w:t>
            </w:r>
          </w:p>
        </w:tc>
        <w:tc>
          <w:tcPr>
            <w:tcW w:w="1580" w:type="dxa"/>
            <w:tcBorders>
              <w:top w:val="single" w:sz="8" w:space="0" w:color="BFBFBF"/>
              <w:left w:val="nil"/>
              <w:bottom w:val="single" w:sz="8" w:space="0" w:color="BFBFBF"/>
              <w:right w:val="single" w:sz="8" w:space="0" w:color="BFBFBF"/>
            </w:tcBorders>
            <w:shd w:val="clear" w:color="auto" w:fill="auto"/>
            <w:noWrap/>
            <w:vAlign w:val="center"/>
            <w:hideMark/>
          </w:tcPr>
          <w:p w14:paraId="4A09BAF4" w14:textId="77777777" w:rsidR="000E0548" w:rsidRPr="002D6138" w:rsidRDefault="000E0548" w:rsidP="000E0548">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228.210 </w:t>
            </w:r>
          </w:p>
        </w:tc>
      </w:tr>
    </w:tbl>
    <w:p w14:paraId="6805E961" w14:textId="77777777" w:rsidR="00A27C22" w:rsidRPr="001D0FE2" w:rsidRDefault="00A27C22" w:rsidP="00A27C22">
      <w:pPr>
        <w:pStyle w:val="NoSpacing"/>
        <w:rPr>
          <w:rFonts w:asciiTheme="minorHAnsi" w:hAnsiTheme="minorHAnsi" w:cstheme="minorHAnsi"/>
          <w:color w:val="1C6194" w:themeColor="accent6" w:themeShade="BF"/>
          <w:sz w:val="24"/>
          <w:lang w:val="en-GB"/>
        </w:rPr>
      </w:pPr>
    </w:p>
    <w:p w14:paraId="45D71C02" w14:textId="77777777" w:rsidR="00A27C22" w:rsidRPr="001D0FE2" w:rsidRDefault="00A27C22" w:rsidP="00A27C22">
      <w:pPr>
        <w:pStyle w:val="NoSpacing"/>
        <w:rPr>
          <w:rFonts w:asciiTheme="minorHAnsi" w:hAnsiTheme="minorHAnsi" w:cstheme="minorHAnsi"/>
          <w:color w:val="1C6194" w:themeColor="accent6" w:themeShade="BF"/>
          <w:sz w:val="24"/>
          <w:lang w:val="en-GB"/>
        </w:rPr>
      </w:pPr>
    </w:p>
    <w:p w14:paraId="685A5689" w14:textId="77777777" w:rsidR="00A27C22" w:rsidRPr="001D0FE2" w:rsidRDefault="00A27C22" w:rsidP="00A27C22">
      <w:pPr>
        <w:pStyle w:val="NoSpacing"/>
        <w:rPr>
          <w:rFonts w:asciiTheme="minorHAnsi" w:hAnsiTheme="minorHAnsi" w:cstheme="minorHAnsi"/>
          <w:color w:val="1C6194" w:themeColor="accent6" w:themeShade="BF"/>
          <w:sz w:val="24"/>
          <w:lang w:val="en-GB"/>
        </w:rPr>
      </w:pPr>
    </w:p>
    <w:p w14:paraId="6CB6AF7E" w14:textId="77777777" w:rsidR="00A27C22" w:rsidRPr="001D0FE2" w:rsidRDefault="00A27C22" w:rsidP="00A27C22">
      <w:pPr>
        <w:pStyle w:val="NoSpacing"/>
        <w:rPr>
          <w:rFonts w:asciiTheme="minorHAnsi" w:hAnsiTheme="minorHAnsi" w:cstheme="minorHAnsi"/>
          <w:color w:val="1C6194" w:themeColor="accent6" w:themeShade="BF"/>
          <w:sz w:val="24"/>
          <w:lang w:val="en-GB"/>
        </w:rPr>
      </w:pPr>
    </w:p>
    <w:p w14:paraId="377759ED" w14:textId="77777777" w:rsidR="00A27C22" w:rsidRPr="001D0FE2" w:rsidRDefault="00A27C22" w:rsidP="00A27C22">
      <w:pPr>
        <w:pStyle w:val="NoSpacing"/>
        <w:rPr>
          <w:rFonts w:asciiTheme="minorHAnsi" w:hAnsiTheme="minorHAnsi" w:cstheme="minorHAnsi"/>
          <w:color w:val="1C6194" w:themeColor="accent6" w:themeShade="BF"/>
          <w:sz w:val="24"/>
          <w:lang w:val="en-GB"/>
        </w:rPr>
      </w:pPr>
    </w:p>
    <w:p w14:paraId="78C1BB53" w14:textId="77777777" w:rsidR="00A27C22" w:rsidRPr="001D0FE2" w:rsidRDefault="00A27C22" w:rsidP="00A27C22">
      <w:pPr>
        <w:jc w:val="right"/>
        <w:rPr>
          <w:rFonts w:asciiTheme="minorHAnsi" w:hAnsiTheme="minorHAnsi" w:cstheme="minorHAnsi"/>
          <w:sz w:val="18"/>
          <w:szCs w:val="22"/>
          <w:lang w:val="en-GB"/>
        </w:rPr>
      </w:pPr>
      <w:r w:rsidRPr="001D0FE2">
        <w:rPr>
          <w:rFonts w:asciiTheme="minorHAnsi" w:hAnsiTheme="minorHAnsi" w:cstheme="minorHAnsi"/>
          <w:sz w:val="18"/>
          <w:szCs w:val="22"/>
          <w:lang w:val="en-GB"/>
        </w:rPr>
        <w:t>The notes are an integral part of these interim financial statements</w:t>
      </w:r>
    </w:p>
    <w:p w14:paraId="3B3C6460" w14:textId="77777777" w:rsidR="00A27C22" w:rsidRPr="001D0FE2" w:rsidRDefault="00A27C22" w:rsidP="00A27C22">
      <w:pPr>
        <w:jc w:val="left"/>
        <w:rPr>
          <w:rFonts w:asciiTheme="minorHAnsi" w:eastAsiaTheme="majorEastAsia" w:hAnsiTheme="minorHAnsi" w:cstheme="minorHAnsi"/>
          <w:b/>
          <w:color w:val="59595B"/>
          <w:szCs w:val="28"/>
          <w:lang w:val="en-GB" w:eastAsia="zh-CN"/>
        </w:rPr>
      </w:pPr>
      <w:r w:rsidRPr="001D0FE2">
        <w:rPr>
          <w:rFonts w:asciiTheme="minorHAnsi" w:eastAsiaTheme="majorEastAsia" w:hAnsiTheme="minorHAnsi" w:cstheme="minorHAnsi"/>
          <w:b/>
          <w:color w:val="59595B"/>
          <w:szCs w:val="28"/>
          <w:lang w:val="en-GB" w:eastAsia="zh-CN"/>
        </w:rPr>
        <w:br w:type="page"/>
      </w:r>
      <w:r w:rsidRPr="001D0FE2">
        <w:rPr>
          <w:rFonts w:asciiTheme="minorHAnsi" w:eastAsiaTheme="majorEastAsia" w:hAnsiTheme="minorHAnsi" w:cstheme="minorHAnsi"/>
          <w:b/>
          <w:color w:val="59595B"/>
          <w:szCs w:val="28"/>
          <w:lang w:val="en-GB" w:eastAsia="zh-CN"/>
        </w:rPr>
        <w:lastRenderedPageBreak/>
        <w:t xml:space="preserve">Condensed Consolidated Statement of Changes in Equity </w:t>
      </w:r>
    </w:p>
    <w:p w14:paraId="16E38F38" w14:textId="77777777" w:rsidR="00A27C22" w:rsidRPr="001D0FE2" w:rsidRDefault="00A27C22" w:rsidP="00A27C22">
      <w:pPr>
        <w:pStyle w:val="NoSpacing"/>
        <w:rPr>
          <w:rFonts w:asciiTheme="minorHAnsi" w:hAnsiTheme="minorHAnsi" w:cstheme="minorHAnsi"/>
          <w:color w:val="1C6194" w:themeColor="accent6" w:themeShade="BF"/>
          <w:sz w:val="24"/>
          <w:lang w:val="en-GB"/>
        </w:rPr>
      </w:pPr>
      <w:r w:rsidRPr="001D0FE2">
        <w:rPr>
          <w:rFonts w:asciiTheme="minorHAnsi" w:hAnsiTheme="minorHAnsi" w:cstheme="minorHAnsi"/>
          <w:color w:val="1C6194" w:themeColor="accent6" w:themeShade="BF"/>
          <w:sz w:val="24"/>
          <w:lang w:val="en-GB"/>
        </w:rPr>
        <w:t>For the period ended 30 June</w:t>
      </w:r>
    </w:p>
    <w:p w14:paraId="32FA10BD" w14:textId="77777777" w:rsidR="00A27C22" w:rsidRPr="001D0FE2" w:rsidRDefault="00A27C22" w:rsidP="00A27C22">
      <w:pPr>
        <w:pStyle w:val="NoSpacing"/>
        <w:jc w:val="right"/>
        <w:rPr>
          <w:rFonts w:asciiTheme="minorHAnsi" w:hAnsiTheme="minorHAnsi" w:cstheme="minorHAnsi"/>
          <w:color w:val="1C6194" w:themeColor="accent6" w:themeShade="BF"/>
          <w:u w:val="single"/>
          <w:lang w:val="en-GB"/>
        </w:rPr>
      </w:pPr>
      <w:r w:rsidRPr="001D0FE2">
        <w:rPr>
          <w:rFonts w:asciiTheme="minorHAnsi" w:hAnsiTheme="minorHAnsi" w:cstheme="minorHAnsi"/>
          <w:color w:val="1C6194" w:themeColor="accent6" w:themeShade="BF"/>
          <w:u w:val="single"/>
          <w:lang w:val="en-GB"/>
        </w:rPr>
        <w:t>Attributable to owners of the parent</w:t>
      </w:r>
    </w:p>
    <w:p w14:paraId="3E6101BF" w14:textId="77777777" w:rsidR="00A27C22" w:rsidRPr="001D0FE2" w:rsidRDefault="00A27C22" w:rsidP="00A27C22">
      <w:pPr>
        <w:pStyle w:val="NoSpacing"/>
        <w:rPr>
          <w:rFonts w:asciiTheme="minorHAnsi" w:hAnsiTheme="minorHAnsi" w:cstheme="minorHAnsi"/>
          <w:color w:val="1C6194" w:themeColor="accent6" w:themeShade="BF"/>
          <w:u w:val="single"/>
          <w:lang w:val="en-GB"/>
        </w:rPr>
      </w:pPr>
    </w:p>
    <w:tbl>
      <w:tblPr>
        <w:tblW w:w="0" w:type="auto"/>
        <w:tblLook w:val="04A0" w:firstRow="1" w:lastRow="0" w:firstColumn="1" w:lastColumn="0" w:noHBand="0" w:noVBand="1"/>
      </w:tblPr>
      <w:tblGrid>
        <w:gridCol w:w="4980"/>
        <w:gridCol w:w="667"/>
        <w:gridCol w:w="1120"/>
        <w:gridCol w:w="1140"/>
        <w:gridCol w:w="1120"/>
      </w:tblGrid>
      <w:tr w:rsidR="00A27C22" w:rsidRPr="001D0FE2" w14:paraId="432D0F57" w14:textId="77777777" w:rsidTr="00B81D69">
        <w:trPr>
          <w:trHeight w:val="810"/>
        </w:trPr>
        <w:tc>
          <w:tcPr>
            <w:tcW w:w="6320" w:type="dxa"/>
            <w:tcBorders>
              <w:top w:val="single" w:sz="8" w:space="0" w:color="FFFFFF"/>
              <w:left w:val="nil"/>
              <w:bottom w:val="single" w:sz="8" w:space="0" w:color="BFBFBF"/>
              <w:right w:val="nil"/>
            </w:tcBorders>
            <w:shd w:val="clear" w:color="000000" w:fill="366092"/>
            <w:vAlign w:val="center"/>
            <w:hideMark/>
          </w:tcPr>
          <w:p w14:paraId="2A8CC31F"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560" w:type="dxa"/>
            <w:tcBorders>
              <w:top w:val="single" w:sz="8" w:space="0" w:color="FFFFFF"/>
              <w:left w:val="nil"/>
              <w:bottom w:val="single" w:sz="8" w:space="0" w:color="BFBFBF"/>
              <w:right w:val="nil"/>
            </w:tcBorders>
            <w:shd w:val="clear" w:color="000000" w:fill="366092"/>
            <w:vAlign w:val="center"/>
            <w:hideMark/>
          </w:tcPr>
          <w:p w14:paraId="752641B8"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notes</w:t>
            </w:r>
          </w:p>
        </w:tc>
        <w:tc>
          <w:tcPr>
            <w:tcW w:w="1120" w:type="dxa"/>
            <w:tcBorders>
              <w:top w:val="single" w:sz="8" w:space="0" w:color="FFFFFF"/>
              <w:left w:val="nil"/>
              <w:bottom w:val="single" w:sz="8" w:space="0" w:color="BFBFBF"/>
              <w:right w:val="nil"/>
            </w:tcBorders>
            <w:shd w:val="clear" w:color="000000" w:fill="366092"/>
            <w:vAlign w:val="center"/>
            <w:hideMark/>
          </w:tcPr>
          <w:p w14:paraId="57B4184B"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Number of shares</w:t>
            </w:r>
            <w:r w:rsidRPr="001D0FE2">
              <w:rPr>
                <w:rFonts w:asciiTheme="minorHAnsi" w:hAnsiTheme="minorHAnsi" w:cstheme="minorHAnsi"/>
                <w:b/>
                <w:bCs/>
                <w:color w:val="FFFFFF"/>
                <w:sz w:val="20"/>
                <w:szCs w:val="20"/>
                <w:lang w:val="en-GB"/>
              </w:rPr>
              <w:br/>
            </w:r>
            <w:r w:rsidRPr="001D0FE2">
              <w:rPr>
                <w:rFonts w:asciiTheme="minorHAnsi" w:hAnsiTheme="minorHAnsi" w:cstheme="minorHAnsi"/>
                <w:color w:val="FFFFFF"/>
                <w:sz w:val="16"/>
                <w:szCs w:val="16"/>
                <w:lang w:val="en-GB"/>
              </w:rPr>
              <w:t>(in '000)</w:t>
            </w:r>
          </w:p>
        </w:tc>
        <w:tc>
          <w:tcPr>
            <w:tcW w:w="1140" w:type="dxa"/>
            <w:tcBorders>
              <w:top w:val="single" w:sz="8" w:space="0" w:color="FFFFFF"/>
              <w:left w:val="nil"/>
              <w:bottom w:val="single" w:sz="8" w:space="0" w:color="BFBFBF"/>
              <w:right w:val="nil"/>
            </w:tcBorders>
            <w:shd w:val="clear" w:color="000000" w:fill="366092"/>
            <w:vAlign w:val="center"/>
            <w:hideMark/>
          </w:tcPr>
          <w:p w14:paraId="3314D72E"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Share capital</w:t>
            </w:r>
          </w:p>
        </w:tc>
        <w:tc>
          <w:tcPr>
            <w:tcW w:w="1120" w:type="dxa"/>
            <w:tcBorders>
              <w:top w:val="single" w:sz="8" w:space="0" w:color="FFFFFF"/>
              <w:left w:val="nil"/>
              <w:bottom w:val="single" w:sz="8" w:space="0" w:color="BFBFBF"/>
              <w:right w:val="nil"/>
            </w:tcBorders>
            <w:shd w:val="clear" w:color="000000" w:fill="366092"/>
            <w:vAlign w:val="center"/>
            <w:hideMark/>
          </w:tcPr>
          <w:p w14:paraId="418FC2B2"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Share premium</w:t>
            </w:r>
          </w:p>
        </w:tc>
      </w:tr>
      <w:tr w:rsidR="00A27C22" w:rsidRPr="001D0FE2" w14:paraId="693F5734" w14:textId="77777777" w:rsidTr="00B81D69">
        <w:trPr>
          <w:trHeight w:val="640"/>
        </w:trPr>
        <w:tc>
          <w:tcPr>
            <w:tcW w:w="6320" w:type="dxa"/>
            <w:tcBorders>
              <w:top w:val="single" w:sz="8" w:space="0" w:color="FFFFFF"/>
              <w:left w:val="single" w:sz="8" w:space="0" w:color="FFFFFF"/>
              <w:bottom w:val="nil"/>
              <w:right w:val="nil"/>
            </w:tcBorders>
            <w:shd w:val="clear" w:color="000000" w:fill="366092"/>
            <w:vAlign w:val="center"/>
            <w:hideMark/>
          </w:tcPr>
          <w:p w14:paraId="32B24CEE"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 </w:t>
            </w:r>
          </w:p>
        </w:tc>
        <w:tc>
          <w:tcPr>
            <w:tcW w:w="560" w:type="dxa"/>
            <w:tcBorders>
              <w:top w:val="single" w:sz="8" w:space="0" w:color="FFFFFF"/>
              <w:left w:val="nil"/>
              <w:bottom w:val="single" w:sz="8" w:space="0" w:color="BFBFBF"/>
              <w:right w:val="nil"/>
            </w:tcBorders>
            <w:shd w:val="clear" w:color="000000" w:fill="366092"/>
            <w:vAlign w:val="center"/>
            <w:hideMark/>
          </w:tcPr>
          <w:p w14:paraId="7D3E1582" w14:textId="77777777" w:rsidR="00A27C22" w:rsidRPr="001D0FE2" w:rsidRDefault="00A27C22" w:rsidP="00B81D69">
            <w:pPr>
              <w:jc w:val="center"/>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 </w:t>
            </w:r>
          </w:p>
        </w:tc>
        <w:tc>
          <w:tcPr>
            <w:tcW w:w="1120" w:type="dxa"/>
            <w:tcBorders>
              <w:top w:val="single" w:sz="8" w:space="0" w:color="FFFFFF"/>
              <w:left w:val="nil"/>
              <w:bottom w:val="single" w:sz="8" w:space="0" w:color="BFBFBF"/>
              <w:right w:val="nil"/>
            </w:tcBorders>
            <w:shd w:val="clear" w:color="000000" w:fill="366092"/>
            <w:vAlign w:val="center"/>
            <w:hideMark/>
          </w:tcPr>
          <w:p w14:paraId="51CC0E44"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w:t>
            </w:r>
          </w:p>
        </w:tc>
        <w:tc>
          <w:tcPr>
            <w:tcW w:w="1140" w:type="dxa"/>
            <w:tcBorders>
              <w:top w:val="single" w:sz="8" w:space="0" w:color="FFFFFF"/>
              <w:left w:val="nil"/>
              <w:bottom w:val="single" w:sz="8" w:space="0" w:color="BFBFBF"/>
              <w:right w:val="nil"/>
            </w:tcBorders>
            <w:shd w:val="clear" w:color="000000" w:fill="366092"/>
            <w:vAlign w:val="center"/>
            <w:hideMark/>
          </w:tcPr>
          <w:p w14:paraId="1C4C323A"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w:t>
            </w:r>
          </w:p>
        </w:tc>
        <w:tc>
          <w:tcPr>
            <w:tcW w:w="1120" w:type="dxa"/>
            <w:tcBorders>
              <w:top w:val="single" w:sz="8" w:space="0" w:color="FFFFFF"/>
              <w:left w:val="nil"/>
              <w:bottom w:val="single" w:sz="8" w:space="0" w:color="BFBFBF"/>
              <w:right w:val="nil"/>
            </w:tcBorders>
            <w:shd w:val="clear" w:color="000000" w:fill="366092"/>
            <w:vAlign w:val="center"/>
            <w:hideMark/>
          </w:tcPr>
          <w:p w14:paraId="322FA7A6"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w:t>
            </w:r>
          </w:p>
        </w:tc>
      </w:tr>
      <w:tr w:rsidR="00A27C22" w:rsidRPr="001D0FE2" w14:paraId="10575C22" w14:textId="77777777" w:rsidTr="00B81D69">
        <w:trPr>
          <w:trHeight w:val="370"/>
        </w:trPr>
        <w:tc>
          <w:tcPr>
            <w:tcW w:w="6320" w:type="dxa"/>
            <w:tcBorders>
              <w:top w:val="nil"/>
              <w:left w:val="single" w:sz="8" w:space="0" w:color="BFBFBF"/>
              <w:bottom w:val="single" w:sz="8" w:space="0" w:color="BFBFBF"/>
              <w:right w:val="single" w:sz="8" w:space="0" w:color="BFBFBF"/>
            </w:tcBorders>
            <w:shd w:val="clear" w:color="000000" w:fill="FFFFFF"/>
            <w:vAlign w:val="center"/>
            <w:hideMark/>
          </w:tcPr>
          <w:p w14:paraId="3E01662B" w14:textId="77777777" w:rsidR="00A27C22" w:rsidRPr="002D6138" w:rsidRDefault="00A27C22" w:rsidP="00B81D69">
            <w:pPr>
              <w:jc w:val="lef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Balance at 1 January 2019 as reported in HY report</w:t>
            </w:r>
          </w:p>
        </w:tc>
        <w:tc>
          <w:tcPr>
            <w:tcW w:w="560" w:type="dxa"/>
            <w:tcBorders>
              <w:top w:val="nil"/>
              <w:left w:val="nil"/>
              <w:bottom w:val="single" w:sz="8" w:space="0" w:color="BFBFBF"/>
              <w:right w:val="single" w:sz="8" w:space="0" w:color="BFBFBF"/>
            </w:tcBorders>
            <w:shd w:val="clear" w:color="000000" w:fill="FFFFFF"/>
            <w:vAlign w:val="center"/>
            <w:hideMark/>
          </w:tcPr>
          <w:p w14:paraId="56B95843" w14:textId="77777777" w:rsidR="00A27C22" w:rsidRPr="002D6138" w:rsidRDefault="00A27C22" w:rsidP="00B81D69">
            <w:pPr>
              <w:jc w:val="center"/>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w:t>
            </w:r>
          </w:p>
        </w:tc>
        <w:tc>
          <w:tcPr>
            <w:tcW w:w="1120" w:type="dxa"/>
            <w:tcBorders>
              <w:top w:val="nil"/>
              <w:left w:val="nil"/>
              <w:bottom w:val="single" w:sz="8" w:space="0" w:color="BFBFBF"/>
              <w:right w:val="single" w:sz="8" w:space="0" w:color="BFBFBF"/>
            </w:tcBorders>
            <w:shd w:val="clear" w:color="auto" w:fill="auto"/>
            <w:noWrap/>
            <w:vAlign w:val="center"/>
            <w:hideMark/>
          </w:tcPr>
          <w:p w14:paraId="1F7BD79C"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621.501 </w:t>
            </w:r>
          </w:p>
        </w:tc>
        <w:tc>
          <w:tcPr>
            <w:tcW w:w="1140" w:type="dxa"/>
            <w:tcBorders>
              <w:top w:val="nil"/>
              <w:left w:val="nil"/>
              <w:bottom w:val="single" w:sz="8" w:space="0" w:color="BFBFBF"/>
              <w:right w:val="single" w:sz="8" w:space="0" w:color="BFBFBF"/>
            </w:tcBorders>
            <w:shd w:val="clear" w:color="auto" w:fill="auto"/>
            <w:noWrap/>
            <w:vAlign w:val="center"/>
            <w:hideMark/>
          </w:tcPr>
          <w:p w14:paraId="6D0B4A45"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6.215 </w:t>
            </w:r>
          </w:p>
        </w:tc>
        <w:tc>
          <w:tcPr>
            <w:tcW w:w="1120" w:type="dxa"/>
            <w:tcBorders>
              <w:top w:val="nil"/>
              <w:left w:val="nil"/>
              <w:bottom w:val="single" w:sz="8" w:space="0" w:color="BFBFBF"/>
              <w:right w:val="single" w:sz="8" w:space="0" w:color="BFBFBF"/>
            </w:tcBorders>
            <w:shd w:val="clear" w:color="auto" w:fill="auto"/>
            <w:noWrap/>
            <w:vAlign w:val="center"/>
            <w:hideMark/>
          </w:tcPr>
          <w:p w14:paraId="652D27A9"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387.525 </w:t>
            </w:r>
          </w:p>
        </w:tc>
      </w:tr>
      <w:tr w:rsidR="00A27C22" w:rsidRPr="001D0FE2" w14:paraId="21DF6A93" w14:textId="77777777" w:rsidTr="002D6138">
        <w:trPr>
          <w:trHeight w:val="375"/>
        </w:trPr>
        <w:tc>
          <w:tcPr>
            <w:tcW w:w="6320" w:type="dxa"/>
            <w:tcBorders>
              <w:top w:val="nil"/>
              <w:left w:val="single" w:sz="8" w:space="0" w:color="BFBFBF"/>
              <w:bottom w:val="nil"/>
              <w:right w:val="single" w:sz="8" w:space="0" w:color="BFBFBF"/>
            </w:tcBorders>
            <w:shd w:val="clear" w:color="000000" w:fill="FFFFFF"/>
            <w:vAlign w:val="bottom"/>
            <w:hideMark/>
          </w:tcPr>
          <w:p w14:paraId="027640BF"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Result for the year</w:t>
            </w:r>
          </w:p>
        </w:tc>
        <w:tc>
          <w:tcPr>
            <w:tcW w:w="560" w:type="dxa"/>
            <w:tcBorders>
              <w:top w:val="nil"/>
              <w:left w:val="nil"/>
              <w:bottom w:val="nil"/>
              <w:right w:val="single" w:sz="8" w:space="0" w:color="BFBFBF"/>
            </w:tcBorders>
            <w:shd w:val="clear" w:color="000000" w:fill="FFFFFF"/>
            <w:vAlign w:val="bottom"/>
          </w:tcPr>
          <w:p w14:paraId="0D9EA24D" w14:textId="27B5DC19" w:rsidR="00A27C22" w:rsidRPr="002D6138" w:rsidRDefault="00A27C22" w:rsidP="002D6138">
            <w:pPr>
              <w:jc w:val="right"/>
              <w:rPr>
                <w:rFonts w:asciiTheme="minorHAnsi" w:hAnsiTheme="minorHAnsi" w:cstheme="minorHAnsi"/>
                <w:color w:val="59595B"/>
                <w:sz w:val="18"/>
                <w:szCs w:val="18"/>
                <w:lang w:val="en-GB"/>
              </w:rPr>
            </w:pPr>
          </w:p>
        </w:tc>
        <w:tc>
          <w:tcPr>
            <w:tcW w:w="1120" w:type="dxa"/>
            <w:tcBorders>
              <w:top w:val="nil"/>
              <w:left w:val="nil"/>
              <w:bottom w:val="nil"/>
              <w:right w:val="single" w:sz="8" w:space="0" w:color="BFBFBF"/>
            </w:tcBorders>
            <w:shd w:val="clear" w:color="auto" w:fill="auto"/>
            <w:noWrap/>
            <w:vAlign w:val="bottom"/>
            <w:hideMark/>
          </w:tcPr>
          <w:p w14:paraId="19C51F52"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40" w:type="dxa"/>
            <w:tcBorders>
              <w:top w:val="nil"/>
              <w:left w:val="nil"/>
              <w:bottom w:val="nil"/>
              <w:right w:val="single" w:sz="8" w:space="0" w:color="BFBFBF"/>
            </w:tcBorders>
            <w:shd w:val="clear" w:color="auto" w:fill="auto"/>
            <w:noWrap/>
            <w:vAlign w:val="bottom"/>
            <w:hideMark/>
          </w:tcPr>
          <w:p w14:paraId="3A4F51E0"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20" w:type="dxa"/>
            <w:tcBorders>
              <w:top w:val="nil"/>
              <w:left w:val="nil"/>
              <w:bottom w:val="nil"/>
              <w:right w:val="single" w:sz="8" w:space="0" w:color="BFBFBF"/>
            </w:tcBorders>
            <w:shd w:val="clear" w:color="auto" w:fill="auto"/>
            <w:noWrap/>
            <w:vAlign w:val="bottom"/>
            <w:hideMark/>
          </w:tcPr>
          <w:p w14:paraId="1004C3FD"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690681AD" w14:textId="77777777" w:rsidTr="00B81D69">
        <w:trPr>
          <w:trHeight w:val="375"/>
        </w:trPr>
        <w:tc>
          <w:tcPr>
            <w:tcW w:w="6320" w:type="dxa"/>
            <w:tcBorders>
              <w:top w:val="nil"/>
              <w:left w:val="single" w:sz="8" w:space="0" w:color="BFBFBF"/>
              <w:bottom w:val="single" w:sz="8" w:space="0" w:color="BFBFBF"/>
              <w:right w:val="single" w:sz="8" w:space="0" w:color="BFBFBF"/>
            </w:tcBorders>
            <w:shd w:val="clear" w:color="000000" w:fill="FFFFFF"/>
            <w:vAlign w:val="bottom"/>
            <w:hideMark/>
          </w:tcPr>
          <w:p w14:paraId="13083C95"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Other comprehensive income (loss) for the half-year</w:t>
            </w:r>
          </w:p>
        </w:tc>
        <w:tc>
          <w:tcPr>
            <w:tcW w:w="560" w:type="dxa"/>
            <w:tcBorders>
              <w:top w:val="nil"/>
              <w:left w:val="nil"/>
              <w:bottom w:val="single" w:sz="8" w:space="0" w:color="BFBFBF"/>
              <w:right w:val="single" w:sz="8" w:space="0" w:color="BFBFBF"/>
            </w:tcBorders>
            <w:shd w:val="clear" w:color="000000" w:fill="FFFFFF"/>
            <w:vAlign w:val="bottom"/>
            <w:hideMark/>
          </w:tcPr>
          <w:p w14:paraId="3E08D5EE"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120" w:type="dxa"/>
            <w:tcBorders>
              <w:top w:val="nil"/>
              <w:left w:val="nil"/>
              <w:bottom w:val="single" w:sz="8" w:space="0" w:color="BFBFBF"/>
              <w:right w:val="single" w:sz="8" w:space="0" w:color="BFBFBF"/>
            </w:tcBorders>
            <w:shd w:val="clear" w:color="auto" w:fill="auto"/>
            <w:noWrap/>
            <w:vAlign w:val="bottom"/>
            <w:hideMark/>
          </w:tcPr>
          <w:p w14:paraId="7403CEF8"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40" w:type="dxa"/>
            <w:tcBorders>
              <w:top w:val="nil"/>
              <w:left w:val="nil"/>
              <w:bottom w:val="single" w:sz="8" w:space="0" w:color="BFBFBF"/>
              <w:right w:val="single" w:sz="8" w:space="0" w:color="BFBFBF"/>
            </w:tcBorders>
            <w:shd w:val="clear" w:color="auto" w:fill="auto"/>
            <w:noWrap/>
            <w:vAlign w:val="bottom"/>
            <w:hideMark/>
          </w:tcPr>
          <w:p w14:paraId="5127F32F"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20" w:type="dxa"/>
            <w:tcBorders>
              <w:top w:val="nil"/>
              <w:left w:val="nil"/>
              <w:bottom w:val="single" w:sz="8" w:space="0" w:color="BFBFBF"/>
              <w:right w:val="single" w:sz="8" w:space="0" w:color="BFBFBF"/>
            </w:tcBorders>
            <w:shd w:val="clear" w:color="auto" w:fill="auto"/>
            <w:noWrap/>
            <w:vAlign w:val="bottom"/>
            <w:hideMark/>
          </w:tcPr>
          <w:p w14:paraId="04A92BEB"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5F5DFD99" w14:textId="77777777" w:rsidTr="00B81D69">
        <w:trPr>
          <w:trHeight w:val="375"/>
        </w:trPr>
        <w:tc>
          <w:tcPr>
            <w:tcW w:w="6320" w:type="dxa"/>
            <w:tcBorders>
              <w:top w:val="nil"/>
              <w:left w:val="single" w:sz="8" w:space="0" w:color="BFBFBF"/>
              <w:bottom w:val="single" w:sz="8" w:space="0" w:color="BFBFBF"/>
              <w:right w:val="single" w:sz="8" w:space="0" w:color="BFBFBF"/>
            </w:tcBorders>
            <w:shd w:val="clear" w:color="000000" w:fill="FFFFFF"/>
            <w:vAlign w:val="center"/>
            <w:hideMark/>
          </w:tcPr>
          <w:p w14:paraId="39A9C99A" w14:textId="77777777" w:rsidR="00A27C22" w:rsidRPr="002D6138" w:rsidRDefault="00A27C22" w:rsidP="00B81D69">
            <w:pPr>
              <w:jc w:val="lef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Total comprehensive income (loss) for the half-year</w:t>
            </w:r>
          </w:p>
        </w:tc>
        <w:tc>
          <w:tcPr>
            <w:tcW w:w="560" w:type="dxa"/>
            <w:tcBorders>
              <w:top w:val="nil"/>
              <w:left w:val="nil"/>
              <w:bottom w:val="single" w:sz="8" w:space="0" w:color="BFBFBF"/>
              <w:right w:val="single" w:sz="8" w:space="0" w:color="BFBFBF"/>
            </w:tcBorders>
            <w:shd w:val="clear" w:color="000000" w:fill="FFFFFF"/>
            <w:vAlign w:val="center"/>
            <w:hideMark/>
          </w:tcPr>
          <w:p w14:paraId="41A7E72C" w14:textId="77777777" w:rsidR="00A27C22" w:rsidRPr="002D6138" w:rsidRDefault="00A27C22" w:rsidP="00B81D69">
            <w:pPr>
              <w:jc w:val="center"/>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w:t>
            </w:r>
          </w:p>
        </w:tc>
        <w:tc>
          <w:tcPr>
            <w:tcW w:w="1120" w:type="dxa"/>
            <w:tcBorders>
              <w:top w:val="nil"/>
              <w:left w:val="nil"/>
              <w:bottom w:val="nil"/>
              <w:right w:val="single" w:sz="8" w:space="0" w:color="BFBFBF"/>
            </w:tcBorders>
            <w:shd w:val="clear" w:color="auto" w:fill="auto"/>
            <w:noWrap/>
            <w:vAlign w:val="center"/>
            <w:hideMark/>
          </w:tcPr>
          <w:p w14:paraId="615C4EBC"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   </w:t>
            </w:r>
          </w:p>
        </w:tc>
        <w:tc>
          <w:tcPr>
            <w:tcW w:w="1140" w:type="dxa"/>
            <w:tcBorders>
              <w:top w:val="nil"/>
              <w:left w:val="nil"/>
              <w:bottom w:val="single" w:sz="8" w:space="0" w:color="BFBFBF"/>
              <w:right w:val="single" w:sz="8" w:space="0" w:color="BFBFBF"/>
            </w:tcBorders>
            <w:shd w:val="clear" w:color="auto" w:fill="auto"/>
            <w:noWrap/>
            <w:vAlign w:val="center"/>
            <w:hideMark/>
          </w:tcPr>
          <w:p w14:paraId="2D4574A4"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   </w:t>
            </w:r>
          </w:p>
        </w:tc>
        <w:tc>
          <w:tcPr>
            <w:tcW w:w="1120" w:type="dxa"/>
            <w:tcBorders>
              <w:top w:val="nil"/>
              <w:left w:val="nil"/>
              <w:bottom w:val="single" w:sz="8" w:space="0" w:color="BFBFBF"/>
              <w:right w:val="single" w:sz="8" w:space="0" w:color="BFBFBF"/>
            </w:tcBorders>
            <w:shd w:val="clear" w:color="auto" w:fill="auto"/>
            <w:noWrap/>
            <w:vAlign w:val="center"/>
            <w:hideMark/>
          </w:tcPr>
          <w:p w14:paraId="5C987219"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   </w:t>
            </w:r>
          </w:p>
        </w:tc>
      </w:tr>
      <w:tr w:rsidR="00A27C22" w:rsidRPr="001D0FE2" w14:paraId="503BC666" w14:textId="77777777" w:rsidTr="00B81D69">
        <w:trPr>
          <w:trHeight w:val="375"/>
        </w:trPr>
        <w:tc>
          <w:tcPr>
            <w:tcW w:w="6320" w:type="dxa"/>
            <w:tcBorders>
              <w:top w:val="nil"/>
              <w:left w:val="single" w:sz="8" w:space="0" w:color="BFBFBF"/>
              <w:bottom w:val="nil"/>
              <w:right w:val="single" w:sz="8" w:space="0" w:color="BFBFBF"/>
            </w:tcBorders>
            <w:shd w:val="clear" w:color="000000" w:fill="FFFFFF"/>
            <w:vAlign w:val="bottom"/>
            <w:hideMark/>
          </w:tcPr>
          <w:p w14:paraId="33D6D297"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Legal reserves development expenses</w:t>
            </w:r>
          </w:p>
        </w:tc>
        <w:tc>
          <w:tcPr>
            <w:tcW w:w="560" w:type="dxa"/>
            <w:tcBorders>
              <w:top w:val="nil"/>
              <w:left w:val="nil"/>
              <w:bottom w:val="nil"/>
              <w:right w:val="nil"/>
            </w:tcBorders>
            <w:shd w:val="clear" w:color="000000" w:fill="FFFFFF"/>
            <w:vAlign w:val="bottom"/>
            <w:hideMark/>
          </w:tcPr>
          <w:p w14:paraId="5359B5EF"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120" w:type="dxa"/>
            <w:tcBorders>
              <w:top w:val="single" w:sz="8" w:space="0" w:color="BFBFBF"/>
              <w:left w:val="single" w:sz="8" w:space="0" w:color="BFBFBF"/>
              <w:bottom w:val="nil"/>
              <w:right w:val="single" w:sz="8" w:space="0" w:color="BFBFBF"/>
            </w:tcBorders>
            <w:shd w:val="clear" w:color="auto" w:fill="auto"/>
            <w:noWrap/>
            <w:vAlign w:val="bottom"/>
            <w:hideMark/>
          </w:tcPr>
          <w:p w14:paraId="33A56BD0"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40" w:type="dxa"/>
            <w:tcBorders>
              <w:top w:val="nil"/>
              <w:left w:val="nil"/>
              <w:bottom w:val="nil"/>
              <w:right w:val="single" w:sz="8" w:space="0" w:color="BFBFBF"/>
            </w:tcBorders>
            <w:shd w:val="clear" w:color="auto" w:fill="auto"/>
            <w:noWrap/>
            <w:vAlign w:val="bottom"/>
            <w:hideMark/>
          </w:tcPr>
          <w:p w14:paraId="6C25EA2B"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20" w:type="dxa"/>
            <w:tcBorders>
              <w:top w:val="nil"/>
              <w:left w:val="nil"/>
              <w:bottom w:val="nil"/>
              <w:right w:val="single" w:sz="8" w:space="0" w:color="BFBFBF"/>
            </w:tcBorders>
            <w:shd w:val="clear" w:color="auto" w:fill="auto"/>
            <w:noWrap/>
            <w:vAlign w:val="bottom"/>
            <w:hideMark/>
          </w:tcPr>
          <w:p w14:paraId="05956B23"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1A6E0FAA" w14:textId="77777777" w:rsidTr="00B81D69">
        <w:trPr>
          <w:trHeight w:val="375"/>
        </w:trPr>
        <w:tc>
          <w:tcPr>
            <w:tcW w:w="6320" w:type="dxa"/>
            <w:tcBorders>
              <w:top w:val="nil"/>
              <w:left w:val="single" w:sz="8" w:space="0" w:color="BFBFBF"/>
              <w:bottom w:val="nil"/>
              <w:right w:val="single" w:sz="8" w:space="0" w:color="BFBFBF"/>
            </w:tcBorders>
            <w:shd w:val="clear" w:color="000000" w:fill="FFFFFF"/>
            <w:vAlign w:val="bottom"/>
            <w:hideMark/>
          </w:tcPr>
          <w:p w14:paraId="20372919"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Share-based compensation</w:t>
            </w:r>
          </w:p>
        </w:tc>
        <w:tc>
          <w:tcPr>
            <w:tcW w:w="560" w:type="dxa"/>
            <w:tcBorders>
              <w:top w:val="nil"/>
              <w:left w:val="nil"/>
              <w:bottom w:val="nil"/>
              <w:right w:val="nil"/>
            </w:tcBorders>
            <w:shd w:val="clear" w:color="000000" w:fill="FFFFFF"/>
            <w:vAlign w:val="bottom"/>
            <w:hideMark/>
          </w:tcPr>
          <w:p w14:paraId="7F306916"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120" w:type="dxa"/>
            <w:tcBorders>
              <w:top w:val="nil"/>
              <w:left w:val="single" w:sz="8" w:space="0" w:color="BFBFBF"/>
              <w:bottom w:val="nil"/>
              <w:right w:val="single" w:sz="8" w:space="0" w:color="BFBFBF"/>
            </w:tcBorders>
            <w:shd w:val="clear" w:color="auto" w:fill="auto"/>
            <w:noWrap/>
            <w:vAlign w:val="bottom"/>
            <w:hideMark/>
          </w:tcPr>
          <w:p w14:paraId="7F3C7C5B"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40" w:type="dxa"/>
            <w:tcBorders>
              <w:top w:val="nil"/>
              <w:left w:val="nil"/>
              <w:bottom w:val="nil"/>
              <w:right w:val="single" w:sz="8" w:space="0" w:color="BFBFBF"/>
            </w:tcBorders>
            <w:shd w:val="clear" w:color="auto" w:fill="auto"/>
            <w:noWrap/>
            <w:vAlign w:val="bottom"/>
            <w:hideMark/>
          </w:tcPr>
          <w:p w14:paraId="4E7BA991"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20" w:type="dxa"/>
            <w:tcBorders>
              <w:top w:val="nil"/>
              <w:left w:val="nil"/>
              <w:bottom w:val="nil"/>
              <w:right w:val="single" w:sz="8" w:space="0" w:color="BFBFBF"/>
            </w:tcBorders>
            <w:shd w:val="clear" w:color="auto" w:fill="auto"/>
            <w:noWrap/>
            <w:vAlign w:val="bottom"/>
            <w:hideMark/>
          </w:tcPr>
          <w:p w14:paraId="7924F8EA"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51477FA9" w14:textId="77777777" w:rsidTr="00B81D69">
        <w:trPr>
          <w:trHeight w:val="375"/>
        </w:trPr>
        <w:tc>
          <w:tcPr>
            <w:tcW w:w="6320" w:type="dxa"/>
            <w:tcBorders>
              <w:top w:val="nil"/>
              <w:left w:val="single" w:sz="8" w:space="0" w:color="BFBFBF"/>
              <w:bottom w:val="nil"/>
              <w:right w:val="single" w:sz="8" w:space="0" w:color="BFBFBF"/>
            </w:tcBorders>
            <w:shd w:val="clear" w:color="000000" w:fill="FFFFFF"/>
            <w:vAlign w:val="bottom"/>
            <w:hideMark/>
          </w:tcPr>
          <w:p w14:paraId="0B5B9A8B"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Bonuses settled in shares</w:t>
            </w:r>
          </w:p>
        </w:tc>
        <w:tc>
          <w:tcPr>
            <w:tcW w:w="560" w:type="dxa"/>
            <w:tcBorders>
              <w:top w:val="nil"/>
              <w:left w:val="nil"/>
              <w:bottom w:val="nil"/>
              <w:right w:val="nil"/>
            </w:tcBorders>
            <w:shd w:val="clear" w:color="000000" w:fill="FFFFFF"/>
            <w:vAlign w:val="bottom"/>
            <w:hideMark/>
          </w:tcPr>
          <w:p w14:paraId="5444794C"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120" w:type="dxa"/>
            <w:tcBorders>
              <w:top w:val="nil"/>
              <w:left w:val="single" w:sz="8" w:space="0" w:color="BFBFBF"/>
              <w:bottom w:val="nil"/>
              <w:right w:val="single" w:sz="8" w:space="0" w:color="BFBFBF"/>
            </w:tcBorders>
            <w:shd w:val="clear" w:color="auto" w:fill="auto"/>
            <w:noWrap/>
            <w:vAlign w:val="bottom"/>
            <w:hideMark/>
          </w:tcPr>
          <w:p w14:paraId="61EE384B"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3 </w:t>
            </w:r>
          </w:p>
        </w:tc>
        <w:tc>
          <w:tcPr>
            <w:tcW w:w="1140" w:type="dxa"/>
            <w:tcBorders>
              <w:top w:val="nil"/>
              <w:left w:val="nil"/>
              <w:bottom w:val="nil"/>
              <w:right w:val="single" w:sz="8" w:space="0" w:color="BFBFBF"/>
            </w:tcBorders>
            <w:shd w:val="clear" w:color="auto" w:fill="auto"/>
            <w:noWrap/>
            <w:vAlign w:val="bottom"/>
            <w:hideMark/>
          </w:tcPr>
          <w:p w14:paraId="0AF26D5E"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20" w:type="dxa"/>
            <w:tcBorders>
              <w:top w:val="nil"/>
              <w:left w:val="nil"/>
              <w:bottom w:val="nil"/>
              <w:right w:val="single" w:sz="8" w:space="0" w:color="BFBFBF"/>
            </w:tcBorders>
            <w:shd w:val="clear" w:color="auto" w:fill="auto"/>
            <w:noWrap/>
            <w:vAlign w:val="bottom"/>
            <w:hideMark/>
          </w:tcPr>
          <w:p w14:paraId="115A53A4"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3 </w:t>
            </w:r>
          </w:p>
        </w:tc>
      </w:tr>
      <w:tr w:rsidR="00A27C22" w:rsidRPr="001D0FE2" w14:paraId="78B27314" w14:textId="77777777" w:rsidTr="00B81D69">
        <w:trPr>
          <w:trHeight w:val="375"/>
        </w:trPr>
        <w:tc>
          <w:tcPr>
            <w:tcW w:w="6320" w:type="dxa"/>
            <w:tcBorders>
              <w:top w:val="nil"/>
              <w:left w:val="single" w:sz="8" w:space="0" w:color="BFBFBF"/>
              <w:bottom w:val="nil"/>
              <w:right w:val="single" w:sz="8" w:space="0" w:color="BFBFBF"/>
            </w:tcBorders>
            <w:shd w:val="clear" w:color="000000" w:fill="FFFFFF"/>
            <w:vAlign w:val="bottom"/>
            <w:hideMark/>
          </w:tcPr>
          <w:p w14:paraId="3EF9625E"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Shares issued for cash</w:t>
            </w:r>
          </w:p>
        </w:tc>
        <w:tc>
          <w:tcPr>
            <w:tcW w:w="560" w:type="dxa"/>
            <w:tcBorders>
              <w:top w:val="nil"/>
              <w:left w:val="nil"/>
              <w:bottom w:val="nil"/>
              <w:right w:val="nil"/>
            </w:tcBorders>
            <w:shd w:val="clear" w:color="000000" w:fill="FFFFFF"/>
            <w:vAlign w:val="bottom"/>
            <w:hideMark/>
          </w:tcPr>
          <w:p w14:paraId="003F802D"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120" w:type="dxa"/>
            <w:tcBorders>
              <w:top w:val="nil"/>
              <w:left w:val="single" w:sz="8" w:space="0" w:color="BFBFBF"/>
              <w:bottom w:val="nil"/>
              <w:right w:val="single" w:sz="8" w:space="0" w:color="BFBFBF"/>
            </w:tcBorders>
            <w:shd w:val="clear" w:color="auto" w:fill="auto"/>
            <w:noWrap/>
            <w:vAlign w:val="bottom"/>
            <w:hideMark/>
          </w:tcPr>
          <w:p w14:paraId="1F24F187"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1.635 </w:t>
            </w:r>
          </w:p>
        </w:tc>
        <w:tc>
          <w:tcPr>
            <w:tcW w:w="1140" w:type="dxa"/>
            <w:tcBorders>
              <w:top w:val="nil"/>
              <w:left w:val="nil"/>
              <w:bottom w:val="nil"/>
              <w:right w:val="single" w:sz="8" w:space="0" w:color="BFBFBF"/>
            </w:tcBorders>
            <w:shd w:val="clear" w:color="auto" w:fill="auto"/>
            <w:noWrap/>
            <w:vAlign w:val="bottom"/>
            <w:hideMark/>
          </w:tcPr>
          <w:p w14:paraId="67527DD7"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16 </w:t>
            </w:r>
          </w:p>
        </w:tc>
        <w:tc>
          <w:tcPr>
            <w:tcW w:w="1120" w:type="dxa"/>
            <w:tcBorders>
              <w:top w:val="nil"/>
              <w:left w:val="nil"/>
              <w:bottom w:val="nil"/>
              <w:right w:val="single" w:sz="8" w:space="0" w:color="BFBFBF"/>
            </w:tcBorders>
            <w:shd w:val="clear" w:color="auto" w:fill="auto"/>
            <w:noWrap/>
            <w:vAlign w:val="bottom"/>
            <w:hideMark/>
          </w:tcPr>
          <w:p w14:paraId="62B2995D"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228 </w:t>
            </w:r>
          </w:p>
        </w:tc>
      </w:tr>
      <w:tr w:rsidR="00A27C22" w:rsidRPr="001D0FE2" w14:paraId="564E579C" w14:textId="77777777" w:rsidTr="00B81D69">
        <w:trPr>
          <w:trHeight w:val="375"/>
        </w:trPr>
        <w:tc>
          <w:tcPr>
            <w:tcW w:w="6320" w:type="dxa"/>
            <w:tcBorders>
              <w:top w:val="nil"/>
              <w:left w:val="single" w:sz="8" w:space="0" w:color="BFBFBF"/>
              <w:bottom w:val="nil"/>
              <w:right w:val="single" w:sz="8" w:space="0" w:color="BFBFBF"/>
            </w:tcBorders>
            <w:shd w:val="clear" w:color="000000" w:fill="FFFFFF"/>
            <w:vAlign w:val="bottom"/>
            <w:hideMark/>
          </w:tcPr>
          <w:p w14:paraId="70F5AE7D"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Warrants exercised/ issued</w:t>
            </w:r>
          </w:p>
        </w:tc>
        <w:tc>
          <w:tcPr>
            <w:tcW w:w="560" w:type="dxa"/>
            <w:tcBorders>
              <w:top w:val="nil"/>
              <w:left w:val="nil"/>
              <w:bottom w:val="nil"/>
              <w:right w:val="nil"/>
            </w:tcBorders>
            <w:shd w:val="clear" w:color="000000" w:fill="FFFFFF"/>
            <w:vAlign w:val="bottom"/>
            <w:hideMark/>
          </w:tcPr>
          <w:p w14:paraId="1C33E4BA"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120" w:type="dxa"/>
            <w:tcBorders>
              <w:top w:val="nil"/>
              <w:left w:val="single" w:sz="8" w:space="0" w:color="BFBFBF"/>
              <w:bottom w:val="nil"/>
              <w:right w:val="single" w:sz="8" w:space="0" w:color="BFBFBF"/>
            </w:tcBorders>
            <w:shd w:val="clear" w:color="auto" w:fill="auto"/>
            <w:noWrap/>
            <w:vAlign w:val="bottom"/>
            <w:hideMark/>
          </w:tcPr>
          <w:p w14:paraId="0DDA7C08"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180 </w:t>
            </w:r>
          </w:p>
        </w:tc>
        <w:tc>
          <w:tcPr>
            <w:tcW w:w="1140" w:type="dxa"/>
            <w:tcBorders>
              <w:top w:val="nil"/>
              <w:left w:val="nil"/>
              <w:bottom w:val="nil"/>
              <w:right w:val="single" w:sz="8" w:space="0" w:color="BFBFBF"/>
            </w:tcBorders>
            <w:shd w:val="clear" w:color="auto" w:fill="auto"/>
            <w:noWrap/>
            <w:vAlign w:val="bottom"/>
            <w:hideMark/>
          </w:tcPr>
          <w:p w14:paraId="11D4E4D3"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 </w:t>
            </w:r>
          </w:p>
        </w:tc>
        <w:tc>
          <w:tcPr>
            <w:tcW w:w="1120" w:type="dxa"/>
            <w:tcBorders>
              <w:top w:val="nil"/>
              <w:left w:val="nil"/>
              <w:bottom w:val="nil"/>
              <w:right w:val="single" w:sz="8" w:space="0" w:color="BFBFBF"/>
            </w:tcBorders>
            <w:shd w:val="clear" w:color="auto" w:fill="auto"/>
            <w:noWrap/>
            <w:vAlign w:val="bottom"/>
            <w:hideMark/>
          </w:tcPr>
          <w:p w14:paraId="2F5B22AF"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158 </w:t>
            </w:r>
          </w:p>
        </w:tc>
      </w:tr>
      <w:tr w:rsidR="00A27C22" w:rsidRPr="001D0FE2" w14:paraId="39DD6ABA" w14:textId="77777777" w:rsidTr="00B81D69">
        <w:trPr>
          <w:trHeight w:val="375"/>
        </w:trPr>
        <w:tc>
          <w:tcPr>
            <w:tcW w:w="6320" w:type="dxa"/>
            <w:tcBorders>
              <w:top w:val="nil"/>
              <w:left w:val="single" w:sz="8" w:space="0" w:color="BFBFBF"/>
              <w:bottom w:val="nil"/>
              <w:right w:val="single" w:sz="8" w:space="0" w:color="BFBFBF"/>
            </w:tcBorders>
            <w:shd w:val="clear" w:color="000000" w:fill="FFFFFF"/>
            <w:vAlign w:val="bottom"/>
            <w:hideMark/>
          </w:tcPr>
          <w:p w14:paraId="1683D2D1"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Options exercised</w:t>
            </w:r>
          </w:p>
        </w:tc>
        <w:tc>
          <w:tcPr>
            <w:tcW w:w="560" w:type="dxa"/>
            <w:tcBorders>
              <w:top w:val="nil"/>
              <w:left w:val="nil"/>
              <w:bottom w:val="single" w:sz="8" w:space="0" w:color="BFBFBF"/>
              <w:right w:val="nil"/>
            </w:tcBorders>
            <w:shd w:val="clear" w:color="000000" w:fill="FFFFFF"/>
            <w:vAlign w:val="bottom"/>
            <w:hideMark/>
          </w:tcPr>
          <w:p w14:paraId="5A3B58EB"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120" w:type="dxa"/>
            <w:tcBorders>
              <w:top w:val="nil"/>
              <w:left w:val="single" w:sz="8" w:space="0" w:color="BFBFBF"/>
              <w:bottom w:val="single" w:sz="8" w:space="0" w:color="BFBFBF"/>
              <w:right w:val="single" w:sz="8" w:space="0" w:color="BFBFBF"/>
            </w:tcBorders>
            <w:shd w:val="clear" w:color="auto" w:fill="auto"/>
            <w:noWrap/>
            <w:vAlign w:val="bottom"/>
            <w:hideMark/>
          </w:tcPr>
          <w:p w14:paraId="31CF03AB"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2.564 </w:t>
            </w:r>
          </w:p>
        </w:tc>
        <w:tc>
          <w:tcPr>
            <w:tcW w:w="1140" w:type="dxa"/>
            <w:tcBorders>
              <w:top w:val="nil"/>
              <w:left w:val="nil"/>
              <w:bottom w:val="single" w:sz="8" w:space="0" w:color="BFBFBF"/>
              <w:right w:val="single" w:sz="8" w:space="0" w:color="BFBFBF"/>
            </w:tcBorders>
            <w:shd w:val="clear" w:color="auto" w:fill="auto"/>
            <w:noWrap/>
            <w:vAlign w:val="bottom"/>
            <w:hideMark/>
          </w:tcPr>
          <w:p w14:paraId="6DCC77DB"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25 </w:t>
            </w:r>
          </w:p>
        </w:tc>
        <w:tc>
          <w:tcPr>
            <w:tcW w:w="1120" w:type="dxa"/>
            <w:tcBorders>
              <w:top w:val="nil"/>
              <w:left w:val="nil"/>
              <w:bottom w:val="single" w:sz="8" w:space="0" w:color="BFBFBF"/>
              <w:right w:val="single" w:sz="8" w:space="0" w:color="BFBFBF"/>
            </w:tcBorders>
            <w:shd w:val="clear" w:color="auto" w:fill="auto"/>
            <w:noWrap/>
            <w:vAlign w:val="bottom"/>
            <w:hideMark/>
          </w:tcPr>
          <w:p w14:paraId="581F0A5D"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1.396 </w:t>
            </w:r>
          </w:p>
        </w:tc>
      </w:tr>
      <w:tr w:rsidR="00A27C22" w:rsidRPr="001D0FE2" w14:paraId="509E4E93" w14:textId="77777777" w:rsidTr="00B81D69">
        <w:trPr>
          <w:trHeight w:val="375"/>
        </w:trPr>
        <w:tc>
          <w:tcPr>
            <w:tcW w:w="632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7E542C58" w14:textId="77777777" w:rsidR="00A27C22" w:rsidRPr="002D6138" w:rsidRDefault="00A27C22" w:rsidP="00B81D69">
            <w:pPr>
              <w:jc w:val="lef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Total transactions with owners, recognised directly in equity</w:t>
            </w:r>
          </w:p>
        </w:tc>
        <w:tc>
          <w:tcPr>
            <w:tcW w:w="560" w:type="dxa"/>
            <w:tcBorders>
              <w:top w:val="nil"/>
              <w:left w:val="nil"/>
              <w:bottom w:val="nil"/>
              <w:right w:val="single" w:sz="8" w:space="0" w:color="BFBFBF"/>
            </w:tcBorders>
            <w:shd w:val="clear" w:color="000000" w:fill="FFFFFF"/>
            <w:vAlign w:val="center"/>
            <w:hideMark/>
          </w:tcPr>
          <w:p w14:paraId="7E3636CF"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120" w:type="dxa"/>
            <w:tcBorders>
              <w:top w:val="nil"/>
              <w:left w:val="nil"/>
              <w:bottom w:val="nil"/>
              <w:right w:val="single" w:sz="8" w:space="0" w:color="BFBFBF"/>
            </w:tcBorders>
            <w:shd w:val="clear" w:color="auto" w:fill="auto"/>
            <w:noWrap/>
            <w:vAlign w:val="center"/>
            <w:hideMark/>
          </w:tcPr>
          <w:p w14:paraId="00E1935F"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4.382 </w:t>
            </w:r>
          </w:p>
        </w:tc>
        <w:tc>
          <w:tcPr>
            <w:tcW w:w="1140" w:type="dxa"/>
            <w:tcBorders>
              <w:top w:val="nil"/>
              <w:left w:val="nil"/>
              <w:bottom w:val="nil"/>
              <w:right w:val="single" w:sz="8" w:space="0" w:color="BFBFBF"/>
            </w:tcBorders>
            <w:shd w:val="clear" w:color="auto" w:fill="auto"/>
            <w:noWrap/>
            <w:vAlign w:val="center"/>
            <w:hideMark/>
          </w:tcPr>
          <w:p w14:paraId="68DF53D7"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42 </w:t>
            </w:r>
          </w:p>
        </w:tc>
        <w:tc>
          <w:tcPr>
            <w:tcW w:w="1120" w:type="dxa"/>
            <w:tcBorders>
              <w:top w:val="nil"/>
              <w:left w:val="nil"/>
              <w:bottom w:val="nil"/>
              <w:right w:val="single" w:sz="8" w:space="0" w:color="BFBFBF"/>
            </w:tcBorders>
            <w:shd w:val="clear" w:color="auto" w:fill="auto"/>
            <w:noWrap/>
            <w:vAlign w:val="center"/>
            <w:hideMark/>
          </w:tcPr>
          <w:p w14:paraId="5AA03F03"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1.785 </w:t>
            </w:r>
          </w:p>
        </w:tc>
      </w:tr>
      <w:tr w:rsidR="00A27C22" w:rsidRPr="001D0FE2" w14:paraId="48796DE7" w14:textId="77777777" w:rsidTr="00B81D69">
        <w:trPr>
          <w:trHeight w:val="375"/>
        </w:trPr>
        <w:tc>
          <w:tcPr>
            <w:tcW w:w="6320" w:type="dxa"/>
            <w:tcBorders>
              <w:top w:val="nil"/>
              <w:left w:val="single" w:sz="8" w:space="0" w:color="BFBFBF"/>
              <w:bottom w:val="single" w:sz="8" w:space="0" w:color="BFBFBF"/>
              <w:right w:val="single" w:sz="8" w:space="0" w:color="BFBFBF"/>
            </w:tcBorders>
            <w:shd w:val="clear" w:color="000000" w:fill="FFFFFF"/>
            <w:vAlign w:val="center"/>
            <w:hideMark/>
          </w:tcPr>
          <w:p w14:paraId="64393A3D" w14:textId="77777777" w:rsidR="00A27C22" w:rsidRPr="002D6138" w:rsidRDefault="00A27C22" w:rsidP="00B81D69">
            <w:pPr>
              <w:jc w:val="lef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Balance at 30 June 2019</w:t>
            </w:r>
          </w:p>
        </w:tc>
        <w:tc>
          <w:tcPr>
            <w:tcW w:w="560" w:type="dxa"/>
            <w:tcBorders>
              <w:top w:val="single" w:sz="8" w:space="0" w:color="BFBFBF"/>
              <w:left w:val="nil"/>
              <w:bottom w:val="single" w:sz="8" w:space="0" w:color="BFBFBF"/>
              <w:right w:val="nil"/>
            </w:tcBorders>
            <w:shd w:val="clear" w:color="auto" w:fill="auto"/>
            <w:noWrap/>
            <w:vAlign w:val="bottom"/>
            <w:hideMark/>
          </w:tcPr>
          <w:p w14:paraId="027C1207"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w:t>
            </w:r>
          </w:p>
        </w:tc>
        <w:tc>
          <w:tcPr>
            <w:tcW w:w="112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CCC3E2D"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625.883 </w:t>
            </w:r>
          </w:p>
        </w:tc>
        <w:tc>
          <w:tcPr>
            <w:tcW w:w="1140" w:type="dxa"/>
            <w:tcBorders>
              <w:top w:val="single" w:sz="8" w:space="0" w:color="BFBFBF"/>
              <w:left w:val="nil"/>
              <w:bottom w:val="single" w:sz="8" w:space="0" w:color="BFBFBF"/>
              <w:right w:val="single" w:sz="8" w:space="0" w:color="BFBFBF"/>
            </w:tcBorders>
            <w:shd w:val="clear" w:color="auto" w:fill="auto"/>
            <w:noWrap/>
            <w:vAlign w:val="center"/>
            <w:hideMark/>
          </w:tcPr>
          <w:p w14:paraId="727A47EC"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6.257 </w:t>
            </w:r>
          </w:p>
        </w:tc>
        <w:tc>
          <w:tcPr>
            <w:tcW w:w="1120" w:type="dxa"/>
            <w:tcBorders>
              <w:top w:val="single" w:sz="8" w:space="0" w:color="BFBFBF"/>
              <w:left w:val="nil"/>
              <w:bottom w:val="single" w:sz="8" w:space="0" w:color="BFBFBF"/>
              <w:right w:val="single" w:sz="8" w:space="0" w:color="BFBFBF"/>
            </w:tcBorders>
            <w:shd w:val="clear" w:color="auto" w:fill="auto"/>
            <w:noWrap/>
            <w:vAlign w:val="center"/>
            <w:hideMark/>
          </w:tcPr>
          <w:p w14:paraId="58261827"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389.310 </w:t>
            </w:r>
          </w:p>
        </w:tc>
      </w:tr>
      <w:tr w:rsidR="00A27C22" w:rsidRPr="001D0FE2" w14:paraId="145D5AC1" w14:textId="77777777" w:rsidTr="00B81D69">
        <w:trPr>
          <w:trHeight w:val="375"/>
        </w:trPr>
        <w:tc>
          <w:tcPr>
            <w:tcW w:w="6320" w:type="dxa"/>
            <w:tcBorders>
              <w:top w:val="nil"/>
              <w:left w:val="nil"/>
              <w:bottom w:val="nil"/>
              <w:right w:val="nil"/>
            </w:tcBorders>
            <w:shd w:val="clear" w:color="auto" w:fill="auto"/>
            <w:vAlign w:val="center"/>
            <w:hideMark/>
          </w:tcPr>
          <w:p w14:paraId="757A19AC" w14:textId="77777777" w:rsidR="00A27C22" w:rsidRPr="001D0FE2" w:rsidRDefault="00A27C22" w:rsidP="00B81D69">
            <w:pPr>
              <w:jc w:val="left"/>
              <w:rPr>
                <w:rFonts w:asciiTheme="minorHAnsi" w:hAnsiTheme="minorHAnsi" w:cstheme="minorHAnsi"/>
                <w:b/>
                <w:bCs/>
                <w:color w:val="366092"/>
                <w:sz w:val="18"/>
                <w:szCs w:val="18"/>
                <w:lang w:val="en-GB"/>
              </w:rPr>
            </w:pPr>
          </w:p>
        </w:tc>
        <w:tc>
          <w:tcPr>
            <w:tcW w:w="560" w:type="dxa"/>
            <w:tcBorders>
              <w:top w:val="nil"/>
              <w:left w:val="nil"/>
              <w:bottom w:val="nil"/>
              <w:right w:val="nil"/>
            </w:tcBorders>
            <w:shd w:val="clear" w:color="auto" w:fill="auto"/>
            <w:vAlign w:val="center"/>
            <w:hideMark/>
          </w:tcPr>
          <w:p w14:paraId="6837C4C2" w14:textId="77777777" w:rsidR="00A27C22" w:rsidRPr="001D0FE2" w:rsidRDefault="00A27C22" w:rsidP="00B81D69">
            <w:pPr>
              <w:jc w:val="left"/>
              <w:rPr>
                <w:rFonts w:asciiTheme="minorHAnsi" w:hAnsiTheme="minorHAnsi" w:cstheme="minorHAnsi"/>
                <w:color w:val="auto"/>
                <w:sz w:val="18"/>
                <w:szCs w:val="18"/>
                <w:lang w:val="en-GB"/>
              </w:rPr>
            </w:pPr>
          </w:p>
        </w:tc>
        <w:tc>
          <w:tcPr>
            <w:tcW w:w="1120" w:type="dxa"/>
            <w:tcBorders>
              <w:top w:val="nil"/>
              <w:left w:val="nil"/>
              <w:bottom w:val="nil"/>
              <w:right w:val="nil"/>
            </w:tcBorders>
            <w:shd w:val="clear" w:color="auto" w:fill="auto"/>
            <w:noWrap/>
            <w:vAlign w:val="bottom"/>
            <w:hideMark/>
          </w:tcPr>
          <w:p w14:paraId="3E842842" w14:textId="77777777" w:rsidR="00A27C22" w:rsidRPr="001D0FE2" w:rsidRDefault="00A27C22" w:rsidP="00B81D69">
            <w:pPr>
              <w:jc w:val="right"/>
              <w:rPr>
                <w:rFonts w:asciiTheme="minorHAnsi" w:hAnsiTheme="minorHAnsi" w:cstheme="minorHAnsi"/>
                <w:color w:val="auto"/>
                <w:sz w:val="18"/>
                <w:szCs w:val="18"/>
                <w:lang w:val="en-GB"/>
              </w:rPr>
            </w:pPr>
          </w:p>
        </w:tc>
        <w:tc>
          <w:tcPr>
            <w:tcW w:w="1140" w:type="dxa"/>
            <w:tcBorders>
              <w:top w:val="nil"/>
              <w:left w:val="nil"/>
              <w:bottom w:val="nil"/>
              <w:right w:val="nil"/>
            </w:tcBorders>
            <w:shd w:val="clear" w:color="auto" w:fill="auto"/>
            <w:noWrap/>
            <w:vAlign w:val="bottom"/>
            <w:hideMark/>
          </w:tcPr>
          <w:p w14:paraId="6F094763" w14:textId="77777777" w:rsidR="00A27C22" w:rsidRPr="001D0FE2" w:rsidRDefault="00A27C22" w:rsidP="00B81D69">
            <w:pPr>
              <w:jc w:val="right"/>
              <w:rPr>
                <w:rFonts w:asciiTheme="minorHAnsi" w:hAnsiTheme="minorHAnsi" w:cstheme="minorHAnsi"/>
                <w:color w:val="auto"/>
                <w:sz w:val="18"/>
                <w:szCs w:val="18"/>
                <w:lang w:val="en-GB"/>
              </w:rPr>
            </w:pPr>
          </w:p>
        </w:tc>
        <w:tc>
          <w:tcPr>
            <w:tcW w:w="1120" w:type="dxa"/>
            <w:tcBorders>
              <w:top w:val="nil"/>
              <w:left w:val="nil"/>
              <w:bottom w:val="nil"/>
              <w:right w:val="nil"/>
            </w:tcBorders>
            <w:shd w:val="clear" w:color="auto" w:fill="auto"/>
            <w:noWrap/>
            <w:vAlign w:val="bottom"/>
            <w:hideMark/>
          </w:tcPr>
          <w:p w14:paraId="520491E2" w14:textId="77777777" w:rsidR="00A27C22" w:rsidRPr="001D0FE2" w:rsidRDefault="00A27C22" w:rsidP="00B81D69">
            <w:pPr>
              <w:jc w:val="right"/>
              <w:rPr>
                <w:rFonts w:asciiTheme="minorHAnsi" w:hAnsiTheme="minorHAnsi" w:cstheme="minorHAnsi"/>
                <w:color w:val="auto"/>
                <w:sz w:val="18"/>
                <w:szCs w:val="18"/>
                <w:lang w:val="en-GB"/>
              </w:rPr>
            </w:pPr>
          </w:p>
        </w:tc>
      </w:tr>
      <w:tr w:rsidR="00A27C22" w:rsidRPr="001D0FE2" w14:paraId="25277EB9" w14:textId="77777777" w:rsidTr="00B81D69">
        <w:trPr>
          <w:trHeight w:val="375"/>
        </w:trPr>
        <w:tc>
          <w:tcPr>
            <w:tcW w:w="632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5C6F54CF" w14:textId="77777777" w:rsidR="00A27C22" w:rsidRPr="002D6138" w:rsidRDefault="00A27C22" w:rsidP="00B81D69">
            <w:pPr>
              <w:jc w:val="lef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Balance at 1 January 2020</w:t>
            </w:r>
          </w:p>
        </w:tc>
        <w:tc>
          <w:tcPr>
            <w:tcW w:w="560" w:type="dxa"/>
            <w:tcBorders>
              <w:top w:val="single" w:sz="8" w:space="0" w:color="BFBFBF"/>
              <w:left w:val="nil"/>
              <w:bottom w:val="single" w:sz="8" w:space="0" w:color="BFBFBF"/>
              <w:right w:val="nil"/>
            </w:tcBorders>
            <w:shd w:val="clear" w:color="auto" w:fill="auto"/>
            <w:noWrap/>
            <w:vAlign w:val="bottom"/>
            <w:hideMark/>
          </w:tcPr>
          <w:p w14:paraId="361579F8"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w:t>
            </w:r>
          </w:p>
        </w:tc>
        <w:tc>
          <w:tcPr>
            <w:tcW w:w="1120" w:type="dxa"/>
            <w:tcBorders>
              <w:top w:val="single" w:sz="8" w:space="0" w:color="BFBFBF"/>
              <w:left w:val="single" w:sz="8" w:space="0" w:color="BFBFBF"/>
              <w:bottom w:val="single" w:sz="8" w:space="0" w:color="BFBFBF"/>
              <w:right w:val="single" w:sz="8" w:space="0" w:color="BFBFBF"/>
            </w:tcBorders>
            <w:shd w:val="clear" w:color="000000" w:fill="DCE6F1"/>
            <w:noWrap/>
            <w:vAlign w:val="center"/>
            <w:hideMark/>
          </w:tcPr>
          <w:p w14:paraId="70F4E0BA"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631.323 </w:t>
            </w:r>
          </w:p>
        </w:tc>
        <w:tc>
          <w:tcPr>
            <w:tcW w:w="1140" w:type="dxa"/>
            <w:tcBorders>
              <w:top w:val="single" w:sz="8" w:space="0" w:color="BFBFBF"/>
              <w:left w:val="nil"/>
              <w:bottom w:val="single" w:sz="8" w:space="0" w:color="BFBFBF"/>
              <w:right w:val="single" w:sz="8" w:space="0" w:color="BFBFBF"/>
            </w:tcBorders>
            <w:shd w:val="clear" w:color="000000" w:fill="DCE6F1"/>
            <w:noWrap/>
            <w:vAlign w:val="center"/>
            <w:hideMark/>
          </w:tcPr>
          <w:p w14:paraId="7D5E4444"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6.313 </w:t>
            </w:r>
          </w:p>
        </w:tc>
        <w:tc>
          <w:tcPr>
            <w:tcW w:w="1120" w:type="dxa"/>
            <w:tcBorders>
              <w:top w:val="single" w:sz="8" w:space="0" w:color="BFBFBF"/>
              <w:left w:val="nil"/>
              <w:bottom w:val="single" w:sz="8" w:space="0" w:color="BFBFBF"/>
              <w:right w:val="single" w:sz="8" w:space="0" w:color="BFBFBF"/>
            </w:tcBorders>
            <w:shd w:val="clear" w:color="000000" w:fill="DCE6F1"/>
            <w:noWrap/>
            <w:vAlign w:val="center"/>
            <w:hideMark/>
          </w:tcPr>
          <w:p w14:paraId="246DD8EB"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392.266 </w:t>
            </w:r>
          </w:p>
        </w:tc>
      </w:tr>
      <w:tr w:rsidR="00A27C22" w:rsidRPr="001D0FE2" w14:paraId="712C8918" w14:textId="77777777" w:rsidTr="00B81D69">
        <w:trPr>
          <w:trHeight w:val="375"/>
        </w:trPr>
        <w:tc>
          <w:tcPr>
            <w:tcW w:w="6320" w:type="dxa"/>
            <w:tcBorders>
              <w:top w:val="nil"/>
              <w:left w:val="single" w:sz="8" w:space="0" w:color="BFBFBF"/>
              <w:bottom w:val="nil"/>
              <w:right w:val="single" w:sz="8" w:space="0" w:color="BFBFBF"/>
            </w:tcBorders>
            <w:shd w:val="clear" w:color="000000" w:fill="FFFFFF"/>
            <w:vAlign w:val="center"/>
            <w:hideMark/>
          </w:tcPr>
          <w:p w14:paraId="77354064"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Result for the half-year</w:t>
            </w:r>
          </w:p>
        </w:tc>
        <w:tc>
          <w:tcPr>
            <w:tcW w:w="560" w:type="dxa"/>
            <w:tcBorders>
              <w:top w:val="nil"/>
              <w:left w:val="nil"/>
              <w:bottom w:val="nil"/>
              <w:right w:val="single" w:sz="8" w:space="0" w:color="BFBFBF"/>
            </w:tcBorders>
            <w:shd w:val="clear" w:color="auto" w:fill="auto"/>
            <w:vAlign w:val="center"/>
            <w:hideMark/>
          </w:tcPr>
          <w:p w14:paraId="50F43D94"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120" w:type="dxa"/>
            <w:tcBorders>
              <w:top w:val="nil"/>
              <w:left w:val="nil"/>
              <w:bottom w:val="nil"/>
              <w:right w:val="single" w:sz="8" w:space="0" w:color="BFBFBF"/>
            </w:tcBorders>
            <w:shd w:val="clear" w:color="000000" w:fill="DCE6F1"/>
            <w:noWrap/>
            <w:vAlign w:val="center"/>
            <w:hideMark/>
          </w:tcPr>
          <w:p w14:paraId="44EB3D58"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40" w:type="dxa"/>
            <w:tcBorders>
              <w:top w:val="nil"/>
              <w:left w:val="nil"/>
              <w:bottom w:val="nil"/>
              <w:right w:val="single" w:sz="8" w:space="0" w:color="BFBFBF"/>
            </w:tcBorders>
            <w:shd w:val="clear" w:color="000000" w:fill="DCE6F1"/>
            <w:noWrap/>
            <w:vAlign w:val="center"/>
            <w:hideMark/>
          </w:tcPr>
          <w:p w14:paraId="0F9D2600"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20" w:type="dxa"/>
            <w:tcBorders>
              <w:top w:val="nil"/>
              <w:left w:val="nil"/>
              <w:bottom w:val="nil"/>
              <w:right w:val="single" w:sz="8" w:space="0" w:color="BFBFBF"/>
            </w:tcBorders>
            <w:shd w:val="clear" w:color="000000" w:fill="DCE6F1"/>
            <w:noWrap/>
            <w:vAlign w:val="center"/>
            <w:hideMark/>
          </w:tcPr>
          <w:p w14:paraId="1AC776FD"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5E53987E" w14:textId="77777777" w:rsidTr="00B81D69">
        <w:trPr>
          <w:trHeight w:val="375"/>
        </w:trPr>
        <w:tc>
          <w:tcPr>
            <w:tcW w:w="6320" w:type="dxa"/>
            <w:tcBorders>
              <w:top w:val="nil"/>
              <w:left w:val="single" w:sz="8" w:space="0" w:color="BFBFBF"/>
              <w:bottom w:val="single" w:sz="8" w:space="0" w:color="BFBFBF"/>
              <w:right w:val="single" w:sz="8" w:space="0" w:color="BFBFBF"/>
            </w:tcBorders>
            <w:shd w:val="clear" w:color="000000" w:fill="FFFFFF"/>
            <w:vAlign w:val="center"/>
            <w:hideMark/>
          </w:tcPr>
          <w:p w14:paraId="54945EF8"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Other comprehensive income (loss) for the half-year</w:t>
            </w:r>
          </w:p>
        </w:tc>
        <w:tc>
          <w:tcPr>
            <w:tcW w:w="560" w:type="dxa"/>
            <w:tcBorders>
              <w:top w:val="nil"/>
              <w:left w:val="nil"/>
              <w:bottom w:val="nil"/>
              <w:right w:val="single" w:sz="8" w:space="0" w:color="BFBFBF"/>
            </w:tcBorders>
            <w:shd w:val="clear" w:color="auto" w:fill="auto"/>
            <w:vAlign w:val="center"/>
            <w:hideMark/>
          </w:tcPr>
          <w:p w14:paraId="5B0C36AB"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120" w:type="dxa"/>
            <w:tcBorders>
              <w:top w:val="nil"/>
              <w:left w:val="nil"/>
              <w:bottom w:val="single" w:sz="8" w:space="0" w:color="BFBFBF"/>
              <w:right w:val="single" w:sz="8" w:space="0" w:color="BFBFBF"/>
            </w:tcBorders>
            <w:shd w:val="clear" w:color="000000" w:fill="DCE6F1"/>
            <w:noWrap/>
            <w:vAlign w:val="center"/>
            <w:hideMark/>
          </w:tcPr>
          <w:p w14:paraId="7E9A3182"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40" w:type="dxa"/>
            <w:tcBorders>
              <w:top w:val="nil"/>
              <w:left w:val="nil"/>
              <w:bottom w:val="single" w:sz="8" w:space="0" w:color="BFBFBF"/>
              <w:right w:val="single" w:sz="8" w:space="0" w:color="BFBFBF"/>
            </w:tcBorders>
            <w:shd w:val="clear" w:color="000000" w:fill="DCE6F1"/>
            <w:noWrap/>
            <w:vAlign w:val="center"/>
            <w:hideMark/>
          </w:tcPr>
          <w:p w14:paraId="7C6A3DF0"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20" w:type="dxa"/>
            <w:tcBorders>
              <w:top w:val="nil"/>
              <w:left w:val="nil"/>
              <w:bottom w:val="single" w:sz="8" w:space="0" w:color="BFBFBF"/>
              <w:right w:val="single" w:sz="8" w:space="0" w:color="BFBFBF"/>
            </w:tcBorders>
            <w:shd w:val="clear" w:color="000000" w:fill="DCE6F1"/>
            <w:noWrap/>
            <w:vAlign w:val="center"/>
            <w:hideMark/>
          </w:tcPr>
          <w:p w14:paraId="12D707D1"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4D93E323" w14:textId="77777777" w:rsidTr="00B81D69">
        <w:trPr>
          <w:trHeight w:val="375"/>
        </w:trPr>
        <w:tc>
          <w:tcPr>
            <w:tcW w:w="6320" w:type="dxa"/>
            <w:tcBorders>
              <w:top w:val="nil"/>
              <w:left w:val="single" w:sz="8" w:space="0" w:color="BFBFBF"/>
              <w:bottom w:val="nil"/>
              <w:right w:val="single" w:sz="8" w:space="0" w:color="BFBFBF"/>
            </w:tcBorders>
            <w:shd w:val="clear" w:color="000000" w:fill="FFFFFF"/>
            <w:vAlign w:val="center"/>
            <w:hideMark/>
          </w:tcPr>
          <w:p w14:paraId="480E031F" w14:textId="77777777" w:rsidR="00A27C22" w:rsidRPr="002D6138" w:rsidRDefault="00A27C22" w:rsidP="00B81D69">
            <w:pPr>
              <w:jc w:val="lef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Total comprehensive income (loss) for the half-year</w:t>
            </w:r>
          </w:p>
        </w:tc>
        <w:tc>
          <w:tcPr>
            <w:tcW w:w="560" w:type="dxa"/>
            <w:tcBorders>
              <w:top w:val="single" w:sz="8" w:space="0" w:color="BFBFBF"/>
              <w:left w:val="nil"/>
              <w:bottom w:val="nil"/>
              <w:right w:val="single" w:sz="8" w:space="0" w:color="BFBFBF"/>
            </w:tcBorders>
            <w:shd w:val="clear" w:color="auto" w:fill="auto"/>
            <w:vAlign w:val="center"/>
            <w:hideMark/>
          </w:tcPr>
          <w:p w14:paraId="5C9AA4EF" w14:textId="77777777" w:rsidR="00A27C22" w:rsidRPr="002D6138" w:rsidRDefault="00A27C22" w:rsidP="00B81D69">
            <w:pPr>
              <w:jc w:val="center"/>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w:t>
            </w:r>
          </w:p>
        </w:tc>
        <w:tc>
          <w:tcPr>
            <w:tcW w:w="1120" w:type="dxa"/>
            <w:tcBorders>
              <w:top w:val="nil"/>
              <w:left w:val="nil"/>
              <w:bottom w:val="nil"/>
              <w:right w:val="single" w:sz="8" w:space="0" w:color="BFBFBF"/>
            </w:tcBorders>
            <w:shd w:val="clear" w:color="000000" w:fill="DCE6F1"/>
            <w:noWrap/>
            <w:vAlign w:val="bottom"/>
            <w:hideMark/>
          </w:tcPr>
          <w:p w14:paraId="33B65B83"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   </w:t>
            </w:r>
          </w:p>
        </w:tc>
        <w:tc>
          <w:tcPr>
            <w:tcW w:w="1140" w:type="dxa"/>
            <w:tcBorders>
              <w:top w:val="nil"/>
              <w:left w:val="nil"/>
              <w:bottom w:val="single" w:sz="8" w:space="0" w:color="BFBFBF"/>
              <w:right w:val="single" w:sz="8" w:space="0" w:color="BFBFBF"/>
            </w:tcBorders>
            <w:shd w:val="clear" w:color="000000" w:fill="DCE6F1"/>
            <w:noWrap/>
            <w:vAlign w:val="bottom"/>
            <w:hideMark/>
          </w:tcPr>
          <w:p w14:paraId="75E17FA3"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   </w:t>
            </w:r>
          </w:p>
        </w:tc>
        <w:tc>
          <w:tcPr>
            <w:tcW w:w="1120" w:type="dxa"/>
            <w:tcBorders>
              <w:top w:val="nil"/>
              <w:left w:val="nil"/>
              <w:bottom w:val="single" w:sz="8" w:space="0" w:color="BFBFBF"/>
              <w:right w:val="single" w:sz="8" w:space="0" w:color="BFBFBF"/>
            </w:tcBorders>
            <w:shd w:val="clear" w:color="000000" w:fill="DCE6F1"/>
            <w:noWrap/>
            <w:vAlign w:val="bottom"/>
            <w:hideMark/>
          </w:tcPr>
          <w:p w14:paraId="66EA8241"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   </w:t>
            </w:r>
          </w:p>
        </w:tc>
      </w:tr>
      <w:tr w:rsidR="00A27C22" w:rsidRPr="001D0FE2" w14:paraId="11D8C0E6" w14:textId="77777777" w:rsidTr="00B81D69">
        <w:trPr>
          <w:trHeight w:val="375"/>
        </w:trPr>
        <w:tc>
          <w:tcPr>
            <w:tcW w:w="6320" w:type="dxa"/>
            <w:tcBorders>
              <w:top w:val="single" w:sz="8" w:space="0" w:color="BFBFBF"/>
              <w:left w:val="single" w:sz="8" w:space="0" w:color="BFBFBF"/>
              <w:bottom w:val="nil"/>
              <w:right w:val="single" w:sz="8" w:space="0" w:color="BFBFBF"/>
            </w:tcBorders>
            <w:shd w:val="clear" w:color="000000" w:fill="FFFFFF"/>
            <w:vAlign w:val="bottom"/>
            <w:hideMark/>
          </w:tcPr>
          <w:p w14:paraId="3D7D824B"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Legal reserves development expenses</w:t>
            </w:r>
          </w:p>
        </w:tc>
        <w:tc>
          <w:tcPr>
            <w:tcW w:w="560" w:type="dxa"/>
            <w:tcBorders>
              <w:top w:val="single" w:sz="8" w:space="0" w:color="BFBFBF"/>
              <w:left w:val="nil"/>
              <w:bottom w:val="nil"/>
              <w:right w:val="single" w:sz="8" w:space="0" w:color="BFBFBF"/>
            </w:tcBorders>
            <w:shd w:val="clear" w:color="auto" w:fill="auto"/>
            <w:vAlign w:val="bottom"/>
            <w:hideMark/>
          </w:tcPr>
          <w:p w14:paraId="12FC4327"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120" w:type="dxa"/>
            <w:tcBorders>
              <w:top w:val="single" w:sz="8" w:space="0" w:color="BFBFBF"/>
              <w:left w:val="nil"/>
              <w:bottom w:val="nil"/>
              <w:right w:val="single" w:sz="8" w:space="0" w:color="BFBFBF"/>
            </w:tcBorders>
            <w:shd w:val="clear" w:color="000000" w:fill="DCE6F1"/>
            <w:noWrap/>
            <w:vAlign w:val="bottom"/>
            <w:hideMark/>
          </w:tcPr>
          <w:p w14:paraId="72A8E2B7"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40" w:type="dxa"/>
            <w:tcBorders>
              <w:top w:val="nil"/>
              <w:left w:val="nil"/>
              <w:bottom w:val="nil"/>
              <w:right w:val="single" w:sz="8" w:space="0" w:color="BFBFBF"/>
            </w:tcBorders>
            <w:shd w:val="clear" w:color="000000" w:fill="DCE6F1"/>
            <w:noWrap/>
            <w:vAlign w:val="bottom"/>
            <w:hideMark/>
          </w:tcPr>
          <w:p w14:paraId="540E857C"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20" w:type="dxa"/>
            <w:tcBorders>
              <w:top w:val="nil"/>
              <w:left w:val="nil"/>
              <w:bottom w:val="nil"/>
              <w:right w:val="single" w:sz="8" w:space="0" w:color="BFBFBF"/>
            </w:tcBorders>
            <w:shd w:val="clear" w:color="000000" w:fill="DCE6F1"/>
            <w:noWrap/>
            <w:vAlign w:val="bottom"/>
            <w:hideMark/>
          </w:tcPr>
          <w:p w14:paraId="4C23BB64"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55E970A4" w14:textId="77777777" w:rsidTr="00B81D69">
        <w:trPr>
          <w:trHeight w:val="375"/>
        </w:trPr>
        <w:tc>
          <w:tcPr>
            <w:tcW w:w="6320" w:type="dxa"/>
            <w:tcBorders>
              <w:top w:val="nil"/>
              <w:left w:val="single" w:sz="8" w:space="0" w:color="BFBFBF"/>
              <w:bottom w:val="nil"/>
              <w:right w:val="single" w:sz="8" w:space="0" w:color="BFBFBF"/>
            </w:tcBorders>
            <w:shd w:val="clear" w:color="000000" w:fill="FFFFFF"/>
            <w:vAlign w:val="bottom"/>
            <w:hideMark/>
          </w:tcPr>
          <w:p w14:paraId="436CFBAA"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Share-based compensation</w:t>
            </w:r>
          </w:p>
        </w:tc>
        <w:tc>
          <w:tcPr>
            <w:tcW w:w="560" w:type="dxa"/>
            <w:tcBorders>
              <w:top w:val="nil"/>
              <w:left w:val="nil"/>
              <w:bottom w:val="nil"/>
              <w:right w:val="single" w:sz="8" w:space="0" w:color="BFBFBF"/>
            </w:tcBorders>
            <w:shd w:val="clear" w:color="auto" w:fill="auto"/>
            <w:vAlign w:val="bottom"/>
            <w:hideMark/>
          </w:tcPr>
          <w:p w14:paraId="46FF86DE"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120" w:type="dxa"/>
            <w:tcBorders>
              <w:top w:val="nil"/>
              <w:left w:val="nil"/>
              <w:bottom w:val="nil"/>
              <w:right w:val="single" w:sz="8" w:space="0" w:color="BFBFBF"/>
            </w:tcBorders>
            <w:shd w:val="clear" w:color="000000" w:fill="DCE6F1"/>
            <w:noWrap/>
            <w:vAlign w:val="bottom"/>
            <w:hideMark/>
          </w:tcPr>
          <w:p w14:paraId="53E5D1E2"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40" w:type="dxa"/>
            <w:tcBorders>
              <w:top w:val="nil"/>
              <w:left w:val="nil"/>
              <w:bottom w:val="nil"/>
              <w:right w:val="single" w:sz="8" w:space="0" w:color="BFBFBF"/>
            </w:tcBorders>
            <w:shd w:val="clear" w:color="000000" w:fill="DCE6F1"/>
            <w:noWrap/>
            <w:vAlign w:val="bottom"/>
            <w:hideMark/>
          </w:tcPr>
          <w:p w14:paraId="32B19FC6"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20" w:type="dxa"/>
            <w:tcBorders>
              <w:top w:val="nil"/>
              <w:left w:val="nil"/>
              <w:bottom w:val="nil"/>
              <w:right w:val="single" w:sz="8" w:space="0" w:color="BFBFBF"/>
            </w:tcBorders>
            <w:shd w:val="clear" w:color="000000" w:fill="DCE6F1"/>
            <w:noWrap/>
            <w:vAlign w:val="bottom"/>
            <w:hideMark/>
          </w:tcPr>
          <w:p w14:paraId="634B2C25"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2F468859" w14:textId="77777777" w:rsidTr="00B81D69">
        <w:trPr>
          <w:trHeight w:val="375"/>
        </w:trPr>
        <w:tc>
          <w:tcPr>
            <w:tcW w:w="6320" w:type="dxa"/>
            <w:tcBorders>
              <w:top w:val="nil"/>
              <w:left w:val="single" w:sz="8" w:space="0" w:color="BFBFBF"/>
              <w:bottom w:val="nil"/>
              <w:right w:val="single" w:sz="8" w:space="0" w:color="BFBFBF"/>
            </w:tcBorders>
            <w:shd w:val="clear" w:color="000000" w:fill="FFFFFF"/>
            <w:vAlign w:val="bottom"/>
            <w:hideMark/>
          </w:tcPr>
          <w:p w14:paraId="77931E50"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Bonuses settled in shares</w:t>
            </w:r>
          </w:p>
        </w:tc>
        <w:tc>
          <w:tcPr>
            <w:tcW w:w="560" w:type="dxa"/>
            <w:tcBorders>
              <w:top w:val="nil"/>
              <w:left w:val="nil"/>
              <w:bottom w:val="nil"/>
              <w:right w:val="single" w:sz="8" w:space="0" w:color="BFBFBF"/>
            </w:tcBorders>
            <w:shd w:val="clear" w:color="auto" w:fill="auto"/>
            <w:vAlign w:val="bottom"/>
            <w:hideMark/>
          </w:tcPr>
          <w:p w14:paraId="61FEE1FD"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12 </w:t>
            </w:r>
          </w:p>
        </w:tc>
        <w:tc>
          <w:tcPr>
            <w:tcW w:w="1120" w:type="dxa"/>
            <w:tcBorders>
              <w:top w:val="nil"/>
              <w:left w:val="nil"/>
              <w:bottom w:val="nil"/>
              <w:right w:val="single" w:sz="8" w:space="0" w:color="BFBFBF"/>
            </w:tcBorders>
            <w:shd w:val="clear" w:color="000000" w:fill="DCE6F1"/>
            <w:noWrap/>
            <w:vAlign w:val="bottom"/>
            <w:hideMark/>
          </w:tcPr>
          <w:p w14:paraId="0A309BBA"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40" w:type="dxa"/>
            <w:tcBorders>
              <w:top w:val="nil"/>
              <w:left w:val="nil"/>
              <w:bottom w:val="nil"/>
              <w:right w:val="single" w:sz="8" w:space="0" w:color="BFBFBF"/>
            </w:tcBorders>
            <w:shd w:val="clear" w:color="000000" w:fill="DCE6F1"/>
            <w:noWrap/>
            <w:vAlign w:val="bottom"/>
            <w:hideMark/>
          </w:tcPr>
          <w:p w14:paraId="05D2E8DE"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20" w:type="dxa"/>
            <w:tcBorders>
              <w:top w:val="nil"/>
              <w:left w:val="nil"/>
              <w:bottom w:val="nil"/>
              <w:right w:val="single" w:sz="8" w:space="0" w:color="BFBFBF"/>
            </w:tcBorders>
            <w:shd w:val="clear" w:color="000000" w:fill="DCE6F1"/>
            <w:noWrap/>
            <w:vAlign w:val="bottom"/>
            <w:hideMark/>
          </w:tcPr>
          <w:p w14:paraId="073C4C44"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27DD2777" w14:textId="77777777" w:rsidTr="00B81D69">
        <w:trPr>
          <w:trHeight w:val="375"/>
        </w:trPr>
        <w:tc>
          <w:tcPr>
            <w:tcW w:w="6320" w:type="dxa"/>
            <w:tcBorders>
              <w:top w:val="nil"/>
              <w:left w:val="single" w:sz="8" w:space="0" w:color="BFBFBF"/>
              <w:bottom w:val="nil"/>
              <w:right w:val="single" w:sz="8" w:space="0" w:color="BFBFBF"/>
            </w:tcBorders>
            <w:shd w:val="clear" w:color="000000" w:fill="FFFFFF"/>
            <w:vAlign w:val="bottom"/>
            <w:hideMark/>
          </w:tcPr>
          <w:p w14:paraId="3FE98849"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Value of conversion rights on convertible bonds</w:t>
            </w:r>
          </w:p>
        </w:tc>
        <w:tc>
          <w:tcPr>
            <w:tcW w:w="560" w:type="dxa"/>
            <w:tcBorders>
              <w:top w:val="nil"/>
              <w:left w:val="nil"/>
              <w:bottom w:val="nil"/>
              <w:right w:val="single" w:sz="8" w:space="0" w:color="BFBFBF"/>
            </w:tcBorders>
            <w:shd w:val="clear" w:color="auto" w:fill="auto"/>
            <w:vAlign w:val="bottom"/>
            <w:hideMark/>
          </w:tcPr>
          <w:p w14:paraId="7D1E3D12"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14 </w:t>
            </w:r>
          </w:p>
        </w:tc>
        <w:tc>
          <w:tcPr>
            <w:tcW w:w="1120" w:type="dxa"/>
            <w:tcBorders>
              <w:top w:val="nil"/>
              <w:left w:val="nil"/>
              <w:bottom w:val="nil"/>
              <w:right w:val="single" w:sz="8" w:space="0" w:color="BFBFBF"/>
            </w:tcBorders>
            <w:shd w:val="clear" w:color="000000" w:fill="DCE6F1"/>
            <w:noWrap/>
            <w:vAlign w:val="bottom"/>
            <w:hideMark/>
          </w:tcPr>
          <w:p w14:paraId="0C19D29B"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40" w:type="dxa"/>
            <w:tcBorders>
              <w:top w:val="nil"/>
              <w:left w:val="nil"/>
              <w:bottom w:val="nil"/>
              <w:right w:val="single" w:sz="8" w:space="0" w:color="BFBFBF"/>
            </w:tcBorders>
            <w:shd w:val="clear" w:color="000000" w:fill="DCE6F1"/>
            <w:noWrap/>
            <w:vAlign w:val="bottom"/>
            <w:hideMark/>
          </w:tcPr>
          <w:p w14:paraId="55B1298C"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20" w:type="dxa"/>
            <w:tcBorders>
              <w:top w:val="nil"/>
              <w:left w:val="nil"/>
              <w:bottom w:val="nil"/>
              <w:right w:val="single" w:sz="8" w:space="0" w:color="BFBFBF"/>
            </w:tcBorders>
            <w:shd w:val="clear" w:color="000000" w:fill="DCE6F1"/>
            <w:noWrap/>
            <w:vAlign w:val="bottom"/>
            <w:hideMark/>
          </w:tcPr>
          <w:p w14:paraId="0893C444"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007EE440" w14:textId="77777777" w:rsidTr="00B81D69">
        <w:trPr>
          <w:trHeight w:val="375"/>
        </w:trPr>
        <w:tc>
          <w:tcPr>
            <w:tcW w:w="6320" w:type="dxa"/>
            <w:tcBorders>
              <w:top w:val="nil"/>
              <w:left w:val="single" w:sz="8" w:space="0" w:color="BFBFBF"/>
              <w:bottom w:val="nil"/>
              <w:right w:val="single" w:sz="8" w:space="0" w:color="BFBFBF"/>
            </w:tcBorders>
            <w:shd w:val="clear" w:color="000000" w:fill="FFFFFF"/>
            <w:vAlign w:val="bottom"/>
            <w:hideMark/>
          </w:tcPr>
          <w:p w14:paraId="6A3FD400"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Shares issued for cash</w:t>
            </w:r>
          </w:p>
        </w:tc>
        <w:tc>
          <w:tcPr>
            <w:tcW w:w="560" w:type="dxa"/>
            <w:tcBorders>
              <w:top w:val="nil"/>
              <w:left w:val="nil"/>
              <w:bottom w:val="nil"/>
              <w:right w:val="single" w:sz="8" w:space="0" w:color="BFBFBF"/>
            </w:tcBorders>
            <w:shd w:val="clear" w:color="auto" w:fill="auto"/>
            <w:vAlign w:val="bottom"/>
            <w:hideMark/>
          </w:tcPr>
          <w:p w14:paraId="2DB4E0B0"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12 </w:t>
            </w:r>
          </w:p>
        </w:tc>
        <w:tc>
          <w:tcPr>
            <w:tcW w:w="1120" w:type="dxa"/>
            <w:tcBorders>
              <w:top w:val="nil"/>
              <w:left w:val="nil"/>
              <w:bottom w:val="nil"/>
              <w:right w:val="single" w:sz="8" w:space="0" w:color="BFBFBF"/>
            </w:tcBorders>
            <w:shd w:val="clear" w:color="000000" w:fill="DCE6F1"/>
            <w:noWrap/>
            <w:vAlign w:val="bottom"/>
            <w:hideMark/>
          </w:tcPr>
          <w:p w14:paraId="0F1C8DDE"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2.061 </w:t>
            </w:r>
          </w:p>
        </w:tc>
        <w:tc>
          <w:tcPr>
            <w:tcW w:w="1140" w:type="dxa"/>
            <w:tcBorders>
              <w:top w:val="nil"/>
              <w:left w:val="nil"/>
              <w:bottom w:val="nil"/>
              <w:right w:val="single" w:sz="8" w:space="0" w:color="BFBFBF"/>
            </w:tcBorders>
            <w:shd w:val="clear" w:color="000000" w:fill="DCE6F1"/>
            <w:noWrap/>
            <w:vAlign w:val="bottom"/>
            <w:hideMark/>
          </w:tcPr>
          <w:p w14:paraId="557B2D87"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21 </w:t>
            </w:r>
          </w:p>
        </w:tc>
        <w:tc>
          <w:tcPr>
            <w:tcW w:w="1120" w:type="dxa"/>
            <w:tcBorders>
              <w:top w:val="nil"/>
              <w:left w:val="nil"/>
              <w:bottom w:val="nil"/>
              <w:right w:val="single" w:sz="8" w:space="0" w:color="BFBFBF"/>
            </w:tcBorders>
            <w:shd w:val="clear" w:color="000000" w:fill="DCE6F1"/>
            <w:noWrap/>
            <w:vAlign w:val="bottom"/>
            <w:hideMark/>
          </w:tcPr>
          <w:p w14:paraId="718E7080"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1.389 </w:t>
            </w:r>
          </w:p>
        </w:tc>
      </w:tr>
      <w:tr w:rsidR="00A27C22" w:rsidRPr="001D0FE2" w14:paraId="2CBE8C1F" w14:textId="77777777" w:rsidTr="00B81D69">
        <w:trPr>
          <w:trHeight w:val="375"/>
        </w:trPr>
        <w:tc>
          <w:tcPr>
            <w:tcW w:w="6320" w:type="dxa"/>
            <w:tcBorders>
              <w:top w:val="nil"/>
              <w:left w:val="single" w:sz="8" w:space="0" w:color="BFBFBF"/>
              <w:bottom w:val="nil"/>
              <w:right w:val="nil"/>
            </w:tcBorders>
            <w:shd w:val="clear" w:color="000000" w:fill="FFFFFF"/>
            <w:vAlign w:val="bottom"/>
            <w:hideMark/>
          </w:tcPr>
          <w:p w14:paraId="1F072792"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Warrants exercised/ issued</w:t>
            </w:r>
          </w:p>
        </w:tc>
        <w:tc>
          <w:tcPr>
            <w:tcW w:w="560" w:type="dxa"/>
            <w:tcBorders>
              <w:top w:val="nil"/>
              <w:left w:val="single" w:sz="8" w:space="0" w:color="BFBFBF"/>
              <w:bottom w:val="nil"/>
              <w:right w:val="single" w:sz="8" w:space="0" w:color="BFBFBF"/>
            </w:tcBorders>
            <w:shd w:val="clear" w:color="auto" w:fill="auto"/>
            <w:vAlign w:val="bottom"/>
            <w:hideMark/>
          </w:tcPr>
          <w:p w14:paraId="7085C7FB"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12 </w:t>
            </w:r>
          </w:p>
        </w:tc>
        <w:tc>
          <w:tcPr>
            <w:tcW w:w="1120" w:type="dxa"/>
            <w:tcBorders>
              <w:top w:val="nil"/>
              <w:left w:val="nil"/>
              <w:bottom w:val="nil"/>
              <w:right w:val="single" w:sz="8" w:space="0" w:color="BFBFBF"/>
            </w:tcBorders>
            <w:shd w:val="clear" w:color="000000" w:fill="DCE6F1"/>
            <w:noWrap/>
            <w:vAlign w:val="bottom"/>
            <w:hideMark/>
          </w:tcPr>
          <w:p w14:paraId="5755D983"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40" w:type="dxa"/>
            <w:tcBorders>
              <w:top w:val="nil"/>
              <w:left w:val="nil"/>
              <w:bottom w:val="nil"/>
              <w:right w:val="single" w:sz="8" w:space="0" w:color="BFBFBF"/>
            </w:tcBorders>
            <w:shd w:val="clear" w:color="000000" w:fill="DCE6F1"/>
            <w:noWrap/>
            <w:vAlign w:val="bottom"/>
            <w:hideMark/>
          </w:tcPr>
          <w:p w14:paraId="1386596C"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120" w:type="dxa"/>
            <w:tcBorders>
              <w:top w:val="nil"/>
              <w:left w:val="nil"/>
              <w:bottom w:val="nil"/>
              <w:right w:val="single" w:sz="8" w:space="0" w:color="BFBFBF"/>
            </w:tcBorders>
            <w:shd w:val="clear" w:color="000000" w:fill="DCE6F1"/>
            <w:noWrap/>
            <w:vAlign w:val="bottom"/>
            <w:hideMark/>
          </w:tcPr>
          <w:p w14:paraId="24214E1E"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3D29E158" w14:textId="77777777" w:rsidTr="00B81D69">
        <w:trPr>
          <w:trHeight w:val="375"/>
        </w:trPr>
        <w:tc>
          <w:tcPr>
            <w:tcW w:w="6320" w:type="dxa"/>
            <w:tcBorders>
              <w:top w:val="nil"/>
              <w:left w:val="single" w:sz="8" w:space="0" w:color="BFBFBF"/>
              <w:bottom w:val="single" w:sz="8" w:space="0" w:color="BFBFBF"/>
              <w:right w:val="nil"/>
            </w:tcBorders>
            <w:shd w:val="clear" w:color="000000" w:fill="FFFFFF"/>
            <w:vAlign w:val="bottom"/>
            <w:hideMark/>
          </w:tcPr>
          <w:p w14:paraId="25125615"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Options exercised</w:t>
            </w:r>
          </w:p>
        </w:tc>
        <w:tc>
          <w:tcPr>
            <w:tcW w:w="560" w:type="dxa"/>
            <w:tcBorders>
              <w:top w:val="nil"/>
              <w:left w:val="single" w:sz="8" w:space="0" w:color="BFBFBF"/>
              <w:bottom w:val="single" w:sz="8" w:space="0" w:color="BFBFBF"/>
              <w:right w:val="single" w:sz="8" w:space="0" w:color="BFBFBF"/>
            </w:tcBorders>
            <w:shd w:val="clear" w:color="auto" w:fill="auto"/>
            <w:vAlign w:val="bottom"/>
            <w:hideMark/>
          </w:tcPr>
          <w:p w14:paraId="4B7D2EC8"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12 </w:t>
            </w:r>
          </w:p>
        </w:tc>
        <w:tc>
          <w:tcPr>
            <w:tcW w:w="1120" w:type="dxa"/>
            <w:tcBorders>
              <w:top w:val="nil"/>
              <w:left w:val="nil"/>
              <w:bottom w:val="nil"/>
              <w:right w:val="single" w:sz="8" w:space="0" w:color="BFBFBF"/>
            </w:tcBorders>
            <w:shd w:val="clear" w:color="000000" w:fill="DCE6F1"/>
            <w:noWrap/>
            <w:vAlign w:val="bottom"/>
            <w:hideMark/>
          </w:tcPr>
          <w:p w14:paraId="1C788F9E"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4.319 </w:t>
            </w:r>
          </w:p>
        </w:tc>
        <w:tc>
          <w:tcPr>
            <w:tcW w:w="1140" w:type="dxa"/>
            <w:tcBorders>
              <w:top w:val="nil"/>
              <w:left w:val="nil"/>
              <w:bottom w:val="nil"/>
              <w:right w:val="single" w:sz="8" w:space="0" w:color="BFBFBF"/>
            </w:tcBorders>
            <w:shd w:val="clear" w:color="000000" w:fill="DCE6F1"/>
            <w:noWrap/>
            <w:vAlign w:val="bottom"/>
            <w:hideMark/>
          </w:tcPr>
          <w:p w14:paraId="582A5585"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43 </w:t>
            </w:r>
          </w:p>
        </w:tc>
        <w:tc>
          <w:tcPr>
            <w:tcW w:w="1120" w:type="dxa"/>
            <w:tcBorders>
              <w:top w:val="nil"/>
              <w:left w:val="nil"/>
              <w:bottom w:val="nil"/>
              <w:right w:val="single" w:sz="8" w:space="0" w:color="BFBFBF"/>
            </w:tcBorders>
            <w:shd w:val="clear" w:color="000000" w:fill="DCE6F1"/>
            <w:noWrap/>
            <w:vAlign w:val="bottom"/>
            <w:hideMark/>
          </w:tcPr>
          <w:p w14:paraId="6B1FC733"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2.378 </w:t>
            </w:r>
          </w:p>
        </w:tc>
      </w:tr>
      <w:tr w:rsidR="00A27C22" w:rsidRPr="001D0FE2" w14:paraId="40B086C2" w14:textId="77777777" w:rsidTr="00B81D69">
        <w:trPr>
          <w:trHeight w:val="375"/>
        </w:trPr>
        <w:tc>
          <w:tcPr>
            <w:tcW w:w="6320" w:type="dxa"/>
            <w:tcBorders>
              <w:top w:val="nil"/>
              <w:left w:val="single" w:sz="8" w:space="0" w:color="BFBFBF"/>
              <w:bottom w:val="single" w:sz="8" w:space="0" w:color="BFBFBF"/>
              <w:right w:val="single" w:sz="8" w:space="0" w:color="BFBFBF"/>
            </w:tcBorders>
            <w:shd w:val="clear" w:color="000000" w:fill="FFFFFF"/>
            <w:vAlign w:val="center"/>
            <w:hideMark/>
          </w:tcPr>
          <w:p w14:paraId="0AB6C384" w14:textId="77777777" w:rsidR="00A27C22" w:rsidRPr="002D6138" w:rsidRDefault="00A27C22" w:rsidP="00B81D69">
            <w:pPr>
              <w:jc w:val="lef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Total transactions with owners, recognised directly in equity</w:t>
            </w:r>
          </w:p>
        </w:tc>
        <w:tc>
          <w:tcPr>
            <w:tcW w:w="560" w:type="dxa"/>
            <w:tcBorders>
              <w:top w:val="nil"/>
              <w:left w:val="nil"/>
              <w:bottom w:val="single" w:sz="8" w:space="0" w:color="BFBFBF"/>
              <w:right w:val="single" w:sz="8" w:space="0" w:color="BFBFBF"/>
            </w:tcBorders>
            <w:shd w:val="clear" w:color="auto" w:fill="auto"/>
            <w:vAlign w:val="center"/>
            <w:hideMark/>
          </w:tcPr>
          <w:p w14:paraId="20774A90" w14:textId="77777777" w:rsidR="00A27C22" w:rsidRPr="002D6138" w:rsidRDefault="00A27C22" w:rsidP="00B81D69">
            <w:pPr>
              <w:jc w:val="center"/>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120" w:type="dxa"/>
            <w:tcBorders>
              <w:top w:val="single" w:sz="8" w:space="0" w:color="BFBFBF"/>
              <w:left w:val="nil"/>
              <w:bottom w:val="nil"/>
              <w:right w:val="single" w:sz="8" w:space="0" w:color="BFBFBF"/>
            </w:tcBorders>
            <w:shd w:val="clear" w:color="000000" w:fill="DCE6F1"/>
            <w:noWrap/>
            <w:vAlign w:val="center"/>
            <w:hideMark/>
          </w:tcPr>
          <w:p w14:paraId="1B744537"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6.380</w:t>
            </w:r>
          </w:p>
        </w:tc>
        <w:tc>
          <w:tcPr>
            <w:tcW w:w="1140" w:type="dxa"/>
            <w:tcBorders>
              <w:top w:val="single" w:sz="8" w:space="0" w:color="BFBFBF"/>
              <w:left w:val="nil"/>
              <w:bottom w:val="nil"/>
              <w:right w:val="single" w:sz="8" w:space="0" w:color="BFBFBF"/>
            </w:tcBorders>
            <w:shd w:val="clear" w:color="000000" w:fill="DCE6F1"/>
            <w:noWrap/>
            <w:vAlign w:val="center"/>
            <w:hideMark/>
          </w:tcPr>
          <w:p w14:paraId="56900CB8"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64 </w:t>
            </w:r>
          </w:p>
        </w:tc>
        <w:tc>
          <w:tcPr>
            <w:tcW w:w="1120" w:type="dxa"/>
            <w:tcBorders>
              <w:top w:val="single" w:sz="8" w:space="0" w:color="BFBFBF"/>
              <w:left w:val="nil"/>
              <w:bottom w:val="nil"/>
              <w:right w:val="single" w:sz="8" w:space="0" w:color="BFBFBF"/>
            </w:tcBorders>
            <w:shd w:val="clear" w:color="000000" w:fill="DCE6F1"/>
            <w:noWrap/>
            <w:vAlign w:val="center"/>
            <w:hideMark/>
          </w:tcPr>
          <w:p w14:paraId="6F44E275"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3.767 </w:t>
            </w:r>
          </w:p>
        </w:tc>
      </w:tr>
      <w:tr w:rsidR="00A27C22" w:rsidRPr="001D0FE2" w14:paraId="00DF8820" w14:textId="77777777" w:rsidTr="00B81D69">
        <w:trPr>
          <w:trHeight w:val="375"/>
        </w:trPr>
        <w:tc>
          <w:tcPr>
            <w:tcW w:w="6320" w:type="dxa"/>
            <w:tcBorders>
              <w:top w:val="nil"/>
              <w:left w:val="single" w:sz="8" w:space="0" w:color="BFBFBF"/>
              <w:bottom w:val="single" w:sz="8" w:space="0" w:color="BFBFBF"/>
              <w:right w:val="single" w:sz="8" w:space="0" w:color="BFBFBF"/>
            </w:tcBorders>
            <w:shd w:val="clear" w:color="000000" w:fill="FFFFFF"/>
            <w:vAlign w:val="center"/>
            <w:hideMark/>
          </w:tcPr>
          <w:p w14:paraId="4F2E9BD0" w14:textId="77777777" w:rsidR="00A27C22" w:rsidRPr="002D6138" w:rsidRDefault="00A27C22" w:rsidP="00B81D69">
            <w:pPr>
              <w:jc w:val="lef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Balance at 30 June 2020</w:t>
            </w:r>
          </w:p>
        </w:tc>
        <w:tc>
          <w:tcPr>
            <w:tcW w:w="560" w:type="dxa"/>
            <w:tcBorders>
              <w:top w:val="nil"/>
              <w:left w:val="nil"/>
              <w:bottom w:val="single" w:sz="8" w:space="0" w:color="BFBFBF"/>
              <w:right w:val="single" w:sz="8" w:space="0" w:color="BFBFBF"/>
            </w:tcBorders>
            <w:shd w:val="clear" w:color="auto" w:fill="auto"/>
            <w:noWrap/>
            <w:vAlign w:val="bottom"/>
            <w:hideMark/>
          </w:tcPr>
          <w:p w14:paraId="4A1C6483"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w:t>
            </w:r>
          </w:p>
        </w:tc>
        <w:tc>
          <w:tcPr>
            <w:tcW w:w="1120" w:type="dxa"/>
            <w:tcBorders>
              <w:top w:val="single" w:sz="8" w:space="0" w:color="BFBFBF"/>
              <w:left w:val="nil"/>
              <w:bottom w:val="single" w:sz="8" w:space="0" w:color="BFBFBF"/>
              <w:right w:val="single" w:sz="8" w:space="0" w:color="BFBFBF"/>
            </w:tcBorders>
            <w:shd w:val="clear" w:color="000000" w:fill="DCE6F1"/>
            <w:noWrap/>
            <w:vAlign w:val="center"/>
            <w:hideMark/>
          </w:tcPr>
          <w:p w14:paraId="3E48C949"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637.703 </w:t>
            </w:r>
          </w:p>
        </w:tc>
        <w:tc>
          <w:tcPr>
            <w:tcW w:w="1140" w:type="dxa"/>
            <w:tcBorders>
              <w:top w:val="single" w:sz="8" w:space="0" w:color="BFBFBF"/>
              <w:left w:val="nil"/>
              <w:bottom w:val="single" w:sz="8" w:space="0" w:color="BFBFBF"/>
              <w:right w:val="single" w:sz="8" w:space="0" w:color="BFBFBF"/>
            </w:tcBorders>
            <w:shd w:val="clear" w:color="000000" w:fill="DCE6F1"/>
            <w:noWrap/>
            <w:vAlign w:val="center"/>
            <w:hideMark/>
          </w:tcPr>
          <w:p w14:paraId="095ECB3E"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6.377 </w:t>
            </w:r>
          </w:p>
        </w:tc>
        <w:tc>
          <w:tcPr>
            <w:tcW w:w="1120" w:type="dxa"/>
            <w:tcBorders>
              <w:top w:val="single" w:sz="8" w:space="0" w:color="BFBFBF"/>
              <w:left w:val="nil"/>
              <w:bottom w:val="single" w:sz="8" w:space="0" w:color="BFBFBF"/>
              <w:right w:val="single" w:sz="8" w:space="0" w:color="BFBFBF"/>
            </w:tcBorders>
            <w:shd w:val="clear" w:color="000000" w:fill="DCE6F1"/>
            <w:noWrap/>
            <w:vAlign w:val="center"/>
            <w:hideMark/>
          </w:tcPr>
          <w:p w14:paraId="14A7B536"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396.033 </w:t>
            </w:r>
          </w:p>
        </w:tc>
      </w:tr>
    </w:tbl>
    <w:p w14:paraId="1A75ED3F" w14:textId="77777777" w:rsidR="00A27C22" w:rsidRPr="001D0FE2" w:rsidRDefault="00A27C22" w:rsidP="00A27C22">
      <w:pPr>
        <w:pStyle w:val="NoSpacing"/>
        <w:rPr>
          <w:rFonts w:asciiTheme="minorHAnsi" w:hAnsiTheme="minorHAnsi" w:cstheme="minorHAnsi"/>
          <w:color w:val="1C6194" w:themeColor="accent6" w:themeShade="BF"/>
          <w:u w:val="single"/>
          <w:lang w:val="en-GB"/>
        </w:rPr>
      </w:pPr>
    </w:p>
    <w:p w14:paraId="391B5784" w14:textId="77777777" w:rsidR="00A27C22" w:rsidRPr="001D0FE2" w:rsidRDefault="00A27C22" w:rsidP="00A27C22">
      <w:pPr>
        <w:pStyle w:val="NoSpacing"/>
        <w:jc w:val="right"/>
        <w:rPr>
          <w:rFonts w:asciiTheme="minorHAnsi" w:hAnsiTheme="minorHAnsi" w:cstheme="minorHAnsi"/>
          <w:u w:val="single"/>
          <w:lang w:val="en-GB"/>
        </w:rPr>
      </w:pPr>
    </w:p>
    <w:p w14:paraId="68F928D2" w14:textId="77777777" w:rsidR="00A27C22" w:rsidRPr="001D0FE2" w:rsidRDefault="00A27C22" w:rsidP="00A27C22">
      <w:pPr>
        <w:pStyle w:val="NoSpacing"/>
        <w:jc w:val="right"/>
        <w:rPr>
          <w:rFonts w:asciiTheme="minorHAnsi" w:hAnsiTheme="minorHAnsi" w:cstheme="minorHAnsi"/>
          <w:u w:val="single"/>
          <w:lang w:val="en-GB"/>
        </w:rPr>
      </w:pPr>
    </w:p>
    <w:p w14:paraId="399FFBEC" w14:textId="77777777" w:rsidR="00A27C22" w:rsidRPr="001D0FE2" w:rsidRDefault="00A27C22" w:rsidP="00A27C22">
      <w:pPr>
        <w:jc w:val="right"/>
        <w:rPr>
          <w:rFonts w:asciiTheme="minorHAnsi" w:hAnsiTheme="minorHAnsi" w:cstheme="minorHAnsi"/>
          <w:sz w:val="18"/>
          <w:szCs w:val="22"/>
          <w:lang w:val="en-GB"/>
        </w:rPr>
      </w:pPr>
      <w:r w:rsidRPr="001D0FE2">
        <w:rPr>
          <w:rFonts w:asciiTheme="minorHAnsi" w:hAnsiTheme="minorHAnsi" w:cstheme="minorHAnsi"/>
          <w:sz w:val="18"/>
          <w:szCs w:val="22"/>
          <w:lang w:val="en-GB"/>
        </w:rPr>
        <w:t>The notes are an integral part of these interim financial statements</w:t>
      </w:r>
    </w:p>
    <w:p w14:paraId="3904A54A" w14:textId="77777777" w:rsidR="00173597" w:rsidRPr="001D0FE2" w:rsidRDefault="00173597" w:rsidP="00A27C22">
      <w:pPr>
        <w:pStyle w:val="NoSpacing"/>
        <w:jc w:val="right"/>
        <w:rPr>
          <w:rFonts w:asciiTheme="minorHAnsi" w:hAnsiTheme="minorHAnsi" w:cstheme="minorHAnsi"/>
          <w:color w:val="1C6194" w:themeColor="accent6" w:themeShade="BF"/>
          <w:u w:val="single"/>
          <w:lang w:val="en-GB"/>
        </w:rPr>
      </w:pPr>
    </w:p>
    <w:p w14:paraId="4E9DC01E" w14:textId="77777777" w:rsidR="00173597" w:rsidRPr="001D0FE2" w:rsidRDefault="00173597" w:rsidP="00A27C22">
      <w:pPr>
        <w:pStyle w:val="NoSpacing"/>
        <w:jc w:val="right"/>
        <w:rPr>
          <w:rFonts w:asciiTheme="minorHAnsi" w:hAnsiTheme="minorHAnsi" w:cstheme="minorHAnsi"/>
          <w:color w:val="1C6194" w:themeColor="accent6" w:themeShade="BF"/>
          <w:u w:val="single"/>
          <w:lang w:val="en-GB"/>
        </w:rPr>
      </w:pPr>
    </w:p>
    <w:p w14:paraId="49905B55" w14:textId="0245E639" w:rsidR="00A27C22" w:rsidRPr="001D0FE2" w:rsidRDefault="00A27C22" w:rsidP="00A27C22">
      <w:pPr>
        <w:pStyle w:val="NoSpacing"/>
        <w:jc w:val="right"/>
        <w:rPr>
          <w:rFonts w:asciiTheme="minorHAnsi" w:hAnsiTheme="minorHAnsi" w:cstheme="minorHAnsi"/>
          <w:color w:val="1C6194" w:themeColor="accent6" w:themeShade="BF"/>
          <w:u w:val="single"/>
          <w:lang w:val="en-GB"/>
        </w:rPr>
      </w:pPr>
      <w:r w:rsidRPr="001D0FE2">
        <w:rPr>
          <w:rFonts w:asciiTheme="minorHAnsi" w:hAnsiTheme="minorHAnsi" w:cstheme="minorHAnsi"/>
          <w:color w:val="1C6194" w:themeColor="accent6" w:themeShade="BF"/>
          <w:u w:val="single"/>
          <w:lang w:val="en-GB"/>
        </w:rPr>
        <w:t>Attributable to owners of the parent</w:t>
      </w:r>
    </w:p>
    <w:tbl>
      <w:tblPr>
        <w:tblW w:w="0" w:type="auto"/>
        <w:tblLook w:val="04A0" w:firstRow="1" w:lastRow="0" w:firstColumn="1" w:lastColumn="0" w:noHBand="0" w:noVBand="1"/>
      </w:tblPr>
      <w:tblGrid>
        <w:gridCol w:w="4378"/>
        <w:gridCol w:w="532"/>
        <w:gridCol w:w="1102"/>
        <w:gridCol w:w="966"/>
        <w:gridCol w:w="1089"/>
        <w:gridCol w:w="960"/>
      </w:tblGrid>
      <w:tr w:rsidR="00A27C22" w:rsidRPr="001D0FE2" w14:paraId="455557F0" w14:textId="77777777" w:rsidTr="000D0314">
        <w:trPr>
          <w:trHeight w:val="810"/>
        </w:trPr>
        <w:tc>
          <w:tcPr>
            <w:tcW w:w="4378" w:type="dxa"/>
            <w:tcBorders>
              <w:top w:val="single" w:sz="8" w:space="0" w:color="BFBFBF"/>
              <w:left w:val="nil"/>
              <w:bottom w:val="single" w:sz="8" w:space="0" w:color="BFBFBF"/>
              <w:right w:val="nil"/>
            </w:tcBorders>
            <w:shd w:val="clear" w:color="000000" w:fill="366092"/>
            <w:vAlign w:val="center"/>
            <w:hideMark/>
          </w:tcPr>
          <w:p w14:paraId="1694160F"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532" w:type="dxa"/>
            <w:tcBorders>
              <w:top w:val="single" w:sz="8" w:space="0" w:color="BFBFBF"/>
              <w:left w:val="nil"/>
              <w:bottom w:val="single" w:sz="8" w:space="0" w:color="BFBFBF"/>
              <w:right w:val="nil"/>
            </w:tcBorders>
            <w:shd w:val="clear" w:color="000000" w:fill="366092"/>
            <w:vAlign w:val="center"/>
            <w:hideMark/>
          </w:tcPr>
          <w:p w14:paraId="4A1F0082" w14:textId="77777777" w:rsidR="00A27C22" w:rsidRPr="001D0FE2" w:rsidRDefault="00A27C22" w:rsidP="00B81D69">
            <w:pPr>
              <w:jc w:val="center"/>
              <w:rPr>
                <w:rFonts w:asciiTheme="minorHAnsi" w:hAnsiTheme="minorHAnsi" w:cstheme="minorHAnsi"/>
                <w:color w:val="FFFFFF"/>
                <w:sz w:val="14"/>
                <w:szCs w:val="14"/>
                <w:lang w:val="en-GB"/>
              </w:rPr>
            </w:pPr>
            <w:r w:rsidRPr="001D0FE2">
              <w:rPr>
                <w:rFonts w:asciiTheme="minorHAnsi" w:hAnsiTheme="minorHAnsi" w:cstheme="minorHAnsi"/>
                <w:color w:val="FFFFFF"/>
                <w:sz w:val="14"/>
                <w:szCs w:val="14"/>
                <w:lang w:val="en-GB"/>
              </w:rPr>
              <w:t>notes</w:t>
            </w:r>
          </w:p>
        </w:tc>
        <w:tc>
          <w:tcPr>
            <w:tcW w:w="2068" w:type="dxa"/>
            <w:gridSpan w:val="2"/>
            <w:tcBorders>
              <w:top w:val="single" w:sz="8" w:space="0" w:color="BFBFBF"/>
              <w:left w:val="nil"/>
              <w:bottom w:val="single" w:sz="8" w:space="0" w:color="BFBFBF"/>
              <w:right w:val="nil"/>
            </w:tcBorders>
            <w:shd w:val="clear" w:color="000000" w:fill="366092"/>
            <w:vAlign w:val="center"/>
            <w:hideMark/>
          </w:tcPr>
          <w:p w14:paraId="22636ADF" w14:textId="77777777" w:rsidR="00A27C22" w:rsidRPr="001D0FE2" w:rsidRDefault="00A27C22" w:rsidP="00B81D69">
            <w:pPr>
              <w:jc w:val="center"/>
              <w:rPr>
                <w:rFonts w:asciiTheme="minorHAnsi" w:hAnsiTheme="minorHAnsi" w:cstheme="minorHAnsi"/>
                <w:b/>
                <w:bCs/>
                <w:color w:val="FFFFFF"/>
                <w:sz w:val="16"/>
                <w:szCs w:val="16"/>
                <w:lang w:val="en-GB"/>
              </w:rPr>
            </w:pPr>
            <w:r w:rsidRPr="001D0FE2">
              <w:rPr>
                <w:rFonts w:asciiTheme="minorHAnsi" w:hAnsiTheme="minorHAnsi" w:cstheme="minorHAnsi"/>
                <w:b/>
                <w:bCs/>
                <w:color w:val="FFFFFF"/>
                <w:sz w:val="16"/>
                <w:szCs w:val="16"/>
                <w:lang w:val="en-GB"/>
              </w:rPr>
              <w:t>Legal reserves</w:t>
            </w:r>
          </w:p>
        </w:tc>
        <w:tc>
          <w:tcPr>
            <w:tcW w:w="1089" w:type="dxa"/>
            <w:tcBorders>
              <w:top w:val="single" w:sz="8" w:space="0" w:color="BFBFBF"/>
              <w:left w:val="nil"/>
              <w:bottom w:val="single" w:sz="8" w:space="0" w:color="BFBFBF"/>
              <w:right w:val="nil"/>
            </w:tcBorders>
            <w:shd w:val="clear" w:color="000000" w:fill="366092"/>
            <w:vAlign w:val="center"/>
            <w:hideMark/>
          </w:tcPr>
          <w:p w14:paraId="5B07B936" w14:textId="77777777" w:rsidR="00A27C22" w:rsidRPr="001D0FE2" w:rsidRDefault="00A27C22" w:rsidP="00B81D69">
            <w:pPr>
              <w:jc w:val="right"/>
              <w:rPr>
                <w:rFonts w:asciiTheme="minorHAnsi" w:hAnsiTheme="minorHAnsi" w:cstheme="minorHAnsi"/>
                <w:b/>
                <w:bCs/>
                <w:color w:val="FFFFFF"/>
                <w:sz w:val="16"/>
                <w:szCs w:val="16"/>
                <w:lang w:val="en-GB"/>
              </w:rPr>
            </w:pPr>
            <w:r w:rsidRPr="001D0FE2">
              <w:rPr>
                <w:rFonts w:asciiTheme="minorHAnsi" w:hAnsiTheme="minorHAnsi" w:cstheme="minorHAnsi"/>
                <w:b/>
                <w:bCs/>
                <w:color w:val="FFFFFF"/>
                <w:sz w:val="16"/>
                <w:szCs w:val="16"/>
                <w:lang w:val="en-GB"/>
              </w:rPr>
              <w:t>Accumulated deficit</w:t>
            </w:r>
          </w:p>
        </w:tc>
        <w:tc>
          <w:tcPr>
            <w:tcW w:w="960" w:type="dxa"/>
            <w:tcBorders>
              <w:top w:val="single" w:sz="8" w:space="0" w:color="BFBFBF"/>
              <w:left w:val="nil"/>
              <w:bottom w:val="single" w:sz="8" w:space="0" w:color="BFBFBF"/>
              <w:right w:val="nil"/>
            </w:tcBorders>
            <w:shd w:val="clear" w:color="000000" w:fill="366092"/>
            <w:vAlign w:val="center"/>
            <w:hideMark/>
          </w:tcPr>
          <w:p w14:paraId="52594267" w14:textId="77777777" w:rsidR="00A27C22" w:rsidRPr="001D0FE2" w:rsidRDefault="00A27C22" w:rsidP="00B81D69">
            <w:pPr>
              <w:jc w:val="right"/>
              <w:rPr>
                <w:rFonts w:asciiTheme="minorHAnsi" w:hAnsiTheme="minorHAnsi" w:cstheme="minorHAnsi"/>
                <w:b/>
                <w:bCs/>
                <w:color w:val="FFFFFF"/>
                <w:sz w:val="16"/>
                <w:szCs w:val="16"/>
                <w:lang w:val="en-GB"/>
              </w:rPr>
            </w:pPr>
            <w:r w:rsidRPr="001D0FE2">
              <w:rPr>
                <w:rFonts w:asciiTheme="minorHAnsi" w:hAnsiTheme="minorHAnsi" w:cstheme="minorHAnsi"/>
                <w:b/>
                <w:bCs/>
                <w:color w:val="FFFFFF"/>
                <w:sz w:val="16"/>
                <w:szCs w:val="16"/>
                <w:lang w:val="en-GB"/>
              </w:rPr>
              <w:t>Total equity</w:t>
            </w:r>
          </w:p>
        </w:tc>
      </w:tr>
      <w:tr w:rsidR="00A27C22" w:rsidRPr="001D0FE2" w14:paraId="003755F8" w14:textId="77777777" w:rsidTr="000D0314">
        <w:trPr>
          <w:trHeight w:val="640"/>
        </w:trPr>
        <w:tc>
          <w:tcPr>
            <w:tcW w:w="4378" w:type="dxa"/>
            <w:tcBorders>
              <w:top w:val="single" w:sz="8" w:space="0" w:color="FFFFFF"/>
              <w:left w:val="single" w:sz="8" w:space="0" w:color="FFFFFF"/>
              <w:bottom w:val="nil"/>
              <w:right w:val="nil"/>
            </w:tcBorders>
            <w:shd w:val="clear" w:color="000000" w:fill="366092"/>
            <w:vAlign w:val="center"/>
            <w:hideMark/>
          </w:tcPr>
          <w:p w14:paraId="761B68F4"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 </w:t>
            </w:r>
          </w:p>
        </w:tc>
        <w:tc>
          <w:tcPr>
            <w:tcW w:w="532" w:type="dxa"/>
            <w:tcBorders>
              <w:top w:val="single" w:sz="8" w:space="0" w:color="FFFFFF"/>
              <w:left w:val="nil"/>
              <w:bottom w:val="single" w:sz="8" w:space="0" w:color="BFBFBF"/>
              <w:right w:val="nil"/>
            </w:tcBorders>
            <w:shd w:val="clear" w:color="000000" w:fill="366092"/>
            <w:vAlign w:val="center"/>
            <w:hideMark/>
          </w:tcPr>
          <w:p w14:paraId="14963F85" w14:textId="77777777" w:rsidR="00A27C22" w:rsidRPr="001D0FE2" w:rsidRDefault="00A27C22" w:rsidP="00B81D69">
            <w:pPr>
              <w:jc w:val="center"/>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 </w:t>
            </w:r>
          </w:p>
        </w:tc>
        <w:tc>
          <w:tcPr>
            <w:tcW w:w="1102" w:type="dxa"/>
            <w:tcBorders>
              <w:top w:val="single" w:sz="8" w:space="0" w:color="FFFFFF"/>
              <w:left w:val="nil"/>
              <w:bottom w:val="single" w:sz="8" w:space="0" w:color="BFBFBF"/>
              <w:right w:val="nil"/>
            </w:tcBorders>
            <w:shd w:val="clear" w:color="000000" w:fill="366092"/>
            <w:vAlign w:val="center"/>
            <w:hideMark/>
          </w:tcPr>
          <w:p w14:paraId="630F93ED" w14:textId="77777777" w:rsidR="00A27C22" w:rsidRPr="001D0FE2" w:rsidRDefault="00A27C22" w:rsidP="00B81D69">
            <w:pPr>
              <w:jc w:val="right"/>
              <w:rPr>
                <w:rFonts w:asciiTheme="minorHAnsi" w:hAnsiTheme="minorHAnsi" w:cstheme="minorHAnsi"/>
                <w:b/>
                <w:bCs/>
                <w:color w:val="FFFFFF"/>
                <w:sz w:val="16"/>
                <w:szCs w:val="16"/>
                <w:lang w:val="en-GB"/>
              </w:rPr>
            </w:pPr>
            <w:r w:rsidRPr="001D0FE2">
              <w:rPr>
                <w:rFonts w:asciiTheme="minorHAnsi" w:hAnsiTheme="minorHAnsi" w:cstheme="minorHAnsi"/>
                <w:b/>
                <w:bCs/>
                <w:color w:val="FFFFFF"/>
                <w:sz w:val="16"/>
                <w:szCs w:val="16"/>
                <w:lang w:val="en-GB"/>
              </w:rPr>
              <w:t>Capitalized development cost</w:t>
            </w:r>
          </w:p>
        </w:tc>
        <w:tc>
          <w:tcPr>
            <w:tcW w:w="966" w:type="dxa"/>
            <w:tcBorders>
              <w:top w:val="single" w:sz="8" w:space="0" w:color="FFFFFF"/>
              <w:left w:val="nil"/>
              <w:bottom w:val="single" w:sz="8" w:space="0" w:color="BFBFBF"/>
              <w:right w:val="nil"/>
            </w:tcBorders>
            <w:shd w:val="clear" w:color="000000" w:fill="366092"/>
            <w:vAlign w:val="center"/>
            <w:hideMark/>
          </w:tcPr>
          <w:p w14:paraId="67AAD74B" w14:textId="77777777" w:rsidR="00A27C22" w:rsidRPr="001D0FE2" w:rsidRDefault="00A27C22" w:rsidP="00B81D69">
            <w:pPr>
              <w:jc w:val="right"/>
              <w:rPr>
                <w:rFonts w:asciiTheme="minorHAnsi" w:hAnsiTheme="minorHAnsi" w:cstheme="minorHAnsi"/>
                <w:b/>
                <w:bCs/>
                <w:color w:val="FFFFFF"/>
                <w:sz w:val="16"/>
                <w:szCs w:val="16"/>
                <w:lang w:val="en-GB"/>
              </w:rPr>
            </w:pPr>
            <w:r w:rsidRPr="001D0FE2">
              <w:rPr>
                <w:rFonts w:asciiTheme="minorHAnsi" w:hAnsiTheme="minorHAnsi" w:cstheme="minorHAnsi"/>
                <w:b/>
                <w:bCs/>
                <w:color w:val="FFFFFF"/>
                <w:sz w:val="16"/>
                <w:szCs w:val="16"/>
                <w:lang w:val="en-GB"/>
              </w:rPr>
              <w:t>Translation reserve</w:t>
            </w:r>
          </w:p>
        </w:tc>
        <w:tc>
          <w:tcPr>
            <w:tcW w:w="1089" w:type="dxa"/>
            <w:tcBorders>
              <w:top w:val="single" w:sz="8" w:space="0" w:color="FFFFFF"/>
              <w:left w:val="nil"/>
              <w:bottom w:val="single" w:sz="8" w:space="0" w:color="BFBFBF"/>
              <w:right w:val="nil"/>
            </w:tcBorders>
            <w:shd w:val="clear" w:color="000000" w:fill="366092"/>
            <w:vAlign w:val="center"/>
            <w:hideMark/>
          </w:tcPr>
          <w:p w14:paraId="20123D2D"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w:t>
            </w:r>
          </w:p>
        </w:tc>
        <w:tc>
          <w:tcPr>
            <w:tcW w:w="960" w:type="dxa"/>
            <w:tcBorders>
              <w:top w:val="single" w:sz="8" w:space="0" w:color="FFFFFF"/>
              <w:left w:val="nil"/>
              <w:bottom w:val="single" w:sz="8" w:space="0" w:color="BFBFBF"/>
              <w:right w:val="nil"/>
            </w:tcBorders>
            <w:shd w:val="clear" w:color="000000" w:fill="366092"/>
            <w:vAlign w:val="center"/>
            <w:hideMark/>
          </w:tcPr>
          <w:p w14:paraId="76C1B485"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w:t>
            </w:r>
          </w:p>
        </w:tc>
      </w:tr>
      <w:tr w:rsidR="00A27C22" w:rsidRPr="001D0FE2" w14:paraId="70F856C7" w14:textId="77777777" w:rsidTr="000D0314">
        <w:trPr>
          <w:trHeight w:val="370"/>
        </w:trPr>
        <w:tc>
          <w:tcPr>
            <w:tcW w:w="4378" w:type="dxa"/>
            <w:tcBorders>
              <w:top w:val="nil"/>
              <w:left w:val="single" w:sz="8" w:space="0" w:color="BFBFBF"/>
              <w:bottom w:val="single" w:sz="8" w:space="0" w:color="BFBFBF"/>
              <w:right w:val="single" w:sz="8" w:space="0" w:color="BFBFBF"/>
            </w:tcBorders>
            <w:shd w:val="clear" w:color="000000" w:fill="FFFFFF"/>
            <w:vAlign w:val="center"/>
            <w:hideMark/>
          </w:tcPr>
          <w:p w14:paraId="65E9C41D" w14:textId="77777777" w:rsidR="00A27C22" w:rsidRPr="002D6138" w:rsidRDefault="00A27C22" w:rsidP="00B81D69">
            <w:pPr>
              <w:jc w:val="lef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Balance at 1 January 2019 as reported in HY report</w:t>
            </w:r>
          </w:p>
        </w:tc>
        <w:tc>
          <w:tcPr>
            <w:tcW w:w="532" w:type="dxa"/>
            <w:tcBorders>
              <w:top w:val="nil"/>
              <w:left w:val="nil"/>
              <w:bottom w:val="single" w:sz="8" w:space="0" w:color="BFBFBF"/>
              <w:right w:val="single" w:sz="8" w:space="0" w:color="BFBFBF"/>
            </w:tcBorders>
            <w:shd w:val="clear" w:color="000000" w:fill="FFFFFF"/>
            <w:vAlign w:val="center"/>
            <w:hideMark/>
          </w:tcPr>
          <w:p w14:paraId="54156F24" w14:textId="77777777" w:rsidR="00A27C22" w:rsidRPr="002D6138" w:rsidRDefault="00A27C22" w:rsidP="00B81D69">
            <w:pPr>
              <w:jc w:val="center"/>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w:t>
            </w:r>
          </w:p>
        </w:tc>
        <w:tc>
          <w:tcPr>
            <w:tcW w:w="1102" w:type="dxa"/>
            <w:tcBorders>
              <w:top w:val="nil"/>
              <w:left w:val="nil"/>
              <w:bottom w:val="single" w:sz="8" w:space="0" w:color="BFBFBF"/>
              <w:right w:val="single" w:sz="8" w:space="0" w:color="BFBFBF"/>
            </w:tcBorders>
            <w:shd w:val="clear" w:color="auto" w:fill="auto"/>
            <w:noWrap/>
            <w:vAlign w:val="center"/>
            <w:hideMark/>
          </w:tcPr>
          <w:p w14:paraId="5555A1CD"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2.237 </w:t>
            </w:r>
          </w:p>
        </w:tc>
        <w:tc>
          <w:tcPr>
            <w:tcW w:w="966" w:type="dxa"/>
            <w:tcBorders>
              <w:top w:val="nil"/>
              <w:left w:val="nil"/>
              <w:bottom w:val="single" w:sz="8" w:space="0" w:color="BFBFBF"/>
              <w:right w:val="single" w:sz="8" w:space="0" w:color="BFBFBF"/>
            </w:tcBorders>
            <w:shd w:val="clear" w:color="auto" w:fill="auto"/>
            <w:noWrap/>
            <w:vAlign w:val="center"/>
            <w:hideMark/>
          </w:tcPr>
          <w:p w14:paraId="512D1AA0"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(590)</w:t>
            </w:r>
          </w:p>
        </w:tc>
        <w:tc>
          <w:tcPr>
            <w:tcW w:w="1089" w:type="dxa"/>
            <w:tcBorders>
              <w:top w:val="nil"/>
              <w:left w:val="nil"/>
              <w:bottom w:val="single" w:sz="8" w:space="0" w:color="BFBFBF"/>
              <w:right w:val="single" w:sz="8" w:space="0" w:color="BFBFBF"/>
            </w:tcBorders>
            <w:shd w:val="clear" w:color="auto" w:fill="auto"/>
            <w:noWrap/>
            <w:vAlign w:val="center"/>
            <w:hideMark/>
          </w:tcPr>
          <w:p w14:paraId="4A634E35"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(333.636)</w:t>
            </w:r>
          </w:p>
        </w:tc>
        <w:tc>
          <w:tcPr>
            <w:tcW w:w="960" w:type="dxa"/>
            <w:tcBorders>
              <w:top w:val="nil"/>
              <w:left w:val="nil"/>
              <w:bottom w:val="single" w:sz="8" w:space="0" w:color="BFBFBF"/>
              <w:right w:val="single" w:sz="8" w:space="0" w:color="BFBFBF"/>
            </w:tcBorders>
            <w:shd w:val="clear" w:color="auto" w:fill="auto"/>
            <w:noWrap/>
            <w:vAlign w:val="center"/>
            <w:hideMark/>
          </w:tcPr>
          <w:p w14:paraId="5EBC182D"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61.751 </w:t>
            </w:r>
          </w:p>
        </w:tc>
      </w:tr>
      <w:tr w:rsidR="00A27C22" w:rsidRPr="001D0FE2" w14:paraId="09582CAA"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bottom"/>
            <w:hideMark/>
          </w:tcPr>
          <w:p w14:paraId="022607BC"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Result for the year</w:t>
            </w:r>
          </w:p>
        </w:tc>
        <w:tc>
          <w:tcPr>
            <w:tcW w:w="532" w:type="dxa"/>
            <w:tcBorders>
              <w:top w:val="nil"/>
              <w:left w:val="nil"/>
              <w:bottom w:val="nil"/>
              <w:right w:val="single" w:sz="8" w:space="0" w:color="BFBFBF"/>
            </w:tcBorders>
            <w:shd w:val="clear" w:color="000000" w:fill="FFFFFF"/>
            <w:vAlign w:val="bottom"/>
            <w:hideMark/>
          </w:tcPr>
          <w:p w14:paraId="08035918" w14:textId="77777777" w:rsidR="00A27C22" w:rsidRPr="002D6138" w:rsidRDefault="00A27C22" w:rsidP="00B81D69">
            <w:pPr>
              <w:jc w:val="center"/>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nil"/>
              <w:left w:val="nil"/>
              <w:bottom w:val="nil"/>
              <w:right w:val="single" w:sz="8" w:space="0" w:color="BFBFBF"/>
            </w:tcBorders>
            <w:shd w:val="clear" w:color="auto" w:fill="auto"/>
            <w:noWrap/>
            <w:vAlign w:val="bottom"/>
            <w:hideMark/>
          </w:tcPr>
          <w:p w14:paraId="037D9E21"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nil"/>
              <w:right w:val="single" w:sz="8" w:space="0" w:color="BFBFBF"/>
            </w:tcBorders>
            <w:shd w:val="clear" w:color="auto" w:fill="auto"/>
            <w:noWrap/>
            <w:vAlign w:val="bottom"/>
            <w:hideMark/>
          </w:tcPr>
          <w:p w14:paraId="05280923"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nil"/>
              <w:right w:val="single" w:sz="8" w:space="0" w:color="BFBFBF"/>
            </w:tcBorders>
            <w:shd w:val="clear" w:color="auto" w:fill="auto"/>
            <w:noWrap/>
            <w:vAlign w:val="bottom"/>
            <w:hideMark/>
          </w:tcPr>
          <w:p w14:paraId="6BF32DED"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13.594 </w:t>
            </w:r>
          </w:p>
        </w:tc>
        <w:tc>
          <w:tcPr>
            <w:tcW w:w="960" w:type="dxa"/>
            <w:tcBorders>
              <w:top w:val="nil"/>
              <w:left w:val="nil"/>
              <w:bottom w:val="nil"/>
              <w:right w:val="single" w:sz="8" w:space="0" w:color="BFBFBF"/>
            </w:tcBorders>
            <w:shd w:val="clear" w:color="auto" w:fill="auto"/>
            <w:noWrap/>
            <w:vAlign w:val="bottom"/>
            <w:hideMark/>
          </w:tcPr>
          <w:p w14:paraId="6B35C875"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13.594 </w:t>
            </w:r>
          </w:p>
        </w:tc>
      </w:tr>
      <w:tr w:rsidR="00A27C22" w:rsidRPr="001D0FE2" w14:paraId="527A4D8F" w14:textId="77777777" w:rsidTr="000D0314">
        <w:trPr>
          <w:trHeight w:val="375"/>
        </w:trPr>
        <w:tc>
          <w:tcPr>
            <w:tcW w:w="4378" w:type="dxa"/>
            <w:tcBorders>
              <w:top w:val="nil"/>
              <w:left w:val="single" w:sz="8" w:space="0" w:color="BFBFBF"/>
              <w:bottom w:val="single" w:sz="8" w:space="0" w:color="BFBFBF"/>
              <w:right w:val="single" w:sz="8" w:space="0" w:color="BFBFBF"/>
            </w:tcBorders>
            <w:shd w:val="clear" w:color="000000" w:fill="FFFFFF"/>
            <w:vAlign w:val="bottom"/>
            <w:hideMark/>
          </w:tcPr>
          <w:p w14:paraId="16B6287D"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Other comprehensive income (loss) for the half-year</w:t>
            </w:r>
          </w:p>
        </w:tc>
        <w:tc>
          <w:tcPr>
            <w:tcW w:w="532" w:type="dxa"/>
            <w:tcBorders>
              <w:top w:val="nil"/>
              <w:left w:val="nil"/>
              <w:bottom w:val="single" w:sz="8" w:space="0" w:color="BFBFBF"/>
              <w:right w:val="single" w:sz="8" w:space="0" w:color="BFBFBF"/>
            </w:tcBorders>
            <w:shd w:val="clear" w:color="000000" w:fill="FFFFFF"/>
            <w:vAlign w:val="bottom"/>
            <w:hideMark/>
          </w:tcPr>
          <w:p w14:paraId="653BF5C3" w14:textId="77777777" w:rsidR="00A27C22" w:rsidRPr="002D6138" w:rsidRDefault="00A27C22" w:rsidP="00B81D69">
            <w:pPr>
              <w:jc w:val="center"/>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nil"/>
              <w:left w:val="nil"/>
              <w:bottom w:val="single" w:sz="8" w:space="0" w:color="BFBFBF"/>
              <w:right w:val="single" w:sz="8" w:space="0" w:color="BFBFBF"/>
            </w:tcBorders>
            <w:shd w:val="clear" w:color="auto" w:fill="auto"/>
            <w:noWrap/>
            <w:vAlign w:val="bottom"/>
            <w:hideMark/>
          </w:tcPr>
          <w:p w14:paraId="48501614"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single" w:sz="8" w:space="0" w:color="BFBFBF"/>
              <w:right w:val="single" w:sz="8" w:space="0" w:color="BFBFBF"/>
            </w:tcBorders>
            <w:shd w:val="clear" w:color="auto" w:fill="auto"/>
            <w:noWrap/>
            <w:vAlign w:val="bottom"/>
            <w:hideMark/>
          </w:tcPr>
          <w:p w14:paraId="436BC7BF"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(200)</w:t>
            </w:r>
          </w:p>
        </w:tc>
        <w:tc>
          <w:tcPr>
            <w:tcW w:w="1089" w:type="dxa"/>
            <w:tcBorders>
              <w:top w:val="nil"/>
              <w:left w:val="nil"/>
              <w:bottom w:val="single" w:sz="8" w:space="0" w:color="BFBFBF"/>
              <w:right w:val="single" w:sz="8" w:space="0" w:color="BFBFBF"/>
            </w:tcBorders>
            <w:shd w:val="clear" w:color="auto" w:fill="auto"/>
            <w:noWrap/>
            <w:vAlign w:val="bottom"/>
            <w:hideMark/>
          </w:tcPr>
          <w:p w14:paraId="18DAB2FF"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0" w:type="dxa"/>
            <w:tcBorders>
              <w:top w:val="nil"/>
              <w:left w:val="nil"/>
              <w:bottom w:val="single" w:sz="8" w:space="0" w:color="BFBFBF"/>
              <w:right w:val="single" w:sz="8" w:space="0" w:color="BFBFBF"/>
            </w:tcBorders>
            <w:shd w:val="clear" w:color="auto" w:fill="auto"/>
            <w:noWrap/>
            <w:vAlign w:val="bottom"/>
            <w:hideMark/>
          </w:tcPr>
          <w:p w14:paraId="1911947D"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(200)</w:t>
            </w:r>
          </w:p>
        </w:tc>
      </w:tr>
      <w:tr w:rsidR="00A27C22" w:rsidRPr="001D0FE2" w14:paraId="01FC9F66" w14:textId="77777777" w:rsidTr="000D0314">
        <w:trPr>
          <w:trHeight w:val="375"/>
        </w:trPr>
        <w:tc>
          <w:tcPr>
            <w:tcW w:w="4378" w:type="dxa"/>
            <w:tcBorders>
              <w:top w:val="nil"/>
              <w:left w:val="single" w:sz="8" w:space="0" w:color="BFBFBF"/>
              <w:bottom w:val="single" w:sz="8" w:space="0" w:color="BFBFBF"/>
              <w:right w:val="single" w:sz="8" w:space="0" w:color="BFBFBF"/>
            </w:tcBorders>
            <w:shd w:val="clear" w:color="000000" w:fill="FFFFFF"/>
            <w:vAlign w:val="center"/>
            <w:hideMark/>
          </w:tcPr>
          <w:p w14:paraId="38FE5219" w14:textId="77777777" w:rsidR="00A27C22" w:rsidRPr="002D6138" w:rsidRDefault="00A27C22" w:rsidP="00B81D69">
            <w:pPr>
              <w:jc w:val="lef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Total comprehensive income (loss) for the half-year</w:t>
            </w:r>
          </w:p>
        </w:tc>
        <w:tc>
          <w:tcPr>
            <w:tcW w:w="532" w:type="dxa"/>
            <w:tcBorders>
              <w:top w:val="nil"/>
              <w:left w:val="nil"/>
              <w:bottom w:val="single" w:sz="8" w:space="0" w:color="BFBFBF"/>
              <w:right w:val="single" w:sz="8" w:space="0" w:color="BFBFBF"/>
            </w:tcBorders>
            <w:shd w:val="clear" w:color="000000" w:fill="FFFFFF"/>
            <w:vAlign w:val="center"/>
            <w:hideMark/>
          </w:tcPr>
          <w:p w14:paraId="0FA0592F" w14:textId="77777777" w:rsidR="00A27C22" w:rsidRPr="002D6138" w:rsidRDefault="00A27C22" w:rsidP="00B81D69">
            <w:pPr>
              <w:jc w:val="center"/>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w:t>
            </w:r>
          </w:p>
        </w:tc>
        <w:tc>
          <w:tcPr>
            <w:tcW w:w="1102" w:type="dxa"/>
            <w:tcBorders>
              <w:top w:val="nil"/>
              <w:left w:val="nil"/>
              <w:bottom w:val="single" w:sz="8" w:space="0" w:color="BFBFBF"/>
              <w:right w:val="single" w:sz="8" w:space="0" w:color="BFBFBF"/>
            </w:tcBorders>
            <w:shd w:val="clear" w:color="auto" w:fill="auto"/>
            <w:noWrap/>
            <w:vAlign w:val="center"/>
            <w:hideMark/>
          </w:tcPr>
          <w:p w14:paraId="158A1A39"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   </w:t>
            </w:r>
          </w:p>
        </w:tc>
        <w:tc>
          <w:tcPr>
            <w:tcW w:w="966" w:type="dxa"/>
            <w:tcBorders>
              <w:top w:val="nil"/>
              <w:left w:val="nil"/>
              <w:bottom w:val="single" w:sz="8" w:space="0" w:color="BFBFBF"/>
              <w:right w:val="single" w:sz="8" w:space="0" w:color="BFBFBF"/>
            </w:tcBorders>
            <w:shd w:val="clear" w:color="auto" w:fill="auto"/>
            <w:noWrap/>
            <w:vAlign w:val="center"/>
            <w:hideMark/>
          </w:tcPr>
          <w:p w14:paraId="6E1CAE62"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(200)</w:t>
            </w:r>
          </w:p>
        </w:tc>
        <w:tc>
          <w:tcPr>
            <w:tcW w:w="1089" w:type="dxa"/>
            <w:tcBorders>
              <w:top w:val="nil"/>
              <w:left w:val="nil"/>
              <w:bottom w:val="single" w:sz="8" w:space="0" w:color="BFBFBF"/>
              <w:right w:val="single" w:sz="8" w:space="0" w:color="BFBFBF"/>
            </w:tcBorders>
            <w:shd w:val="clear" w:color="auto" w:fill="auto"/>
            <w:noWrap/>
            <w:vAlign w:val="center"/>
            <w:hideMark/>
          </w:tcPr>
          <w:p w14:paraId="5D5ACFD9"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13.594 </w:t>
            </w:r>
          </w:p>
        </w:tc>
        <w:tc>
          <w:tcPr>
            <w:tcW w:w="960" w:type="dxa"/>
            <w:tcBorders>
              <w:top w:val="nil"/>
              <w:left w:val="nil"/>
              <w:bottom w:val="single" w:sz="8" w:space="0" w:color="BFBFBF"/>
              <w:right w:val="single" w:sz="8" w:space="0" w:color="BFBFBF"/>
            </w:tcBorders>
            <w:shd w:val="clear" w:color="auto" w:fill="auto"/>
            <w:noWrap/>
            <w:vAlign w:val="center"/>
            <w:hideMark/>
          </w:tcPr>
          <w:p w14:paraId="7FE4A78C"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13.394 </w:t>
            </w:r>
          </w:p>
        </w:tc>
      </w:tr>
      <w:tr w:rsidR="00A27C22" w:rsidRPr="001D0FE2" w14:paraId="638724E4"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bottom"/>
            <w:hideMark/>
          </w:tcPr>
          <w:p w14:paraId="537BB125"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Legal reserves development expenses</w:t>
            </w:r>
          </w:p>
        </w:tc>
        <w:tc>
          <w:tcPr>
            <w:tcW w:w="532" w:type="dxa"/>
            <w:tcBorders>
              <w:top w:val="nil"/>
              <w:left w:val="nil"/>
              <w:bottom w:val="nil"/>
              <w:right w:val="nil"/>
            </w:tcBorders>
            <w:shd w:val="clear" w:color="000000" w:fill="FFFFFF"/>
            <w:vAlign w:val="bottom"/>
            <w:hideMark/>
          </w:tcPr>
          <w:p w14:paraId="4B47AEE9" w14:textId="77777777" w:rsidR="00A27C22" w:rsidRPr="002D6138" w:rsidRDefault="00A27C22" w:rsidP="00B81D69">
            <w:pPr>
              <w:jc w:val="center"/>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nil"/>
              <w:left w:val="single" w:sz="8" w:space="0" w:color="BFBFBF"/>
              <w:bottom w:val="nil"/>
              <w:right w:val="single" w:sz="8" w:space="0" w:color="BFBFBF"/>
            </w:tcBorders>
            <w:shd w:val="clear" w:color="auto" w:fill="auto"/>
            <w:noWrap/>
            <w:vAlign w:val="bottom"/>
            <w:hideMark/>
          </w:tcPr>
          <w:p w14:paraId="180E02A7"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310 </w:t>
            </w:r>
          </w:p>
        </w:tc>
        <w:tc>
          <w:tcPr>
            <w:tcW w:w="966" w:type="dxa"/>
            <w:tcBorders>
              <w:top w:val="nil"/>
              <w:left w:val="nil"/>
              <w:bottom w:val="nil"/>
              <w:right w:val="single" w:sz="8" w:space="0" w:color="BFBFBF"/>
            </w:tcBorders>
            <w:shd w:val="clear" w:color="auto" w:fill="auto"/>
            <w:noWrap/>
            <w:vAlign w:val="bottom"/>
            <w:hideMark/>
          </w:tcPr>
          <w:p w14:paraId="6C888A9F"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nil"/>
              <w:right w:val="single" w:sz="8" w:space="0" w:color="BFBFBF"/>
            </w:tcBorders>
            <w:shd w:val="clear" w:color="auto" w:fill="auto"/>
            <w:noWrap/>
            <w:vAlign w:val="bottom"/>
            <w:hideMark/>
          </w:tcPr>
          <w:p w14:paraId="4D3ADA51"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(310)</w:t>
            </w:r>
          </w:p>
        </w:tc>
        <w:tc>
          <w:tcPr>
            <w:tcW w:w="960" w:type="dxa"/>
            <w:tcBorders>
              <w:top w:val="nil"/>
              <w:left w:val="nil"/>
              <w:bottom w:val="nil"/>
              <w:right w:val="single" w:sz="8" w:space="0" w:color="BFBFBF"/>
            </w:tcBorders>
            <w:shd w:val="clear" w:color="auto" w:fill="auto"/>
            <w:noWrap/>
            <w:vAlign w:val="bottom"/>
            <w:hideMark/>
          </w:tcPr>
          <w:p w14:paraId="65D62645"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70B82673"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bottom"/>
            <w:hideMark/>
          </w:tcPr>
          <w:p w14:paraId="529F3A62"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Share-based compensation</w:t>
            </w:r>
          </w:p>
        </w:tc>
        <w:tc>
          <w:tcPr>
            <w:tcW w:w="532" w:type="dxa"/>
            <w:tcBorders>
              <w:top w:val="nil"/>
              <w:left w:val="nil"/>
              <w:bottom w:val="nil"/>
              <w:right w:val="nil"/>
            </w:tcBorders>
            <w:shd w:val="clear" w:color="000000" w:fill="FFFFFF"/>
            <w:vAlign w:val="bottom"/>
            <w:hideMark/>
          </w:tcPr>
          <w:p w14:paraId="418FAF99" w14:textId="77777777" w:rsidR="00A27C22" w:rsidRPr="002D6138" w:rsidRDefault="00A27C22" w:rsidP="00B81D69">
            <w:pPr>
              <w:jc w:val="center"/>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nil"/>
              <w:left w:val="single" w:sz="8" w:space="0" w:color="BFBFBF"/>
              <w:bottom w:val="nil"/>
              <w:right w:val="single" w:sz="8" w:space="0" w:color="BFBFBF"/>
            </w:tcBorders>
            <w:shd w:val="clear" w:color="auto" w:fill="auto"/>
            <w:noWrap/>
            <w:vAlign w:val="bottom"/>
            <w:hideMark/>
          </w:tcPr>
          <w:p w14:paraId="40504CEF"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nil"/>
              <w:right w:val="single" w:sz="8" w:space="0" w:color="BFBFBF"/>
            </w:tcBorders>
            <w:shd w:val="clear" w:color="auto" w:fill="auto"/>
            <w:noWrap/>
            <w:vAlign w:val="bottom"/>
            <w:hideMark/>
          </w:tcPr>
          <w:p w14:paraId="63A44A2F"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nil"/>
              <w:right w:val="single" w:sz="8" w:space="0" w:color="BFBFBF"/>
            </w:tcBorders>
            <w:shd w:val="clear" w:color="auto" w:fill="auto"/>
            <w:noWrap/>
            <w:vAlign w:val="bottom"/>
            <w:hideMark/>
          </w:tcPr>
          <w:p w14:paraId="30BED35A"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1.350 </w:t>
            </w:r>
          </w:p>
        </w:tc>
        <w:tc>
          <w:tcPr>
            <w:tcW w:w="960" w:type="dxa"/>
            <w:tcBorders>
              <w:top w:val="nil"/>
              <w:left w:val="nil"/>
              <w:bottom w:val="nil"/>
              <w:right w:val="single" w:sz="8" w:space="0" w:color="BFBFBF"/>
            </w:tcBorders>
            <w:shd w:val="clear" w:color="auto" w:fill="auto"/>
            <w:noWrap/>
            <w:vAlign w:val="bottom"/>
            <w:hideMark/>
          </w:tcPr>
          <w:p w14:paraId="23BEFB37"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1.350 </w:t>
            </w:r>
          </w:p>
        </w:tc>
      </w:tr>
      <w:tr w:rsidR="00A27C22" w:rsidRPr="001D0FE2" w14:paraId="684181AA"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bottom"/>
            <w:hideMark/>
          </w:tcPr>
          <w:p w14:paraId="63A7EFD4"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Bonuses settled in shares</w:t>
            </w:r>
          </w:p>
        </w:tc>
        <w:tc>
          <w:tcPr>
            <w:tcW w:w="532" w:type="dxa"/>
            <w:tcBorders>
              <w:top w:val="nil"/>
              <w:left w:val="nil"/>
              <w:bottom w:val="nil"/>
              <w:right w:val="nil"/>
            </w:tcBorders>
            <w:shd w:val="clear" w:color="000000" w:fill="FFFFFF"/>
            <w:vAlign w:val="bottom"/>
            <w:hideMark/>
          </w:tcPr>
          <w:p w14:paraId="3CA88124" w14:textId="77777777" w:rsidR="00A27C22" w:rsidRPr="002D6138" w:rsidRDefault="00A27C22" w:rsidP="00B81D69">
            <w:pPr>
              <w:jc w:val="center"/>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nil"/>
              <w:left w:val="single" w:sz="8" w:space="0" w:color="BFBFBF"/>
              <w:bottom w:val="nil"/>
              <w:right w:val="single" w:sz="8" w:space="0" w:color="BFBFBF"/>
            </w:tcBorders>
            <w:shd w:val="clear" w:color="auto" w:fill="auto"/>
            <w:noWrap/>
            <w:vAlign w:val="bottom"/>
            <w:hideMark/>
          </w:tcPr>
          <w:p w14:paraId="276F15DA"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nil"/>
              <w:right w:val="single" w:sz="8" w:space="0" w:color="BFBFBF"/>
            </w:tcBorders>
            <w:shd w:val="clear" w:color="auto" w:fill="auto"/>
            <w:noWrap/>
            <w:vAlign w:val="bottom"/>
            <w:hideMark/>
          </w:tcPr>
          <w:p w14:paraId="6BA60284"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nil"/>
              <w:right w:val="single" w:sz="8" w:space="0" w:color="BFBFBF"/>
            </w:tcBorders>
            <w:shd w:val="clear" w:color="auto" w:fill="auto"/>
            <w:noWrap/>
            <w:vAlign w:val="bottom"/>
            <w:hideMark/>
          </w:tcPr>
          <w:p w14:paraId="5ABB763E"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0" w:type="dxa"/>
            <w:tcBorders>
              <w:top w:val="nil"/>
              <w:left w:val="nil"/>
              <w:bottom w:val="nil"/>
              <w:right w:val="single" w:sz="8" w:space="0" w:color="BFBFBF"/>
            </w:tcBorders>
            <w:shd w:val="clear" w:color="auto" w:fill="auto"/>
            <w:noWrap/>
            <w:vAlign w:val="bottom"/>
            <w:hideMark/>
          </w:tcPr>
          <w:p w14:paraId="64B3FEC4"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3 </w:t>
            </w:r>
          </w:p>
        </w:tc>
      </w:tr>
      <w:tr w:rsidR="00A27C22" w:rsidRPr="001D0FE2" w14:paraId="292B827D"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bottom"/>
            <w:hideMark/>
          </w:tcPr>
          <w:p w14:paraId="34183625"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Shares issued for cash</w:t>
            </w:r>
          </w:p>
        </w:tc>
        <w:tc>
          <w:tcPr>
            <w:tcW w:w="532" w:type="dxa"/>
            <w:tcBorders>
              <w:top w:val="nil"/>
              <w:left w:val="nil"/>
              <w:bottom w:val="nil"/>
              <w:right w:val="nil"/>
            </w:tcBorders>
            <w:shd w:val="clear" w:color="000000" w:fill="FFFFFF"/>
            <w:vAlign w:val="bottom"/>
            <w:hideMark/>
          </w:tcPr>
          <w:p w14:paraId="1FE1E5B0" w14:textId="77777777" w:rsidR="00A27C22" w:rsidRPr="002D6138" w:rsidRDefault="00A27C22" w:rsidP="00B81D69">
            <w:pPr>
              <w:jc w:val="center"/>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nil"/>
              <w:left w:val="single" w:sz="8" w:space="0" w:color="BFBFBF"/>
              <w:bottom w:val="nil"/>
              <w:right w:val="single" w:sz="8" w:space="0" w:color="BFBFBF"/>
            </w:tcBorders>
            <w:shd w:val="clear" w:color="auto" w:fill="auto"/>
            <w:noWrap/>
            <w:vAlign w:val="bottom"/>
            <w:hideMark/>
          </w:tcPr>
          <w:p w14:paraId="383545EA"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nil"/>
              <w:right w:val="single" w:sz="8" w:space="0" w:color="BFBFBF"/>
            </w:tcBorders>
            <w:shd w:val="clear" w:color="auto" w:fill="auto"/>
            <w:noWrap/>
            <w:vAlign w:val="bottom"/>
            <w:hideMark/>
          </w:tcPr>
          <w:p w14:paraId="6EC7E597"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nil"/>
              <w:right w:val="single" w:sz="8" w:space="0" w:color="BFBFBF"/>
            </w:tcBorders>
            <w:shd w:val="clear" w:color="auto" w:fill="auto"/>
            <w:noWrap/>
            <w:vAlign w:val="bottom"/>
            <w:hideMark/>
          </w:tcPr>
          <w:p w14:paraId="05BFCBEB"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(244)</w:t>
            </w:r>
          </w:p>
        </w:tc>
        <w:tc>
          <w:tcPr>
            <w:tcW w:w="960" w:type="dxa"/>
            <w:tcBorders>
              <w:top w:val="nil"/>
              <w:left w:val="nil"/>
              <w:bottom w:val="nil"/>
              <w:right w:val="single" w:sz="8" w:space="0" w:color="BFBFBF"/>
            </w:tcBorders>
            <w:shd w:val="clear" w:color="auto" w:fill="auto"/>
            <w:noWrap/>
            <w:vAlign w:val="bottom"/>
            <w:hideMark/>
          </w:tcPr>
          <w:p w14:paraId="29FEA5CD"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665B34D0"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bottom"/>
            <w:hideMark/>
          </w:tcPr>
          <w:p w14:paraId="0539C729"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Warrants exercised/ issued</w:t>
            </w:r>
          </w:p>
        </w:tc>
        <w:tc>
          <w:tcPr>
            <w:tcW w:w="532" w:type="dxa"/>
            <w:tcBorders>
              <w:top w:val="nil"/>
              <w:left w:val="nil"/>
              <w:bottom w:val="nil"/>
              <w:right w:val="nil"/>
            </w:tcBorders>
            <w:shd w:val="clear" w:color="000000" w:fill="FFFFFF"/>
            <w:vAlign w:val="bottom"/>
            <w:hideMark/>
          </w:tcPr>
          <w:p w14:paraId="149A29E4" w14:textId="77777777" w:rsidR="00A27C22" w:rsidRPr="002D6138" w:rsidRDefault="00A27C22" w:rsidP="00B81D69">
            <w:pPr>
              <w:jc w:val="center"/>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nil"/>
              <w:left w:val="single" w:sz="8" w:space="0" w:color="BFBFBF"/>
              <w:bottom w:val="nil"/>
              <w:right w:val="single" w:sz="8" w:space="0" w:color="BFBFBF"/>
            </w:tcBorders>
            <w:shd w:val="clear" w:color="auto" w:fill="auto"/>
            <w:noWrap/>
            <w:vAlign w:val="bottom"/>
            <w:hideMark/>
          </w:tcPr>
          <w:p w14:paraId="7945D9EE"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nil"/>
              <w:right w:val="single" w:sz="8" w:space="0" w:color="BFBFBF"/>
            </w:tcBorders>
            <w:shd w:val="clear" w:color="auto" w:fill="auto"/>
            <w:noWrap/>
            <w:vAlign w:val="bottom"/>
            <w:hideMark/>
          </w:tcPr>
          <w:p w14:paraId="07C671F5"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nil"/>
              <w:right w:val="single" w:sz="8" w:space="0" w:color="BFBFBF"/>
            </w:tcBorders>
            <w:shd w:val="clear" w:color="auto" w:fill="auto"/>
            <w:noWrap/>
            <w:vAlign w:val="bottom"/>
            <w:hideMark/>
          </w:tcPr>
          <w:p w14:paraId="630E6618"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0" w:type="dxa"/>
            <w:tcBorders>
              <w:top w:val="nil"/>
              <w:left w:val="nil"/>
              <w:bottom w:val="nil"/>
              <w:right w:val="single" w:sz="8" w:space="0" w:color="BFBFBF"/>
            </w:tcBorders>
            <w:shd w:val="clear" w:color="auto" w:fill="auto"/>
            <w:noWrap/>
            <w:vAlign w:val="bottom"/>
            <w:hideMark/>
          </w:tcPr>
          <w:p w14:paraId="3A6F995C"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159 </w:t>
            </w:r>
          </w:p>
        </w:tc>
      </w:tr>
      <w:tr w:rsidR="00A27C22" w:rsidRPr="001D0FE2" w14:paraId="45776570" w14:textId="77777777" w:rsidTr="000D0314">
        <w:trPr>
          <w:trHeight w:val="375"/>
        </w:trPr>
        <w:tc>
          <w:tcPr>
            <w:tcW w:w="4378" w:type="dxa"/>
            <w:tcBorders>
              <w:top w:val="nil"/>
              <w:left w:val="single" w:sz="8" w:space="0" w:color="BFBFBF"/>
              <w:bottom w:val="single" w:sz="8" w:space="0" w:color="BFBFBF"/>
              <w:right w:val="single" w:sz="8" w:space="0" w:color="BFBFBF"/>
            </w:tcBorders>
            <w:shd w:val="clear" w:color="000000" w:fill="FFFFFF"/>
            <w:vAlign w:val="bottom"/>
            <w:hideMark/>
          </w:tcPr>
          <w:p w14:paraId="5405F9F6"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Options exercised</w:t>
            </w:r>
          </w:p>
        </w:tc>
        <w:tc>
          <w:tcPr>
            <w:tcW w:w="532" w:type="dxa"/>
            <w:tcBorders>
              <w:top w:val="nil"/>
              <w:left w:val="nil"/>
              <w:bottom w:val="single" w:sz="8" w:space="0" w:color="BFBFBF"/>
              <w:right w:val="nil"/>
            </w:tcBorders>
            <w:shd w:val="clear" w:color="000000" w:fill="FFFFFF"/>
            <w:vAlign w:val="bottom"/>
            <w:hideMark/>
          </w:tcPr>
          <w:p w14:paraId="04532983" w14:textId="77777777" w:rsidR="00A27C22" w:rsidRPr="002D6138" w:rsidRDefault="00A27C22" w:rsidP="00B81D69">
            <w:pPr>
              <w:jc w:val="center"/>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nil"/>
              <w:left w:val="single" w:sz="8" w:space="0" w:color="BFBFBF"/>
              <w:bottom w:val="single" w:sz="8" w:space="0" w:color="BFBFBF"/>
              <w:right w:val="single" w:sz="8" w:space="0" w:color="BFBFBF"/>
            </w:tcBorders>
            <w:shd w:val="clear" w:color="auto" w:fill="auto"/>
            <w:noWrap/>
            <w:vAlign w:val="bottom"/>
            <w:hideMark/>
          </w:tcPr>
          <w:p w14:paraId="056C4396"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single" w:sz="8" w:space="0" w:color="BFBFBF"/>
              <w:right w:val="single" w:sz="8" w:space="0" w:color="BFBFBF"/>
            </w:tcBorders>
            <w:shd w:val="clear" w:color="auto" w:fill="auto"/>
            <w:noWrap/>
            <w:vAlign w:val="bottom"/>
            <w:hideMark/>
          </w:tcPr>
          <w:p w14:paraId="25697F6D"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single" w:sz="8" w:space="0" w:color="BFBFBF"/>
              <w:right w:val="single" w:sz="8" w:space="0" w:color="BFBFBF"/>
            </w:tcBorders>
            <w:shd w:val="clear" w:color="auto" w:fill="auto"/>
            <w:noWrap/>
            <w:vAlign w:val="bottom"/>
            <w:hideMark/>
          </w:tcPr>
          <w:p w14:paraId="5B4A3956"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(588)</w:t>
            </w:r>
          </w:p>
        </w:tc>
        <w:tc>
          <w:tcPr>
            <w:tcW w:w="960" w:type="dxa"/>
            <w:tcBorders>
              <w:top w:val="nil"/>
              <w:left w:val="nil"/>
              <w:bottom w:val="single" w:sz="8" w:space="0" w:color="BFBFBF"/>
              <w:right w:val="single" w:sz="8" w:space="0" w:color="BFBFBF"/>
            </w:tcBorders>
            <w:shd w:val="clear" w:color="auto" w:fill="auto"/>
            <w:noWrap/>
            <w:vAlign w:val="bottom"/>
            <w:hideMark/>
          </w:tcPr>
          <w:p w14:paraId="49866FAF"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833 </w:t>
            </w:r>
          </w:p>
        </w:tc>
      </w:tr>
      <w:tr w:rsidR="00A27C22" w:rsidRPr="001D0FE2" w14:paraId="448D61F9"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center"/>
            <w:hideMark/>
          </w:tcPr>
          <w:p w14:paraId="107B63DD" w14:textId="77777777" w:rsidR="00A27C22" w:rsidRPr="002D6138" w:rsidRDefault="00A27C22" w:rsidP="00B81D69">
            <w:pPr>
              <w:jc w:val="lef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Total transactions with owners, recognised directly in equity</w:t>
            </w:r>
          </w:p>
        </w:tc>
        <w:tc>
          <w:tcPr>
            <w:tcW w:w="532" w:type="dxa"/>
            <w:tcBorders>
              <w:top w:val="nil"/>
              <w:left w:val="nil"/>
              <w:bottom w:val="nil"/>
              <w:right w:val="single" w:sz="8" w:space="0" w:color="BFBFBF"/>
            </w:tcBorders>
            <w:shd w:val="clear" w:color="000000" w:fill="FFFFFF"/>
            <w:vAlign w:val="center"/>
            <w:hideMark/>
          </w:tcPr>
          <w:p w14:paraId="68B2D785"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nil"/>
              <w:left w:val="nil"/>
              <w:bottom w:val="nil"/>
              <w:right w:val="single" w:sz="8" w:space="0" w:color="BFBFBF"/>
            </w:tcBorders>
            <w:shd w:val="clear" w:color="auto" w:fill="auto"/>
            <w:noWrap/>
            <w:vAlign w:val="center"/>
            <w:hideMark/>
          </w:tcPr>
          <w:p w14:paraId="3002F909"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310 </w:t>
            </w:r>
          </w:p>
        </w:tc>
        <w:tc>
          <w:tcPr>
            <w:tcW w:w="966" w:type="dxa"/>
            <w:tcBorders>
              <w:top w:val="nil"/>
              <w:left w:val="nil"/>
              <w:bottom w:val="nil"/>
              <w:right w:val="single" w:sz="8" w:space="0" w:color="BFBFBF"/>
            </w:tcBorders>
            <w:shd w:val="clear" w:color="auto" w:fill="auto"/>
            <w:noWrap/>
            <w:vAlign w:val="center"/>
            <w:hideMark/>
          </w:tcPr>
          <w:p w14:paraId="7D18A170"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   </w:t>
            </w:r>
          </w:p>
        </w:tc>
        <w:tc>
          <w:tcPr>
            <w:tcW w:w="1089" w:type="dxa"/>
            <w:tcBorders>
              <w:top w:val="nil"/>
              <w:left w:val="nil"/>
              <w:bottom w:val="nil"/>
              <w:right w:val="single" w:sz="8" w:space="0" w:color="BFBFBF"/>
            </w:tcBorders>
            <w:shd w:val="clear" w:color="auto" w:fill="auto"/>
            <w:noWrap/>
            <w:vAlign w:val="center"/>
            <w:hideMark/>
          </w:tcPr>
          <w:p w14:paraId="34F6375B"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208 </w:t>
            </w:r>
          </w:p>
        </w:tc>
        <w:tc>
          <w:tcPr>
            <w:tcW w:w="960" w:type="dxa"/>
            <w:tcBorders>
              <w:top w:val="nil"/>
              <w:left w:val="nil"/>
              <w:bottom w:val="nil"/>
              <w:right w:val="single" w:sz="8" w:space="0" w:color="BFBFBF"/>
            </w:tcBorders>
            <w:shd w:val="clear" w:color="auto" w:fill="auto"/>
            <w:noWrap/>
            <w:vAlign w:val="center"/>
            <w:hideMark/>
          </w:tcPr>
          <w:p w14:paraId="64B666AA"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2.345 </w:t>
            </w:r>
          </w:p>
        </w:tc>
      </w:tr>
      <w:tr w:rsidR="00A27C22" w:rsidRPr="001D0FE2" w14:paraId="70098540" w14:textId="77777777" w:rsidTr="000D0314">
        <w:trPr>
          <w:trHeight w:val="375"/>
        </w:trPr>
        <w:tc>
          <w:tcPr>
            <w:tcW w:w="4378" w:type="dxa"/>
            <w:tcBorders>
              <w:top w:val="single" w:sz="8" w:space="0" w:color="BFBFBF"/>
              <w:left w:val="single" w:sz="8" w:space="0" w:color="BFBFBF"/>
              <w:bottom w:val="single" w:sz="8" w:space="0" w:color="BFBFBF"/>
              <w:right w:val="nil"/>
            </w:tcBorders>
            <w:shd w:val="clear" w:color="000000" w:fill="FFFFFF"/>
            <w:vAlign w:val="center"/>
            <w:hideMark/>
          </w:tcPr>
          <w:p w14:paraId="7EF45B9B" w14:textId="77777777" w:rsidR="00A27C22" w:rsidRPr="002D6138" w:rsidRDefault="00A27C22" w:rsidP="00B81D69">
            <w:pPr>
              <w:jc w:val="lef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Balance at 30 June 2019</w:t>
            </w:r>
          </w:p>
        </w:tc>
        <w:tc>
          <w:tcPr>
            <w:tcW w:w="532"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7F6B3474" w14:textId="77777777" w:rsidR="00A27C22" w:rsidRPr="002D6138" w:rsidRDefault="00A27C22" w:rsidP="00B81D69">
            <w:pPr>
              <w:jc w:val="righ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w:t>
            </w:r>
          </w:p>
        </w:tc>
        <w:tc>
          <w:tcPr>
            <w:tcW w:w="1102" w:type="dxa"/>
            <w:tcBorders>
              <w:top w:val="single" w:sz="8" w:space="0" w:color="BFBFBF"/>
              <w:left w:val="nil"/>
              <w:bottom w:val="single" w:sz="8" w:space="0" w:color="BFBFBF"/>
              <w:right w:val="single" w:sz="8" w:space="0" w:color="BFBFBF"/>
            </w:tcBorders>
            <w:shd w:val="clear" w:color="auto" w:fill="auto"/>
            <w:noWrap/>
            <w:vAlign w:val="center"/>
            <w:hideMark/>
          </w:tcPr>
          <w:p w14:paraId="4EC83CC0"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2.547 </w:t>
            </w:r>
          </w:p>
        </w:tc>
        <w:tc>
          <w:tcPr>
            <w:tcW w:w="966" w:type="dxa"/>
            <w:tcBorders>
              <w:top w:val="single" w:sz="8" w:space="0" w:color="BFBFBF"/>
              <w:left w:val="nil"/>
              <w:bottom w:val="single" w:sz="8" w:space="0" w:color="BFBFBF"/>
              <w:right w:val="single" w:sz="8" w:space="0" w:color="BFBFBF"/>
            </w:tcBorders>
            <w:shd w:val="clear" w:color="auto" w:fill="auto"/>
            <w:noWrap/>
            <w:vAlign w:val="center"/>
            <w:hideMark/>
          </w:tcPr>
          <w:p w14:paraId="72CF8044"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(790)</w:t>
            </w:r>
          </w:p>
        </w:tc>
        <w:tc>
          <w:tcPr>
            <w:tcW w:w="1089" w:type="dxa"/>
            <w:tcBorders>
              <w:top w:val="single" w:sz="8" w:space="0" w:color="BFBFBF"/>
              <w:left w:val="nil"/>
              <w:bottom w:val="single" w:sz="8" w:space="0" w:color="BFBFBF"/>
              <w:right w:val="single" w:sz="8" w:space="0" w:color="BFBFBF"/>
            </w:tcBorders>
            <w:shd w:val="clear" w:color="auto" w:fill="auto"/>
            <w:noWrap/>
            <w:vAlign w:val="center"/>
            <w:hideMark/>
          </w:tcPr>
          <w:p w14:paraId="1D78ADD6"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(319.834)</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39B1AB68"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77.490 </w:t>
            </w:r>
          </w:p>
        </w:tc>
      </w:tr>
      <w:tr w:rsidR="00A27C22" w:rsidRPr="001D0FE2" w14:paraId="65FAC4F7" w14:textId="77777777" w:rsidTr="000D0314">
        <w:trPr>
          <w:trHeight w:val="375"/>
        </w:trPr>
        <w:tc>
          <w:tcPr>
            <w:tcW w:w="4378" w:type="dxa"/>
            <w:tcBorders>
              <w:top w:val="nil"/>
              <w:left w:val="nil"/>
              <w:bottom w:val="nil"/>
              <w:right w:val="nil"/>
            </w:tcBorders>
            <w:shd w:val="clear" w:color="auto" w:fill="auto"/>
            <w:vAlign w:val="center"/>
            <w:hideMark/>
          </w:tcPr>
          <w:p w14:paraId="3849EB9A" w14:textId="77777777" w:rsidR="00A27C22" w:rsidRPr="001D0FE2" w:rsidRDefault="00A27C22" w:rsidP="00B81D69">
            <w:pPr>
              <w:jc w:val="left"/>
              <w:rPr>
                <w:rFonts w:asciiTheme="minorHAnsi" w:hAnsiTheme="minorHAnsi" w:cstheme="minorHAnsi"/>
                <w:b/>
                <w:bCs/>
                <w:color w:val="366092"/>
                <w:sz w:val="18"/>
                <w:szCs w:val="18"/>
                <w:lang w:val="en-GB"/>
              </w:rPr>
            </w:pPr>
          </w:p>
        </w:tc>
        <w:tc>
          <w:tcPr>
            <w:tcW w:w="532" w:type="dxa"/>
            <w:tcBorders>
              <w:top w:val="nil"/>
              <w:left w:val="nil"/>
              <w:bottom w:val="nil"/>
              <w:right w:val="nil"/>
            </w:tcBorders>
            <w:shd w:val="clear" w:color="auto" w:fill="auto"/>
            <w:vAlign w:val="center"/>
            <w:hideMark/>
          </w:tcPr>
          <w:p w14:paraId="06E03676" w14:textId="77777777" w:rsidR="00A27C22" w:rsidRPr="001D0FE2" w:rsidRDefault="00A27C22" w:rsidP="00B81D69">
            <w:pPr>
              <w:jc w:val="left"/>
              <w:rPr>
                <w:rFonts w:asciiTheme="minorHAnsi" w:hAnsiTheme="minorHAnsi" w:cstheme="minorHAnsi"/>
                <w:color w:val="auto"/>
                <w:sz w:val="20"/>
                <w:szCs w:val="20"/>
                <w:lang w:val="en-GB"/>
              </w:rPr>
            </w:pPr>
          </w:p>
        </w:tc>
        <w:tc>
          <w:tcPr>
            <w:tcW w:w="1102" w:type="dxa"/>
            <w:tcBorders>
              <w:top w:val="nil"/>
              <w:left w:val="nil"/>
              <w:bottom w:val="nil"/>
              <w:right w:val="nil"/>
            </w:tcBorders>
            <w:shd w:val="clear" w:color="auto" w:fill="auto"/>
            <w:noWrap/>
            <w:vAlign w:val="bottom"/>
            <w:hideMark/>
          </w:tcPr>
          <w:p w14:paraId="6295F33B" w14:textId="77777777" w:rsidR="00A27C22" w:rsidRPr="001D0FE2" w:rsidRDefault="00A27C22" w:rsidP="00B81D69">
            <w:pPr>
              <w:jc w:val="right"/>
              <w:rPr>
                <w:rFonts w:asciiTheme="minorHAnsi" w:hAnsiTheme="minorHAnsi" w:cstheme="minorHAnsi"/>
                <w:color w:val="auto"/>
                <w:sz w:val="18"/>
                <w:szCs w:val="18"/>
                <w:lang w:val="en-GB"/>
              </w:rPr>
            </w:pPr>
          </w:p>
        </w:tc>
        <w:tc>
          <w:tcPr>
            <w:tcW w:w="966" w:type="dxa"/>
            <w:tcBorders>
              <w:top w:val="nil"/>
              <w:left w:val="nil"/>
              <w:bottom w:val="nil"/>
              <w:right w:val="nil"/>
            </w:tcBorders>
            <w:shd w:val="clear" w:color="auto" w:fill="auto"/>
            <w:noWrap/>
            <w:vAlign w:val="bottom"/>
            <w:hideMark/>
          </w:tcPr>
          <w:p w14:paraId="2DA0F846" w14:textId="77777777" w:rsidR="00A27C22" w:rsidRPr="001D0FE2" w:rsidRDefault="00A27C22" w:rsidP="00B81D69">
            <w:pPr>
              <w:jc w:val="right"/>
              <w:rPr>
                <w:rFonts w:asciiTheme="minorHAnsi" w:hAnsiTheme="minorHAnsi" w:cstheme="minorHAnsi"/>
                <w:color w:val="auto"/>
                <w:sz w:val="18"/>
                <w:szCs w:val="18"/>
                <w:lang w:val="en-GB"/>
              </w:rPr>
            </w:pPr>
          </w:p>
        </w:tc>
        <w:tc>
          <w:tcPr>
            <w:tcW w:w="1089" w:type="dxa"/>
            <w:tcBorders>
              <w:top w:val="nil"/>
              <w:left w:val="nil"/>
              <w:bottom w:val="nil"/>
              <w:right w:val="nil"/>
            </w:tcBorders>
            <w:shd w:val="clear" w:color="auto" w:fill="auto"/>
            <w:noWrap/>
            <w:vAlign w:val="bottom"/>
            <w:hideMark/>
          </w:tcPr>
          <w:p w14:paraId="1361671B" w14:textId="77777777" w:rsidR="00A27C22" w:rsidRPr="001D0FE2" w:rsidRDefault="00A27C22" w:rsidP="00B81D69">
            <w:pPr>
              <w:jc w:val="right"/>
              <w:rPr>
                <w:rFonts w:asciiTheme="minorHAnsi" w:hAnsiTheme="minorHAnsi" w:cstheme="minorHAnsi"/>
                <w:color w:val="auto"/>
                <w:sz w:val="18"/>
                <w:szCs w:val="18"/>
                <w:lang w:val="en-GB"/>
              </w:rPr>
            </w:pPr>
          </w:p>
        </w:tc>
        <w:tc>
          <w:tcPr>
            <w:tcW w:w="960" w:type="dxa"/>
            <w:tcBorders>
              <w:top w:val="nil"/>
              <w:left w:val="nil"/>
              <w:bottom w:val="nil"/>
              <w:right w:val="nil"/>
            </w:tcBorders>
            <w:shd w:val="clear" w:color="auto" w:fill="auto"/>
            <w:noWrap/>
            <w:vAlign w:val="bottom"/>
            <w:hideMark/>
          </w:tcPr>
          <w:p w14:paraId="1ABD29D6" w14:textId="77777777" w:rsidR="00A27C22" w:rsidRPr="001D0FE2" w:rsidRDefault="00A27C22" w:rsidP="00B81D69">
            <w:pPr>
              <w:jc w:val="right"/>
              <w:rPr>
                <w:rFonts w:asciiTheme="minorHAnsi" w:hAnsiTheme="minorHAnsi" w:cstheme="minorHAnsi"/>
                <w:color w:val="auto"/>
                <w:sz w:val="18"/>
                <w:szCs w:val="18"/>
                <w:lang w:val="en-GB"/>
              </w:rPr>
            </w:pPr>
          </w:p>
        </w:tc>
      </w:tr>
      <w:tr w:rsidR="00A27C22" w:rsidRPr="001D0FE2" w14:paraId="52E3918C" w14:textId="77777777" w:rsidTr="000D0314">
        <w:trPr>
          <w:trHeight w:val="375"/>
        </w:trPr>
        <w:tc>
          <w:tcPr>
            <w:tcW w:w="4378"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606329D8" w14:textId="77777777" w:rsidR="00A27C22" w:rsidRPr="002D6138" w:rsidRDefault="00A27C22" w:rsidP="00B81D69">
            <w:pPr>
              <w:jc w:val="lef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Balance at 1 January 2020</w:t>
            </w:r>
          </w:p>
        </w:tc>
        <w:tc>
          <w:tcPr>
            <w:tcW w:w="532" w:type="dxa"/>
            <w:tcBorders>
              <w:top w:val="single" w:sz="8" w:space="0" w:color="BFBFBF"/>
              <w:left w:val="nil"/>
              <w:bottom w:val="single" w:sz="8" w:space="0" w:color="BFBFBF"/>
              <w:right w:val="single" w:sz="8" w:space="0" w:color="BFBFBF"/>
            </w:tcBorders>
            <w:shd w:val="clear" w:color="auto" w:fill="auto"/>
            <w:noWrap/>
            <w:vAlign w:val="center"/>
            <w:hideMark/>
          </w:tcPr>
          <w:p w14:paraId="574935CF" w14:textId="77777777" w:rsidR="00A27C22" w:rsidRPr="002D6138" w:rsidRDefault="00A27C22" w:rsidP="00B81D69">
            <w:pPr>
              <w:jc w:val="righ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w:t>
            </w:r>
          </w:p>
        </w:tc>
        <w:tc>
          <w:tcPr>
            <w:tcW w:w="1102" w:type="dxa"/>
            <w:tcBorders>
              <w:top w:val="single" w:sz="8" w:space="0" w:color="BFBFBF"/>
              <w:left w:val="nil"/>
              <w:bottom w:val="single" w:sz="8" w:space="0" w:color="BFBFBF"/>
              <w:right w:val="single" w:sz="8" w:space="0" w:color="BFBFBF"/>
            </w:tcBorders>
            <w:shd w:val="clear" w:color="000000" w:fill="DCE6F1"/>
            <w:noWrap/>
            <w:vAlign w:val="center"/>
            <w:hideMark/>
          </w:tcPr>
          <w:p w14:paraId="2EA22715"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4.347 </w:t>
            </w:r>
          </w:p>
        </w:tc>
        <w:tc>
          <w:tcPr>
            <w:tcW w:w="966" w:type="dxa"/>
            <w:tcBorders>
              <w:top w:val="single" w:sz="8" w:space="0" w:color="BFBFBF"/>
              <w:left w:val="nil"/>
              <w:bottom w:val="single" w:sz="8" w:space="0" w:color="BFBFBF"/>
              <w:right w:val="single" w:sz="8" w:space="0" w:color="BFBFBF"/>
            </w:tcBorders>
            <w:shd w:val="clear" w:color="000000" w:fill="DCE6F1"/>
            <w:noWrap/>
            <w:vAlign w:val="center"/>
            <w:hideMark/>
          </w:tcPr>
          <w:p w14:paraId="1DC22527"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(629)</w:t>
            </w:r>
          </w:p>
        </w:tc>
        <w:tc>
          <w:tcPr>
            <w:tcW w:w="1089" w:type="dxa"/>
            <w:tcBorders>
              <w:top w:val="single" w:sz="8" w:space="0" w:color="BFBFBF"/>
              <w:left w:val="nil"/>
              <w:bottom w:val="single" w:sz="8" w:space="0" w:color="BFBFBF"/>
              <w:right w:val="single" w:sz="8" w:space="0" w:color="BFBFBF"/>
            </w:tcBorders>
            <w:shd w:val="clear" w:color="000000" w:fill="DCE6F1"/>
            <w:noWrap/>
            <w:vAlign w:val="center"/>
            <w:hideMark/>
          </w:tcPr>
          <w:p w14:paraId="3C17F873"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(297.618)</w:t>
            </w:r>
          </w:p>
        </w:tc>
        <w:tc>
          <w:tcPr>
            <w:tcW w:w="960" w:type="dxa"/>
            <w:tcBorders>
              <w:top w:val="single" w:sz="8" w:space="0" w:color="BFBFBF"/>
              <w:left w:val="nil"/>
              <w:bottom w:val="single" w:sz="8" w:space="0" w:color="BFBFBF"/>
              <w:right w:val="single" w:sz="8" w:space="0" w:color="BFBFBF"/>
            </w:tcBorders>
            <w:shd w:val="clear" w:color="000000" w:fill="DCE6F1"/>
            <w:noWrap/>
            <w:vAlign w:val="center"/>
            <w:hideMark/>
          </w:tcPr>
          <w:p w14:paraId="7EA31EDA"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104.679 </w:t>
            </w:r>
          </w:p>
        </w:tc>
      </w:tr>
      <w:tr w:rsidR="00A27C22" w:rsidRPr="001D0FE2" w14:paraId="7AADAEC5"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center"/>
            <w:hideMark/>
          </w:tcPr>
          <w:p w14:paraId="7F53878A"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Result for the half-year</w:t>
            </w:r>
          </w:p>
        </w:tc>
        <w:tc>
          <w:tcPr>
            <w:tcW w:w="532" w:type="dxa"/>
            <w:tcBorders>
              <w:top w:val="nil"/>
              <w:left w:val="nil"/>
              <w:bottom w:val="nil"/>
              <w:right w:val="single" w:sz="8" w:space="0" w:color="BFBFBF"/>
            </w:tcBorders>
            <w:shd w:val="clear" w:color="auto" w:fill="auto"/>
            <w:vAlign w:val="center"/>
            <w:hideMark/>
          </w:tcPr>
          <w:p w14:paraId="4283B79D" w14:textId="77777777" w:rsidR="00A27C22" w:rsidRPr="002D6138" w:rsidRDefault="00A27C22" w:rsidP="00B81D69">
            <w:pPr>
              <w:jc w:val="center"/>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nil"/>
              <w:left w:val="nil"/>
              <w:bottom w:val="nil"/>
              <w:right w:val="single" w:sz="8" w:space="0" w:color="BFBFBF"/>
            </w:tcBorders>
            <w:shd w:val="clear" w:color="000000" w:fill="DCE6F1"/>
            <w:noWrap/>
            <w:vAlign w:val="center"/>
            <w:hideMark/>
          </w:tcPr>
          <w:p w14:paraId="5227CCE3"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nil"/>
              <w:right w:val="single" w:sz="8" w:space="0" w:color="BFBFBF"/>
            </w:tcBorders>
            <w:shd w:val="clear" w:color="000000" w:fill="DCE6F1"/>
            <w:noWrap/>
            <w:vAlign w:val="center"/>
            <w:hideMark/>
          </w:tcPr>
          <w:p w14:paraId="5BEC0BE9"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w:t>
            </w:r>
          </w:p>
        </w:tc>
        <w:tc>
          <w:tcPr>
            <w:tcW w:w="1089" w:type="dxa"/>
            <w:tcBorders>
              <w:top w:val="nil"/>
              <w:left w:val="nil"/>
              <w:bottom w:val="nil"/>
              <w:right w:val="single" w:sz="8" w:space="0" w:color="BFBFBF"/>
            </w:tcBorders>
            <w:shd w:val="clear" w:color="000000" w:fill="DCE6F1"/>
            <w:noWrap/>
            <w:vAlign w:val="center"/>
            <w:hideMark/>
          </w:tcPr>
          <w:p w14:paraId="0991D59F"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18.143 </w:t>
            </w:r>
          </w:p>
        </w:tc>
        <w:tc>
          <w:tcPr>
            <w:tcW w:w="960" w:type="dxa"/>
            <w:tcBorders>
              <w:top w:val="nil"/>
              <w:left w:val="nil"/>
              <w:bottom w:val="nil"/>
              <w:right w:val="single" w:sz="8" w:space="0" w:color="BFBFBF"/>
            </w:tcBorders>
            <w:shd w:val="clear" w:color="000000" w:fill="DCE6F1"/>
            <w:noWrap/>
            <w:vAlign w:val="center"/>
            <w:hideMark/>
          </w:tcPr>
          <w:p w14:paraId="3ABCDE6C"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18.143 </w:t>
            </w:r>
          </w:p>
        </w:tc>
      </w:tr>
      <w:tr w:rsidR="00A27C22" w:rsidRPr="001D0FE2" w14:paraId="02E51075" w14:textId="77777777" w:rsidTr="000D0314">
        <w:trPr>
          <w:trHeight w:val="375"/>
        </w:trPr>
        <w:tc>
          <w:tcPr>
            <w:tcW w:w="4378" w:type="dxa"/>
            <w:tcBorders>
              <w:top w:val="nil"/>
              <w:left w:val="single" w:sz="8" w:space="0" w:color="BFBFBF"/>
              <w:bottom w:val="single" w:sz="8" w:space="0" w:color="BFBFBF"/>
              <w:right w:val="single" w:sz="8" w:space="0" w:color="BFBFBF"/>
            </w:tcBorders>
            <w:shd w:val="clear" w:color="000000" w:fill="FFFFFF"/>
            <w:vAlign w:val="center"/>
            <w:hideMark/>
          </w:tcPr>
          <w:p w14:paraId="7416BE17"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Other comprehensive income (loss) for the half-year</w:t>
            </w:r>
          </w:p>
        </w:tc>
        <w:tc>
          <w:tcPr>
            <w:tcW w:w="532" w:type="dxa"/>
            <w:tcBorders>
              <w:top w:val="nil"/>
              <w:left w:val="nil"/>
              <w:bottom w:val="nil"/>
              <w:right w:val="single" w:sz="8" w:space="0" w:color="BFBFBF"/>
            </w:tcBorders>
            <w:shd w:val="clear" w:color="auto" w:fill="auto"/>
            <w:vAlign w:val="center"/>
            <w:hideMark/>
          </w:tcPr>
          <w:p w14:paraId="27876261" w14:textId="77777777" w:rsidR="00A27C22" w:rsidRPr="002D6138" w:rsidRDefault="00A27C22" w:rsidP="00B81D69">
            <w:pPr>
              <w:jc w:val="center"/>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nil"/>
              <w:left w:val="nil"/>
              <w:bottom w:val="single" w:sz="8" w:space="0" w:color="BFBFBF"/>
              <w:right w:val="single" w:sz="8" w:space="0" w:color="BFBFBF"/>
            </w:tcBorders>
            <w:shd w:val="clear" w:color="000000" w:fill="DCE6F1"/>
            <w:noWrap/>
            <w:vAlign w:val="center"/>
            <w:hideMark/>
          </w:tcPr>
          <w:p w14:paraId="0FD5FDFB"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single" w:sz="8" w:space="0" w:color="BFBFBF"/>
              <w:right w:val="single" w:sz="8" w:space="0" w:color="BFBFBF"/>
            </w:tcBorders>
            <w:shd w:val="clear" w:color="000000" w:fill="DCE6F1"/>
            <w:noWrap/>
            <w:vAlign w:val="center"/>
            <w:hideMark/>
          </w:tcPr>
          <w:p w14:paraId="1F7D3863"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35</w:t>
            </w:r>
          </w:p>
        </w:tc>
        <w:tc>
          <w:tcPr>
            <w:tcW w:w="1089" w:type="dxa"/>
            <w:tcBorders>
              <w:top w:val="nil"/>
              <w:left w:val="nil"/>
              <w:bottom w:val="single" w:sz="8" w:space="0" w:color="BFBFBF"/>
              <w:right w:val="single" w:sz="8" w:space="0" w:color="BFBFBF"/>
            </w:tcBorders>
            <w:shd w:val="clear" w:color="000000" w:fill="DCE6F1"/>
            <w:noWrap/>
            <w:vAlign w:val="center"/>
            <w:hideMark/>
          </w:tcPr>
          <w:p w14:paraId="21E8FC44"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0" w:type="dxa"/>
            <w:tcBorders>
              <w:top w:val="nil"/>
              <w:left w:val="nil"/>
              <w:bottom w:val="single" w:sz="8" w:space="0" w:color="BFBFBF"/>
              <w:right w:val="single" w:sz="8" w:space="0" w:color="BFBFBF"/>
            </w:tcBorders>
            <w:shd w:val="clear" w:color="000000" w:fill="DCE6F1"/>
            <w:noWrap/>
            <w:vAlign w:val="center"/>
            <w:hideMark/>
          </w:tcPr>
          <w:p w14:paraId="02228F6E"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35</w:t>
            </w:r>
          </w:p>
        </w:tc>
      </w:tr>
      <w:tr w:rsidR="00A27C22" w:rsidRPr="001D0FE2" w14:paraId="028822C4"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center"/>
            <w:hideMark/>
          </w:tcPr>
          <w:p w14:paraId="28B51367" w14:textId="77777777" w:rsidR="00A27C22" w:rsidRPr="002D6138" w:rsidRDefault="00A27C22" w:rsidP="00B81D69">
            <w:pPr>
              <w:jc w:val="lef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Total comprehensive income (loss) for the half-year</w:t>
            </w:r>
          </w:p>
        </w:tc>
        <w:tc>
          <w:tcPr>
            <w:tcW w:w="532" w:type="dxa"/>
            <w:tcBorders>
              <w:top w:val="single" w:sz="8" w:space="0" w:color="BFBFBF"/>
              <w:left w:val="nil"/>
              <w:bottom w:val="nil"/>
              <w:right w:val="single" w:sz="8" w:space="0" w:color="BFBFBF"/>
            </w:tcBorders>
            <w:shd w:val="clear" w:color="auto" w:fill="auto"/>
            <w:vAlign w:val="center"/>
            <w:hideMark/>
          </w:tcPr>
          <w:p w14:paraId="45B6180D" w14:textId="77777777" w:rsidR="00A27C22" w:rsidRPr="002D6138" w:rsidRDefault="00A27C22" w:rsidP="00B81D69">
            <w:pPr>
              <w:jc w:val="center"/>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w:t>
            </w:r>
          </w:p>
        </w:tc>
        <w:tc>
          <w:tcPr>
            <w:tcW w:w="1102" w:type="dxa"/>
            <w:tcBorders>
              <w:top w:val="nil"/>
              <w:left w:val="nil"/>
              <w:bottom w:val="single" w:sz="8" w:space="0" w:color="BFBFBF"/>
              <w:right w:val="single" w:sz="8" w:space="0" w:color="BFBFBF"/>
            </w:tcBorders>
            <w:shd w:val="clear" w:color="000000" w:fill="DCE6F1"/>
            <w:noWrap/>
            <w:vAlign w:val="center"/>
            <w:hideMark/>
          </w:tcPr>
          <w:p w14:paraId="75C58169"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   </w:t>
            </w:r>
          </w:p>
        </w:tc>
        <w:tc>
          <w:tcPr>
            <w:tcW w:w="966" w:type="dxa"/>
            <w:tcBorders>
              <w:top w:val="nil"/>
              <w:left w:val="nil"/>
              <w:bottom w:val="single" w:sz="8" w:space="0" w:color="BFBFBF"/>
              <w:right w:val="single" w:sz="8" w:space="0" w:color="BFBFBF"/>
            </w:tcBorders>
            <w:shd w:val="clear" w:color="000000" w:fill="DCE6F1"/>
            <w:noWrap/>
            <w:vAlign w:val="center"/>
            <w:hideMark/>
          </w:tcPr>
          <w:p w14:paraId="35029F6B"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35</w:t>
            </w:r>
          </w:p>
        </w:tc>
        <w:tc>
          <w:tcPr>
            <w:tcW w:w="1089" w:type="dxa"/>
            <w:tcBorders>
              <w:top w:val="nil"/>
              <w:left w:val="nil"/>
              <w:bottom w:val="single" w:sz="8" w:space="0" w:color="BFBFBF"/>
              <w:right w:val="single" w:sz="8" w:space="0" w:color="BFBFBF"/>
            </w:tcBorders>
            <w:shd w:val="clear" w:color="000000" w:fill="DCE6F1"/>
            <w:noWrap/>
            <w:vAlign w:val="center"/>
            <w:hideMark/>
          </w:tcPr>
          <w:p w14:paraId="40AA9287"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18.143 </w:t>
            </w:r>
          </w:p>
        </w:tc>
        <w:tc>
          <w:tcPr>
            <w:tcW w:w="960" w:type="dxa"/>
            <w:tcBorders>
              <w:top w:val="nil"/>
              <w:left w:val="nil"/>
              <w:bottom w:val="single" w:sz="8" w:space="0" w:color="BFBFBF"/>
              <w:right w:val="single" w:sz="8" w:space="0" w:color="BFBFBF"/>
            </w:tcBorders>
            <w:shd w:val="clear" w:color="000000" w:fill="DCE6F1"/>
            <w:noWrap/>
            <w:vAlign w:val="center"/>
            <w:hideMark/>
          </w:tcPr>
          <w:p w14:paraId="6AC429E5"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18.178 </w:t>
            </w:r>
          </w:p>
        </w:tc>
      </w:tr>
      <w:tr w:rsidR="00A27C22" w:rsidRPr="001D0FE2" w14:paraId="0198452B" w14:textId="77777777" w:rsidTr="000D0314">
        <w:trPr>
          <w:trHeight w:val="375"/>
        </w:trPr>
        <w:tc>
          <w:tcPr>
            <w:tcW w:w="4378" w:type="dxa"/>
            <w:tcBorders>
              <w:top w:val="single" w:sz="8" w:space="0" w:color="BFBFBF"/>
              <w:left w:val="single" w:sz="8" w:space="0" w:color="BFBFBF"/>
              <w:bottom w:val="nil"/>
              <w:right w:val="single" w:sz="8" w:space="0" w:color="BFBFBF"/>
            </w:tcBorders>
            <w:shd w:val="clear" w:color="000000" w:fill="FFFFFF"/>
            <w:vAlign w:val="bottom"/>
            <w:hideMark/>
          </w:tcPr>
          <w:p w14:paraId="3BAA7452"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Legal reserves development expenses</w:t>
            </w:r>
          </w:p>
        </w:tc>
        <w:tc>
          <w:tcPr>
            <w:tcW w:w="532" w:type="dxa"/>
            <w:tcBorders>
              <w:top w:val="single" w:sz="8" w:space="0" w:color="BFBFBF"/>
              <w:left w:val="nil"/>
              <w:bottom w:val="nil"/>
              <w:right w:val="single" w:sz="8" w:space="0" w:color="BFBFBF"/>
            </w:tcBorders>
            <w:shd w:val="clear" w:color="auto" w:fill="auto"/>
            <w:vAlign w:val="bottom"/>
            <w:hideMark/>
          </w:tcPr>
          <w:p w14:paraId="153D53B2" w14:textId="77777777" w:rsidR="00A27C22" w:rsidRPr="002D6138" w:rsidRDefault="00A27C22" w:rsidP="00B81D69">
            <w:pPr>
              <w:jc w:val="center"/>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nil"/>
              <w:left w:val="nil"/>
              <w:bottom w:val="nil"/>
              <w:right w:val="single" w:sz="8" w:space="0" w:color="BFBFBF"/>
            </w:tcBorders>
            <w:shd w:val="clear" w:color="000000" w:fill="DCE6F1"/>
            <w:noWrap/>
            <w:vAlign w:val="bottom"/>
            <w:hideMark/>
          </w:tcPr>
          <w:p w14:paraId="6CC09F57"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56 </w:t>
            </w:r>
          </w:p>
        </w:tc>
        <w:tc>
          <w:tcPr>
            <w:tcW w:w="966" w:type="dxa"/>
            <w:tcBorders>
              <w:top w:val="nil"/>
              <w:left w:val="nil"/>
              <w:bottom w:val="nil"/>
              <w:right w:val="single" w:sz="8" w:space="0" w:color="BFBFBF"/>
            </w:tcBorders>
            <w:shd w:val="clear" w:color="000000" w:fill="DCE6F1"/>
            <w:noWrap/>
            <w:vAlign w:val="bottom"/>
            <w:hideMark/>
          </w:tcPr>
          <w:p w14:paraId="34ADB7FB"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nil"/>
              <w:right w:val="single" w:sz="8" w:space="0" w:color="BFBFBF"/>
            </w:tcBorders>
            <w:shd w:val="clear" w:color="000000" w:fill="DCE6F1"/>
            <w:noWrap/>
            <w:vAlign w:val="bottom"/>
            <w:hideMark/>
          </w:tcPr>
          <w:p w14:paraId="0777D6E7"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(56)</w:t>
            </w:r>
          </w:p>
        </w:tc>
        <w:tc>
          <w:tcPr>
            <w:tcW w:w="960" w:type="dxa"/>
            <w:tcBorders>
              <w:top w:val="nil"/>
              <w:left w:val="nil"/>
              <w:bottom w:val="nil"/>
              <w:right w:val="single" w:sz="8" w:space="0" w:color="BFBFBF"/>
            </w:tcBorders>
            <w:shd w:val="clear" w:color="000000" w:fill="DCE6F1"/>
            <w:noWrap/>
            <w:vAlign w:val="bottom"/>
            <w:hideMark/>
          </w:tcPr>
          <w:p w14:paraId="1B7C10AC"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14356D77"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bottom"/>
            <w:hideMark/>
          </w:tcPr>
          <w:p w14:paraId="49A23C51"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Share-based compensation</w:t>
            </w:r>
          </w:p>
        </w:tc>
        <w:tc>
          <w:tcPr>
            <w:tcW w:w="532" w:type="dxa"/>
            <w:tcBorders>
              <w:top w:val="nil"/>
              <w:left w:val="nil"/>
              <w:bottom w:val="nil"/>
              <w:right w:val="single" w:sz="8" w:space="0" w:color="BFBFBF"/>
            </w:tcBorders>
            <w:shd w:val="clear" w:color="auto" w:fill="auto"/>
            <w:vAlign w:val="bottom"/>
            <w:hideMark/>
          </w:tcPr>
          <w:p w14:paraId="6FF0C405" w14:textId="77777777" w:rsidR="00A27C22" w:rsidRPr="002D6138" w:rsidRDefault="00A27C22" w:rsidP="00B81D69">
            <w:pPr>
              <w:jc w:val="center"/>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nil"/>
              <w:left w:val="nil"/>
              <w:bottom w:val="nil"/>
              <w:right w:val="single" w:sz="8" w:space="0" w:color="BFBFBF"/>
            </w:tcBorders>
            <w:shd w:val="clear" w:color="000000" w:fill="DCE6F1"/>
            <w:noWrap/>
            <w:vAlign w:val="bottom"/>
            <w:hideMark/>
          </w:tcPr>
          <w:p w14:paraId="029CDBE5"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nil"/>
              <w:right w:val="single" w:sz="8" w:space="0" w:color="BFBFBF"/>
            </w:tcBorders>
            <w:shd w:val="clear" w:color="000000" w:fill="DCE6F1"/>
            <w:noWrap/>
            <w:vAlign w:val="bottom"/>
            <w:hideMark/>
          </w:tcPr>
          <w:p w14:paraId="56AC9F34"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nil"/>
              <w:right w:val="single" w:sz="8" w:space="0" w:color="BFBFBF"/>
            </w:tcBorders>
            <w:shd w:val="clear" w:color="000000" w:fill="DCE6F1"/>
            <w:noWrap/>
            <w:vAlign w:val="bottom"/>
            <w:hideMark/>
          </w:tcPr>
          <w:p w14:paraId="376484E1"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1.391 </w:t>
            </w:r>
          </w:p>
        </w:tc>
        <w:tc>
          <w:tcPr>
            <w:tcW w:w="960" w:type="dxa"/>
            <w:tcBorders>
              <w:top w:val="nil"/>
              <w:left w:val="nil"/>
              <w:bottom w:val="nil"/>
              <w:right w:val="single" w:sz="8" w:space="0" w:color="BFBFBF"/>
            </w:tcBorders>
            <w:shd w:val="clear" w:color="000000" w:fill="DCE6F1"/>
            <w:noWrap/>
            <w:vAlign w:val="bottom"/>
            <w:hideMark/>
          </w:tcPr>
          <w:p w14:paraId="264A874D"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1.391 </w:t>
            </w:r>
          </w:p>
        </w:tc>
      </w:tr>
      <w:tr w:rsidR="00A27C22" w:rsidRPr="001D0FE2" w14:paraId="706A4BDA"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bottom"/>
            <w:hideMark/>
          </w:tcPr>
          <w:p w14:paraId="60B5358F"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Bonuses settled in shares</w:t>
            </w:r>
          </w:p>
        </w:tc>
        <w:tc>
          <w:tcPr>
            <w:tcW w:w="532" w:type="dxa"/>
            <w:tcBorders>
              <w:top w:val="nil"/>
              <w:left w:val="nil"/>
              <w:bottom w:val="nil"/>
              <w:right w:val="single" w:sz="8" w:space="0" w:color="BFBFBF"/>
            </w:tcBorders>
            <w:shd w:val="clear" w:color="auto" w:fill="auto"/>
            <w:vAlign w:val="bottom"/>
            <w:hideMark/>
          </w:tcPr>
          <w:p w14:paraId="22D4AC28" w14:textId="77777777" w:rsidR="00A27C22" w:rsidRPr="002D6138" w:rsidRDefault="00A27C22" w:rsidP="00B81D69">
            <w:pPr>
              <w:jc w:val="center"/>
              <w:rPr>
                <w:rFonts w:asciiTheme="minorHAnsi" w:hAnsiTheme="minorHAnsi" w:cstheme="minorHAnsi"/>
                <w:color w:val="59595B"/>
                <w:sz w:val="16"/>
                <w:szCs w:val="16"/>
                <w:lang w:val="en-GB"/>
              </w:rPr>
            </w:pPr>
            <w:r w:rsidRPr="002D6138">
              <w:rPr>
                <w:rFonts w:asciiTheme="minorHAnsi" w:hAnsiTheme="minorHAnsi" w:cstheme="minorHAnsi"/>
                <w:color w:val="59595B"/>
                <w:sz w:val="16"/>
                <w:szCs w:val="16"/>
                <w:lang w:val="en-GB"/>
              </w:rPr>
              <w:t xml:space="preserve">12 </w:t>
            </w:r>
          </w:p>
        </w:tc>
        <w:tc>
          <w:tcPr>
            <w:tcW w:w="1102" w:type="dxa"/>
            <w:tcBorders>
              <w:top w:val="nil"/>
              <w:left w:val="nil"/>
              <w:bottom w:val="nil"/>
              <w:right w:val="single" w:sz="8" w:space="0" w:color="BFBFBF"/>
            </w:tcBorders>
            <w:shd w:val="clear" w:color="000000" w:fill="DCE6F1"/>
            <w:noWrap/>
            <w:vAlign w:val="bottom"/>
            <w:hideMark/>
          </w:tcPr>
          <w:p w14:paraId="53DD4203"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nil"/>
              <w:right w:val="single" w:sz="8" w:space="0" w:color="BFBFBF"/>
            </w:tcBorders>
            <w:shd w:val="clear" w:color="000000" w:fill="DCE6F1"/>
            <w:noWrap/>
            <w:vAlign w:val="bottom"/>
            <w:hideMark/>
          </w:tcPr>
          <w:p w14:paraId="6A3A51DE"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nil"/>
              <w:right w:val="single" w:sz="8" w:space="0" w:color="BFBFBF"/>
            </w:tcBorders>
            <w:shd w:val="clear" w:color="000000" w:fill="DCE6F1"/>
            <w:noWrap/>
            <w:vAlign w:val="bottom"/>
            <w:hideMark/>
          </w:tcPr>
          <w:p w14:paraId="5A639740"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0" w:type="dxa"/>
            <w:tcBorders>
              <w:top w:val="nil"/>
              <w:left w:val="nil"/>
              <w:bottom w:val="nil"/>
              <w:right w:val="single" w:sz="8" w:space="0" w:color="BFBFBF"/>
            </w:tcBorders>
            <w:shd w:val="clear" w:color="000000" w:fill="DCE6F1"/>
            <w:noWrap/>
            <w:vAlign w:val="bottom"/>
            <w:hideMark/>
          </w:tcPr>
          <w:p w14:paraId="39AE57C7"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22DD5242"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bottom"/>
            <w:hideMark/>
          </w:tcPr>
          <w:p w14:paraId="38ECCCE0"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Value of conversion rights on convertible bonds</w:t>
            </w:r>
          </w:p>
        </w:tc>
        <w:tc>
          <w:tcPr>
            <w:tcW w:w="532" w:type="dxa"/>
            <w:tcBorders>
              <w:top w:val="nil"/>
              <w:left w:val="nil"/>
              <w:bottom w:val="nil"/>
              <w:right w:val="single" w:sz="8" w:space="0" w:color="BFBFBF"/>
            </w:tcBorders>
            <w:shd w:val="clear" w:color="auto" w:fill="auto"/>
            <w:vAlign w:val="bottom"/>
            <w:hideMark/>
          </w:tcPr>
          <w:p w14:paraId="6F7C8FC1" w14:textId="77777777" w:rsidR="00A27C22" w:rsidRPr="002D6138" w:rsidRDefault="00A27C22" w:rsidP="00B81D69">
            <w:pPr>
              <w:jc w:val="center"/>
              <w:rPr>
                <w:rFonts w:asciiTheme="minorHAnsi" w:hAnsiTheme="minorHAnsi" w:cstheme="minorHAnsi"/>
                <w:color w:val="59595B"/>
                <w:sz w:val="16"/>
                <w:szCs w:val="16"/>
                <w:lang w:val="en-GB"/>
              </w:rPr>
            </w:pPr>
            <w:r w:rsidRPr="002D6138">
              <w:rPr>
                <w:rFonts w:asciiTheme="minorHAnsi" w:hAnsiTheme="minorHAnsi" w:cstheme="minorHAnsi"/>
                <w:color w:val="59595B"/>
                <w:sz w:val="16"/>
                <w:szCs w:val="16"/>
                <w:lang w:val="en-GB"/>
              </w:rPr>
              <w:t xml:space="preserve">14 </w:t>
            </w:r>
          </w:p>
        </w:tc>
        <w:tc>
          <w:tcPr>
            <w:tcW w:w="1102" w:type="dxa"/>
            <w:tcBorders>
              <w:top w:val="nil"/>
              <w:left w:val="nil"/>
              <w:bottom w:val="nil"/>
              <w:right w:val="single" w:sz="8" w:space="0" w:color="BFBFBF"/>
            </w:tcBorders>
            <w:shd w:val="clear" w:color="000000" w:fill="DCE6F1"/>
            <w:noWrap/>
            <w:vAlign w:val="bottom"/>
            <w:hideMark/>
          </w:tcPr>
          <w:p w14:paraId="18A3CBE9"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nil"/>
              <w:right w:val="single" w:sz="8" w:space="0" w:color="BFBFBF"/>
            </w:tcBorders>
            <w:shd w:val="clear" w:color="000000" w:fill="DCE6F1"/>
            <w:noWrap/>
            <w:vAlign w:val="bottom"/>
            <w:hideMark/>
          </w:tcPr>
          <w:p w14:paraId="5ED27997"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nil"/>
              <w:right w:val="single" w:sz="8" w:space="0" w:color="BFBFBF"/>
            </w:tcBorders>
            <w:shd w:val="clear" w:color="000000" w:fill="DCE6F1"/>
            <w:noWrap/>
            <w:vAlign w:val="bottom"/>
            <w:hideMark/>
          </w:tcPr>
          <w:p w14:paraId="4B8F8ECA"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1.405 </w:t>
            </w:r>
          </w:p>
        </w:tc>
        <w:tc>
          <w:tcPr>
            <w:tcW w:w="960" w:type="dxa"/>
            <w:tcBorders>
              <w:top w:val="nil"/>
              <w:left w:val="nil"/>
              <w:bottom w:val="nil"/>
              <w:right w:val="single" w:sz="8" w:space="0" w:color="BFBFBF"/>
            </w:tcBorders>
            <w:shd w:val="clear" w:color="000000" w:fill="DCE6F1"/>
            <w:noWrap/>
            <w:vAlign w:val="bottom"/>
            <w:hideMark/>
          </w:tcPr>
          <w:p w14:paraId="5D65BBAA"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1.405 </w:t>
            </w:r>
          </w:p>
        </w:tc>
      </w:tr>
      <w:tr w:rsidR="00A27C22" w:rsidRPr="001D0FE2" w14:paraId="12F2E7C2"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bottom"/>
            <w:hideMark/>
          </w:tcPr>
          <w:p w14:paraId="1FA97E3A"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Shares issued for cash</w:t>
            </w:r>
          </w:p>
        </w:tc>
        <w:tc>
          <w:tcPr>
            <w:tcW w:w="532" w:type="dxa"/>
            <w:tcBorders>
              <w:top w:val="nil"/>
              <w:left w:val="nil"/>
              <w:bottom w:val="nil"/>
              <w:right w:val="single" w:sz="8" w:space="0" w:color="BFBFBF"/>
            </w:tcBorders>
            <w:shd w:val="clear" w:color="auto" w:fill="auto"/>
            <w:vAlign w:val="bottom"/>
            <w:hideMark/>
          </w:tcPr>
          <w:p w14:paraId="445C3F27" w14:textId="77777777" w:rsidR="00A27C22" w:rsidRPr="002D6138" w:rsidRDefault="00A27C22" w:rsidP="00B81D69">
            <w:pPr>
              <w:jc w:val="center"/>
              <w:rPr>
                <w:rFonts w:asciiTheme="minorHAnsi" w:hAnsiTheme="minorHAnsi" w:cstheme="minorHAnsi"/>
                <w:color w:val="59595B"/>
                <w:sz w:val="16"/>
                <w:szCs w:val="16"/>
                <w:lang w:val="en-GB"/>
              </w:rPr>
            </w:pPr>
            <w:r w:rsidRPr="002D6138">
              <w:rPr>
                <w:rFonts w:asciiTheme="minorHAnsi" w:hAnsiTheme="minorHAnsi" w:cstheme="minorHAnsi"/>
                <w:color w:val="59595B"/>
                <w:sz w:val="16"/>
                <w:szCs w:val="16"/>
                <w:lang w:val="en-GB"/>
              </w:rPr>
              <w:t xml:space="preserve">12 </w:t>
            </w:r>
          </w:p>
        </w:tc>
        <w:tc>
          <w:tcPr>
            <w:tcW w:w="1102" w:type="dxa"/>
            <w:tcBorders>
              <w:top w:val="nil"/>
              <w:left w:val="nil"/>
              <w:bottom w:val="nil"/>
              <w:right w:val="single" w:sz="8" w:space="0" w:color="BFBFBF"/>
            </w:tcBorders>
            <w:shd w:val="clear" w:color="000000" w:fill="DCE6F1"/>
            <w:noWrap/>
            <w:vAlign w:val="bottom"/>
            <w:hideMark/>
          </w:tcPr>
          <w:p w14:paraId="21EF8AF8"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nil"/>
              <w:right w:val="single" w:sz="8" w:space="0" w:color="BFBFBF"/>
            </w:tcBorders>
            <w:shd w:val="clear" w:color="000000" w:fill="DCE6F1"/>
            <w:noWrap/>
            <w:vAlign w:val="bottom"/>
            <w:hideMark/>
          </w:tcPr>
          <w:p w14:paraId="7DB310BA"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nil"/>
              <w:right w:val="single" w:sz="8" w:space="0" w:color="BFBFBF"/>
            </w:tcBorders>
            <w:shd w:val="clear" w:color="000000" w:fill="DCE6F1"/>
            <w:noWrap/>
            <w:vAlign w:val="bottom"/>
            <w:hideMark/>
          </w:tcPr>
          <w:p w14:paraId="59959818"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(1.410)</w:t>
            </w:r>
          </w:p>
        </w:tc>
        <w:tc>
          <w:tcPr>
            <w:tcW w:w="960" w:type="dxa"/>
            <w:tcBorders>
              <w:top w:val="nil"/>
              <w:left w:val="nil"/>
              <w:bottom w:val="nil"/>
              <w:right w:val="single" w:sz="8" w:space="0" w:color="BFBFBF"/>
            </w:tcBorders>
            <w:shd w:val="clear" w:color="000000" w:fill="DCE6F1"/>
            <w:noWrap/>
            <w:vAlign w:val="bottom"/>
            <w:hideMark/>
          </w:tcPr>
          <w:p w14:paraId="5AF8B98B"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19A417CC"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bottom"/>
            <w:hideMark/>
          </w:tcPr>
          <w:p w14:paraId="0BB1C44A"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Warrants exercised/ issued</w:t>
            </w:r>
          </w:p>
        </w:tc>
        <w:tc>
          <w:tcPr>
            <w:tcW w:w="532" w:type="dxa"/>
            <w:tcBorders>
              <w:top w:val="nil"/>
              <w:left w:val="nil"/>
              <w:bottom w:val="nil"/>
              <w:right w:val="single" w:sz="8" w:space="0" w:color="BFBFBF"/>
            </w:tcBorders>
            <w:shd w:val="clear" w:color="auto" w:fill="auto"/>
            <w:vAlign w:val="bottom"/>
            <w:hideMark/>
          </w:tcPr>
          <w:p w14:paraId="3DC3F0F2" w14:textId="77777777" w:rsidR="00A27C22" w:rsidRPr="002D6138" w:rsidRDefault="00A27C22" w:rsidP="00B81D69">
            <w:pPr>
              <w:jc w:val="center"/>
              <w:rPr>
                <w:rFonts w:asciiTheme="minorHAnsi" w:hAnsiTheme="minorHAnsi" w:cstheme="minorHAnsi"/>
                <w:color w:val="59595B"/>
                <w:sz w:val="16"/>
                <w:szCs w:val="16"/>
                <w:lang w:val="en-GB"/>
              </w:rPr>
            </w:pPr>
            <w:r w:rsidRPr="002D6138">
              <w:rPr>
                <w:rFonts w:asciiTheme="minorHAnsi" w:hAnsiTheme="minorHAnsi" w:cstheme="minorHAnsi"/>
                <w:color w:val="59595B"/>
                <w:sz w:val="16"/>
                <w:szCs w:val="16"/>
                <w:lang w:val="en-GB"/>
              </w:rPr>
              <w:t xml:space="preserve">12 </w:t>
            </w:r>
          </w:p>
        </w:tc>
        <w:tc>
          <w:tcPr>
            <w:tcW w:w="1102" w:type="dxa"/>
            <w:tcBorders>
              <w:top w:val="nil"/>
              <w:left w:val="nil"/>
              <w:bottom w:val="nil"/>
              <w:right w:val="single" w:sz="8" w:space="0" w:color="BFBFBF"/>
            </w:tcBorders>
            <w:shd w:val="clear" w:color="000000" w:fill="DCE6F1"/>
            <w:noWrap/>
            <w:vAlign w:val="bottom"/>
            <w:hideMark/>
          </w:tcPr>
          <w:p w14:paraId="20FF583F"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nil"/>
              <w:right w:val="single" w:sz="8" w:space="0" w:color="BFBFBF"/>
            </w:tcBorders>
            <w:shd w:val="clear" w:color="000000" w:fill="DCE6F1"/>
            <w:noWrap/>
            <w:vAlign w:val="bottom"/>
            <w:hideMark/>
          </w:tcPr>
          <w:p w14:paraId="7EE924AD"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nil"/>
              <w:right w:val="single" w:sz="8" w:space="0" w:color="BFBFBF"/>
            </w:tcBorders>
            <w:shd w:val="clear" w:color="000000" w:fill="DCE6F1"/>
            <w:noWrap/>
            <w:vAlign w:val="bottom"/>
            <w:hideMark/>
          </w:tcPr>
          <w:p w14:paraId="5130FF1A"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0" w:type="dxa"/>
            <w:tcBorders>
              <w:top w:val="nil"/>
              <w:left w:val="nil"/>
              <w:bottom w:val="nil"/>
              <w:right w:val="single" w:sz="8" w:space="0" w:color="BFBFBF"/>
            </w:tcBorders>
            <w:shd w:val="clear" w:color="000000" w:fill="DCE6F1"/>
            <w:noWrap/>
            <w:vAlign w:val="bottom"/>
            <w:hideMark/>
          </w:tcPr>
          <w:p w14:paraId="5FB764D5"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r>
      <w:tr w:rsidR="00A27C22" w:rsidRPr="001D0FE2" w14:paraId="1A04B177" w14:textId="77777777" w:rsidTr="000D0314">
        <w:trPr>
          <w:trHeight w:val="375"/>
        </w:trPr>
        <w:tc>
          <w:tcPr>
            <w:tcW w:w="4378" w:type="dxa"/>
            <w:tcBorders>
              <w:top w:val="nil"/>
              <w:left w:val="single" w:sz="8" w:space="0" w:color="BFBFBF"/>
              <w:bottom w:val="single" w:sz="8" w:space="0" w:color="BFBFBF"/>
              <w:right w:val="single" w:sz="8" w:space="0" w:color="BFBFBF"/>
            </w:tcBorders>
            <w:shd w:val="clear" w:color="000000" w:fill="FFFFFF"/>
            <w:vAlign w:val="bottom"/>
            <w:hideMark/>
          </w:tcPr>
          <w:p w14:paraId="4731AD79" w14:textId="77777777" w:rsidR="00A27C22" w:rsidRPr="002D6138" w:rsidRDefault="00A27C22" w:rsidP="00B81D69">
            <w:pPr>
              <w:jc w:val="lef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Options exercised</w:t>
            </w:r>
          </w:p>
        </w:tc>
        <w:tc>
          <w:tcPr>
            <w:tcW w:w="532" w:type="dxa"/>
            <w:tcBorders>
              <w:top w:val="nil"/>
              <w:left w:val="nil"/>
              <w:bottom w:val="single" w:sz="8" w:space="0" w:color="BFBFBF"/>
              <w:right w:val="single" w:sz="8" w:space="0" w:color="BFBFBF"/>
            </w:tcBorders>
            <w:shd w:val="clear" w:color="auto" w:fill="auto"/>
            <w:vAlign w:val="bottom"/>
            <w:hideMark/>
          </w:tcPr>
          <w:p w14:paraId="57D8D5EB" w14:textId="77777777" w:rsidR="00A27C22" w:rsidRPr="002D6138" w:rsidRDefault="00A27C22" w:rsidP="00B81D69">
            <w:pPr>
              <w:jc w:val="center"/>
              <w:rPr>
                <w:rFonts w:asciiTheme="minorHAnsi" w:hAnsiTheme="minorHAnsi" w:cstheme="minorHAnsi"/>
                <w:color w:val="59595B"/>
                <w:sz w:val="16"/>
                <w:szCs w:val="16"/>
                <w:lang w:val="en-GB"/>
              </w:rPr>
            </w:pPr>
            <w:r w:rsidRPr="002D6138">
              <w:rPr>
                <w:rFonts w:asciiTheme="minorHAnsi" w:hAnsiTheme="minorHAnsi" w:cstheme="minorHAnsi"/>
                <w:color w:val="59595B"/>
                <w:sz w:val="16"/>
                <w:szCs w:val="16"/>
                <w:lang w:val="en-GB"/>
              </w:rPr>
              <w:t xml:space="preserve">12 </w:t>
            </w:r>
          </w:p>
        </w:tc>
        <w:tc>
          <w:tcPr>
            <w:tcW w:w="1102" w:type="dxa"/>
            <w:tcBorders>
              <w:top w:val="nil"/>
              <w:left w:val="nil"/>
              <w:bottom w:val="nil"/>
              <w:right w:val="single" w:sz="8" w:space="0" w:color="BFBFBF"/>
            </w:tcBorders>
            <w:shd w:val="clear" w:color="000000" w:fill="DCE6F1"/>
            <w:noWrap/>
            <w:vAlign w:val="bottom"/>
            <w:hideMark/>
          </w:tcPr>
          <w:p w14:paraId="349385D8"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966" w:type="dxa"/>
            <w:tcBorders>
              <w:top w:val="nil"/>
              <w:left w:val="nil"/>
              <w:bottom w:val="nil"/>
              <w:right w:val="single" w:sz="8" w:space="0" w:color="BFBFBF"/>
            </w:tcBorders>
            <w:shd w:val="clear" w:color="000000" w:fill="DCE6F1"/>
            <w:noWrap/>
            <w:vAlign w:val="bottom"/>
            <w:hideMark/>
          </w:tcPr>
          <w:p w14:paraId="1A827169"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   </w:t>
            </w:r>
          </w:p>
        </w:tc>
        <w:tc>
          <w:tcPr>
            <w:tcW w:w="1089" w:type="dxa"/>
            <w:tcBorders>
              <w:top w:val="nil"/>
              <w:left w:val="nil"/>
              <w:bottom w:val="nil"/>
              <w:right w:val="single" w:sz="8" w:space="0" w:color="BFBFBF"/>
            </w:tcBorders>
            <w:shd w:val="clear" w:color="000000" w:fill="DCE6F1"/>
            <w:noWrap/>
            <w:vAlign w:val="bottom"/>
            <w:hideMark/>
          </w:tcPr>
          <w:p w14:paraId="194576A1"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(505)</w:t>
            </w:r>
          </w:p>
        </w:tc>
        <w:tc>
          <w:tcPr>
            <w:tcW w:w="960" w:type="dxa"/>
            <w:tcBorders>
              <w:top w:val="nil"/>
              <w:left w:val="nil"/>
              <w:bottom w:val="nil"/>
              <w:right w:val="single" w:sz="8" w:space="0" w:color="BFBFBF"/>
            </w:tcBorders>
            <w:shd w:val="clear" w:color="000000" w:fill="DCE6F1"/>
            <w:noWrap/>
            <w:vAlign w:val="bottom"/>
            <w:hideMark/>
          </w:tcPr>
          <w:p w14:paraId="18E4BBC8" w14:textId="77777777" w:rsidR="00A27C22" w:rsidRPr="002D6138" w:rsidRDefault="00A27C22" w:rsidP="00B81D69">
            <w:pPr>
              <w:jc w:val="right"/>
              <w:rPr>
                <w:rFonts w:asciiTheme="minorHAnsi" w:hAnsiTheme="minorHAnsi" w:cstheme="minorHAnsi"/>
                <w:color w:val="59595B"/>
                <w:sz w:val="18"/>
                <w:szCs w:val="18"/>
                <w:lang w:val="en-GB"/>
              </w:rPr>
            </w:pPr>
            <w:r w:rsidRPr="002D6138">
              <w:rPr>
                <w:rFonts w:asciiTheme="minorHAnsi" w:hAnsiTheme="minorHAnsi" w:cstheme="minorHAnsi"/>
                <w:color w:val="59595B"/>
                <w:sz w:val="18"/>
                <w:szCs w:val="18"/>
                <w:lang w:val="en-GB"/>
              </w:rPr>
              <w:t xml:space="preserve">        1.916 </w:t>
            </w:r>
          </w:p>
        </w:tc>
      </w:tr>
      <w:tr w:rsidR="00A27C22" w:rsidRPr="001D0FE2" w14:paraId="520850AF" w14:textId="77777777" w:rsidTr="000D0314">
        <w:trPr>
          <w:trHeight w:val="375"/>
        </w:trPr>
        <w:tc>
          <w:tcPr>
            <w:tcW w:w="4378" w:type="dxa"/>
            <w:tcBorders>
              <w:top w:val="nil"/>
              <w:left w:val="single" w:sz="8" w:space="0" w:color="BFBFBF"/>
              <w:bottom w:val="nil"/>
              <w:right w:val="single" w:sz="8" w:space="0" w:color="BFBFBF"/>
            </w:tcBorders>
            <w:shd w:val="clear" w:color="000000" w:fill="FFFFFF"/>
            <w:vAlign w:val="center"/>
            <w:hideMark/>
          </w:tcPr>
          <w:p w14:paraId="4118D27C" w14:textId="77777777" w:rsidR="00A27C22" w:rsidRPr="002D6138" w:rsidRDefault="00A27C22" w:rsidP="00B81D69">
            <w:pPr>
              <w:jc w:val="lef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Total transactions with owners, recognised directly in equity</w:t>
            </w:r>
          </w:p>
        </w:tc>
        <w:tc>
          <w:tcPr>
            <w:tcW w:w="532" w:type="dxa"/>
            <w:tcBorders>
              <w:top w:val="nil"/>
              <w:left w:val="nil"/>
              <w:bottom w:val="single" w:sz="8" w:space="0" w:color="BFBFBF"/>
              <w:right w:val="single" w:sz="8" w:space="0" w:color="BFBFBF"/>
            </w:tcBorders>
            <w:shd w:val="clear" w:color="auto" w:fill="auto"/>
            <w:vAlign w:val="center"/>
            <w:hideMark/>
          </w:tcPr>
          <w:p w14:paraId="704FB7FC" w14:textId="77777777" w:rsidR="00A27C22" w:rsidRPr="002D6138" w:rsidRDefault="00A27C22" w:rsidP="00B81D69">
            <w:pPr>
              <w:jc w:val="center"/>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102" w:type="dxa"/>
            <w:tcBorders>
              <w:top w:val="single" w:sz="8" w:space="0" w:color="BFBFBF"/>
              <w:left w:val="nil"/>
              <w:bottom w:val="nil"/>
              <w:right w:val="single" w:sz="8" w:space="0" w:color="BFBFBF"/>
            </w:tcBorders>
            <w:shd w:val="clear" w:color="000000" w:fill="DCE6F1"/>
            <w:noWrap/>
            <w:vAlign w:val="center"/>
            <w:hideMark/>
          </w:tcPr>
          <w:p w14:paraId="3D522FB0"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56 </w:t>
            </w:r>
          </w:p>
        </w:tc>
        <w:tc>
          <w:tcPr>
            <w:tcW w:w="966" w:type="dxa"/>
            <w:tcBorders>
              <w:top w:val="single" w:sz="8" w:space="0" w:color="BFBFBF"/>
              <w:left w:val="nil"/>
              <w:bottom w:val="nil"/>
              <w:right w:val="single" w:sz="8" w:space="0" w:color="BFBFBF"/>
            </w:tcBorders>
            <w:shd w:val="clear" w:color="000000" w:fill="DCE6F1"/>
            <w:noWrap/>
            <w:vAlign w:val="center"/>
            <w:hideMark/>
          </w:tcPr>
          <w:p w14:paraId="14FC5792"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   </w:t>
            </w:r>
          </w:p>
        </w:tc>
        <w:tc>
          <w:tcPr>
            <w:tcW w:w="1089" w:type="dxa"/>
            <w:tcBorders>
              <w:top w:val="single" w:sz="8" w:space="0" w:color="BFBFBF"/>
              <w:left w:val="nil"/>
              <w:bottom w:val="nil"/>
              <w:right w:val="single" w:sz="8" w:space="0" w:color="BFBFBF"/>
            </w:tcBorders>
            <w:shd w:val="clear" w:color="000000" w:fill="DCE6F1"/>
            <w:noWrap/>
            <w:vAlign w:val="center"/>
            <w:hideMark/>
          </w:tcPr>
          <w:p w14:paraId="2FB82D58"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825 </w:t>
            </w:r>
          </w:p>
        </w:tc>
        <w:tc>
          <w:tcPr>
            <w:tcW w:w="960" w:type="dxa"/>
            <w:tcBorders>
              <w:top w:val="single" w:sz="8" w:space="0" w:color="BFBFBF"/>
              <w:left w:val="nil"/>
              <w:bottom w:val="nil"/>
              <w:right w:val="single" w:sz="8" w:space="0" w:color="BFBFBF"/>
            </w:tcBorders>
            <w:shd w:val="clear" w:color="000000" w:fill="DCE6F1"/>
            <w:noWrap/>
            <w:vAlign w:val="center"/>
            <w:hideMark/>
          </w:tcPr>
          <w:p w14:paraId="47B05060" w14:textId="77777777" w:rsidR="00A27C22" w:rsidRPr="002D6138" w:rsidRDefault="00A27C22" w:rsidP="00B81D69">
            <w:pPr>
              <w:jc w:val="right"/>
              <w:rPr>
                <w:rFonts w:asciiTheme="minorHAnsi" w:hAnsiTheme="minorHAnsi" w:cstheme="minorHAnsi"/>
                <w:b/>
                <w:bCs/>
                <w:color w:val="59595B"/>
                <w:sz w:val="18"/>
                <w:szCs w:val="18"/>
                <w:lang w:val="en-GB"/>
              </w:rPr>
            </w:pPr>
            <w:r w:rsidRPr="002D6138">
              <w:rPr>
                <w:rFonts w:asciiTheme="minorHAnsi" w:hAnsiTheme="minorHAnsi" w:cstheme="minorHAnsi"/>
                <w:b/>
                <w:bCs/>
                <w:color w:val="59595B"/>
                <w:sz w:val="18"/>
                <w:szCs w:val="18"/>
                <w:lang w:val="en-GB"/>
              </w:rPr>
              <w:t xml:space="preserve">      4.712 </w:t>
            </w:r>
          </w:p>
        </w:tc>
      </w:tr>
      <w:tr w:rsidR="00A27C22" w:rsidRPr="002D6138" w14:paraId="177ABADA" w14:textId="77777777" w:rsidTr="000D0314">
        <w:trPr>
          <w:trHeight w:val="375"/>
        </w:trPr>
        <w:tc>
          <w:tcPr>
            <w:tcW w:w="4378" w:type="dxa"/>
            <w:tcBorders>
              <w:top w:val="single" w:sz="8" w:space="0" w:color="BFBFBF"/>
              <w:left w:val="single" w:sz="8" w:space="0" w:color="BFBFBF"/>
              <w:bottom w:val="single" w:sz="8" w:space="0" w:color="BFBFBF"/>
              <w:right w:val="single" w:sz="8" w:space="0" w:color="D9D9D9"/>
            </w:tcBorders>
            <w:shd w:val="clear" w:color="000000" w:fill="FFFFFF"/>
            <w:vAlign w:val="center"/>
            <w:hideMark/>
          </w:tcPr>
          <w:p w14:paraId="240C334D" w14:textId="77777777" w:rsidR="00A27C22" w:rsidRPr="002D6138" w:rsidRDefault="00A27C22" w:rsidP="00B81D69">
            <w:pPr>
              <w:jc w:val="lef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Balance at 30 June 2020</w:t>
            </w:r>
          </w:p>
        </w:tc>
        <w:tc>
          <w:tcPr>
            <w:tcW w:w="532" w:type="dxa"/>
            <w:tcBorders>
              <w:top w:val="nil"/>
              <w:left w:val="nil"/>
              <w:bottom w:val="single" w:sz="8" w:space="0" w:color="BFBFBF"/>
              <w:right w:val="single" w:sz="8" w:space="0" w:color="BFBFBF"/>
            </w:tcBorders>
            <w:shd w:val="clear" w:color="auto" w:fill="auto"/>
            <w:noWrap/>
            <w:vAlign w:val="center"/>
            <w:hideMark/>
          </w:tcPr>
          <w:p w14:paraId="0318CFC4" w14:textId="77777777" w:rsidR="00A27C22" w:rsidRPr="002D6138" w:rsidRDefault="00A27C22" w:rsidP="00B81D69">
            <w:pPr>
              <w:jc w:val="righ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w:t>
            </w:r>
          </w:p>
        </w:tc>
        <w:tc>
          <w:tcPr>
            <w:tcW w:w="1102" w:type="dxa"/>
            <w:tcBorders>
              <w:top w:val="single" w:sz="8" w:space="0" w:color="BFBFBF"/>
              <w:left w:val="nil"/>
              <w:bottom w:val="single" w:sz="8" w:space="0" w:color="BFBFBF"/>
              <w:right w:val="single" w:sz="8" w:space="0" w:color="BFBFBF"/>
            </w:tcBorders>
            <w:shd w:val="clear" w:color="000000" w:fill="DCE6F1"/>
            <w:noWrap/>
            <w:vAlign w:val="center"/>
            <w:hideMark/>
          </w:tcPr>
          <w:p w14:paraId="69E74DEB"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4.403 </w:t>
            </w:r>
          </w:p>
        </w:tc>
        <w:tc>
          <w:tcPr>
            <w:tcW w:w="966" w:type="dxa"/>
            <w:tcBorders>
              <w:top w:val="single" w:sz="8" w:space="0" w:color="BFBFBF"/>
              <w:left w:val="nil"/>
              <w:bottom w:val="single" w:sz="8" w:space="0" w:color="BFBFBF"/>
              <w:right w:val="single" w:sz="8" w:space="0" w:color="BFBFBF"/>
            </w:tcBorders>
            <w:shd w:val="clear" w:color="000000" w:fill="DCE6F1"/>
            <w:noWrap/>
            <w:vAlign w:val="center"/>
            <w:hideMark/>
          </w:tcPr>
          <w:p w14:paraId="69A527A8"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(594)</w:t>
            </w:r>
          </w:p>
        </w:tc>
        <w:tc>
          <w:tcPr>
            <w:tcW w:w="1089" w:type="dxa"/>
            <w:tcBorders>
              <w:top w:val="single" w:sz="8" w:space="0" w:color="BFBFBF"/>
              <w:left w:val="nil"/>
              <w:bottom w:val="single" w:sz="8" w:space="0" w:color="BFBFBF"/>
              <w:right w:val="single" w:sz="8" w:space="0" w:color="BFBFBF"/>
            </w:tcBorders>
            <w:shd w:val="clear" w:color="000000" w:fill="DCE6F1"/>
            <w:noWrap/>
            <w:vAlign w:val="center"/>
            <w:hideMark/>
          </w:tcPr>
          <w:p w14:paraId="7FEF4F77"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(278.650)</w:t>
            </w:r>
          </w:p>
        </w:tc>
        <w:tc>
          <w:tcPr>
            <w:tcW w:w="960" w:type="dxa"/>
            <w:tcBorders>
              <w:top w:val="single" w:sz="8" w:space="0" w:color="BFBFBF"/>
              <w:left w:val="nil"/>
              <w:bottom w:val="single" w:sz="8" w:space="0" w:color="BFBFBF"/>
              <w:right w:val="single" w:sz="8" w:space="0" w:color="BFBFBF"/>
            </w:tcBorders>
            <w:shd w:val="clear" w:color="000000" w:fill="DCE6F1"/>
            <w:noWrap/>
            <w:vAlign w:val="center"/>
            <w:hideMark/>
          </w:tcPr>
          <w:p w14:paraId="1AC8769A" w14:textId="77777777" w:rsidR="00A27C22" w:rsidRPr="002D6138" w:rsidRDefault="00A27C22" w:rsidP="00B81D69">
            <w:pPr>
              <w:jc w:val="right"/>
              <w:rPr>
                <w:rFonts w:asciiTheme="minorHAnsi" w:hAnsiTheme="minorHAnsi" w:cstheme="minorHAnsi"/>
                <w:b/>
                <w:bCs/>
                <w:sz w:val="18"/>
                <w:szCs w:val="18"/>
                <w:lang w:val="en-GB"/>
              </w:rPr>
            </w:pPr>
            <w:r w:rsidRPr="002D6138">
              <w:rPr>
                <w:rFonts w:asciiTheme="minorHAnsi" w:hAnsiTheme="minorHAnsi" w:cstheme="minorHAnsi"/>
                <w:b/>
                <w:bCs/>
                <w:sz w:val="18"/>
                <w:szCs w:val="18"/>
                <w:lang w:val="en-GB"/>
              </w:rPr>
              <w:t xml:space="preserve"> 127.569 </w:t>
            </w:r>
          </w:p>
        </w:tc>
      </w:tr>
    </w:tbl>
    <w:p w14:paraId="5A5F0CEB" w14:textId="77777777" w:rsidR="00A27C22" w:rsidRPr="002D6138" w:rsidRDefault="00A27C22" w:rsidP="00A27C22">
      <w:pPr>
        <w:pStyle w:val="NoSpacing"/>
        <w:rPr>
          <w:rFonts w:asciiTheme="minorHAnsi" w:hAnsiTheme="minorHAnsi" w:cstheme="minorHAnsi"/>
          <w:u w:val="single"/>
          <w:lang w:val="en-GB"/>
        </w:rPr>
      </w:pPr>
    </w:p>
    <w:p w14:paraId="341470B4" w14:textId="6CF4A0DE" w:rsidR="00A27C22" w:rsidRPr="001D0FE2" w:rsidRDefault="00A27C22" w:rsidP="00A27C22">
      <w:pPr>
        <w:pStyle w:val="NoSpacing"/>
        <w:jc w:val="right"/>
        <w:rPr>
          <w:rFonts w:asciiTheme="minorHAnsi" w:hAnsiTheme="minorHAnsi" w:cstheme="minorHAnsi"/>
          <w:u w:val="single"/>
          <w:lang w:val="en-GB"/>
        </w:rPr>
      </w:pPr>
    </w:p>
    <w:p w14:paraId="7FCC612D" w14:textId="5EB8F75A" w:rsidR="000D0314" w:rsidRPr="001D0FE2" w:rsidRDefault="000D0314" w:rsidP="00A27C22">
      <w:pPr>
        <w:pStyle w:val="NoSpacing"/>
        <w:jc w:val="right"/>
        <w:rPr>
          <w:rFonts w:asciiTheme="minorHAnsi" w:hAnsiTheme="minorHAnsi" w:cstheme="minorHAnsi"/>
          <w:u w:val="single"/>
          <w:lang w:val="en-GB"/>
        </w:rPr>
      </w:pPr>
      <w:bookmarkStart w:id="1" w:name="_GoBack"/>
      <w:bookmarkEnd w:id="1"/>
    </w:p>
    <w:p w14:paraId="78F62935" w14:textId="77777777" w:rsidR="000D0314" w:rsidRPr="001D0FE2" w:rsidRDefault="000D0314" w:rsidP="00A27C22">
      <w:pPr>
        <w:pStyle w:val="NoSpacing"/>
        <w:jc w:val="right"/>
        <w:rPr>
          <w:rFonts w:asciiTheme="minorHAnsi" w:hAnsiTheme="minorHAnsi" w:cstheme="minorHAnsi"/>
          <w:u w:val="single"/>
          <w:lang w:val="en-GB"/>
        </w:rPr>
      </w:pPr>
    </w:p>
    <w:p w14:paraId="0F346B68" w14:textId="77777777" w:rsidR="00A27C22" w:rsidRPr="001D0FE2" w:rsidRDefault="00A27C22" w:rsidP="00A27C22">
      <w:pPr>
        <w:pStyle w:val="NoSpacing"/>
        <w:jc w:val="right"/>
        <w:rPr>
          <w:rFonts w:asciiTheme="minorHAnsi" w:hAnsiTheme="minorHAnsi" w:cstheme="minorHAnsi"/>
          <w:u w:val="single"/>
          <w:lang w:val="en-GB"/>
        </w:rPr>
      </w:pPr>
    </w:p>
    <w:p w14:paraId="6909293B" w14:textId="77777777" w:rsidR="00A27C22" w:rsidRPr="001D0FE2" w:rsidRDefault="00A27C22" w:rsidP="00A27C22">
      <w:pPr>
        <w:jc w:val="right"/>
        <w:rPr>
          <w:rFonts w:asciiTheme="minorHAnsi" w:eastAsiaTheme="majorEastAsia" w:hAnsiTheme="minorHAnsi" w:cstheme="minorHAnsi"/>
          <w:b/>
          <w:color w:val="59595B"/>
          <w:sz w:val="20"/>
          <w:szCs w:val="28"/>
          <w:lang w:val="en-GB" w:eastAsia="zh-CN"/>
        </w:rPr>
      </w:pPr>
      <w:r w:rsidRPr="001D0FE2">
        <w:rPr>
          <w:rFonts w:asciiTheme="minorHAnsi" w:eastAsiaTheme="majorEastAsia" w:hAnsiTheme="minorHAnsi" w:cstheme="minorHAnsi"/>
          <w:b/>
          <w:color w:val="59595B"/>
          <w:szCs w:val="28"/>
          <w:lang w:val="en-GB" w:eastAsia="zh-CN"/>
        </w:rPr>
        <w:tab/>
      </w:r>
      <w:r w:rsidRPr="001D0FE2">
        <w:rPr>
          <w:rFonts w:asciiTheme="minorHAnsi" w:eastAsiaTheme="majorEastAsia" w:hAnsiTheme="minorHAnsi" w:cstheme="minorHAnsi"/>
          <w:b/>
          <w:color w:val="59595B"/>
          <w:szCs w:val="28"/>
          <w:lang w:val="en-GB" w:eastAsia="zh-CN"/>
        </w:rPr>
        <w:tab/>
      </w:r>
      <w:r w:rsidRPr="001D0FE2">
        <w:rPr>
          <w:rFonts w:asciiTheme="minorHAnsi" w:eastAsiaTheme="majorEastAsia" w:hAnsiTheme="minorHAnsi" w:cstheme="minorHAnsi"/>
          <w:b/>
          <w:color w:val="59595B"/>
          <w:szCs w:val="28"/>
          <w:lang w:val="en-GB" w:eastAsia="zh-CN"/>
        </w:rPr>
        <w:tab/>
      </w:r>
      <w:r w:rsidRPr="001D0FE2">
        <w:rPr>
          <w:rFonts w:asciiTheme="minorHAnsi" w:eastAsiaTheme="majorEastAsia" w:hAnsiTheme="minorHAnsi" w:cstheme="minorHAnsi"/>
          <w:b/>
          <w:color w:val="59595B"/>
          <w:szCs w:val="28"/>
          <w:lang w:val="en-GB" w:eastAsia="zh-CN"/>
        </w:rPr>
        <w:tab/>
      </w:r>
      <w:r w:rsidRPr="001D0FE2">
        <w:rPr>
          <w:rFonts w:asciiTheme="minorHAnsi" w:hAnsiTheme="minorHAnsi" w:cstheme="minorHAnsi"/>
          <w:sz w:val="18"/>
          <w:szCs w:val="22"/>
          <w:lang w:val="en-GB"/>
        </w:rPr>
        <w:t>The notes are an integral part of these interim financial statements</w:t>
      </w:r>
    </w:p>
    <w:p w14:paraId="1F7F9BF8" w14:textId="77777777" w:rsidR="00A27C22" w:rsidRPr="002D6138" w:rsidRDefault="00A27C22" w:rsidP="00A27C22">
      <w:pPr>
        <w:rPr>
          <w:rFonts w:asciiTheme="minorHAnsi" w:eastAsiaTheme="majorEastAsia" w:hAnsiTheme="minorHAnsi" w:cstheme="minorHAnsi"/>
          <w:b/>
          <w:color w:val="59595B"/>
          <w:szCs w:val="28"/>
          <w:lang w:val="en-GB" w:eastAsia="zh-CN"/>
        </w:rPr>
      </w:pPr>
      <w:r w:rsidRPr="002D6138">
        <w:rPr>
          <w:rFonts w:asciiTheme="minorHAnsi" w:eastAsiaTheme="majorEastAsia" w:hAnsiTheme="minorHAnsi" w:cstheme="minorHAnsi"/>
          <w:b/>
          <w:color w:val="59595B"/>
          <w:szCs w:val="28"/>
          <w:lang w:val="en-GB" w:eastAsia="zh-CN"/>
        </w:rPr>
        <w:lastRenderedPageBreak/>
        <w:t xml:space="preserve">Condensed Consolidated Statement of Cash Flow </w:t>
      </w:r>
    </w:p>
    <w:p w14:paraId="7D8F4345" w14:textId="77777777" w:rsidR="00A27C22" w:rsidRPr="002D6138" w:rsidRDefault="00A27C22" w:rsidP="00A27C22">
      <w:pPr>
        <w:pStyle w:val="NoSpacing"/>
        <w:rPr>
          <w:rFonts w:asciiTheme="minorHAnsi" w:hAnsiTheme="minorHAnsi" w:cstheme="minorHAnsi"/>
          <w:sz w:val="24"/>
          <w:lang w:val="en-GB"/>
        </w:rPr>
      </w:pPr>
      <w:r w:rsidRPr="002D6138">
        <w:rPr>
          <w:rFonts w:asciiTheme="minorHAnsi" w:hAnsiTheme="minorHAnsi" w:cstheme="minorHAnsi"/>
          <w:sz w:val="24"/>
          <w:lang w:val="en-GB"/>
        </w:rPr>
        <w:t>For the period ended 30 June</w:t>
      </w:r>
    </w:p>
    <w:p w14:paraId="7C14A786" w14:textId="77777777" w:rsidR="00A27C22" w:rsidRPr="001D0FE2" w:rsidRDefault="00A27C22" w:rsidP="00A27C22">
      <w:pPr>
        <w:jc w:val="right"/>
        <w:rPr>
          <w:rFonts w:asciiTheme="minorHAnsi" w:hAnsiTheme="minorHAnsi" w:cstheme="minorHAnsi"/>
          <w:szCs w:val="22"/>
          <w:lang w:val="en-GB"/>
        </w:rPr>
      </w:pPr>
    </w:p>
    <w:tbl>
      <w:tblPr>
        <w:tblW w:w="9072" w:type="dxa"/>
        <w:tblLook w:val="04A0" w:firstRow="1" w:lastRow="0" w:firstColumn="1" w:lastColumn="0" w:noHBand="0" w:noVBand="1"/>
      </w:tblPr>
      <w:tblGrid>
        <w:gridCol w:w="6244"/>
        <w:gridCol w:w="1414"/>
        <w:gridCol w:w="1414"/>
      </w:tblGrid>
      <w:tr w:rsidR="00A27C22" w:rsidRPr="001D0FE2" w14:paraId="3F7B5AEA" w14:textId="77777777" w:rsidTr="00B81D69">
        <w:trPr>
          <w:trHeight w:val="300"/>
        </w:trPr>
        <w:tc>
          <w:tcPr>
            <w:tcW w:w="5920" w:type="dxa"/>
            <w:vMerge w:val="restart"/>
            <w:tcBorders>
              <w:top w:val="nil"/>
              <w:left w:val="nil"/>
              <w:bottom w:val="nil"/>
              <w:right w:val="nil"/>
            </w:tcBorders>
            <w:shd w:val="clear" w:color="000000" w:fill="366092"/>
            <w:vAlign w:val="center"/>
            <w:hideMark/>
          </w:tcPr>
          <w:p w14:paraId="3F6BAA74"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€’000</w:t>
            </w:r>
          </w:p>
        </w:tc>
        <w:tc>
          <w:tcPr>
            <w:tcW w:w="1340" w:type="dxa"/>
            <w:vMerge w:val="restart"/>
            <w:tcBorders>
              <w:top w:val="nil"/>
              <w:left w:val="nil"/>
              <w:bottom w:val="nil"/>
              <w:right w:val="nil"/>
            </w:tcBorders>
            <w:shd w:val="clear" w:color="000000" w:fill="366092"/>
            <w:vAlign w:val="center"/>
            <w:hideMark/>
          </w:tcPr>
          <w:p w14:paraId="2076F7D6"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2020</w:t>
            </w:r>
          </w:p>
        </w:tc>
        <w:tc>
          <w:tcPr>
            <w:tcW w:w="1340" w:type="dxa"/>
            <w:vMerge w:val="restart"/>
            <w:tcBorders>
              <w:top w:val="nil"/>
              <w:left w:val="nil"/>
              <w:bottom w:val="nil"/>
              <w:right w:val="nil"/>
            </w:tcBorders>
            <w:shd w:val="clear" w:color="000000" w:fill="366092"/>
            <w:vAlign w:val="center"/>
            <w:hideMark/>
          </w:tcPr>
          <w:p w14:paraId="0F0EA277"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2019</w:t>
            </w:r>
          </w:p>
        </w:tc>
      </w:tr>
      <w:tr w:rsidR="00A27C22" w:rsidRPr="001D0FE2" w14:paraId="109218F7" w14:textId="77777777" w:rsidTr="00B81D69">
        <w:trPr>
          <w:trHeight w:val="300"/>
        </w:trPr>
        <w:tc>
          <w:tcPr>
            <w:tcW w:w="5920" w:type="dxa"/>
            <w:vMerge/>
            <w:tcBorders>
              <w:top w:val="nil"/>
              <w:left w:val="nil"/>
              <w:bottom w:val="nil"/>
              <w:right w:val="nil"/>
            </w:tcBorders>
            <w:vAlign w:val="center"/>
            <w:hideMark/>
          </w:tcPr>
          <w:p w14:paraId="7A5B98DF" w14:textId="77777777" w:rsidR="00A27C22" w:rsidRPr="001D0FE2" w:rsidRDefault="00A27C22" w:rsidP="00B81D69">
            <w:pPr>
              <w:jc w:val="left"/>
              <w:rPr>
                <w:rFonts w:asciiTheme="minorHAnsi" w:hAnsiTheme="minorHAnsi" w:cstheme="minorHAnsi"/>
                <w:color w:val="FFFFFF"/>
                <w:sz w:val="16"/>
                <w:szCs w:val="16"/>
                <w:lang w:val="en-GB"/>
              </w:rPr>
            </w:pPr>
          </w:p>
        </w:tc>
        <w:tc>
          <w:tcPr>
            <w:tcW w:w="1340" w:type="dxa"/>
            <w:vMerge/>
            <w:tcBorders>
              <w:top w:val="nil"/>
              <w:left w:val="nil"/>
              <w:bottom w:val="nil"/>
              <w:right w:val="nil"/>
            </w:tcBorders>
            <w:vAlign w:val="center"/>
            <w:hideMark/>
          </w:tcPr>
          <w:p w14:paraId="2704A95C" w14:textId="77777777" w:rsidR="00A27C22" w:rsidRPr="001D0FE2" w:rsidRDefault="00A27C22" w:rsidP="00B81D69">
            <w:pPr>
              <w:jc w:val="left"/>
              <w:rPr>
                <w:rFonts w:asciiTheme="minorHAnsi" w:hAnsiTheme="minorHAnsi" w:cstheme="minorHAnsi"/>
                <w:b/>
                <w:bCs/>
                <w:color w:val="FFFFFF"/>
                <w:sz w:val="20"/>
                <w:szCs w:val="20"/>
                <w:lang w:val="en-GB"/>
              </w:rPr>
            </w:pPr>
          </w:p>
        </w:tc>
        <w:tc>
          <w:tcPr>
            <w:tcW w:w="1340" w:type="dxa"/>
            <w:vMerge/>
            <w:tcBorders>
              <w:top w:val="nil"/>
              <w:left w:val="nil"/>
              <w:bottom w:val="nil"/>
              <w:right w:val="nil"/>
            </w:tcBorders>
            <w:vAlign w:val="center"/>
            <w:hideMark/>
          </w:tcPr>
          <w:p w14:paraId="78E1FC1F" w14:textId="77777777" w:rsidR="00A27C22" w:rsidRPr="001D0FE2" w:rsidRDefault="00A27C22" w:rsidP="00B81D69">
            <w:pPr>
              <w:jc w:val="left"/>
              <w:rPr>
                <w:rFonts w:asciiTheme="minorHAnsi" w:hAnsiTheme="minorHAnsi" w:cstheme="minorHAnsi"/>
                <w:b/>
                <w:bCs/>
                <w:color w:val="FFFFFF"/>
                <w:sz w:val="20"/>
                <w:szCs w:val="20"/>
                <w:lang w:val="en-GB"/>
              </w:rPr>
            </w:pPr>
          </w:p>
        </w:tc>
      </w:tr>
      <w:tr w:rsidR="00A27C22" w:rsidRPr="001D0FE2" w14:paraId="14827831" w14:textId="77777777" w:rsidTr="00B81D69">
        <w:trPr>
          <w:trHeight w:val="238"/>
        </w:trPr>
        <w:tc>
          <w:tcPr>
            <w:tcW w:w="5920" w:type="dxa"/>
            <w:tcBorders>
              <w:top w:val="nil"/>
              <w:left w:val="single" w:sz="8" w:space="0" w:color="BFBFBF"/>
              <w:bottom w:val="single" w:sz="8" w:space="0" w:color="BFBFBF"/>
              <w:right w:val="single" w:sz="8" w:space="0" w:color="BFBFBF"/>
            </w:tcBorders>
            <w:shd w:val="clear" w:color="000000" w:fill="FFFFFF"/>
            <w:vAlign w:val="center"/>
            <w:hideMark/>
          </w:tcPr>
          <w:p w14:paraId="4FD47E31"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Operating result</w:t>
            </w:r>
          </w:p>
        </w:tc>
        <w:tc>
          <w:tcPr>
            <w:tcW w:w="1340" w:type="dxa"/>
            <w:tcBorders>
              <w:top w:val="nil"/>
              <w:left w:val="nil"/>
              <w:bottom w:val="single" w:sz="8" w:space="0" w:color="BFBFBF"/>
              <w:right w:val="single" w:sz="8" w:space="0" w:color="BFBFBF"/>
            </w:tcBorders>
            <w:shd w:val="clear" w:color="000000" w:fill="DCE6F1"/>
            <w:noWrap/>
            <w:vAlign w:val="center"/>
            <w:hideMark/>
          </w:tcPr>
          <w:p w14:paraId="25F9FC10"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32.311 </w:t>
            </w:r>
          </w:p>
        </w:tc>
        <w:tc>
          <w:tcPr>
            <w:tcW w:w="1340" w:type="dxa"/>
            <w:tcBorders>
              <w:top w:val="nil"/>
              <w:left w:val="nil"/>
              <w:bottom w:val="single" w:sz="8" w:space="0" w:color="BFBFBF"/>
              <w:right w:val="single" w:sz="8" w:space="0" w:color="BFBFBF"/>
            </w:tcBorders>
            <w:shd w:val="clear" w:color="auto" w:fill="auto"/>
            <w:noWrap/>
            <w:vAlign w:val="center"/>
            <w:hideMark/>
          </w:tcPr>
          <w:p w14:paraId="0247B8A0"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24.632 </w:t>
            </w:r>
          </w:p>
        </w:tc>
      </w:tr>
      <w:tr w:rsidR="00A27C22" w:rsidRPr="001D0FE2" w14:paraId="6EE19CAD"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center"/>
            <w:hideMark/>
          </w:tcPr>
          <w:p w14:paraId="6C49ADC4"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w:t>
            </w:r>
          </w:p>
        </w:tc>
        <w:tc>
          <w:tcPr>
            <w:tcW w:w="1340" w:type="dxa"/>
            <w:tcBorders>
              <w:top w:val="nil"/>
              <w:left w:val="nil"/>
              <w:bottom w:val="nil"/>
              <w:right w:val="single" w:sz="8" w:space="0" w:color="BFBFBF"/>
            </w:tcBorders>
            <w:shd w:val="clear" w:color="000000" w:fill="DCE6F1"/>
            <w:vAlign w:val="center"/>
            <w:hideMark/>
          </w:tcPr>
          <w:p w14:paraId="619C315C"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340" w:type="dxa"/>
            <w:tcBorders>
              <w:top w:val="nil"/>
              <w:left w:val="nil"/>
              <w:bottom w:val="nil"/>
              <w:right w:val="single" w:sz="8" w:space="0" w:color="BFBFBF"/>
            </w:tcBorders>
            <w:shd w:val="clear" w:color="auto" w:fill="auto"/>
            <w:vAlign w:val="center"/>
            <w:hideMark/>
          </w:tcPr>
          <w:p w14:paraId="401E8BAF"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A27C22" w:rsidRPr="001D0FE2" w14:paraId="54FF28AE"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60448C76" w14:textId="77777777" w:rsidR="00A27C22" w:rsidRPr="002D6138" w:rsidRDefault="00A27C22" w:rsidP="00B81D69">
            <w:pPr>
              <w:jc w:val="left"/>
              <w:rPr>
                <w:rFonts w:asciiTheme="minorHAnsi" w:hAnsiTheme="minorHAnsi" w:cstheme="minorHAnsi"/>
                <w:b/>
                <w:bCs/>
                <w:i/>
                <w:iCs/>
                <w:color w:val="59595B"/>
                <w:sz w:val="20"/>
                <w:szCs w:val="20"/>
                <w:lang w:val="en-GB"/>
              </w:rPr>
            </w:pPr>
            <w:r w:rsidRPr="002D6138">
              <w:rPr>
                <w:rFonts w:asciiTheme="minorHAnsi" w:hAnsiTheme="minorHAnsi" w:cstheme="minorHAnsi"/>
                <w:b/>
                <w:bCs/>
                <w:i/>
                <w:iCs/>
                <w:color w:val="59595B"/>
                <w:sz w:val="20"/>
                <w:szCs w:val="20"/>
                <w:lang w:val="en-GB"/>
              </w:rPr>
              <w:t>Non-cash adjustments:</w:t>
            </w:r>
          </w:p>
        </w:tc>
        <w:tc>
          <w:tcPr>
            <w:tcW w:w="1340" w:type="dxa"/>
            <w:tcBorders>
              <w:top w:val="nil"/>
              <w:left w:val="nil"/>
              <w:bottom w:val="nil"/>
              <w:right w:val="single" w:sz="8" w:space="0" w:color="BFBFBF"/>
            </w:tcBorders>
            <w:shd w:val="clear" w:color="000000" w:fill="DCE6F1"/>
            <w:vAlign w:val="bottom"/>
            <w:hideMark/>
          </w:tcPr>
          <w:p w14:paraId="40CD6F32"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340" w:type="dxa"/>
            <w:tcBorders>
              <w:top w:val="nil"/>
              <w:left w:val="nil"/>
              <w:bottom w:val="nil"/>
              <w:right w:val="single" w:sz="8" w:space="0" w:color="BFBFBF"/>
            </w:tcBorders>
            <w:shd w:val="clear" w:color="auto" w:fill="auto"/>
            <w:vAlign w:val="bottom"/>
            <w:hideMark/>
          </w:tcPr>
          <w:p w14:paraId="242FB352"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A27C22" w:rsidRPr="001D0FE2" w14:paraId="3F17038C"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5BC87785"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Depreciation, amortisation, impairment</w:t>
            </w:r>
          </w:p>
        </w:tc>
        <w:tc>
          <w:tcPr>
            <w:tcW w:w="1340" w:type="dxa"/>
            <w:tcBorders>
              <w:top w:val="nil"/>
              <w:left w:val="nil"/>
              <w:bottom w:val="nil"/>
              <w:right w:val="single" w:sz="8" w:space="0" w:color="BFBFBF"/>
            </w:tcBorders>
            <w:shd w:val="clear" w:color="000000" w:fill="DCE6F1"/>
            <w:noWrap/>
            <w:vAlign w:val="bottom"/>
            <w:hideMark/>
          </w:tcPr>
          <w:p w14:paraId="349E2121"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3.122 </w:t>
            </w:r>
          </w:p>
        </w:tc>
        <w:tc>
          <w:tcPr>
            <w:tcW w:w="1340" w:type="dxa"/>
            <w:tcBorders>
              <w:top w:val="nil"/>
              <w:left w:val="nil"/>
              <w:bottom w:val="nil"/>
              <w:right w:val="single" w:sz="8" w:space="0" w:color="BFBFBF"/>
            </w:tcBorders>
            <w:shd w:val="clear" w:color="auto" w:fill="auto"/>
            <w:noWrap/>
            <w:vAlign w:val="bottom"/>
            <w:hideMark/>
          </w:tcPr>
          <w:p w14:paraId="3169B379"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2.794 </w:t>
            </w:r>
          </w:p>
        </w:tc>
      </w:tr>
      <w:tr w:rsidR="00A27C22" w:rsidRPr="001D0FE2" w14:paraId="0608F4CF"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70EFDC7C"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Accrued employee benefits</w:t>
            </w:r>
          </w:p>
        </w:tc>
        <w:tc>
          <w:tcPr>
            <w:tcW w:w="1340" w:type="dxa"/>
            <w:tcBorders>
              <w:top w:val="nil"/>
              <w:left w:val="nil"/>
              <w:bottom w:val="nil"/>
              <w:right w:val="single" w:sz="8" w:space="0" w:color="BFBFBF"/>
            </w:tcBorders>
            <w:shd w:val="clear" w:color="000000" w:fill="DCE6F1"/>
            <w:noWrap/>
            <w:vAlign w:val="bottom"/>
            <w:hideMark/>
          </w:tcPr>
          <w:p w14:paraId="3CEA7DF4"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1.391 </w:t>
            </w:r>
          </w:p>
        </w:tc>
        <w:tc>
          <w:tcPr>
            <w:tcW w:w="1340" w:type="dxa"/>
            <w:tcBorders>
              <w:top w:val="nil"/>
              <w:left w:val="nil"/>
              <w:bottom w:val="nil"/>
              <w:right w:val="single" w:sz="8" w:space="0" w:color="BFBFBF"/>
            </w:tcBorders>
            <w:shd w:val="clear" w:color="auto" w:fill="auto"/>
            <w:noWrap/>
            <w:vAlign w:val="bottom"/>
            <w:hideMark/>
          </w:tcPr>
          <w:p w14:paraId="0AEECBB1"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1.350 </w:t>
            </w:r>
          </w:p>
        </w:tc>
      </w:tr>
      <w:tr w:rsidR="00A27C22" w:rsidRPr="001D0FE2" w14:paraId="6ED2E39A"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20A462D2"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Release contract liabilities</w:t>
            </w:r>
          </w:p>
        </w:tc>
        <w:tc>
          <w:tcPr>
            <w:tcW w:w="1340" w:type="dxa"/>
            <w:tcBorders>
              <w:top w:val="nil"/>
              <w:left w:val="nil"/>
              <w:bottom w:val="nil"/>
              <w:right w:val="single" w:sz="8" w:space="0" w:color="BFBFBF"/>
            </w:tcBorders>
            <w:shd w:val="clear" w:color="000000" w:fill="DCE6F1"/>
            <w:noWrap/>
            <w:vAlign w:val="bottom"/>
            <w:hideMark/>
          </w:tcPr>
          <w:p w14:paraId="5D6FDFEA"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   </w:t>
            </w:r>
          </w:p>
        </w:tc>
        <w:tc>
          <w:tcPr>
            <w:tcW w:w="1340" w:type="dxa"/>
            <w:tcBorders>
              <w:top w:val="nil"/>
              <w:left w:val="nil"/>
              <w:bottom w:val="nil"/>
              <w:right w:val="single" w:sz="8" w:space="0" w:color="BFBFBF"/>
            </w:tcBorders>
            <w:shd w:val="clear" w:color="auto" w:fill="auto"/>
            <w:noWrap/>
            <w:vAlign w:val="bottom"/>
            <w:hideMark/>
          </w:tcPr>
          <w:p w14:paraId="27EDF4BE"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(400)</w:t>
            </w:r>
          </w:p>
        </w:tc>
      </w:tr>
      <w:tr w:rsidR="00A27C22" w:rsidRPr="001D0FE2" w14:paraId="44D0F82F"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2B728F32"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Operating cash flows before changes in working capital</w:t>
            </w:r>
          </w:p>
        </w:tc>
        <w:tc>
          <w:tcPr>
            <w:tcW w:w="1340" w:type="dxa"/>
            <w:tcBorders>
              <w:top w:val="nil"/>
              <w:left w:val="nil"/>
              <w:bottom w:val="nil"/>
              <w:right w:val="single" w:sz="8" w:space="0" w:color="BFBFBF"/>
            </w:tcBorders>
            <w:shd w:val="clear" w:color="000000" w:fill="DCE6F1"/>
            <w:noWrap/>
            <w:vAlign w:val="bottom"/>
            <w:hideMark/>
          </w:tcPr>
          <w:p w14:paraId="64EC3B91"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36.824 </w:t>
            </w:r>
          </w:p>
        </w:tc>
        <w:tc>
          <w:tcPr>
            <w:tcW w:w="1340" w:type="dxa"/>
            <w:tcBorders>
              <w:top w:val="nil"/>
              <w:left w:val="nil"/>
              <w:bottom w:val="nil"/>
              <w:right w:val="single" w:sz="8" w:space="0" w:color="BFBFBF"/>
            </w:tcBorders>
            <w:shd w:val="clear" w:color="auto" w:fill="auto"/>
            <w:noWrap/>
            <w:vAlign w:val="bottom"/>
            <w:hideMark/>
          </w:tcPr>
          <w:p w14:paraId="55B611AD"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28.376 </w:t>
            </w:r>
          </w:p>
        </w:tc>
      </w:tr>
      <w:tr w:rsidR="00A27C22" w:rsidRPr="001D0FE2" w14:paraId="3CA98B87"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1FCDF0DA"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340" w:type="dxa"/>
            <w:tcBorders>
              <w:top w:val="nil"/>
              <w:left w:val="nil"/>
              <w:bottom w:val="nil"/>
              <w:right w:val="single" w:sz="8" w:space="0" w:color="BFBFBF"/>
            </w:tcBorders>
            <w:shd w:val="clear" w:color="000000" w:fill="DCE6F1"/>
            <w:noWrap/>
            <w:vAlign w:val="bottom"/>
            <w:hideMark/>
          </w:tcPr>
          <w:p w14:paraId="3A9DA380"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4C964A34"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A27C22" w:rsidRPr="001D0FE2" w14:paraId="410661FB"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4F5A7D54" w14:textId="77777777" w:rsidR="00A27C22" w:rsidRPr="002D6138" w:rsidRDefault="00A27C22" w:rsidP="00B81D69">
            <w:pPr>
              <w:jc w:val="left"/>
              <w:rPr>
                <w:rFonts w:asciiTheme="minorHAnsi" w:hAnsiTheme="minorHAnsi" w:cstheme="minorHAnsi"/>
                <w:b/>
                <w:bCs/>
                <w:i/>
                <w:iCs/>
                <w:color w:val="59595B"/>
                <w:sz w:val="20"/>
                <w:szCs w:val="20"/>
                <w:lang w:val="en-GB"/>
              </w:rPr>
            </w:pPr>
            <w:r w:rsidRPr="002D6138">
              <w:rPr>
                <w:rFonts w:asciiTheme="minorHAnsi" w:hAnsiTheme="minorHAnsi" w:cstheme="minorHAnsi"/>
                <w:b/>
                <w:bCs/>
                <w:i/>
                <w:iCs/>
                <w:color w:val="59595B"/>
                <w:sz w:val="20"/>
                <w:szCs w:val="20"/>
                <w:lang w:val="en-GB"/>
              </w:rPr>
              <w:t>Changes in working capital:</w:t>
            </w:r>
          </w:p>
        </w:tc>
        <w:tc>
          <w:tcPr>
            <w:tcW w:w="1340" w:type="dxa"/>
            <w:tcBorders>
              <w:top w:val="nil"/>
              <w:left w:val="nil"/>
              <w:bottom w:val="nil"/>
              <w:right w:val="single" w:sz="8" w:space="0" w:color="BFBFBF"/>
            </w:tcBorders>
            <w:shd w:val="clear" w:color="000000" w:fill="DCE6F1"/>
            <w:noWrap/>
            <w:vAlign w:val="bottom"/>
            <w:hideMark/>
          </w:tcPr>
          <w:p w14:paraId="5D86DDB3"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19F4023B"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A27C22" w:rsidRPr="001D0FE2" w14:paraId="3192BB18"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2CE9BE24"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Inventories</w:t>
            </w:r>
          </w:p>
        </w:tc>
        <w:tc>
          <w:tcPr>
            <w:tcW w:w="1340" w:type="dxa"/>
            <w:tcBorders>
              <w:top w:val="nil"/>
              <w:left w:val="nil"/>
              <w:bottom w:val="nil"/>
              <w:right w:val="single" w:sz="8" w:space="0" w:color="BFBFBF"/>
            </w:tcBorders>
            <w:shd w:val="clear" w:color="000000" w:fill="DCE6F1"/>
            <w:noWrap/>
            <w:vAlign w:val="bottom"/>
            <w:hideMark/>
          </w:tcPr>
          <w:p w14:paraId="1E302A65"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(1.756)</w:t>
            </w:r>
          </w:p>
        </w:tc>
        <w:tc>
          <w:tcPr>
            <w:tcW w:w="1340" w:type="dxa"/>
            <w:tcBorders>
              <w:top w:val="nil"/>
              <w:left w:val="nil"/>
              <w:bottom w:val="nil"/>
              <w:right w:val="single" w:sz="8" w:space="0" w:color="BFBFBF"/>
            </w:tcBorders>
            <w:shd w:val="clear" w:color="auto" w:fill="auto"/>
            <w:noWrap/>
            <w:vAlign w:val="bottom"/>
            <w:hideMark/>
          </w:tcPr>
          <w:p w14:paraId="38D72AD3"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4.610 </w:t>
            </w:r>
          </w:p>
        </w:tc>
      </w:tr>
      <w:tr w:rsidR="00A27C22" w:rsidRPr="001D0FE2" w14:paraId="35EDFC85"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65204469"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Trade and other receivables</w:t>
            </w:r>
          </w:p>
        </w:tc>
        <w:tc>
          <w:tcPr>
            <w:tcW w:w="1340" w:type="dxa"/>
            <w:tcBorders>
              <w:top w:val="nil"/>
              <w:left w:val="nil"/>
              <w:bottom w:val="nil"/>
              <w:right w:val="single" w:sz="8" w:space="0" w:color="BFBFBF"/>
            </w:tcBorders>
            <w:shd w:val="clear" w:color="000000" w:fill="DCE6F1"/>
            <w:noWrap/>
            <w:vAlign w:val="bottom"/>
            <w:hideMark/>
          </w:tcPr>
          <w:p w14:paraId="21ED4EEE"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(649)</w:t>
            </w:r>
          </w:p>
        </w:tc>
        <w:tc>
          <w:tcPr>
            <w:tcW w:w="1340" w:type="dxa"/>
            <w:tcBorders>
              <w:top w:val="nil"/>
              <w:left w:val="nil"/>
              <w:bottom w:val="nil"/>
              <w:right w:val="single" w:sz="8" w:space="0" w:color="BFBFBF"/>
            </w:tcBorders>
            <w:shd w:val="clear" w:color="auto" w:fill="auto"/>
            <w:noWrap/>
            <w:vAlign w:val="bottom"/>
            <w:hideMark/>
          </w:tcPr>
          <w:p w14:paraId="27F9D1AF"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(7.379)</w:t>
            </w:r>
          </w:p>
        </w:tc>
      </w:tr>
      <w:tr w:rsidR="00A27C22" w:rsidRPr="001D0FE2" w14:paraId="43618C0D"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05FD3AE9"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Payables and other current liabilities</w:t>
            </w:r>
          </w:p>
        </w:tc>
        <w:tc>
          <w:tcPr>
            <w:tcW w:w="1340" w:type="dxa"/>
            <w:tcBorders>
              <w:top w:val="nil"/>
              <w:left w:val="nil"/>
              <w:bottom w:val="nil"/>
              <w:right w:val="single" w:sz="8" w:space="0" w:color="BFBFBF"/>
            </w:tcBorders>
            <w:shd w:val="clear" w:color="000000" w:fill="DCE6F1"/>
            <w:noWrap/>
            <w:vAlign w:val="bottom"/>
            <w:hideMark/>
          </w:tcPr>
          <w:p w14:paraId="5EC99FC9"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5.828 </w:t>
            </w:r>
          </w:p>
        </w:tc>
        <w:tc>
          <w:tcPr>
            <w:tcW w:w="1340" w:type="dxa"/>
            <w:tcBorders>
              <w:top w:val="nil"/>
              <w:left w:val="nil"/>
              <w:bottom w:val="nil"/>
              <w:right w:val="single" w:sz="8" w:space="0" w:color="BFBFBF"/>
            </w:tcBorders>
            <w:shd w:val="clear" w:color="auto" w:fill="auto"/>
            <w:noWrap/>
            <w:vAlign w:val="bottom"/>
            <w:hideMark/>
          </w:tcPr>
          <w:p w14:paraId="7803C320"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170 </w:t>
            </w:r>
          </w:p>
        </w:tc>
      </w:tr>
      <w:tr w:rsidR="00A27C22" w:rsidRPr="001D0FE2" w14:paraId="345A19E1" w14:textId="77777777" w:rsidTr="00B81D69">
        <w:trPr>
          <w:trHeight w:val="238"/>
        </w:trPr>
        <w:tc>
          <w:tcPr>
            <w:tcW w:w="5920" w:type="dxa"/>
            <w:tcBorders>
              <w:top w:val="nil"/>
              <w:left w:val="single" w:sz="8" w:space="0" w:color="BFBFBF"/>
              <w:bottom w:val="nil"/>
              <w:right w:val="single" w:sz="8" w:space="0" w:color="BFBFBF"/>
            </w:tcBorders>
            <w:shd w:val="clear" w:color="auto" w:fill="auto"/>
            <w:noWrap/>
            <w:vAlign w:val="bottom"/>
            <w:hideMark/>
          </w:tcPr>
          <w:p w14:paraId="10469815"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Total changes in working capital</w:t>
            </w:r>
          </w:p>
        </w:tc>
        <w:tc>
          <w:tcPr>
            <w:tcW w:w="1340" w:type="dxa"/>
            <w:tcBorders>
              <w:top w:val="nil"/>
              <w:left w:val="nil"/>
              <w:bottom w:val="nil"/>
              <w:right w:val="single" w:sz="8" w:space="0" w:color="BFBFBF"/>
            </w:tcBorders>
            <w:shd w:val="clear" w:color="000000" w:fill="DCE6F1"/>
            <w:noWrap/>
            <w:vAlign w:val="bottom"/>
            <w:hideMark/>
          </w:tcPr>
          <w:p w14:paraId="7F450A6F"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3.423 </w:t>
            </w:r>
          </w:p>
        </w:tc>
        <w:tc>
          <w:tcPr>
            <w:tcW w:w="1340" w:type="dxa"/>
            <w:tcBorders>
              <w:top w:val="nil"/>
              <w:left w:val="nil"/>
              <w:bottom w:val="nil"/>
              <w:right w:val="single" w:sz="8" w:space="0" w:color="BFBFBF"/>
            </w:tcBorders>
            <w:shd w:val="clear" w:color="auto" w:fill="auto"/>
            <w:noWrap/>
            <w:vAlign w:val="bottom"/>
            <w:hideMark/>
          </w:tcPr>
          <w:p w14:paraId="16AE35FE"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(2.599)</w:t>
            </w:r>
          </w:p>
        </w:tc>
      </w:tr>
      <w:tr w:rsidR="00A27C22" w:rsidRPr="001D0FE2" w14:paraId="5AEB8D60" w14:textId="77777777" w:rsidTr="00B81D69">
        <w:trPr>
          <w:trHeight w:val="238"/>
        </w:trPr>
        <w:tc>
          <w:tcPr>
            <w:tcW w:w="5920" w:type="dxa"/>
            <w:tcBorders>
              <w:top w:val="nil"/>
              <w:left w:val="single" w:sz="8" w:space="0" w:color="BFBFBF"/>
              <w:bottom w:val="nil"/>
              <w:right w:val="single" w:sz="8" w:space="0" w:color="BFBFBF"/>
            </w:tcBorders>
            <w:shd w:val="clear" w:color="auto" w:fill="auto"/>
            <w:noWrap/>
            <w:vAlign w:val="bottom"/>
            <w:hideMark/>
          </w:tcPr>
          <w:p w14:paraId="7F9FA6F3"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w:t>
            </w:r>
          </w:p>
        </w:tc>
        <w:tc>
          <w:tcPr>
            <w:tcW w:w="1340" w:type="dxa"/>
            <w:tcBorders>
              <w:top w:val="nil"/>
              <w:left w:val="nil"/>
              <w:bottom w:val="nil"/>
              <w:right w:val="single" w:sz="8" w:space="0" w:color="BFBFBF"/>
            </w:tcBorders>
            <w:shd w:val="clear" w:color="000000" w:fill="DCE6F1"/>
            <w:noWrap/>
            <w:vAlign w:val="bottom"/>
            <w:hideMark/>
          </w:tcPr>
          <w:p w14:paraId="2AD4ACCB"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3BF5AC9B"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A27C22" w:rsidRPr="001D0FE2" w14:paraId="54252724"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199B7844"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Changes in non-current assets, liabilities and equity</w:t>
            </w:r>
          </w:p>
        </w:tc>
        <w:tc>
          <w:tcPr>
            <w:tcW w:w="1340" w:type="dxa"/>
            <w:tcBorders>
              <w:top w:val="nil"/>
              <w:left w:val="nil"/>
              <w:bottom w:val="nil"/>
              <w:right w:val="single" w:sz="8" w:space="0" w:color="BFBFBF"/>
            </w:tcBorders>
            <w:shd w:val="clear" w:color="000000" w:fill="DCE6F1"/>
            <w:noWrap/>
            <w:vAlign w:val="bottom"/>
            <w:hideMark/>
          </w:tcPr>
          <w:p w14:paraId="7C617AC0"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(33)</w:t>
            </w:r>
          </w:p>
        </w:tc>
        <w:tc>
          <w:tcPr>
            <w:tcW w:w="1340" w:type="dxa"/>
            <w:tcBorders>
              <w:top w:val="nil"/>
              <w:left w:val="nil"/>
              <w:bottom w:val="nil"/>
              <w:right w:val="single" w:sz="8" w:space="0" w:color="BFBFBF"/>
            </w:tcBorders>
            <w:shd w:val="clear" w:color="auto" w:fill="auto"/>
            <w:noWrap/>
            <w:vAlign w:val="bottom"/>
            <w:hideMark/>
          </w:tcPr>
          <w:p w14:paraId="42AF24D7"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(605)</w:t>
            </w:r>
          </w:p>
        </w:tc>
      </w:tr>
      <w:tr w:rsidR="00A27C22" w:rsidRPr="001D0FE2" w14:paraId="163A1D2D"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305B8485"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w:t>
            </w:r>
          </w:p>
        </w:tc>
        <w:tc>
          <w:tcPr>
            <w:tcW w:w="1340" w:type="dxa"/>
            <w:tcBorders>
              <w:top w:val="nil"/>
              <w:left w:val="nil"/>
              <w:bottom w:val="nil"/>
              <w:right w:val="single" w:sz="8" w:space="0" w:color="BFBFBF"/>
            </w:tcBorders>
            <w:shd w:val="clear" w:color="000000" w:fill="DCE6F1"/>
            <w:noWrap/>
            <w:vAlign w:val="bottom"/>
            <w:hideMark/>
          </w:tcPr>
          <w:p w14:paraId="41F7A022"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53C70C92"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A27C22" w:rsidRPr="001D0FE2" w14:paraId="365C2E63"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4E7DFC8C"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Cash generated from (used in) operations before interest and taxes</w:t>
            </w:r>
          </w:p>
        </w:tc>
        <w:tc>
          <w:tcPr>
            <w:tcW w:w="1340" w:type="dxa"/>
            <w:tcBorders>
              <w:top w:val="nil"/>
              <w:left w:val="nil"/>
              <w:bottom w:val="nil"/>
              <w:right w:val="single" w:sz="8" w:space="0" w:color="BFBFBF"/>
            </w:tcBorders>
            <w:shd w:val="clear" w:color="000000" w:fill="DCE6F1"/>
            <w:noWrap/>
            <w:vAlign w:val="bottom"/>
            <w:hideMark/>
          </w:tcPr>
          <w:p w14:paraId="524E5F59"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40.214 </w:t>
            </w:r>
          </w:p>
        </w:tc>
        <w:tc>
          <w:tcPr>
            <w:tcW w:w="1340" w:type="dxa"/>
            <w:tcBorders>
              <w:top w:val="nil"/>
              <w:left w:val="nil"/>
              <w:bottom w:val="nil"/>
              <w:right w:val="single" w:sz="8" w:space="0" w:color="BFBFBF"/>
            </w:tcBorders>
            <w:shd w:val="clear" w:color="auto" w:fill="auto"/>
            <w:noWrap/>
            <w:vAlign w:val="bottom"/>
            <w:hideMark/>
          </w:tcPr>
          <w:p w14:paraId="23ACC707"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25.172 </w:t>
            </w:r>
          </w:p>
        </w:tc>
      </w:tr>
      <w:tr w:rsidR="00A27C22" w:rsidRPr="001D0FE2" w14:paraId="1D9566F3"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096C5373"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w:t>
            </w:r>
          </w:p>
        </w:tc>
        <w:tc>
          <w:tcPr>
            <w:tcW w:w="1340" w:type="dxa"/>
            <w:tcBorders>
              <w:top w:val="nil"/>
              <w:left w:val="nil"/>
              <w:bottom w:val="nil"/>
              <w:right w:val="single" w:sz="8" w:space="0" w:color="BFBFBF"/>
            </w:tcBorders>
            <w:shd w:val="clear" w:color="000000" w:fill="DCE6F1"/>
            <w:noWrap/>
            <w:vAlign w:val="bottom"/>
            <w:hideMark/>
          </w:tcPr>
          <w:p w14:paraId="1BCA2132"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34683A68"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w:t>
            </w:r>
          </w:p>
        </w:tc>
      </w:tr>
      <w:tr w:rsidR="00A27C22" w:rsidRPr="001D0FE2" w14:paraId="223E9B25"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079B307A"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Income taxes paid</w:t>
            </w:r>
          </w:p>
        </w:tc>
        <w:tc>
          <w:tcPr>
            <w:tcW w:w="1340" w:type="dxa"/>
            <w:tcBorders>
              <w:top w:val="nil"/>
              <w:left w:val="nil"/>
              <w:bottom w:val="nil"/>
              <w:right w:val="single" w:sz="8" w:space="0" w:color="BFBFBF"/>
            </w:tcBorders>
            <w:shd w:val="clear" w:color="000000" w:fill="DCE6F1"/>
            <w:noWrap/>
            <w:vAlign w:val="bottom"/>
            <w:hideMark/>
          </w:tcPr>
          <w:p w14:paraId="679F74A3"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(50)</w:t>
            </w:r>
          </w:p>
        </w:tc>
        <w:tc>
          <w:tcPr>
            <w:tcW w:w="1340" w:type="dxa"/>
            <w:tcBorders>
              <w:top w:val="nil"/>
              <w:left w:val="nil"/>
              <w:bottom w:val="nil"/>
              <w:right w:val="single" w:sz="8" w:space="0" w:color="BFBFBF"/>
            </w:tcBorders>
            <w:shd w:val="clear" w:color="auto" w:fill="auto"/>
            <w:noWrap/>
            <w:vAlign w:val="bottom"/>
            <w:hideMark/>
          </w:tcPr>
          <w:p w14:paraId="6B4A7385"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(625)</w:t>
            </w:r>
          </w:p>
        </w:tc>
      </w:tr>
      <w:tr w:rsidR="00A27C22" w:rsidRPr="001D0FE2" w14:paraId="21D331AC"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56D2AE96"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 </w:t>
            </w:r>
          </w:p>
        </w:tc>
        <w:tc>
          <w:tcPr>
            <w:tcW w:w="1340" w:type="dxa"/>
            <w:tcBorders>
              <w:top w:val="nil"/>
              <w:left w:val="nil"/>
              <w:bottom w:val="single" w:sz="8" w:space="0" w:color="BFBFBF"/>
              <w:right w:val="single" w:sz="8" w:space="0" w:color="BFBFBF"/>
            </w:tcBorders>
            <w:shd w:val="clear" w:color="000000" w:fill="DCE6F1"/>
            <w:noWrap/>
            <w:vAlign w:val="bottom"/>
            <w:hideMark/>
          </w:tcPr>
          <w:p w14:paraId="6B8089A8"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340" w:type="dxa"/>
            <w:tcBorders>
              <w:top w:val="nil"/>
              <w:left w:val="nil"/>
              <w:bottom w:val="single" w:sz="8" w:space="0" w:color="BFBFBF"/>
              <w:right w:val="single" w:sz="8" w:space="0" w:color="BFBFBF"/>
            </w:tcBorders>
            <w:shd w:val="clear" w:color="auto" w:fill="auto"/>
            <w:noWrap/>
            <w:vAlign w:val="bottom"/>
            <w:hideMark/>
          </w:tcPr>
          <w:p w14:paraId="3D2DD1B7"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68D4B086" w14:textId="77777777" w:rsidTr="00B81D69">
        <w:trPr>
          <w:trHeight w:val="238"/>
        </w:trPr>
        <w:tc>
          <w:tcPr>
            <w:tcW w:w="592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3E25654E"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Net cash flows generated from (used in) operating activities</w:t>
            </w:r>
          </w:p>
        </w:tc>
        <w:tc>
          <w:tcPr>
            <w:tcW w:w="1340" w:type="dxa"/>
            <w:tcBorders>
              <w:top w:val="nil"/>
              <w:left w:val="nil"/>
              <w:bottom w:val="nil"/>
              <w:right w:val="single" w:sz="8" w:space="0" w:color="BFBFBF"/>
            </w:tcBorders>
            <w:shd w:val="clear" w:color="000000" w:fill="DCE6F1"/>
            <w:noWrap/>
            <w:vAlign w:val="center"/>
            <w:hideMark/>
          </w:tcPr>
          <w:p w14:paraId="3BAC48AA"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40.164 </w:t>
            </w:r>
          </w:p>
        </w:tc>
        <w:tc>
          <w:tcPr>
            <w:tcW w:w="1340" w:type="dxa"/>
            <w:tcBorders>
              <w:top w:val="nil"/>
              <w:left w:val="nil"/>
              <w:bottom w:val="nil"/>
              <w:right w:val="single" w:sz="8" w:space="0" w:color="BFBFBF"/>
            </w:tcBorders>
            <w:shd w:val="clear" w:color="auto" w:fill="auto"/>
            <w:noWrap/>
            <w:vAlign w:val="center"/>
            <w:hideMark/>
          </w:tcPr>
          <w:p w14:paraId="5B6C67BD"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24.547 </w:t>
            </w:r>
          </w:p>
        </w:tc>
      </w:tr>
      <w:tr w:rsidR="00A27C22" w:rsidRPr="001D0FE2" w14:paraId="14B17B72" w14:textId="77777777" w:rsidTr="00B81D69">
        <w:trPr>
          <w:trHeight w:val="238"/>
        </w:trPr>
        <w:tc>
          <w:tcPr>
            <w:tcW w:w="5920" w:type="dxa"/>
            <w:tcBorders>
              <w:top w:val="nil"/>
              <w:left w:val="single" w:sz="8" w:space="0" w:color="BFBFBF"/>
              <w:bottom w:val="nil"/>
              <w:right w:val="nil"/>
            </w:tcBorders>
            <w:shd w:val="clear" w:color="auto" w:fill="auto"/>
            <w:vAlign w:val="bottom"/>
            <w:hideMark/>
          </w:tcPr>
          <w:p w14:paraId="4284EFFA" w14:textId="77777777" w:rsidR="00A27C22" w:rsidRPr="001D0FE2" w:rsidRDefault="00A27C22" w:rsidP="00B81D69">
            <w:pPr>
              <w:jc w:val="lef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w:t>
            </w:r>
          </w:p>
        </w:tc>
        <w:tc>
          <w:tcPr>
            <w:tcW w:w="1340" w:type="dxa"/>
            <w:tcBorders>
              <w:top w:val="single" w:sz="8" w:space="0" w:color="BFBFBF"/>
              <w:left w:val="single" w:sz="8" w:space="0" w:color="BFBFBF"/>
              <w:bottom w:val="nil"/>
              <w:right w:val="single" w:sz="8" w:space="0" w:color="BFBFBF"/>
            </w:tcBorders>
            <w:shd w:val="clear" w:color="000000" w:fill="DCE6F1"/>
            <w:noWrap/>
            <w:vAlign w:val="bottom"/>
            <w:hideMark/>
          </w:tcPr>
          <w:p w14:paraId="00F727DC" w14:textId="77777777" w:rsidR="00A27C22" w:rsidRPr="001D0FE2" w:rsidRDefault="00A27C22" w:rsidP="00B81D69">
            <w:pPr>
              <w:jc w:val="lef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w:t>
            </w:r>
          </w:p>
        </w:tc>
        <w:tc>
          <w:tcPr>
            <w:tcW w:w="1340" w:type="dxa"/>
            <w:tcBorders>
              <w:top w:val="single" w:sz="8" w:space="0" w:color="BFBFBF"/>
              <w:left w:val="nil"/>
              <w:bottom w:val="nil"/>
              <w:right w:val="single" w:sz="8" w:space="0" w:color="BFBFBF"/>
            </w:tcBorders>
            <w:shd w:val="clear" w:color="auto" w:fill="auto"/>
            <w:noWrap/>
            <w:vAlign w:val="bottom"/>
            <w:hideMark/>
          </w:tcPr>
          <w:p w14:paraId="24C0D4D3" w14:textId="77777777" w:rsidR="00A27C22" w:rsidRPr="001D0FE2" w:rsidRDefault="00A27C22" w:rsidP="00B81D69">
            <w:pPr>
              <w:jc w:val="lef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w:t>
            </w:r>
          </w:p>
        </w:tc>
      </w:tr>
      <w:tr w:rsidR="00A27C22" w:rsidRPr="001D0FE2" w14:paraId="6A8C4367" w14:textId="77777777" w:rsidTr="00B81D69">
        <w:trPr>
          <w:trHeight w:val="238"/>
        </w:trPr>
        <w:tc>
          <w:tcPr>
            <w:tcW w:w="5920" w:type="dxa"/>
            <w:tcBorders>
              <w:top w:val="nil"/>
              <w:left w:val="single" w:sz="8" w:space="0" w:color="BFBFBF"/>
              <w:bottom w:val="nil"/>
              <w:right w:val="nil"/>
            </w:tcBorders>
            <w:shd w:val="clear" w:color="auto" w:fill="auto"/>
            <w:vAlign w:val="bottom"/>
            <w:hideMark/>
          </w:tcPr>
          <w:p w14:paraId="77D98CC1"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Capital expenditure for property, plant and equipment</w:t>
            </w:r>
          </w:p>
        </w:tc>
        <w:tc>
          <w:tcPr>
            <w:tcW w:w="1340" w:type="dxa"/>
            <w:tcBorders>
              <w:top w:val="nil"/>
              <w:left w:val="single" w:sz="8" w:space="0" w:color="BFBFBF"/>
              <w:bottom w:val="nil"/>
              <w:right w:val="single" w:sz="8" w:space="0" w:color="BFBFBF"/>
            </w:tcBorders>
            <w:shd w:val="clear" w:color="000000" w:fill="DCE6F1"/>
            <w:noWrap/>
            <w:vAlign w:val="bottom"/>
            <w:hideMark/>
          </w:tcPr>
          <w:p w14:paraId="6FF9C37B"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(1.035)</w:t>
            </w:r>
          </w:p>
        </w:tc>
        <w:tc>
          <w:tcPr>
            <w:tcW w:w="1340" w:type="dxa"/>
            <w:tcBorders>
              <w:top w:val="nil"/>
              <w:left w:val="nil"/>
              <w:bottom w:val="nil"/>
              <w:right w:val="single" w:sz="8" w:space="0" w:color="BFBFBF"/>
            </w:tcBorders>
            <w:shd w:val="clear" w:color="auto" w:fill="auto"/>
            <w:noWrap/>
            <w:vAlign w:val="bottom"/>
            <w:hideMark/>
          </w:tcPr>
          <w:p w14:paraId="5BCD358D"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(1.216)</w:t>
            </w:r>
          </w:p>
        </w:tc>
      </w:tr>
      <w:tr w:rsidR="00A27C22" w:rsidRPr="001D0FE2" w14:paraId="1C8E39ED" w14:textId="77777777" w:rsidTr="00B81D69">
        <w:trPr>
          <w:trHeight w:val="238"/>
        </w:trPr>
        <w:tc>
          <w:tcPr>
            <w:tcW w:w="5920" w:type="dxa"/>
            <w:tcBorders>
              <w:top w:val="nil"/>
              <w:left w:val="single" w:sz="8" w:space="0" w:color="BFBFBF"/>
              <w:bottom w:val="nil"/>
              <w:right w:val="nil"/>
            </w:tcBorders>
            <w:shd w:val="clear" w:color="auto" w:fill="auto"/>
            <w:vAlign w:val="bottom"/>
            <w:hideMark/>
          </w:tcPr>
          <w:p w14:paraId="2202B6D0"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Investment intangible assets</w:t>
            </w:r>
          </w:p>
        </w:tc>
        <w:tc>
          <w:tcPr>
            <w:tcW w:w="1340" w:type="dxa"/>
            <w:tcBorders>
              <w:top w:val="nil"/>
              <w:left w:val="single" w:sz="8" w:space="0" w:color="BFBFBF"/>
              <w:bottom w:val="nil"/>
              <w:right w:val="single" w:sz="8" w:space="0" w:color="BFBFBF"/>
            </w:tcBorders>
            <w:shd w:val="clear" w:color="000000" w:fill="DCE6F1"/>
            <w:noWrap/>
            <w:vAlign w:val="bottom"/>
            <w:hideMark/>
          </w:tcPr>
          <w:p w14:paraId="5D2C0EB8"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(230)</w:t>
            </w:r>
          </w:p>
        </w:tc>
        <w:tc>
          <w:tcPr>
            <w:tcW w:w="1340" w:type="dxa"/>
            <w:tcBorders>
              <w:top w:val="nil"/>
              <w:left w:val="nil"/>
              <w:bottom w:val="nil"/>
              <w:right w:val="single" w:sz="8" w:space="0" w:color="BFBFBF"/>
            </w:tcBorders>
            <w:shd w:val="clear" w:color="auto" w:fill="auto"/>
            <w:noWrap/>
            <w:vAlign w:val="bottom"/>
            <w:hideMark/>
          </w:tcPr>
          <w:p w14:paraId="7E3D9BC8"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(521)</w:t>
            </w:r>
          </w:p>
        </w:tc>
      </w:tr>
      <w:tr w:rsidR="00A27C22" w:rsidRPr="001D0FE2" w14:paraId="6B5652E0" w14:textId="77777777" w:rsidTr="00B81D69">
        <w:trPr>
          <w:trHeight w:val="238"/>
        </w:trPr>
        <w:tc>
          <w:tcPr>
            <w:tcW w:w="5920" w:type="dxa"/>
            <w:tcBorders>
              <w:top w:val="nil"/>
              <w:left w:val="single" w:sz="8" w:space="0" w:color="BFBFBF"/>
              <w:bottom w:val="nil"/>
              <w:right w:val="nil"/>
            </w:tcBorders>
            <w:shd w:val="clear" w:color="auto" w:fill="auto"/>
            <w:vAlign w:val="bottom"/>
            <w:hideMark/>
          </w:tcPr>
          <w:p w14:paraId="1750ECBA"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Investment in associates</w:t>
            </w:r>
          </w:p>
        </w:tc>
        <w:tc>
          <w:tcPr>
            <w:tcW w:w="1340" w:type="dxa"/>
            <w:tcBorders>
              <w:top w:val="nil"/>
              <w:left w:val="single" w:sz="8" w:space="0" w:color="BFBFBF"/>
              <w:bottom w:val="nil"/>
              <w:right w:val="single" w:sz="8" w:space="0" w:color="BFBFBF"/>
            </w:tcBorders>
            <w:shd w:val="clear" w:color="000000" w:fill="DCE6F1"/>
            <w:noWrap/>
            <w:vAlign w:val="bottom"/>
            <w:hideMark/>
          </w:tcPr>
          <w:p w14:paraId="169654D2"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(13)</w:t>
            </w:r>
          </w:p>
        </w:tc>
        <w:tc>
          <w:tcPr>
            <w:tcW w:w="1340" w:type="dxa"/>
            <w:tcBorders>
              <w:top w:val="nil"/>
              <w:left w:val="nil"/>
              <w:bottom w:val="nil"/>
              <w:right w:val="single" w:sz="8" w:space="0" w:color="BFBFBF"/>
            </w:tcBorders>
            <w:shd w:val="clear" w:color="auto" w:fill="auto"/>
            <w:noWrap/>
            <w:vAlign w:val="bottom"/>
            <w:hideMark/>
          </w:tcPr>
          <w:p w14:paraId="2040A713"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(2.503)</w:t>
            </w:r>
          </w:p>
        </w:tc>
      </w:tr>
      <w:tr w:rsidR="00A27C22" w:rsidRPr="001D0FE2" w14:paraId="157AB634" w14:textId="77777777" w:rsidTr="00B81D69">
        <w:trPr>
          <w:trHeight w:val="238"/>
        </w:trPr>
        <w:tc>
          <w:tcPr>
            <w:tcW w:w="5920" w:type="dxa"/>
            <w:tcBorders>
              <w:top w:val="nil"/>
              <w:left w:val="single" w:sz="8" w:space="0" w:color="BFBFBF"/>
              <w:bottom w:val="nil"/>
              <w:right w:val="nil"/>
            </w:tcBorders>
            <w:shd w:val="clear" w:color="auto" w:fill="auto"/>
            <w:vAlign w:val="bottom"/>
            <w:hideMark/>
          </w:tcPr>
          <w:p w14:paraId="69B64672"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Acquisition of license</w:t>
            </w:r>
          </w:p>
        </w:tc>
        <w:tc>
          <w:tcPr>
            <w:tcW w:w="1340" w:type="dxa"/>
            <w:tcBorders>
              <w:top w:val="nil"/>
              <w:left w:val="single" w:sz="8" w:space="0" w:color="BFBFBF"/>
              <w:bottom w:val="nil"/>
              <w:right w:val="single" w:sz="8" w:space="0" w:color="BFBFBF"/>
            </w:tcBorders>
            <w:shd w:val="clear" w:color="000000" w:fill="DCE6F1"/>
            <w:noWrap/>
            <w:vAlign w:val="bottom"/>
            <w:hideMark/>
          </w:tcPr>
          <w:p w14:paraId="10B972FC"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(7.939)</w:t>
            </w:r>
          </w:p>
        </w:tc>
        <w:tc>
          <w:tcPr>
            <w:tcW w:w="1340" w:type="dxa"/>
            <w:tcBorders>
              <w:top w:val="nil"/>
              <w:left w:val="nil"/>
              <w:bottom w:val="nil"/>
              <w:right w:val="single" w:sz="8" w:space="0" w:color="BFBFBF"/>
            </w:tcBorders>
            <w:shd w:val="clear" w:color="auto" w:fill="auto"/>
            <w:noWrap/>
            <w:vAlign w:val="bottom"/>
            <w:hideMark/>
          </w:tcPr>
          <w:p w14:paraId="357CF2C8"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   </w:t>
            </w:r>
          </w:p>
        </w:tc>
      </w:tr>
      <w:tr w:rsidR="00A27C22" w:rsidRPr="001D0FE2" w14:paraId="15F8A063" w14:textId="77777777" w:rsidTr="00B81D69">
        <w:trPr>
          <w:trHeight w:val="238"/>
        </w:trPr>
        <w:tc>
          <w:tcPr>
            <w:tcW w:w="5920" w:type="dxa"/>
            <w:tcBorders>
              <w:top w:val="nil"/>
              <w:left w:val="single" w:sz="8" w:space="0" w:color="BFBFBF"/>
              <w:bottom w:val="nil"/>
              <w:right w:val="nil"/>
            </w:tcBorders>
            <w:shd w:val="clear" w:color="auto" w:fill="auto"/>
            <w:vAlign w:val="bottom"/>
            <w:hideMark/>
          </w:tcPr>
          <w:p w14:paraId="1FACB0AD"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 </w:t>
            </w:r>
          </w:p>
        </w:tc>
        <w:tc>
          <w:tcPr>
            <w:tcW w:w="1340" w:type="dxa"/>
            <w:tcBorders>
              <w:top w:val="nil"/>
              <w:left w:val="single" w:sz="8" w:space="0" w:color="BFBFBF"/>
              <w:bottom w:val="single" w:sz="8" w:space="0" w:color="BFBFBF"/>
              <w:right w:val="single" w:sz="8" w:space="0" w:color="BFBFBF"/>
            </w:tcBorders>
            <w:shd w:val="clear" w:color="000000" w:fill="DCE6F1"/>
            <w:noWrap/>
            <w:vAlign w:val="bottom"/>
            <w:hideMark/>
          </w:tcPr>
          <w:p w14:paraId="3F0290C6" w14:textId="77777777" w:rsidR="00A27C22" w:rsidRPr="001D0FE2" w:rsidRDefault="00A27C22" w:rsidP="00B81D69">
            <w:pPr>
              <w:jc w:val="lef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6078D10C" w14:textId="77777777" w:rsidR="00A27C22" w:rsidRPr="001D0FE2" w:rsidRDefault="00A27C22" w:rsidP="00B81D69">
            <w:pPr>
              <w:jc w:val="lef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r>
      <w:tr w:rsidR="00A27C22" w:rsidRPr="001D0FE2" w14:paraId="69F4F125" w14:textId="77777777" w:rsidTr="00B81D69">
        <w:trPr>
          <w:trHeight w:val="238"/>
        </w:trPr>
        <w:tc>
          <w:tcPr>
            <w:tcW w:w="592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7E2DC66F"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Net cash flows used in investing activities</w:t>
            </w:r>
          </w:p>
        </w:tc>
        <w:tc>
          <w:tcPr>
            <w:tcW w:w="1340" w:type="dxa"/>
            <w:tcBorders>
              <w:top w:val="nil"/>
              <w:left w:val="nil"/>
              <w:bottom w:val="single" w:sz="8" w:space="0" w:color="BFBFBF"/>
              <w:right w:val="single" w:sz="8" w:space="0" w:color="BFBFBF"/>
            </w:tcBorders>
            <w:shd w:val="clear" w:color="000000" w:fill="DCE6F1"/>
            <w:noWrap/>
            <w:vAlign w:val="center"/>
            <w:hideMark/>
          </w:tcPr>
          <w:p w14:paraId="3D2293AD"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(9.217)</w:t>
            </w:r>
          </w:p>
        </w:tc>
        <w:tc>
          <w:tcPr>
            <w:tcW w:w="1340" w:type="dxa"/>
            <w:tcBorders>
              <w:top w:val="single" w:sz="8" w:space="0" w:color="BFBFBF"/>
              <w:left w:val="nil"/>
              <w:bottom w:val="single" w:sz="8" w:space="0" w:color="BFBFBF"/>
              <w:right w:val="single" w:sz="8" w:space="0" w:color="BFBFBF"/>
            </w:tcBorders>
            <w:shd w:val="clear" w:color="auto" w:fill="auto"/>
            <w:noWrap/>
            <w:vAlign w:val="center"/>
            <w:hideMark/>
          </w:tcPr>
          <w:p w14:paraId="7288175B"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(4.240)</w:t>
            </w:r>
          </w:p>
        </w:tc>
      </w:tr>
      <w:tr w:rsidR="00A27C22" w:rsidRPr="001D0FE2" w14:paraId="5D975E90" w14:textId="77777777" w:rsidTr="00B81D69">
        <w:trPr>
          <w:trHeight w:val="238"/>
        </w:trPr>
        <w:tc>
          <w:tcPr>
            <w:tcW w:w="5920" w:type="dxa"/>
            <w:tcBorders>
              <w:top w:val="nil"/>
              <w:left w:val="single" w:sz="8" w:space="0" w:color="BFBFBF"/>
              <w:bottom w:val="nil"/>
              <w:right w:val="nil"/>
            </w:tcBorders>
            <w:shd w:val="clear" w:color="auto" w:fill="auto"/>
            <w:vAlign w:val="bottom"/>
            <w:hideMark/>
          </w:tcPr>
          <w:p w14:paraId="74D418A4" w14:textId="77777777" w:rsidR="00A27C22" w:rsidRPr="001D0FE2" w:rsidRDefault="00A27C22" w:rsidP="00B81D69">
            <w:pPr>
              <w:jc w:val="lef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w:t>
            </w:r>
          </w:p>
        </w:tc>
        <w:tc>
          <w:tcPr>
            <w:tcW w:w="1340" w:type="dxa"/>
            <w:tcBorders>
              <w:top w:val="nil"/>
              <w:left w:val="single" w:sz="8" w:space="0" w:color="BFBFBF"/>
              <w:bottom w:val="nil"/>
              <w:right w:val="single" w:sz="8" w:space="0" w:color="BFBFBF"/>
            </w:tcBorders>
            <w:shd w:val="clear" w:color="000000" w:fill="DCE6F1"/>
            <w:noWrap/>
            <w:vAlign w:val="bottom"/>
            <w:hideMark/>
          </w:tcPr>
          <w:p w14:paraId="07C2439E" w14:textId="77777777" w:rsidR="00A27C22" w:rsidRPr="001D0FE2" w:rsidRDefault="00A27C22" w:rsidP="00B81D69">
            <w:pPr>
              <w:jc w:val="lef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42A8B793" w14:textId="77777777" w:rsidR="00A27C22" w:rsidRPr="001D0FE2" w:rsidRDefault="00A27C22" w:rsidP="00B81D69">
            <w:pPr>
              <w:jc w:val="lef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r>
      <w:tr w:rsidR="00A27C22" w:rsidRPr="001D0FE2" w14:paraId="333DA3D4"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1313A430"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Repayment on loans and borrowings</w:t>
            </w:r>
          </w:p>
        </w:tc>
        <w:tc>
          <w:tcPr>
            <w:tcW w:w="1340" w:type="dxa"/>
            <w:tcBorders>
              <w:top w:val="nil"/>
              <w:left w:val="nil"/>
              <w:bottom w:val="nil"/>
              <w:right w:val="single" w:sz="8" w:space="0" w:color="BFBFBF"/>
            </w:tcBorders>
            <w:shd w:val="clear" w:color="000000" w:fill="DCE6F1"/>
            <w:noWrap/>
            <w:vAlign w:val="bottom"/>
            <w:hideMark/>
          </w:tcPr>
          <w:p w14:paraId="738E9229"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(49.914)</w:t>
            </w:r>
          </w:p>
        </w:tc>
        <w:tc>
          <w:tcPr>
            <w:tcW w:w="1340" w:type="dxa"/>
            <w:tcBorders>
              <w:top w:val="nil"/>
              <w:left w:val="nil"/>
              <w:bottom w:val="nil"/>
              <w:right w:val="single" w:sz="8" w:space="0" w:color="BFBFBF"/>
            </w:tcBorders>
            <w:shd w:val="clear" w:color="auto" w:fill="auto"/>
            <w:noWrap/>
            <w:vAlign w:val="bottom"/>
            <w:hideMark/>
          </w:tcPr>
          <w:p w14:paraId="3F8A2F19"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(15.533)</w:t>
            </w:r>
          </w:p>
        </w:tc>
      </w:tr>
      <w:tr w:rsidR="00A27C22" w:rsidRPr="001D0FE2" w14:paraId="0D7EC286"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5EC2DC5F"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Proceeds of issued convertible bonds</w:t>
            </w:r>
          </w:p>
        </w:tc>
        <w:tc>
          <w:tcPr>
            <w:tcW w:w="1340" w:type="dxa"/>
            <w:tcBorders>
              <w:top w:val="nil"/>
              <w:left w:val="nil"/>
              <w:bottom w:val="nil"/>
              <w:right w:val="single" w:sz="8" w:space="0" w:color="BFBFBF"/>
            </w:tcBorders>
            <w:shd w:val="clear" w:color="000000" w:fill="DCE6F1"/>
            <w:noWrap/>
            <w:vAlign w:val="bottom"/>
            <w:hideMark/>
          </w:tcPr>
          <w:p w14:paraId="748D18FA"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122.682 </w:t>
            </w:r>
          </w:p>
        </w:tc>
        <w:tc>
          <w:tcPr>
            <w:tcW w:w="1340" w:type="dxa"/>
            <w:tcBorders>
              <w:top w:val="nil"/>
              <w:left w:val="nil"/>
              <w:bottom w:val="nil"/>
              <w:right w:val="single" w:sz="8" w:space="0" w:color="BFBFBF"/>
            </w:tcBorders>
            <w:shd w:val="clear" w:color="auto" w:fill="auto"/>
            <w:noWrap/>
            <w:vAlign w:val="bottom"/>
            <w:hideMark/>
          </w:tcPr>
          <w:p w14:paraId="6404214F"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   </w:t>
            </w:r>
          </w:p>
        </w:tc>
      </w:tr>
      <w:tr w:rsidR="00A27C22" w:rsidRPr="001D0FE2" w14:paraId="10B92392"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52F93498"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Payment on contingent consideration</w:t>
            </w:r>
          </w:p>
          <w:p w14:paraId="3D63819D" w14:textId="77777777" w:rsidR="00A27C22" w:rsidRPr="002D6138" w:rsidRDefault="00A27C22" w:rsidP="00B81D69">
            <w:pPr>
              <w:jc w:val="left"/>
              <w:rPr>
                <w:rFonts w:asciiTheme="minorHAnsi" w:hAnsiTheme="minorHAnsi" w:cstheme="minorHAnsi"/>
                <w:color w:val="59595B"/>
                <w:sz w:val="20"/>
                <w:szCs w:val="20"/>
                <w:lang w:val="en-GB"/>
              </w:rPr>
            </w:pPr>
          </w:p>
        </w:tc>
        <w:tc>
          <w:tcPr>
            <w:tcW w:w="1340" w:type="dxa"/>
            <w:tcBorders>
              <w:top w:val="nil"/>
              <w:left w:val="nil"/>
              <w:bottom w:val="nil"/>
              <w:right w:val="single" w:sz="8" w:space="0" w:color="BFBFBF"/>
            </w:tcBorders>
            <w:shd w:val="clear" w:color="000000" w:fill="DCE6F1"/>
            <w:noWrap/>
            <w:vAlign w:val="bottom"/>
            <w:hideMark/>
          </w:tcPr>
          <w:p w14:paraId="2D702812"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(18.135)</w:t>
            </w:r>
          </w:p>
        </w:tc>
        <w:tc>
          <w:tcPr>
            <w:tcW w:w="1340" w:type="dxa"/>
            <w:tcBorders>
              <w:top w:val="nil"/>
              <w:left w:val="nil"/>
              <w:bottom w:val="nil"/>
              <w:right w:val="single" w:sz="8" w:space="0" w:color="BFBFBF"/>
            </w:tcBorders>
            <w:shd w:val="clear" w:color="auto" w:fill="auto"/>
            <w:noWrap/>
            <w:vAlign w:val="bottom"/>
            <w:hideMark/>
          </w:tcPr>
          <w:p w14:paraId="42BE11AE"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(17.635)</w:t>
            </w:r>
          </w:p>
        </w:tc>
      </w:tr>
      <w:tr w:rsidR="00A27C22" w:rsidRPr="001D0FE2" w14:paraId="0AD8A62D"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299645F9"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Interests on loans and leases</w:t>
            </w:r>
          </w:p>
        </w:tc>
        <w:tc>
          <w:tcPr>
            <w:tcW w:w="1340" w:type="dxa"/>
            <w:tcBorders>
              <w:top w:val="nil"/>
              <w:left w:val="nil"/>
              <w:bottom w:val="nil"/>
              <w:right w:val="single" w:sz="8" w:space="0" w:color="BFBFBF"/>
            </w:tcBorders>
            <w:shd w:val="clear" w:color="000000" w:fill="DCE6F1"/>
            <w:noWrap/>
            <w:vAlign w:val="bottom"/>
            <w:hideMark/>
          </w:tcPr>
          <w:p w14:paraId="05072233"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(720)</w:t>
            </w:r>
          </w:p>
        </w:tc>
        <w:tc>
          <w:tcPr>
            <w:tcW w:w="1340" w:type="dxa"/>
            <w:tcBorders>
              <w:top w:val="nil"/>
              <w:left w:val="nil"/>
              <w:bottom w:val="nil"/>
              <w:right w:val="single" w:sz="8" w:space="0" w:color="BFBFBF"/>
            </w:tcBorders>
            <w:shd w:val="clear" w:color="auto" w:fill="auto"/>
            <w:noWrap/>
            <w:vAlign w:val="bottom"/>
            <w:hideMark/>
          </w:tcPr>
          <w:p w14:paraId="7DB7AF9A"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(4.830)</w:t>
            </w:r>
          </w:p>
        </w:tc>
      </w:tr>
      <w:tr w:rsidR="00A27C22" w:rsidRPr="001D0FE2" w14:paraId="5EA2BF54"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346BD04F"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Payment of lease liabilities</w:t>
            </w:r>
          </w:p>
        </w:tc>
        <w:tc>
          <w:tcPr>
            <w:tcW w:w="1340" w:type="dxa"/>
            <w:tcBorders>
              <w:top w:val="nil"/>
              <w:left w:val="nil"/>
              <w:bottom w:val="nil"/>
              <w:right w:val="single" w:sz="8" w:space="0" w:color="BFBFBF"/>
            </w:tcBorders>
            <w:shd w:val="clear" w:color="000000" w:fill="DCE6F1"/>
            <w:noWrap/>
            <w:vAlign w:val="bottom"/>
            <w:hideMark/>
          </w:tcPr>
          <w:p w14:paraId="272336E0"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(1.402)</w:t>
            </w:r>
          </w:p>
        </w:tc>
        <w:tc>
          <w:tcPr>
            <w:tcW w:w="1340" w:type="dxa"/>
            <w:tcBorders>
              <w:top w:val="nil"/>
              <w:left w:val="nil"/>
              <w:bottom w:val="nil"/>
              <w:right w:val="single" w:sz="8" w:space="0" w:color="BFBFBF"/>
            </w:tcBorders>
            <w:shd w:val="clear" w:color="auto" w:fill="auto"/>
            <w:noWrap/>
            <w:vAlign w:val="bottom"/>
            <w:hideMark/>
          </w:tcPr>
          <w:p w14:paraId="0CFCF07E"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(619)</w:t>
            </w:r>
          </w:p>
        </w:tc>
      </w:tr>
      <w:tr w:rsidR="00A27C22" w:rsidRPr="001D0FE2" w14:paraId="1CF1A1CD"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2492E424"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Interest received</w:t>
            </w:r>
          </w:p>
        </w:tc>
        <w:tc>
          <w:tcPr>
            <w:tcW w:w="1340" w:type="dxa"/>
            <w:tcBorders>
              <w:top w:val="nil"/>
              <w:left w:val="nil"/>
              <w:bottom w:val="nil"/>
              <w:right w:val="single" w:sz="8" w:space="0" w:color="BFBFBF"/>
            </w:tcBorders>
            <w:shd w:val="clear" w:color="000000" w:fill="DCE6F1"/>
            <w:noWrap/>
            <w:vAlign w:val="bottom"/>
            <w:hideMark/>
          </w:tcPr>
          <w:p w14:paraId="3246FEC3"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479 </w:t>
            </w:r>
          </w:p>
        </w:tc>
        <w:tc>
          <w:tcPr>
            <w:tcW w:w="1340" w:type="dxa"/>
            <w:tcBorders>
              <w:top w:val="nil"/>
              <w:left w:val="nil"/>
              <w:bottom w:val="nil"/>
              <w:right w:val="single" w:sz="8" w:space="0" w:color="BFBFBF"/>
            </w:tcBorders>
            <w:shd w:val="clear" w:color="auto" w:fill="auto"/>
            <w:noWrap/>
            <w:vAlign w:val="bottom"/>
            <w:hideMark/>
          </w:tcPr>
          <w:p w14:paraId="68A855D4"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475 </w:t>
            </w:r>
          </w:p>
        </w:tc>
      </w:tr>
      <w:tr w:rsidR="00A27C22" w:rsidRPr="001D0FE2" w14:paraId="1771A764"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7CD8EBA4"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Proceeds of equity and warrants</w:t>
            </w:r>
          </w:p>
        </w:tc>
        <w:tc>
          <w:tcPr>
            <w:tcW w:w="1340" w:type="dxa"/>
            <w:tcBorders>
              <w:top w:val="nil"/>
              <w:left w:val="nil"/>
              <w:bottom w:val="nil"/>
              <w:right w:val="single" w:sz="8" w:space="0" w:color="BFBFBF"/>
            </w:tcBorders>
            <w:shd w:val="clear" w:color="000000" w:fill="DCE6F1"/>
            <w:noWrap/>
            <w:vAlign w:val="bottom"/>
            <w:hideMark/>
          </w:tcPr>
          <w:p w14:paraId="28D4FF4C"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1.916 </w:t>
            </w:r>
          </w:p>
        </w:tc>
        <w:tc>
          <w:tcPr>
            <w:tcW w:w="1340" w:type="dxa"/>
            <w:tcBorders>
              <w:top w:val="nil"/>
              <w:left w:val="nil"/>
              <w:bottom w:val="nil"/>
              <w:right w:val="single" w:sz="8" w:space="0" w:color="BFBFBF"/>
            </w:tcBorders>
            <w:shd w:val="clear" w:color="auto" w:fill="auto"/>
            <w:noWrap/>
            <w:vAlign w:val="bottom"/>
            <w:hideMark/>
          </w:tcPr>
          <w:p w14:paraId="0E52BEE2"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992 </w:t>
            </w:r>
          </w:p>
        </w:tc>
      </w:tr>
      <w:tr w:rsidR="00A27C22" w:rsidRPr="001D0FE2" w14:paraId="0B1F1D76" w14:textId="77777777" w:rsidTr="00B81D69">
        <w:trPr>
          <w:trHeight w:val="238"/>
        </w:trPr>
        <w:tc>
          <w:tcPr>
            <w:tcW w:w="5920" w:type="dxa"/>
            <w:tcBorders>
              <w:top w:val="nil"/>
              <w:left w:val="single" w:sz="8" w:space="0" w:color="BFBFBF"/>
              <w:bottom w:val="nil"/>
              <w:right w:val="nil"/>
            </w:tcBorders>
            <w:shd w:val="clear" w:color="auto" w:fill="auto"/>
            <w:vAlign w:val="bottom"/>
            <w:hideMark/>
          </w:tcPr>
          <w:p w14:paraId="7E2F5F25"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 </w:t>
            </w:r>
          </w:p>
        </w:tc>
        <w:tc>
          <w:tcPr>
            <w:tcW w:w="1340" w:type="dxa"/>
            <w:tcBorders>
              <w:top w:val="nil"/>
              <w:left w:val="single" w:sz="8" w:space="0" w:color="BFBFBF"/>
              <w:bottom w:val="nil"/>
              <w:right w:val="single" w:sz="8" w:space="0" w:color="BFBFBF"/>
            </w:tcBorders>
            <w:shd w:val="clear" w:color="000000" w:fill="DCE6F1"/>
            <w:noWrap/>
            <w:vAlign w:val="bottom"/>
            <w:hideMark/>
          </w:tcPr>
          <w:p w14:paraId="7A621B01" w14:textId="77777777" w:rsidR="00A27C22" w:rsidRPr="001D0FE2" w:rsidRDefault="00A27C22" w:rsidP="00B81D69">
            <w:pPr>
              <w:jc w:val="lef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20B2EC47" w14:textId="77777777" w:rsidR="00A27C22" w:rsidRPr="001D0FE2" w:rsidRDefault="00A27C22" w:rsidP="00B81D69">
            <w:pPr>
              <w:jc w:val="lef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r>
      <w:tr w:rsidR="00A27C22" w:rsidRPr="001D0FE2" w14:paraId="3E063737" w14:textId="77777777" w:rsidTr="00B81D69">
        <w:trPr>
          <w:trHeight w:val="238"/>
        </w:trPr>
        <w:tc>
          <w:tcPr>
            <w:tcW w:w="592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43B9FE26"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Net cash flows generated from (used in) financing activities</w:t>
            </w:r>
          </w:p>
        </w:tc>
        <w:tc>
          <w:tcPr>
            <w:tcW w:w="1340" w:type="dxa"/>
            <w:tcBorders>
              <w:top w:val="single" w:sz="8" w:space="0" w:color="BFBFBF"/>
              <w:left w:val="nil"/>
              <w:bottom w:val="single" w:sz="8" w:space="0" w:color="BFBFBF"/>
              <w:right w:val="single" w:sz="8" w:space="0" w:color="BFBFBF"/>
            </w:tcBorders>
            <w:shd w:val="clear" w:color="000000" w:fill="DCE6F1"/>
            <w:noWrap/>
            <w:vAlign w:val="center"/>
            <w:hideMark/>
          </w:tcPr>
          <w:p w14:paraId="5157E02E"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54.906 </w:t>
            </w:r>
          </w:p>
        </w:tc>
        <w:tc>
          <w:tcPr>
            <w:tcW w:w="1340" w:type="dxa"/>
            <w:tcBorders>
              <w:top w:val="single" w:sz="8" w:space="0" w:color="BFBFBF"/>
              <w:left w:val="nil"/>
              <w:bottom w:val="single" w:sz="8" w:space="0" w:color="BFBFBF"/>
              <w:right w:val="single" w:sz="8" w:space="0" w:color="BFBFBF"/>
            </w:tcBorders>
            <w:shd w:val="clear" w:color="auto" w:fill="auto"/>
            <w:noWrap/>
            <w:vAlign w:val="center"/>
            <w:hideMark/>
          </w:tcPr>
          <w:p w14:paraId="33401F86"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(37.150)</w:t>
            </w:r>
          </w:p>
        </w:tc>
      </w:tr>
      <w:tr w:rsidR="00A27C22" w:rsidRPr="001D0FE2" w14:paraId="242F2F53"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0F81032A"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 </w:t>
            </w:r>
          </w:p>
        </w:tc>
        <w:tc>
          <w:tcPr>
            <w:tcW w:w="1340" w:type="dxa"/>
            <w:tcBorders>
              <w:top w:val="nil"/>
              <w:left w:val="nil"/>
              <w:bottom w:val="nil"/>
              <w:right w:val="single" w:sz="8" w:space="0" w:color="BFBFBF"/>
            </w:tcBorders>
            <w:shd w:val="clear" w:color="000000" w:fill="DCE6F1"/>
            <w:noWrap/>
            <w:vAlign w:val="bottom"/>
            <w:hideMark/>
          </w:tcPr>
          <w:p w14:paraId="63630EF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6A42EA9B"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378959B5"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41375606"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Increase (decrease) of cash</w:t>
            </w:r>
          </w:p>
        </w:tc>
        <w:tc>
          <w:tcPr>
            <w:tcW w:w="1340" w:type="dxa"/>
            <w:tcBorders>
              <w:top w:val="nil"/>
              <w:left w:val="nil"/>
              <w:bottom w:val="nil"/>
              <w:right w:val="single" w:sz="8" w:space="0" w:color="BFBFBF"/>
            </w:tcBorders>
            <w:shd w:val="clear" w:color="000000" w:fill="DCE6F1"/>
            <w:noWrap/>
            <w:vAlign w:val="bottom"/>
            <w:hideMark/>
          </w:tcPr>
          <w:p w14:paraId="02EBF9FA"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85.853 </w:t>
            </w:r>
          </w:p>
        </w:tc>
        <w:tc>
          <w:tcPr>
            <w:tcW w:w="1340" w:type="dxa"/>
            <w:tcBorders>
              <w:top w:val="nil"/>
              <w:left w:val="nil"/>
              <w:bottom w:val="nil"/>
              <w:right w:val="single" w:sz="8" w:space="0" w:color="BFBFBF"/>
            </w:tcBorders>
            <w:shd w:val="clear" w:color="auto" w:fill="auto"/>
            <w:noWrap/>
            <w:vAlign w:val="bottom"/>
            <w:hideMark/>
          </w:tcPr>
          <w:p w14:paraId="31E19E79"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xml:space="preserve">           (16.843)</w:t>
            </w:r>
          </w:p>
        </w:tc>
      </w:tr>
      <w:tr w:rsidR="00A27C22" w:rsidRPr="001D0FE2" w14:paraId="25FF8CA5"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2B4345C1"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Exchange rate effects</w:t>
            </w:r>
          </w:p>
        </w:tc>
        <w:tc>
          <w:tcPr>
            <w:tcW w:w="1340" w:type="dxa"/>
            <w:tcBorders>
              <w:top w:val="nil"/>
              <w:left w:val="nil"/>
              <w:bottom w:val="nil"/>
              <w:right w:val="single" w:sz="8" w:space="0" w:color="BFBFBF"/>
            </w:tcBorders>
            <w:shd w:val="clear" w:color="000000" w:fill="DCE6F1"/>
            <w:noWrap/>
            <w:vAlign w:val="bottom"/>
            <w:hideMark/>
          </w:tcPr>
          <w:p w14:paraId="4ED7BE27"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634 </w:t>
            </w:r>
          </w:p>
        </w:tc>
        <w:tc>
          <w:tcPr>
            <w:tcW w:w="1340" w:type="dxa"/>
            <w:tcBorders>
              <w:top w:val="nil"/>
              <w:left w:val="nil"/>
              <w:bottom w:val="nil"/>
              <w:right w:val="single" w:sz="8" w:space="0" w:color="BFBFBF"/>
            </w:tcBorders>
            <w:shd w:val="clear" w:color="auto" w:fill="auto"/>
            <w:noWrap/>
            <w:vAlign w:val="bottom"/>
            <w:hideMark/>
          </w:tcPr>
          <w:p w14:paraId="45A6AB1F"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593 </w:t>
            </w:r>
          </w:p>
        </w:tc>
      </w:tr>
      <w:tr w:rsidR="00A27C22" w:rsidRPr="001D0FE2" w14:paraId="367CD306"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57C35B40"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Cash and cash equivalents at 1 January</w:t>
            </w:r>
          </w:p>
        </w:tc>
        <w:tc>
          <w:tcPr>
            <w:tcW w:w="1340" w:type="dxa"/>
            <w:tcBorders>
              <w:top w:val="nil"/>
              <w:left w:val="nil"/>
              <w:bottom w:val="nil"/>
              <w:right w:val="single" w:sz="8" w:space="0" w:color="BFBFBF"/>
            </w:tcBorders>
            <w:shd w:val="clear" w:color="000000" w:fill="DCE6F1"/>
            <w:noWrap/>
            <w:vAlign w:val="bottom"/>
            <w:hideMark/>
          </w:tcPr>
          <w:p w14:paraId="7C9080C3"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68.567 </w:t>
            </w:r>
          </w:p>
        </w:tc>
        <w:tc>
          <w:tcPr>
            <w:tcW w:w="1340" w:type="dxa"/>
            <w:tcBorders>
              <w:top w:val="nil"/>
              <w:left w:val="nil"/>
              <w:bottom w:val="nil"/>
              <w:right w:val="single" w:sz="8" w:space="0" w:color="BFBFBF"/>
            </w:tcBorders>
            <w:shd w:val="clear" w:color="auto" w:fill="auto"/>
            <w:noWrap/>
            <w:vAlign w:val="bottom"/>
            <w:hideMark/>
          </w:tcPr>
          <w:p w14:paraId="4EA8A2DD"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81.515 </w:t>
            </w:r>
          </w:p>
        </w:tc>
      </w:tr>
      <w:tr w:rsidR="00A27C22" w:rsidRPr="001D0FE2" w14:paraId="7853B31E" w14:textId="77777777" w:rsidTr="00B81D69">
        <w:trPr>
          <w:trHeight w:val="238"/>
        </w:trPr>
        <w:tc>
          <w:tcPr>
            <w:tcW w:w="5920" w:type="dxa"/>
            <w:tcBorders>
              <w:top w:val="nil"/>
              <w:left w:val="single" w:sz="8" w:space="0" w:color="BFBFBF"/>
              <w:bottom w:val="nil"/>
              <w:right w:val="single" w:sz="8" w:space="0" w:color="BFBFBF"/>
            </w:tcBorders>
            <w:shd w:val="clear" w:color="auto" w:fill="auto"/>
            <w:vAlign w:val="bottom"/>
            <w:hideMark/>
          </w:tcPr>
          <w:p w14:paraId="6DB865BE"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 </w:t>
            </w:r>
          </w:p>
        </w:tc>
        <w:tc>
          <w:tcPr>
            <w:tcW w:w="1340" w:type="dxa"/>
            <w:tcBorders>
              <w:top w:val="nil"/>
              <w:left w:val="nil"/>
              <w:bottom w:val="nil"/>
              <w:right w:val="single" w:sz="8" w:space="0" w:color="BFBFBF"/>
            </w:tcBorders>
            <w:shd w:val="clear" w:color="000000" w:fill="DCE6F1"/>
            <w:noWrap/>
            <w:vAlign w:val="bottom"/>
            <w:hideMark/>
          </w:tcPr>
          <w:p w14:paraId="56241EB0"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42BA18B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4BFD5CEC" w14:textId="77777777" w:rsidTr="00B81D69">
        <w:trPr>
          <w:trHeight w:val="238"/>
        </w:trPr>
        <w:tc>
          <w:tcPr>
            <w:tcW w:w="592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3E0B8966"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Total cash and cash equivalents at 30 June</w:t>
            </w:r>
          </w:p>
        </w:tc>
        <w:tc>
          <w:tcPr>
            <w:tcW w:w="1340" w:type="dxa"/>
            <w:tcBorders>
              <w:top w:val="single" w:sz="8" w:space="0" w:color="BFBFBF"/>
              <w:left w:val="nil"/>
              <w:bottom w:val="single" w:sz="8" w:space="0" w:color="BFBFBF"/>
              <w:right w:val="single" w:sz="8" w:space="0" w:color="BFBFBF"/>
            </w:tcBorders>
            <w:shd w:val="clear" w:color="000000" w:fill="DCE6F1"/>
            <w:noWrap/>
            <w:vAlign w:val="center"/>
            <w:hideMark/>
          </w:tcPr>
          <w:p w14:paraId="5BA2DF80"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155.054 </w:t>
            </w:r>
          </w:p>
        </w:tc>
        <w:tc>
          <w:tcPr>
            <w:tcW w:w="1340" w:type="dxa"/>
            <w:tcBorders>
              <w:top w:val="single" w:sz="8" w:space="0" w:color="BFBFBF"/>
              <w:left w:val="nil"/>
              <w:bottom w:val="single" w:sz="8" w:space="0" w:color="BFBFBF"/>
              <w:right w:val="single" w:sz="8" w:space="0" w:color="BFBFBF"/>
            </w:tcBorders>
            <w:shd w:val="clear" w:color="auto" w:fill="auto"/>
            <w:noWrap/>
            <w:vAlign w:val="center"/>
            <w:hideMark/>
          </w:tcPr>
          <w:p w14:paraId="12651C5A"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65.265 </w:t>
            </w:r>
          </w:p>
        </w:tc>
      </w:tr>
    </w:tbl>
    <w:p w14:paraId="51E2945D" w14:textId="77777777" w:rsidR="00A27C22" w:rsidRPr="001D0FE2" w:rsidRDefault="00A27C22" w:rsidP="00A27C22">
      <w:pPr>
        <w:jc w:val="right"/>
        <w:rPr>
          <w:rFonts w:asciiTheme="minorHAnsi" w:hAnsiTheme="minorHAnsi" w:cstheme="minorHAnsi"/>
          <w:szCs w:val="22"/>
          <w:lang w:val="en-GB"/>
        </w:rPr>
      </w:pPr>
    </w:p>
    <w:p w14:paraId="7C628A53" w14:textId="77777777" w:rsidR="00A27C22" w:rsidRPr="001D0FE2" w:rsidRDefault="00A27C22" w:rsidP="00A27C22">
      <w:pPr>
        <w:jc w:val="right"/>
        <w:rPr>
          <w:rFonts w:asciiTheme="minorHAnsi" w:hAnsiTheme="minorHAnsi" w:cstheme="minorHAnsi"/>
          <w:szCs w:val="22"/>
          <w:lang w:val="en-GB"/>
        </w:rPr>
      </w:pPr>
    </w:p>
    <w:p w14:paraId="6B618A7C" w14:textId="77777777" w:rsidR="00A27C22" w:rsidRPr="001D0FE2" w:rsidRDefault="00A27C22" w:rsidP="00A27C22">
      <w:pPr>
        <w:jc w:val="right"/>
        <w:rPr>
          <w:rFonts w:asciiTheme="minorHAnsi" w:hAnsiTheme="minorHAnsi" w:cstheme="minorHAnsi"/>
          <w:szCs w:val="22"/>
          <w:lang w:val="en-GB"/>
        </w:rPr>
      </w:pPr>
    </w:p>
    <w:p w14:paraId="180AAC76" w14:textId="77777777" w:rsidR="00A27C22" w:rsidRPr="001D0FE2" w:rsidRDefault="00A27C22" w:rsidP="00A27C22">
      <w:pPr>
        <w:jc w:val="right"/>
        <w:rPr>
          <w:rFonts w:asciiTheme="minorHAnsi" w:eastAsiaTheme="majorEastAsia" w:hAnsiTheme="minorHAnsi" w:cstheme="minorHAnsi"/>
          <w:b/>
          <w:color w:val="59595B"/>
          <w:sz w:val="20"/>
          <w:szCs w:val="28"/>
          <w:lang w:val="en-GB" w:eastAsia="zh-CN"/>
        </w:rPr>
      </w:pPr>
      <w:bookmarkStart w:id="2" w:name="_Hlk43889703"/>
      <w:r w:rsidRPr="001D0FE2">
        <w:rPr>
          <w:rFonts w:asciiTheme="minorHAnsi" w:hAnsiTheme="minorHAnsi" w:cstheme="minorHAnsi"/>
          <w:sz w:val="18"/>
          <w:szCs w:val="22"/>
          <w:lang w:val="en-GB"/>
        </w:rPr>
        <w:t>The notes are an integral part of these interim financial statements</w:t>
      </w:r>
    </w:p>
    <w:bookmarkEnd w:id="2"/>
    <w:p w14:paraId="6C86F69E" w14:textId="77777777" w:rsidR="00A27C22" w:rsidRPr="001D0FE2" w:rsidRDefault="00A27C22" w:rsidP="00A27C22">
      <w:pPr>
        <w:jc w:val="left"/>
        <w:rPr>
          <w:rFonts w:asciiTheme="minorHAnsi" w:eastAsiaTheme="majorEastAsia" w:hAnsiTheme="minorHAnsi" w:cstheme="minorHAnsi"/>
          <w:b/>
          <w:color w:val="59595B"/>
          <w:szCs w:val="28"/>
          <w:lang w:val="en-GB" w:eastAsia="zh-CN"/>
        </w:rPr>
      </w:pPr>
    </w:p>
    <w:p w14:paraId="10AFFDBE" w14:textId="77777777" w:rsidR="00A27C22" w:rsidRPr="002D6138" w:rsidRDefault="00A27C22" w:rsidP="00A27C22">
      <w:pPr>
        <w:jc w:val="left"/>
        <w:rPr>
          <w:rFonts w:asciiTheme="minorHAnsi" w:hAnsiTheme="minorHAnsi" w:cstheme="minorHAnsi"/>
          <w:b/>
          <w:color w:val="59595B"/>
          <w:szCs w:val="22"/>
          <w:lang w:val="en-GB"/>
        </w:rPr>
      </w:pPr>
      <w:r w:rsidRPr="002D6138">
        <w:rPr>
          <w:rFonts w:asciiTheme="minorHAnsi" w:eastAsiaTheme="majorEastAsia" w:hAnsiTheme="minorHAnsi" w:cstheme="minorHAnsi"/>
          <w:b/>
          <w:color w:val="59595B"/>
          <w:szCs w:val="28"/>
          <w:lang w:val="en-GB" w:eastAsia="zh-CN"/>
        </w:rPr>
        <w:lastRenderedPageBreak/>
        <w:t>Notes to the Condensed Consolidated Interim Financial Statements</w:t>
      </w:r>
    </w:p>
    <w:p w14:paraId="4AA61CB1" w14:textId="77777777" w:rsidR="00A27C22" w:rsidRPr="002D6138" w:rsidRDefault="00A27C22" w:rsidP="00A27C22">
      <w:pPr>
        <w:pStyle w:val="NoSpacing"/>
        <w:rPr>
          <w:rFonts w:asciiTheme="minorHAnsi" w:hAnsiTheme="minorHAnsi" w:cstheme="minorHAnsi"/>
          <w:sz w:val="24"/>
          <w:lang w:val="en-GB"/>
        </w:rPr>
      </w:pPr>
      <w:r w:rsidRPr="002D6138">
        <w:rPr>
          <w:rFonts w:asciiTheme="minorHAnsi" w:hAnsiTheme="minorHAnsi" w:cstheme="minorHAnsi"/>
          <w:sz w:val="24"/>
          <w:lang w:val="en-GB"/>
        </w:rPr>
        <w:t>For the period ended 30 June</w:t>
      </w:r>
    </w:p>
    <w:p w14:paraId="61A794C1" w14:textId="77777777" w:rsidR="00A27C22" w:rsidRPr="001D0FE2" w:rsidRDefault="00A27C22" w:rsidP="00A27C22">
      <w:pPr>
        <w:autoSpaceDE w:val="0"/>
        <w:autoSpaceDN w:val="0"/>
        <w:adjustRightInd w:val="0"/>
        <w:rPr>
          <w:rFonts w:asciiTheme="minorHAnsi" w:hAnsiTheme="minorHAnsi" w:cstheme="minorHAnsi"/>
          <w:color w:val="003F6A"/>
          <w:szCs w:val="22"/>
          <w:lang w:val="en-GB"/>
        </w:rPr>
      </w:pPr>
    </w:p>
    <w:p w14:paraId="0155BA92" w14:textId="77777777" w:rsidR="00A27C22" w:rsidRPr="002D6138" w:rsidRDefault="00A27C22" w:rsidP="00A27C22">
      <w:pPr>
        <w:pStyle w:val="ListParagraph"/>
        <w:numPr>
          <w:ilvl w:val="0"/>
          <w:numId w:val="3"/>
        </w:numPr>
        <w:autoSpaceDE w:val="0"/>
        <w:autoSpaceDN w:val="0"/>
        <w:adjustRightInd w:val="0"/>
        <w:rPr>
          <w:rFonts w:asciiTheme="minorHAnsi" w:hAnsiTheme="minorHAnsi" w:cstheme="minorHAnsi"/>
          <w:i/>
          <w:color w:val="59595B"/>
          <w:szCs w:val="22"/>
          <w:lang w:val="en-GB"/>
        </w:rPr>
      </w:pPr>
      <w:r w:rsidRPr="002D6138">
        <w:rPr>
          <w:rFonts w:asciiTheme="minorHAnsi" w:hAnsiTheme="minorHAnsi" w:cstheme="minorHAnsi"/>
          <w:i/>
          <w:color w:val="59595B"/>
          <w:szCs w:val="22"/>
          <w:lang w:val="en-GB"/>
        </w:rPr>
        <w:t>Company information</w:t>
      </w:r>
    </w:p>
    <w:p w14:paraId="50E31F9F" w14:textId="77777777" w:rsidR="00A27C22" w:rsidRPr="002D6138" w:rsidRDefault="00A27C22" w:rsidP="00A27C22">
      <w:pPr>
        <w:pStyle w:val="ListParagraph"/>
        <w:autoSpaceDE w:val="0"/>
        <w:autoSpaceDN w:val="0"/>
        <w:adjustRightInd w:val="0"/>
        <w:rPr>
          <w:rFonts w:asciiTheme="minorHAnsi" w:hAnsiTheme="minorHAnsi" w:cstheme="minorHAnsi"/>
          <w:i/>
          <w:color w:val="59595B"/>
          <w:szCs w:val="22"/>
          <w:lang w:val="en-GB"/>
        </w:rPr>
      </w:pPr>
    </w:p>
    <w:p w14:paraId="3440F386" w14:textId="77777777" w:rsidR="00A27C22" w:rsidRPr="00A95B8F" w:rsidRDefault="00A27C22" w:rsidP="00A27C22">
      <w:pPr>
        <w:pStyle w:val="AL"/>
        <w:spacing w:after="120"/>
        <w:rPr>
          <w:rFonts w:asciiTheme="minorHAnsi" w:hAnsiTheme="minorHAnsi" w:cstheme="minorHAnsi"/>
          <w:color w:val="59595B"/>
          <w:sz w:val="22"/>
        </w:rPr>
      </w:pPr>
      <w:r w:rsidRPr="00A95B8F">
        <w:rPr>
          <w:rFonts w:asciiTheme="minorHAnsi" w:hAnsiTheme="minorHAnsi" w:cstheme="minorHAnsi"/>
          <w:color w:val="59595B"/>
          <w:sz w:val="22"/>
        </w:rPr>
        <w:t>Pharming Group N.V. is a limited liability public company which is listed on Euronext Amsterdam (PHARM), with its headquarters and registered office located at:</w:t>
      </w:r>
    </w:p>
    <w:p w14:paraId="3ACB3C0A" w14:textId="77777777" w:rsidR="00A27C22" w:rsidRPr="00A95B8F" w:rsidRDefault="00A27C22" w:rsidP="00A27C22">
      <w:pPr>
        <w:pStyle w:val="AL"/>
        <w:rPr>
          <w:rFonts w:asciiTheme="minorHAnsi" w:hAnsiTheme="minorHAnsi" w:cstheme="minorHAnsi"/>
          <w:color w:val="59595B"/>
          <w:sz w:val="22"/>
        </w:rPr>
      </w:pPr>
      <w:r w:rsidRPr="00A95B8F">
        <w:rPr>
          <w:rFonts w:asciiTheme="minorHAnsi" w:hAnsiTheme="minorHAnsi" w:cstheme="minorHAnsi"/>
          <w:color w:val="59595B"/>
          <w:sz w:val="22"/>
        </w:rPr>
        <w:t>Darwinweg 24</w:t>
      </w:r>
    </w:p>
    <w:p w14:paraId="21CB15BD" w14:textId="77777777" w:rsidR="00A27C22" w:rsidRPr="00A95B8F" w:rsidRDefault="00A27C22" w:rsidP="00A27C22">
      <w:pPr>
        <w:pStyle w:val="AL"/>
        <w:rPr>
          <w:rFonts w:asciiTheme="minorHAnsi" w:hAnsiTheme="minorHAnsi" w:cstheme="minorHAnsi"/>
          <w:color w:val="59595B"/>
          <w:sz w:val="22"/>
        </w:rPr>
      </w:pPr>
      <w:r w:rsidRPr="00A95B8F">
        <w:rPr>
          <w:rFonts w:asciiTheme="minorHAnsi" w:hAnsiTheme="minorHAnsi" w:cstheme="minorHAnsi"/>
          <w:color w:val="59595B"/>
          <w:sz w:val="22"/>
        </w:rPr>
        <w:t>2333 CR Leiden</w:t>
      </w:r>
    </w:p>
    <w:p w14:paraId="070DBFCB" w14:textId="77777777" w:rsidR="00A27C22" w:rsidRPr="00A95B8F" w:rsidRDefault="00A27C22" w:rsidP="00A27C22">
      <w:pPr>
        <w:pStyle w:val="AL"/>
        <w:rPr>
          <w:rFonts w:asciiTheme="minorHAnsi" w:hAnsiTheme="minorHAnsi" w:cstheme="minorHAnsi"/>
          <w:color w:val="59595B"/>
          <w:sz w:val="22"/>
        </w:rPr>
      </w:pPr>
      <w:r w:rsidRPr="00A95B8F">
        <w:rPr>
          <w:rFonts w:asciiTheme="minorHAnsi" w:hAnsiTheme="minorHAnsi" w:cstheme="minorHAnsi"/>
          <w:color w:val="59595B"/>
          <w:sz w:val="22"/>
        </w:rPr>
        <w:t>The Netherlands</w:t>
      </w:r>
    </w:p>
    <w:p w14:paraId="358370D7" w14:textId="77777777" w:rsidR="00A27C22" w:rsidRPr="002D6138" w:rsidRDefault="00A27C22" w:rsidP="00A27C22">
      <w:pPr>
        <w:pStyle w:val="ListParagraph"/>
        <w:numPr>
          <w:ilvl w:val="0"/>
          <w:numId w:val="3"/>
        </w:numPr>
        <w:autoSpaceDE w:val="0"/>
        <w:autoSpaceDN w:val="0"/>
        <w:adjustRightInd w:val="0"/>
        <w:spacing w:before="240"/>
        <w:rPr>
          <w:rFonts w:asciiTheme="minorHAnsi" w:hAnsiTheme="minorHAnsi" w:cstheme="minorHAnsi"/>
          <w:i/>
          <w:color w:val="59595B"/>
          <w:szCs w:val="22"/>
          <w:lang w:val="en-GB"/>
        </w:rPr>
      </w:pPr>
      <w:r w:rsidRPr="002D6138">
        <w:rPr>
          <w:rFonts w:asciiTheme="minorHAnsi" w:hAnsiTheme="minorHAnsi" w:cstheme="minorHAnsi"/>
          <w:i/>
          <w:color w:val="59595B"/>
          <w:szCs w:val="22"/>
          <w:lang w:val="en-GB"/>
        </w:rPr>
        <w:t>Basis of preparation</w:t>
      </w:r>
    </w:p>
    <w:p w14:paraId="0E8CB463" w14:textId="77777777" w:rsidR="00A27C22" w:rsidRPr="002D6138" w:rsidRDefault="00A27C22" w:rsidP="00A27C22">
      <w:pPr>
        <w:pStyle w:val="ListParagraph"/>
        <w:autoSpaceDE w:val="0"/>
        <w:autoSpaceDN w:val="0"/>
        <w:adjustRightInd w:val="0"/>
        <w:spacing w:before="240"/>
        <w:rPr>
          <w:rFonts w:asciiTheme="minorHAnsi" w:hAnsiTheme="minorHAnsi" w:cstheme="minorHAnsi"/>
          <w:i/>
          <w:color w:val="59595B"/>
          <w:szCs w:val="22"/>
          <w:lang w:val="en-GB"/>
        </w:rPr>
      </w:pPr>
    </w:p>
    <w:p w14:paraId="46F0E9FE" w14:textId="77777777" w:rsidR="00A27C22" w:rsidRPr="00A95B8F" w:rsidRDefault="00A27C22" w:rsidP="00A27C22">
      <w:pPr>
        <w:pStyle w:val="AL"/>
        <w:rPr>
          <w:rFonts w:asciiTheme="minorHAnsi" w:hAnsiTheme="minorHAnsi" w:cstheme="minorHAnsi"/>
          <w:color w:val="59595B"/>
          <w:sz w:val="22"/>
        </w:rPr>
      </w:pPr>
      <w:r w:rsidRPr="00A95B8F">
        <w:rPr>
          <w:rFonts w:asciiTheme="minorHAnsi" w:hAnsiTheme="minorHAnsi" w:cstheme="minorHAnsi"/>
          <w:color w:val="59595B"/>
          <w:sz w:val="22"/>
        </w:rPr>
        <w:t xml:space="preserve">The consolidated interim financial statements for the six-month ended 30 June 2020 have been prepared in accordance with Accounting Standard IAS 34, </w:t>
      </w:r>
      <w:r w:rsidRPr="00A95B8F">
        <w:rPr>
          <w:rFonts w:asciiTheme="minorHAnsi" w:hAnsiTheme="minorHAnsi" w:cstheme="minorHAnsi"/>
          <w:i/>
          <w:iCs/>
          <w:color w:val="59595B"/>
          <w:sz w:val="22"/>
        </w:rPr>
        <w:t>Interim financial reporting</w:t>
      </w:r>
      <w:r w:rsidRPr="00A95B8F">
        <w:rPr>
          <w:rFonts w:asciiTheme="minorHAnsi" w:hAnsiTheme="minorHAnsi" w:cstheme="minorHAnsi"/>
          <w:color w:val="59595B"/>
          <w:sz w:val="22"/>
        </w:rPr>
        <w:t>. The condensed interim financial statements should be read in conjunction with the annual financial statements for the year ended 31 December 2019, which have been prepared in accordance with International Financial Reporting Standards (IFRS) and IFRS Interpretations Committee (IFRS IC) interpretations applicable to companies reporting under IFRS as endorsed by the European Union and valid as of the balance sheet date.</w:t>
      </w:r>
    </w:p>
    <w:p w14:paraId="234D9FAC" w14:textId="77777777" w:rsidR="00A27C22" w:rsidRPr="002D6138" w:rsidRDefault="00A27C22" w:rsidP="00A27C22">
      <w:pPr>
        <w:pStyle w:val="ListParagraph"/>
        <w:numPr>
          <w:ilvl w:val="0"/>
          <w:numId w:val="3"/>
        </w:numPr>
        <w:autoSpaceDE w:val="0"/>
        <w:autoSpaceDN w:val="0"/>
        <w:adjustRightInd w:val="0"/>
        <w:spacing w:before="240"/>
        <w:rPr>
          <w:rFonts w:asciiTheme="minorHAnsi" w:hAnsiTheme="minorHAnsi" w:cstheme="minorHAnsi"/>
          <w:i/>
          <w:color w:val="59595B"/>
          <w:szCs w:val="22"/>
          <w:lang w:val="en-GB"/>
        </w:rPr>
      </w:pPr>
      <w:r w:rsidRPr="002D6138">
        <w:rPr>
          <w:rFonts w:asciiTheme="minorHAnsi" w:hAnsiTheme="minorHAnsi" w:cstheme="minorHAnsi"/>
          <w:i/>
          <w:color w:val="59595B"/>
          <w:szCs w:val="22"/>
          <w:lang w:val="en-GB"/>
        </w:rPr>
        <w:t>Accounting policies</w:t>
      </w:r>
    </w:p>
    <w:p w14:paraId="73F360A0" w14:textId="77777777" w:rsidR="00A27C22" w:rsidRPr="002D6138" w:rsidRDefault="00A27C22" w:rsidP="00A27C22">
      <w:pPr>
        <w:pStyle w:val="ListParagraph"/>
        <w:autoSpaceDE w:val="0"/>
        <w:autoSpaceDN w:val="0"/>
        <w:adjustRightInd w:val="0"/>
        <w:spacing w:before="240"/>
        <w:rPr>
          <w:rFonts w:asciiTheme="minorHAnsi" w:hAnsiTheme="minorHAnsi" w:cstheme="minorHAnsi"/>
          <w:i/>
          <w:color w:val="59595B"/>
          <w:szCs w:val="22"/>
          <w:lang w:val="en-GB"/>
        </w:rPr>
      </w:pPr>
    </w:p>
    <w:p w14:paraId="5ACEBD7B" w14:textId="77777777" w:rsidR="00A27C22" w:rsidRPr="00F07CB5" w:rsidRDefault="00A27C22" w:rsidP="00A27C22">
      <w:pPr>
        <w:autoSpaceDE w:val="0"/>
        <w:autoSpaceDN w:val="0"/>
        <w:adjustRightInd w:val="0"/>
        <w:rPr>
          <w:rFonts w:asciiTheme="minorHAnsi" w:hAnsiTheme="minorHAnsi" w:cstheme="minorHAnsi"/>
          <w:color w:val="59595B"/>
          <w:sz w:val="22"/>
          <w:szCs w:val="22"/>
          <w:lang w:val="en-GB"/>
        </w:rPr>
      </w:pPr>
      <w:r w:rsidRPr="00F07CB5">
        <w:rPr>
          <w:rFonts w:asciiTheme="minorHAnsi" w:hAnsiTheme="minorHAnsi" w:cstheme="minorHAnsi"/>
          <w:color w:val="59595B"/>
          <w:sz w:val="22"/>
          <w:szCs w:val="22"/>
          <w:lang w:val="en-GB"/>
        </w:rPr>
        <w:t xml:space="preserve">Accounting policies are consistent with those of the financial statements for the year ended 31 December 2019. </w:t>
      </w:r>
    </w:p>
    <w:p w14:paraId="4847EC21" w14:textId="77777777" w:rsidR="00A27C22" w:rsidRPr="002D6138" w:rsidRDefault="00A27C22" w:rsidP="00A27C22">
      <w:pPr>
        <w:pStyle w:val="ListParagraph"/>
        <w:numPr>
          <w:ilvl w:val="0"/>
          <w:numId w:val="3"/>
        </w:numPr>
        <w:autoSpaceDE w:val="0"/>
        <w:autoSpaceDN w:val="0"/>
        <w:adjustRightInd w:val="0"/>
        <w:spacing w:before="240"/>
        <w:rPr>
          <w:rFonts w:asciiTheme="minorHAnsi" w:hAnsiTheme="minorHAnsi" w:cstheme="minorHAnsi"/>
          <w:i/>
          <w:color w:val="59595B"/>
          <w:szCs w:val="22"/>
          <w:lang w:val="en-GB"/>
        </w:rPr>
      </w:pPr>
      <w:bookmarkStart w:id="3" w:name="_Hlk43810282"/>
      <w:r w:rsidRPr="002D6138">
        <w:rPr>
          <w:rFonts w:asciiTheme="minorHAnsi" w:hAnsiTheme="minorHAnsi" w:cstheme="minorHAnsi"/>
          <w:i/>
          <w:color w:val="59595B"/>
          <w:szCs w:val="22"/>
          <w:lang w:val="en-GB"/>
        </w:rPr>
        <w:t>Estimates and judgements</w:t>
      </w:r>
    </w:p>
    <w:p w14:paraId="0A3A7CAB" w14:textId="77777777" w:rsidR="00A27C22" w:rsidRPr="002D6138" w:rsidRDefault="00A27C22" w:rsidP="00A27C22">
      <w:pPr>
        <w:pStyle w:val="ListParagraph"/>
        <w:autoSpaceDE w:val="0"/>
        <w:autoSpaceDN w:val="0"/>
        <w:adjustRightInd w:val="0"/>
        <w:spacing w:before="240"/>
        <w:rPr>
          <w:rFonts w:asciiTheme="minorHAnsi" w:hAnsiTheme="minorHAnsi" w:cstheme="minorHAnsi"/>
          <w:i/>
          <w:color w:val="59595B"/>
          <w:szCs w:val="22"/>
          <w:lang w:val="en-GB"/>
        </w:rPr>
      </w:pPr>
    </w:p>
    <w:p w14:paraId="00CD54F6" w14:textId="77777777" w:rsidR="00A27C22" w:rsidRPr="00F07CB5" w:rsidRDefault="00A27C22" w:rsidP="00A27C22">
      <w:pPr>
        <w:autoSpaceDE w:val="0"/>
        <w:autoSpaceDN w:val="0"/>
        <w:adjustRightInd w:val="0"/>
        <w:rPr>
          <w:rFonts w:asciiTheme="minorHAnsi" w:hAnsiTheme="minorHAnsi" w:cstheme="minorHAnsi"/>
          <w:color w:val="59595B"/>
          <w:sz w:val="22"/>
          <w:szCs w:val="22"/>
          <w:lang w:val="en-GB"/>
        </w:rPr>
      </w:pPr>
      <w:r w:rsidRPr="00F07CB5">
        <w:rPr>
          <w:rFonts w:asciiTheme="minorHAnsi" w:hAnsiTheme="minorHAnsi" w:cstheme="minorHAnsi"/>
          <w:color w:val="59595B"/>
          <w:sz w:val="22"/>
          <w:szCs w:val="22"/>
          <w:lang w:val="en-GB"/>
        </w:rPr>
        <w:t>The preparation of interim financial statements in conformity with IFRS requires the use of certain critical accounting estimates. It also requires management to exercise its judgement in the process of applying the Company’s accounting policies. In preparing these condensed interim financial statements, the significant judgements made by management in applying the Company’s accounting policies were the same as those applied to the consolidated financial statements for the year ended 31 December 2019.</w:t>
      </w:r>
    </w:p>
    <w:bookmarkEnd w:id="3"/>
    <w:p w14:paraId="6041149E" w14:textId="77777777" w:rsidR="00A27C22" w:rsidRPr="002D6138" w:rsidRDefault="00A27C22" w:rsidP="00A27C22">
      <w:pPr>
        <w:pStyle w:val="ListParagraph"/>
        <w:numPr>
          <w:ilvl w:val="0"/>
          <w:numId w:val="3"/>
        </w:numPr>
        <w:autoSpaceDE w:val="0"/>
        <w:autoSpaceDN w:val="0"/>
        <w:adjustRightInd w:val="0"/>
        <w:spacing w:before="240"/>
        <w:rPr>
          <w:rFonts w:asciiTheme="minorHAnsi" w:hAnsiTheme="minorHAnsi" w:cstheme="minorHAnsi"/>
          <w:i/>
          <w:color w:val="59595B"/>
          <w:szCs w:val="22"/>
          <w:lang w:val="en-GB"/>
        </w:rPr>
      </w:pPr>
      <w:r w:rsidRPr="002D6138">
        <w:rPr>
          <w:rFonts w:asciiTheme="minorHAnsi" w:hAnsiTheme="minorHAnsi" w:cstheme="minorHAnsi"/>
          <w:i/>
          <w:color w:val="59595B"/>
          <w:szCs w:val="22"/>
          <w:lang w:val="en-GB"/>
        </w:rPr>
        <w:t>Going concern</w:t>
      </w:r>
    </w:p>
    <w:p w14:paraId="3BC0D488" w14:textId="77777777" w:rsidR="00A27C22" w:rsidRPr="002D6138" w:rsidRDefault="00A27C22" w:rsidP="00A27C22">
      <w:pPr>
        <w:pStyle w:val="ListParagraph"/>
        <w:autoSpaceDE w:val="0"/>
        <w:autoSpaceDN w:val="0"/>
        <w:adjustRightInd w:val="0"/>
        <w:spacing w:before="240"/>
        <w:rPr>
          <w:rFonts w:asciiTheme="minorHAnsi" w:hAnsiTheme="minorHAnsi" w:cstheme="minorHAnsi"/>
          <w:i/>
          <w:color w:val="59595B"/>
          <w:szCs w:val="22"/>
          <w:lang w:val="en-GB"/>
        </w:rPr>
      </w:pPr>
    </w:p>
    <w:p w14:paraId="6FA63042" w14:textId="26FC03AE" w:rsidR="000D0314" w:rsidRPr="00F07CB5" w:rsidRDefault="00A27C22" w:rsidP="00A27C22">
      <w:pPr>
        <w:autoSpaceDE w:val="0"/>
        <w:autoSpaceDN w:val="0"/>
        <w:adjustRightInd w:val="0"/>
        <w:rPr>
          <w:rFonts w:asciiTheme="minorHAnsi" w:hAnsiTheme="minorHAnsi" w:cstheme="minorHAnsi"/>
          <w:color w:val="59595B"/>
          <w:sz w:val="22"/>
          <w:szCs w:val="22"/>
          <w:lang w:val="en-GB"/>
        </w:rPr>
      </w:pPr>
      <w:r w:rsidRPr="00F07CB5">
        <w:rPr>
          <w:rFonts w:asciiTheme="minorHAnsi" w:hAnsiTheme="minorHAnsi" w:cstheme="minorHAnsi"/>
          <w:color w:val="59595B"/>
          <w:sz w:val="22"/>
          <w:szCs w:val="22"/>
          <w:lang w:val="en-GB"/>
        </w:rPr>
        <w:t>In preparing and finishing the interim financial statements the Board of Management of Pharming has assessed the Company’s ability to fund its operations for a period of at least eighteen months after the date the interim financial statements are issued. Based upon the assessment on a going concern basis, the Company has concluded that funding of its operations for a period of eighteen months, after the date the interim financial statements are issued, is realistic and achievable. Overall, based on the outcome of this assessment, the interim financial statements have been prepared on a going concern basis.</w:t>
      </w:r>
    </w:p>
    <w:p w14:paraId="2D25EE2C" w14:textId="77777777" w:rsidR="000D0314" w:rsidRPr="00F07CB5" w:rsidRDefault="000D0314">
      <w:pPr>
        <w:jc w:val="left"/>
        <w:rPr>
          <w:rFonts w:asciiTheme="minorHAnsi" w:hAnsiTheme="minorHAnsi" w:cstheme="minorHAnsi"/>
          <w:color w:val="59595B"/>
          <w:sz w:val="22"/>
          <w:szCs w:val="22"/>
          <w:lang w:val="en-GB"/>
        </w:rPr>
      </w:pPr>
      <w:r w:rsidRPr="00F07CB5">
        <w:rPr>
          <w:rFonts w:asciiTheme="minorHAnsi" w:hAnsiTheme="minorHAnsi" w:cstheme="minorHAnsi"/>
          <w:color w:val="59595B"/>
          <w:sz w:val="22"/>
          <w:szCs w:val="22"/>
          <w:lang w:val="en-GB"/>
        </w:rPr>
        <w:br w:type="page"/>
      </w:r>
    </w:p>
    <w:p w14:paraId="55963F6C" w14:textId="77777777" w:rsidR="00A27C22" w:rsidRPr="002D6138" w:rsidRDefault="00A27C22" w:rsidP="00A27C22">
      <w:pPr>
        <w:pStyle w:val="ListParagraph"/>
        <w:numPr>
          <w:ilvl w:val="0"/>
          <w:numId w:val="3"/>
        </w:numPr>
        <w:autoSpaceDE w:val="0"/>
        <w:autoSpaceDN w:val="0"/>
        <w:adjustRightInd w:val="0"/>
        <w:spacing w:before="240"/>
        <w:rPr>
          <w:rFonts w:asciiTheme="minorHAnsi" w:hAnsiTheme="minorHAnsi" w:cstheme="minorHAnsi"/>
          <w:i/>
          <w:color w:val="59595B"/>
          <w:szCs w:val="22"/>
          <w:lang w:val="en-GB"/>
        </w:rPr>
      </w:pPr>
      <w:r w:rsidRPr="002D6138">
        <w:rPr>
          <w:rFonts w:asciiTheme="minorHAnsi" w:hAnsiTheme="minorHAnsi" w:cstheme="minorHAnsi"/>
          <w:i/>
          <w:color w:val="59595B"/>
          <w:szCs w:val="22"/>
          <w:lang w:val="en-GB"/>
        </w:rPr>
        <w:lastRenderedPageBreak/>
        <w:t>Seasonality of operations</w:t>
      </w:r>
    </w:p>
    <w:p w14:paraId="000BFE5C" w14:textId="77777777" w:rsidR="00A27C22" w:rsidRPr="002D6138" w:rsidRDefault="00A27C22" w:rsidP="00A27C22">
      <w:pPr>
        <w:pStyle w:val="ListParagraph"/>
        <w:autoSpaceDE w:val="0"/>
        <w:autoSpaceDN w:val="0"/>
        <w:adjustRightInd w:val="0"/>
        <w:spacing w:before="240"/>
        <w:rPr>
          <w:rFonts w:asciiTheme="minorHAnsi" w:hAnsiTheme="minorHAnsi" w:cstheme="minorHAnsi"/>
          <w:i/>
          <w:color w:val="59595B"/>
          <w:szCs w:val="22"/>
          <w:lang w:val="en-GB"/>
        </w:rPr>
      </w:pPr>
    </w:p>
    <w:p w14:paraId="6729C704" w14:textId="77777777" w:rsidR="00A27C22" w:rsidRPr="00F07CB5" w:rsidRDefault="00A27C22" w:rsidP="00A27C22">
      <w:pPr>
        <w:autoSpaceDE w:val="0"/>
        <w:autoSpaceDN w:val="0"/>
        <w:adjustRightInd w:val="0"/>
        <w:rPr>
          <w:rFonts w:asciiTheme="minorHAnsi" w:hAnsiTheme="minorHAnsi" w:cstheme="minorHAnsi"/>
          <w:color w:val="59595B"/>
          <w:sz w:val="22"/>
          <w:szCs w:val="22"/>
          <w:lang w:val="en-GB"/>
        </w:rPr>
      </w:pPr>
      <w:r w:rsidRPr="00F07CB5">
        <w:rPr>
          <w:rFonts w:asciiTheme="minorHAnsi" w:hAnsiTheme="minorHAnsi" w:cstheme="minorHAnsi"/>
          <w:color w:val="59595B"/>
          <w:sz w:val="22"/>
          <w:szCs w:val="22"/>
          <w:lang w:val="en-GB"/>
        </w:rPr>
        <w:t>Seasonality has no material impact on Company’s interim financial statements.</w:t>
      </w:r>
    </w:p>
    <w:p w14:paraId="48C4DC1D" w14:textId="77777777" w:rsidR="00A27C22" w:rsidRPr="002D6138" w:rsidRDefault="00A27C22" w:rsidP="00A27C22">
      <w:pPr>
        <w:pStyle w:val="ListParagraph"/>
        <w:numPr>
          <w:ilvl w:val="0"/>
          <w:numId w:val="3"/>
        </w:numPr>
        <w:autoSpaceDE w:val="0"/>
        <w:autoSpaceDN w:val="0"/>
        <w:adjustRightInd w:val="0"/>
        <w:spacing w:before="240"/>
        <w:rPr>
          <w:rFonts w:asciiTheme="minorHAnsi" w:hAnsiTheme="minorHAnsi" w:cstheme="minorHAnsi"/>
          <w:color w:val="59595B"/>
          <w:szCs w:val="22"/>
          <w:lang w:val="en-GB"/>
        </w:rPr>
      </w:pPr>
      <w:r w:rsidRPr="002D6138">
        <w:rPr>
          <w:rFonts w:asciiTheme="minorHAnsi" w:hAnsiTheme="minorHAnsi" w:cstheme="minorHAnsi"/>
          <w:i/>
          <w:color w:val="59595B"/>
          <w:szCs w:val="22"/>
          <w:lang w:val="en-GB"/>
        </w:rPr>
        <w:t>Segment information</w:t>
      </w:r>
    </w:p>
    <w:p w14:paraId="433D2F15" w14:textId="77777777" w:rsidR="00A27C22" w:rsidRPr="002D6138" w:rsidRDefault="00A27C22" w:rsidP="00A27C22">
      <w:pPr>
        <w:pStyle w:val="ListParagraph"/>
        <w:autoSpaceDE w:val="0"/>
        <w:autoSpaceDN w:val="0"/>
        <w:adjustRightInd w:val="0"/>
        <w:spacing w:before="240"/>
        <w:rPr>
          <w:rFonts w:asciiTheme="minorHAnsi" w:hAnsiTheme="minorHAnsi" w:cstheme="minorHAnsi"/>
          <w:color w:val="59595B"/>
          <w:szCs w:val="22"/>
          <w:lang w:val="en-GB"/>
        </w:rPr>
      </w:pPr>
    </w:p>
    <w:p w14:paraId="1D441DB6" w14:textId="77777777" w:rsidR="00A27C22" w:rsidRPr="00F07CB5" w:rsidRDefault="00A27C22" w:rsidP="00A27C22">
      <w:pPr>
        <w:pStyle w:val="AL"/>
        <w:rPr>
          <w:rFonts w:asciiTheme="minorHAnsi" w:hAnsiTheme="minorHAnsi" w:cstheme="minorHAnsi"/>
          <w:bCs w:val="0"/>
          <w:color w:val="59595B"/>
          <w:sz w:val="22"/>
        </w:rPr>
      </w:pPr>
      <w:r w:rsidRPr="00F07CB5">
        <w:rPr>
          <w:rFonts w:asciiTheme="minorHAnsi" w:hAnsiTheme="minorHAnsi" w:cstheme="minorHAnsi"/>
          <w:bCs w:val="0"/>
          <w:color w:val="59595B"/>
          <w:sz w:val="22"/>
        </w:rPr>
        <w:t xml:space="preserve">The Board of Management is the chief operating decision-maker. The Board of Management considers the business from both a geographic and product perspective. From a product perspective, the Company’s business is almost exclusively related to the recombinant human C1 esterase inhibitor business. From a geographic perspective, the Company is operating in the areas: the US, Europe and Rest of the World (RoW). The Board of Management primarily measures revenues to assess the performance of the operating areas. Costs and assets are not allocated to the geographic areas. </w:t>
      </w:r>
    </w:p>
    <w:p w14:paraId="593483DE" w14:textId="77777777" w:rsidR="00A27C22" w:rsidRPr="00F07CB5" w:rsidRDefault="00A27C22" w:rsidP="00A27C22">
      <w:pPr>
        <w:pStyle w:val="AL"/>
        <w:rPr>
          <w:rFonts w:asciiTheme="minorHAnsi" w:hAnsiTheme="minorHAnsi" w:cstheme="minorHAnsi"/>
          <w:color w:val="59595B"/>
          <w:sz w:val="22"/>
        </w:rPr>
      </w:pPr>
    </w:p>
    <w:p w14:paraId="4EB3B0B1" w14:textId="77777777" w:rsidR="00A27C22" w:rsidRPr="00F07CB5" w:rsidRDefault="00A27C22" w:rsidP="00A27C22">
      <w:pPr>
        <w:jc w:val="left"/>
        <w:rPr>
          <w:rFonts w:asciiTheme="minorHAnsi" w:hAnsiTheme="minorHAnsi" w:cstheme="minorHAnsi"/>
          <w:color w:val="59595B"/>
          <w:sz w:val="22"/>
          <w:szCs w:val="22"/>
          <w:lang w:val="en-GB"/>
        </w:rPr>
      </w:pPr>
      <w:r w:rsidRPr="00F07CB5">
        <w:rPr>
          <w:rFonts w:asciiTheme="minorHAnsi" w:hAnsiTheme="minorHAnsi" w:cstheme="minorHAnsi"/>
          <w:color w:val="59595B"/>
          <w:sz w:val="22"/>
          <w:szCs w:val="22"/>
          <w:lang w:val="en-GB"/>
        </w:rPr>
        <w:t>Total revenues and gross profit per geographic segment for the period ended 30 June:</w:t>
      </w:r>
    </w:p>
    <w:p w14:paraId="5E8E565B" w14:textId="77777777" w:rsidR="00A27C22" w:rsidRPr="001D0FE2" w:rsidRDefault="00A27C22" w:rsidP="00A27C22">
      <w:pPr>
        <w:jc w:val="left"/>
        <w:rPr>
          <w:rFonts w:asciiTheme="minorHAnsi" w:hAnsiTheme="minorHAnsi" w:cstheme="minorHAnsi"/>
          <w:color w:val="59595B"/>
          <w:szCs w:val="20"/>
          <w:lang w:val="en-GB"/>
        </w:rPr>
      </w:pPr>
    </w:p>
    <w:tbl>
      <w:tblPr>
        <w:tblW w:w="9072" w:type="dxa"/>
        <w:tblLook w:val="04A0" w:firstRow="1" w:lastRow="0" w:firstColumn="1" w:lastColumn="0" w:noHBand="0" w:noVBand="1"/>
      </w:tblPr>
      <w:tblGrid>
        <w:gridCol w:w="5106"/>
        <w:gridCol w:w="1983"/>
        <w:gridCol w:w="1983"/>
      </w:tblGrid>
      <w:tr w:rsidR="00A27C22" w:rsidRPr="001D0FE2" w14:paraId="31680BB7" w14:textId="77777777" w:rsidTr="00B81D69">
        <w:trPr>
          <w:trHeight w:val="358"/>
        </w:trPr>
        <w:tc>
          <w:tcPr>
            <w:tcW w:w="4840" w:type="dxa"/>
            <w:tcBorders>
              <w:top w:val="nil"/>
              <w:left w:val="nil"/>
              <w:bottom w:val="nil"/>
              <w:right w:val="nil"/>
            </w:tcBorders>
            <w:shd w:val="clear" w:color="000000" w:fill="366092"/>
            <w:vAlign w:val="center"/>
            <w:hideMark/>
          </w:tcPr>
          <w:p w14:paraId="1593DC05"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1880" w:type="dxa"/>
            <w:tcBorders>
              <w:top w:val="nil"/>
              <w:left w:val="nil"/>
              <w:bottom w:val="nil"/>
              <w:right w:val="nil"/>
            </w:tcBorders>
            <w:shd w:val="clear" w:color="000000" w:fill="366092"/>
            <w:vAlign w:val="center"/>
            <w:hideMark/>
          </w:tcPr>
          <w:p w14:paraId="646C6210"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2020</w:t>
            </w:r>
          </w:p>
        </w:tc>
        <w:tc>
          <w:tcPr>
            <w:tcW w:w="1880" w:type="dxa"/>
            <w:tcBorders>
              <w:top w:val="nil"/>
              <w:left w:val="nil"/>
              <w:bottom w:val="nil"/>
              <w:right w:val="nil"/>
            </w:tcBorders>
            <w:shd w:val="clear" w:color="000000" w:fill="366092"/>
            <w:vAlign w:val="center"/>
            <w:hideMark/>
          </w:tcPr>
          <w:p w14:paraId="2CFAED22"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2019</w:t>
            </w:r>
          </w:p>
        </w:tc>
      </w:tr>
      <w:tr w:rsidR="00A27C22" w:rsidRPr="001D0FE2" w14:paraId="17CC0C4A" w14:textId="77777777" w:rsidTr="00B81D69">
        <w:trPr>
          <w:trHeight w:val="260"/>
        </w:trPr>
        <w:tc>
          <w:tcPr>
            <w:tcW w:w="4840" w:type="dxa"/>
            <w:tcBorders>
              <w:top w:val="nil"/>
              <w:left w:val="single" w:sz="8" w:space="0" w:color="BFBFBF"/>
              <w:bottom w:val="nil"/>
              <w:right w:val="single" w:sz="8" w:space="0" w:color="BFBFBF"/>
            </w:tcBorders>
            <w:shd w:val="clear" w:color="auto" w:fill="auto"/>
            <w:noWrap/>
            <w:vAlign w:val="center"/>
            <w:hideMark/>
          </w:tcPr>
          <w:p w14:paraId="7F964790"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Revenues:</w:t>
            </w:r>
          </w:p>
        </w:tc>
        <w:tc>
          <w:tcPr>
            <w:tcW w:w="1880" w:type="dxa"/>
            <w:tcBorders>
              <w:top w:val="nil"/>
              <w:left w:val="nil"/>
              <w:bottom w:val="nil"/>
              <w:right w:val="single" w:sz="8" w:space="0" w:color="C7C8CA"/>
            </w:tcBorders>
            <w:shd w:val="clear" w:color="000000" w:fill="DCE6F1"/>
            <w:vAlign w:val="center"/>
            <w:hideMark/>
          </w:tcPr>
          <w:p w14:paraId="43446895" w14:textId="77777777" w:rsidR="00A27C22" w:rsidRPr="002D6138" w:rsidRDefault="00A27C22" w:rsidP="00B81D69">
            <w:pPr>
              <w:jc w:val="center"/>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w:t>
            </w:r>
          </w:p>
        </w:tc>
        <w:tc>
          <w:tcPr>
            <w:tcW w:w="1880" w:type="dxa"/>
            <w:tcBorders>
              <w:top w:val="nil"/>
              <w:left w:val="nil"/>
              <w:bottom w:val="nil"/>
              <w:right w:val="single" w:sz="8" w:space="0" w:color="C7C8CA"/>
            </w:tcBorders>
            <w:shd w:val="clear" w:color="auto" w:fill="auto"/>
            <w:vAlign w:val="center"/>
            <w:hideMark/>
          </w:tcPr>
          <w:p w14:paraId="326CECFA" w14:textId="77777777" w:rsidR="00A27C22" w:rsidRPr="002D6138" w:rsidRDefault="00A27C22" w:rsidP="00B81D69">
            <w:pPr>
              <w:jc w:val="center"/>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 </w:t>
            </w:r>
          </w:p>
        </w:tc>
      </w:tr>
      <w:tr w:rsidR="00A27C22" w:rsidRPr="001D0FE2" w14:paraId="477E6ED3" w14:textId="77777777" w:rsidTr="00B81D69">
        <w:trPr>
          <w:trHeight w:val="260"/>
        </w:trPr>
        <w:tc>
          <w:tcPr>
            <w:tcW w:w="4840" w:type="dxa"/>
            <w:tcBorders>
              <w:top w:val="nil"/>
              <w:left w:val="single" w:sz="8" w:space="0" w:color="BFBFBF"/>
              <w:bottom w:val="nil"/>
              <w:right w:val="single" w:sz="8" w:space="0" w:color="BFBFBF"/>
            </w:tcBorders>
            <w:shd w:val="clear" w:color="auto" w:fill="auto"/>
            <w:noWrap/>
            <w:vAlign w:val="center"/>
            <w:hideMark/>
          </w:tcPr>
          <w:p w14:paraId="0A0021B7"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US</w:t>
            </w:r>
          </w:p>
        </w:tc>
        <w:tc>
          <w:tcPr>
            <w:tcW w:w="1880" w:type="dxa"/>
            <w:tcBorders>
              <w:top w:val="nil"/>
              <w:left w:val="nil"/>
              <w:bottom w:val="nil"/>
              <w:right w:val="single" w:sz="8" w:space="0" w:color="C7C8CA"/>
            </w:tcBorders>
            <w:shd w:val="clear" w:color="000000" w:fill="DCE6F1"/>
            <w:noWrap/>
            <w:vAlign w:val="bottom"/>
            <w:hideMark/>
          </w:tcPr>
          <w:p w14:paraId="421A311D" w14:textId="1F0CA5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84.98</w:t>
            </w:r>
            <w:r w:rsidR="009C0951" w:rsidRPr="002D6138">
              <w:rPr>
                <w:rFonts w:asciiTheme="minorHAnsi" w:hAnsiTheme="minorHAnsi" w:cstheme="minorHAnsi"/>
                <w:color w:val="59595B"/>
                <w:sz w:val="20"/>
                <w:szCs w:val="20"/>
                <w:lang w:val="en-GB"/>
              </w:rPr>
              <w:t>2</w:t>
            </w:r>
            <w:r w:rsidRPr="002D6138">
              <w:rPr>
                <w:rFonts w:asciiTheme="minorHAnsi" w:hAnsiTheme="minorHAnsi" w:cstheme="minorHAnsi"/>
                <w:color w:val="59595B"/>
                <w:sz w:val="20"/>
                <w:szCs w:val="20"/>
                <w:lang w:val="en-GB"/>
              </w:rPr>
              <w:t xml:space="preserve"> </w:t>
            </w:r>
          </w:p>
        </w:tc>
        <w:tc>
          <w:tcPr>
            <w:tcW w:w="1880" w:type="dxa"/>
            <w:tcBorders>
              <w:top w:val="nil"/>
              <w:left w:val="single" w:sz="8" w:space="0" w:color="BFBFBF"/>
              <w:bottom w:val="nil"/>
              <w:right w:val="single" w:sz="8" w:space="0" w:color="C7C8CA"/>
            </w:tcBorders>
            <w:shd w:val="clear" w:color="auto" w:fill="auto"/>
            <w:noWrap/>
            <w:vAlign w:val="bottom"/>
            <w:hideMark/>
          </w:tcPr>
          <w:p w14:paraId="01DAF1E4"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75.018 </w:t>
            </w:r>
          </w:p>
        </w:tc>
      </w:tr>
      <w:tr w:rsidR="00A27C22" w:rsidRPr="001D0FE2" w14:paraId="326ED228" w14:textId="77777777" w:rsidTr="00B81D69">
        <w:trPr>
          <w:trHeight w:val="260"/>
        </w:trPr>
        <w:tc>
          <w:tcPr>
            <w:tcW w:w="4840" w:type="dxa"/>
            <w:tcBorders>
              <w:top w:val="nil"/>
              <w:left w:val="single" w:sz="8" w:space="0" w:color="BFBFBF"/>
              <w:bottom w:val="nil"/>
              <w:right w:val="single" w:sz="8" w:space="0" w:color="BFBFBF"/>
            </w:tcBorders>
            <w:shd w:val="clear" w:color="auto" w:fill="auto"/>
            <w:noWrap/>
            <w:vAlign w:val="center"/>
            <w:hideMark/>
          </w:tcPr>
          <w:p w14:paraId="586E7AEE"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Europe</w:t>
            </w:r>
          </w:p>
        </w:tc>
        <w:tc>
          <w:tcPr>
            <w:tcW w:w="1880" w:type="dxa"/>
            <w:tcBorders>
              <w:top w:val="nil"/>
              <w:left w:val="nil"/>
              <w:bottom w:val="nil"/>
              <w:right w:val="single" w:sz="8" w:space="0" w:color="C7C8CA"/>
            </w:tcBorders>
            <w:shd w:val="clear" w:color="000000" w:fill="DCE6F1"/>
            <w:noWrap/>
            <w:vAlign w:val="bottom"/>
            <w:hideMark/>
          </w:tcPr>
          <w:p w14:paraId="216EEAFB"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3.158 </w:t>
            </w:r>
          </w:p>
        </w:tc>
        <w:tc>
          <w:tcPr>
            <w:tcW w:w="1880" w:type="dxa"/>
            <w:tcBorders>
              <w:top w:val="nil"/>
              <w:left w:val="single" w:sz="8" w:space="0" w:color="BFBFBF"/>
              <w:bottom w:val="nil"/>
              <w:right w:val="single" w:sz="8" w:space="0" w:color="C7C8CA"/>
            </w:tcBorders>
            <w:shd w:val="clear" w:color="auto" w:fill="auto"/>
            <w:noWrap/>
            <w:vAlign w:val="bottom"/>
            <w:hideMark/>
          </w:tcPr>
          <w:p w14:paraId="373975F4"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2.105 </w:t>
            </w:r>
          </w:p>
        </w:tc>
      </w:tr>
      <w:tr w:rsidR="00A27C22" w:rsidRPr="001D0FE2" w14:paraId="6224B065" w14:textId="77777777" w:rsidTr="00B81D69">
        <w:trPr>
          <w:trHeight w:val="270"/>
        </w:trPr>
        <w:tc>
          <w:tcPr>
            <w:tcW w:w="4840" w:type="dxa"/>
            <w:tcBorders>
              <w:top w:val="nil"/>
              <w:left w:val="single" w:sz="8" w:space="0" w:color="BFBFBF"/>
              <w:bottom w:val="nil"/>
              <w:right w:val="single" w:sz="8" w:space="0" w:color="BFBFBF"/>
            </w:tcBorders>
            <w:shd w:val="clear" w:color="auto" w:fill="auto"/>
            <w:noWrap/>
            <w:vAlign w:val="center"/>
            <w:hideMark/>
          </w:tcPr>
          <w:p w14:paraId="60810B11"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RoW</w:t>
            </w:r>
          </w:p>
        </w:tc>
        <w:tc>
          <w:tcPr>
            <w:tcW w:w="1880" w:type="dxa"/>
            <w:tcBorders>
              <w:top w:val="nil"/>
              <w:left w:val="nil"/>
              <w:bottom w:val="single" w:sz="8" w:space="0" w:color="BFBFBF"/>
              <w:right w:val="single" w:sz="8" w:space="0" w:color="C7C8CA"/>
            </w:tcBorders>
            <w:shd w:val="clear" w:color="000000" w:fill="DCE6F1"/>
            <w:noWrap/>
            <w:vAlign w:val="bottom"/>
            <w:hideMark/>
          </w:tcPr>
          <w:p w14:paraId="51927067"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453 </w:t>
            </w:r>
          </w:p>
        </w:tc>
        <w:tc>
          <w:tcPr>
            <w:tcW w:w="1880" w:type="dxa"/>
            <w:tcBorders>
              <w:top w:val="nil"/>
              <w:left w:val="single" w:sz="8" w:space="0" w:color="BFBFBF"/>
              <w:bottom w:val="single" w:sz="8" w:space="0" w:color="BFBFBF"/>
              <w:right w:val="single" w:sz="8" w:space="0" w:color="C7C8CA"/>
            </w:tcBorders>
            <w:shd w:val="clear" w:color="auto" w:fill="auto"/>
            <w:noWrap/>
            <w:vAlign w:val="bottom"/>
            <w:hideMark/>
          </w:tcPr>
          <w:p w14:paraId="79EF0877"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812 </w:t>
            </w:r>
          </w:p>
        </w:tc>
      </w:tr>
      <w:tr w:rsidR="00A27C22" w:rsidRPr="001D0FE2" w14:paraId="57E48D51" w14:textId="77777777" w:rsidTr="00B81D69">
        <w:trPr>
          <w:trHeight w:val="433"/>
        </w:trPr>
        <w:tc>
          <w:tcPr>
            <w:tcW w:w="484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348FF393"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Total revenues</w:t>
            </w:r>
          </w:p>
        </w:tc>
        <w:tc>
          <w:tcPr>
            <w:tcW w:w="1880" w:type="dxa"/>
            <w:tcBorders>
              <w:top w:val="nil"/>
              <w:left w:val="nil"/>
              <w:bottom w:val="single" w:sz="8" w:space="0" w:color="BFBFBF"/>
              <w:right w:val="single" w:sz="8" w:space="0" w:color="BFBFBF"/>
            </w:tcBorders>
            <w:shd w:val="clear" w:color="000000" w:fill="DCE6F1"/>
            <w:noWrap/>
            <w:vAlign w:val="center"/>
            <w:hideMark/>
          </w:tcPr>
          <w:p w14:paraId="118022ED"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88.593 </w:t>
            </w:r>
          </w:p>
        </w:tc>
        <w:tc>
          <w:tcPr>
            <w:tcW w:w="1880" w:type="dxa"/>
            <w:tcBorders>
              <w:top w:val="nil"/>
              <w:left w:val="nil"/>
              <w:bottom w:val="single" w:sz="8" w:space="0" w:color="BFBFBF"/>
              <w:right w:val="single" w:sz="8" w:space="0" w:color="BFBFBF"/>
            </w:tcBorders>
            <w:shd w:val="clear" w:color="auto" w:fill="auto"/>
            <w:noWrap/>
            <w:vAlign w:val="center"/>
            <w:hideMark/>
          </w:tcPr>
          <w:p w14:paraId="7BC88D60"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77.935 </w:t>
            </w:r>
          </w:p>
        </w:tc>
      </w:tr>
      <w:tr w:rsidR="00A27C22" w:rsidRPr="001D0FE2" w14:paraId="361C6B7B" w14:textId="77777777" w:rsidTr="00B81D69">
        <w:trPr>
          <w:trHeight w:val="290"/>
        </w:trPr>
        <w:tc>
          <w:tcPr>
            <w:tcW w:w="4840" w:type="dxa"/>
            <w:tcBorders>
              <w:top w:val="nil"/>
              <w:left w:val="single" w:sz="8" w:space="0" w:color="BFBFBF"/>
              <w:bottom w:val="nil"/>
              <w:right w:val="single" w:sz="8" w:space="0" w:color="BFBFBF"/>
            </w:tcBorders>
            <w:shd w:val="clear" w:color="auto" w:fill="auto"/>
            <w:noWrap/>
            <w:vAlign w:val="center"/>
            <w:hideMark/>
          </w:tcPr>
          <w:p w14:paraId="760E3690" w14:textId="77777777" w:rsidR="00A27C22" w:rsidRPr="002D6138" w:rsidRDefault="00A27C22" w:rsidP="00B81D69">
            <w:pPr>
              <w:jc w:val="left"/>
              <w:rPr>
                <w:rFonts w:asciiTheme="minorHAnsi" w:hAnsiTheme="minorHAnsi" w:cstheme="minorHAnsi"/>
                <w:b/>
                <w:bCs/>
                <w:color w:val="59595B"/>
                <w:sz w:val="20"/>
                <w:szCs w:val="20"/>
                <w:lang w:val="en-GB"/>
              </w:rPr>
            </w:pPr>
            <w:r w:rsidRPr="002D6138">
              <w:rPr>
                <w:rFonts w:asciiTheme="minorHAnsi" w:hAnsiTheme="minorHAnsi" w:cstheme="minorHAnsi"/>
                <w:b/>
                <w:bCs/>
                <w:color w:val="59595B"/>
                <w:sz w:val="20"/>
                <w:szCs w:val="20"/>
                <w:lang w:val="en-GB"/>
              </w:rPr>
              <w:t>Gross profit:</w:t>
            </w:r>
          </w:p>
        </w:tc>
        <w:tc>
          <w:tcPr>
            <w:tcW w:w="1880" w:type="dxa"/>
            <w:tcBorders>
              <w:top w:val="single" w:sz="8" w:space="0" w:color="B2B4B6"/>
              <w:left w:val="nil"/>
              <w:bottom w:val="nil"/>
              <w:right w:val="single" w:sz="8" w:space="0" w:color="B2B4B6"/>
            </w:tcBorders>
            <w:shd w:val="clear" w:color="000000" w:fill="DCE6F1"/>
            <w:vAlign w:val="center"/>
            <w:hideMark/>
          </w:tcPr>
          <w:p w14:paraId="1A501FDC" w14:textId="77777777" w:rsidR="00A27C22" w:rsidRPr="002D6138" w:rsidRDefault="00A27C22" w:rsidP="00B81D69">
            <w:pPr>
              <w:jc w:val="right"/>
              <w:rPr>
                <w:rFonts w:asciiTheme="minorHAnsi" w:hAnsiTheme="minorHAnsi" w:cstheme="minorHAnsi"/>
                <w:color w:val="59595B"/>
                <w:szCs w:val="22"/>
                <w:lang w:val="en-GB"/>
              </w:rPr>
            </w:pPr>
            <w:r w:rsidRPr="002D6138">
              <w:rPr>
                <w:rFonts w:asciiTheme="minorHAnsi" w:hAnsiTheme="minorHAnsi" w:cstheme="minorHAnsi"/>
                <w:color w:val="59595B"/>
                <w:szCs w:val="22"/>
                <w:lang w:val="en-GB"/>
              </w:rPr>
              <w:t> </w:t>
            </w:r>
          </w:p>
        </w:tc>
        <w:tc>
          <w:tcPr>
            <w:tcW w:w="1880" w:type="dxa"/>
            <w:tcBorders>
              <w:top w:val="single" w:sz="8" w:space="0" w:color="B2B4B6"/>
              <w:left w:val="nil"/>
              <w:bottom w:val="nil"/>
              <w:right w:val="single" w:sz="8" w:space="0" w:color="B2B4B6"/>
            </w:tcBorders>
            <w:shd w:val="clear" w:color="auto" w:fill="auto"/>
            <w:vAlign w:val="center"/>
            <w:hideMark/>
          </w:tcPr>
          <w:p w14:paraId="0EE303FB" w14:textId="77777777" w:rsidR="00A27C22" w:rsidRPr="002D6138" w:rsidRDefault="00A27C22" w:rsidP="00B81D69">
            <w:pPr>
              <w:jc w:val="right"/>
              <w:rPr>
                <w:rFonts w:asciiTheme="minorHAnsi" w:hAnsiTheme="minorHAnsi" w:cstheme="minorHAnsi"/>
                <w:color w:val="59595B"/>
                <w:szCs w:val="22"/>
                <w:lang w:val="en-GB"/>
              </w:rPr>
            </w:pPr>
            <w:r w:rsidRPr="002D6138">
              <w:rPr>
                <w:rFonts w:asciiTheme="minorHAnsi" w:hAnsiTheme="minorHAnsi" w:cstheme="minorHAnsi"/>
                <w:color w:val="59595B"/>
                <w:szCs w:val="22"/>
                <w:lang w:val="en-GB"/>
              </w:rPr>
              <w:t> </w:t>
            </w:r>
          </w:p>
        </w:tc>
      </w:tr>
      <w:tr w:rsidR="00A27C22" w:rsidRPr="001D0FE2" w14:paraId="2EE4D67E" w14:textId="77777777" w:rsidTr="00B81D69">
        <w:trPr>
          <w:trHeight w:val="260"/>
        </w:trPr>
        <w:tc>
          <w:tcPr>
            <w:tcW w:w="4840" w:type="dxa"/>
            <w:tcBorders>
              <w:top w:val="nil"/>
              <w:left w:val="single" w:sz="8" w:space="0" w:color="BFBFBF"/>
              <w:bottom w:val="nil"/>
              <w:right w:val="single" w:sz="8" w:space="0" w:color="BFBFBF"/>
            </w:tcBorders>
            <w:shd w:val="clear" w:color="auto" w:fill="auto"/>
            <w:noWrap/>
            <w:vAlign w:val="center"/>
            <w:hideMark/>
          </w:tcPr>
          <w:p w14:paraId="7B542978"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US</w:t>
            </w:r>
          </w:p>
        </w:tc>
        <w:tc>
          <w:tcPr>
            <w:tcW w:w="1880" w:type="dxa"/>
            <w:tcBorders>
              <w:top w:val="nil"/>
              <w:left w:val="nil"/>
              <w:bottom w:val="nil"/>
              <w:right w:val="single" w:sz="8" w:space="0" w:color="BFBFBF"/>
            </w:tcBorders>
            <w:shd w:val="clear" w:color="000000" w:fill="DCE6F1"/>
            <w:noWrap/>
            <w:vAlign w:val="bottom"/>
            <w:hideMark/>
          </w:tcPr>
          <w:p w14:paraId="66C7CDFD"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77.068 </w:t>
            </w:r>
          </w:p>
        </w:tc>
        <w:tc>
          <w:tcPr>
            <w:tcW w:w="1880" w:type="dxa"/>
            <w:tcBorders>
              <w:top w:val="nil"/>
              <w:left w:val="nil"/>
              <w:bottom w:val="nil"/>
              <w:right w:val="single" w:sz="8" w:space="0" w:color="BFBFBF"/>
            </w:tcBorders>
            <w:shd w:val="clear" w:color="auto" w:fill="auto"/>
            <w:noWrap/>
            <w:vAlign w:val="bottom"/>
            <w:hideMark/>
          </w:tcPr>
          <w:p w14:paraId="1A36443F"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66.194 </w:t>
            </w:r>
          </w:p>
        </w:tc>
      </w:tr>
      <w:tr w:rsidR="00A27C22" w:rsidRPr="001D0FE2" w14:paraId="48A15566" w14:textId="77777777" w:rsidTr="00B81D69">
        <w:trPr>
          <w:trHeight w:val="260"/>
        </w:trPr>
        <w:tc>
          <w:tcPr>
            <w:tcW w:w="4840" w:type="dxa"/>
            <w:tcBorders>
              <w:top w:val="nil"/>
              <w:left w:val="single" w:sz="8" w:space="0" w:color="BFBFBF"/>
              <w:bottom w:val="nil"/>
              <w:right w:val="single" w:sz="8" w:space="0" w:color="BFBFBF"/>
            </w:tcBorders>
            <w:shd w:val="clear" w:color="auto" w:fill="auto"/>
            <w:noWrap/>
            <w:vAlign w:val="center"/>
            <w:hideMark/>
          </w:tcPr>
          <w:p w14:paraId="1C055CB1"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Europe</w:t>
            </w:r>
          </w:p>
        </w:tc>
        <w:tc>
          <w:tcPr>
            <w:tcW w:w="1880" w:type="dxa"/>
            <w:tcBorders>
              <w:top w:val="nil"/>
              <w:left w:val="nil"/>
              <w:bottom w:val="nil"/>
              <w:right w:val="single" w:sz="8" w:space="0" w:color="BFBFBF"/>
            </w:tcBorders>
            <w:shd w:val="clear" w:color="000000" w:fill="DCE6F1"/>
            <w:noWrap/>
            <w:vAlign w:val="bottom"/>
            <w:hideMark/>
          </w:tcPr>
          <w:p w14:paraId="14C1BFA1"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1.282 </w:t>
            </w:r>
          </w:p>
        </w:tc>
        <w:tc>
          <w:tcPr>
            <w:tcW w:w="1880" w:type="dxa"/>
            <w:tcBorders>
              <w:top w:val="nil"/>
              <w:left w:val="nil"/>
              <w:bottom w:val="nil"/>
              <w:right w:val="single" w:sz="8" w:space="0" w:color="BFBFBF"/>
            </w:tcBorders>
            <w:shd w:val="clear" w:color="auto" w:fill="auto"/>
            <w:noWrap/>
            <w:vAlign w:val="bottom"/>
            <w:hideMark/>
          </w:tcPr>
          <w:p w14:paraId="67E14858"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202 </w:t>
            </w:r>
          </w:p>
        </w:tc>
      </w:tr>
      <w:tr w:rsidR="00A27C22" w:rsidRPr="001D0FE2" w14:paraId="1CC7DDF8" w14:textId="77777777" w:rsidTr="00B81D69">
        <w:trPr>
          <w:trHeight w:val="270"/>
        </w:trPr>
        <w:tc>
          <w:tcPr>
            <w:tcW w:w="4840" w:type="dxa"/>
            <w:tcBorders>
              <w:top w:val="nil"/>
              <w:left w:val="single" w:sz="8" w:space="0" w:color="BFBFBF"/>
              <w:bottom w:val="nil"/>
              <w:right w:val="single" w:sz="8" w:space="0" w:color="BFBFBF"/>
            </w:tcBorders>
            <w:shd w:val="clear" w:color="auto" w:fill="auto"/>
            <w:noWrap/>
            <w:vAlign w:val="center"/>
            <w:hideMark/>
          </w:tcPr>
          <w:p w14:paraId="70560670" w14:textId="77777777" w:rsidR="00A27C22" w:rsidRPr="002D6138" w:rsidRDefault="00A27C22" w:rsidP="00B81D69">
            <w:pPr>
              <w:jc w:val="lef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RoW</w:t>
            </w:r>
          </w:p>
        </w:tc>
        <w:tc>
          <w:tcPr>
            <w:tcW w:w="1880" w:type="dxa"/>
            <w:tcBorders>
              <w:top w:val="nil"/>
              <w:left w:val="nil"/>
              <w:bottom w:val="single" w:sz="8" w:space="0" w:color="BFBFBF"/>
              <w:right w:val="single" w:sz="8" w:space="0" w:color="BFBFBF"/>
            </w:tcBorders>
            <w:shd w:val="clear" w:color="000000" w:fill="DCE6F1"/>
            <w:noWrap/>
            <w:vAlign w:val="bottom"/>
            <w:hideMark/>
          </w:tcPr>
          <w:p w14:paraId="2F41F578"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385 </w:t>
            </w:r>
          </w:p>
        </w:tc>
        <w:tc>
          <w:tcPr>
            <w:tcW w:w="1880" w:type="dxa"/>
            <w:tcBorders>
              <w:top w:val="nil"/>
              <w:left w:val="nil"/>
              <w:bottom w:val="single" w:sz="8" w:space="0" w:color="BFBFBF"/>
              <w:right w:val="single" w:sz="8" w:space="0" w:color="BFBFBF"/>
            </w:tcBorders>
            <w:shd w:val="clear" w:color="auto" w:fill="auto"/>
            <w:noWrap/>
            <w:vAlign w:val="bottom"/>
            <w:hideMark/>
          </w:tcPr>
          <w:p w14:paraId="1072BCF6" w14:textId="77777777" w:rsidR="00A27C22" w:rsidRPr="002D6138" w:rsidRDefault="00A27C22" w:rsidP="00B81D69">
            <w:pPr>
              <w:jc w:val="right"/>
              <w:rPr>
                <w:rFonts w:asciiTheme="minorHAnsi" w:hAnsiTheme="minorHAnsi" w:cstheme="minorHAnsi"/>
                <w:color w:val="59595B"/>
                <w:sz w:val="20"/>
                <w:szCs w:val="20"/>
                <w:lang w:val="en-GB"/>
              </w:rPr>
            </w:pPr>
            <w:r w:rsidRPr="002D6138">
              <w:rPr>
                <w:rFonts w:asciiTheme="minorHAnsi" w:hAnsiTheme="minorHAnsi" w:cstheme="minorHAnsi"/>
                <w:color w:val="59595B"/>
                <w:sz w:val="20"/>
                <w:szCs w:val="20"/>
                <w:lang w:val="en-GB"/>
              </w:rPr>
              <w:t xml:space="preserve">                             583 </w:t>
            </w:r>
          </w:p>
        </w:tc>
      </w:tr>
      <w:tr w:rsidR="00A27C22" w:rsidRPr="001D0FE2" w14:paraId="33C721A7" w14:textId="77777777" w:rsidTr="00B81D69">
        <w:trPr>
          <w:trHeight w:val="450"/>
        </w:trPr>
        <w:tc>
          <w:tcPr>
            <w:tcW w:w="484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3A9B3A34"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Total gross profit</w:t>
            </w:r>
          </w:p>
        </w:tc>
        <w:tc>
          <w:tcPr>
            <w:tcW w:w="1880" w:type="dxa"/>
            <w:tcBorders>
              <w:top w:val="nil"/>
              <w:left w:val="nil"/>
              <w:bottom w:val="single" w:sz="8" w:space="0" w:color="BFBFBF"/>
              <w:right w:val="single" w:sz="8" w:space="0" w:color="BFBFBF"/>
            </w:tcBorders>
            <w:shd w:val="clear" w:color="000000" w:fill="DCE6F1"/>
            <w:noWrap/>
            <w:vAlign w:val="center"/>
            <w:hideMark/>
          </w:tcPr>
          <w:p w14:paraId="70149ED3"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78.735 </w:t>
            </w:r>
          </w:p>
        </w:tc>
        <w:tc>
          <w:tcPr>
            <w:tcW w:w="1880" w:type="dxa"/>
            <w:tcBorders>
              <w:top w:val="nil"/>
              <w:left w:val="nil"/>
              <w:bottom w:val="single" w:sz="8" w:space="0" w:color="BFBFBF"/>
              <w:right w:val="single" w:sz="8" w:space="0" w:color="BFBFBF"/>
            </w:tcBorders>
            <w:shd w:val="clear" w:color="auto" w:fill="auto"/>
            <w:noWrap/>
            <w:vAlign w:val="center"/>
            <w:hideMark/>
          </w:tcPr>
          <w:p w14:paraId="621DFEDC"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66.979 </w:t>
            </w:r>
          </w:p>
        </w:tc>
      </w:tr>
    </w:tbl>
    <w:p w14:paraId="7962D470" w14:textId="77777777" w:rsidR="00A27C22" w:rsidRPr="001D0FE2" w:rsidRDefault="00A27C22" w:rsidP="00A27C22">
      <w:pPr>
        <w:jc w:val="left"/>
        <w:rPr>
          <w:rFonts w:asciiTheme="minorHAnsi" w:hAnsiTheme="minorHAnsi" w:cstheme="minorHAnsi"/>
          <w:color w:val="59595B"/>
          <w:szCs w:val="20"/>
          <w:lang w:val="en-GB"/>
        </w:rPr>
      </w:pPr>
    </w:p>
    <w:p w14:paraId="5F7CC58C" w14:textId="77777777" w:rsidR="00A27C22" w:rsidRPr="002D6138" w:rsidRDefault="00A27C22" w:rsidP="00A27C22">
      <w:pPr>
        <w:pStyle w:val="ListParagraph"/>
        <w:numPr>
          <w:ilvl w:val="0"/>
          <w:numId w:val="3"/>
        </w:numPr>
        <w:autoSpaceDE w:val="0"/>
        <w:autoSpaceDN w:val="0"/>
        <w:adjustRightInd w:val="0"/>
        <w:spacing w:before="240"/>
        <w:rPr>
          <w:rFonts w:asciiTheme="minorHAnsi" w:hAnsiTheme="minorHAnsi" w:cstheme="minorHAnsi"/>
          <w:i/>
          <w:color w:val="59595B"/>
          <w:szCs w:val="22"/>
          <w:lang w:val="en-GB"/>
        </w:rPr>
      </w:pPr>
      <w:r w:rsidRPr="002D6138">
        <w:rPr>
          <w:rFonts w:asciiTheme="minorHAnsi" w:hAnsiTheme="minorHAnsi" w:cstheme="minorHAnsi"/>
          <w:i/>
          <w:color w:val="59595B"/>
          <w:szCs w:val="22"/>
          <w:lang w:val="en-GB"/>
        </w:rPr>
        <w:t xml:space="preserve">Expenses by nature </w:t>
      </w:r>
    </w:p>
    <w:p w14:paraId="50B36540" w14:textId="77777777" w:rsidR="00A27C22" w:rsidRPr="002D6138" w:rsidRDefault="00A27C22" w:rsidP="00A27C22">
      <w:pPr>
        <w:pStyle w:val="ListParagraph"/>
        <w:autoSpaceDE w:val="0"/>
        <w:autoSpaceDN w:val="0"/>
        <w:adjustRightInd w:val="0"/>
        <w:spacing w:before="240"/>
        <w:rPr>
          <w:rFonts w:asciiTheme="minorHAnsi" w:hAnsiTheme="minorHAnsi" w:cstheme="minorHAnsi"/>
          <w:i/>
          <w:color w:val="59595B"/>
          <w:szCs w:val="22"/>
          <w:lang w:val="en-GB"/>
        </w:rPr>
      </w:pPr>
    </w:p>
    <w:p w14:paraId="0D40167B" w14:textId="158F74C1" w:rsidR="00A27C22" w:rsidRPr="00F07CB5" w:rsidRDefault="00A27C22" w:rsidP="00A27C22">
      <w:pPr>
        <w:pStyle w:val="AL"/>
        <w:spacing w:after="120"/>
        <w:rPr>
          <w:rFonts w:asciiTheme="minorHAnsi" w:hAnsiTheme="minorHAnsi" w:cstheme="minorHAnsi"/>
          <w:bCs w:val="0"/>
          <w:color w:val="59595B"/>
          <w:sz w:val="22"/>
        </w:rPr>
      </w:pPr>
      <w:r w:rsidRPr="00F07CB5">
        <w:rPr>
          <w:rFonts w:asciiTheme="minorHAnsi" w:hAnsiTheme="minorHAnsi" w:cstheme="minorHAnsi"/>
          <w:bCs w:val="0"/>
          <w:color w:val="59595B"/>
          <w:sz w:val="22"/>
        </w:rPr>
        <w:t xml:space="preserve">Cost of sales in the first half year of 2020 amounted to €9.9 million (HY 2019: €11.0 million). Inventory impairments amounted to a release of </w:t>
      </w:r>
      <w:r w:rsidR="000D0314" w:rsidRPr="00F07CB5">
        <w:rPr>
          <w:rFonts w:asciiTheme="minorHAnsi" w:hAnsiTheme="minorHAnsi" w:cstheme="minorHAnsi"/>
          <w:bCs w:val="0"/>
          <w:color w:val="59595B"/>
          <w:sz w:val="22"/>
        </w:rPr>
        <w:t>€ (</w:t>
      </w:r>
      <w:r w:rsidRPr="00F07CB5">
        <w:rPr>
          <w:rFonts w:asciiTheme="minorHAnsi" w:hAnsiTheme="minorHAnsi" w:cstheme="minorHAnsi"/>
          <w:bCs w:val="0"/>
          <w:color w:val="59595B"/>
          <w:sz w:val="22"/>
        </w:rPr>
        <w:t xml:space="preserve">0.3) million in the first half of 2020 (2019: addition of €0.5 million). The impairment stems from the valuation of the inventories against lower net realisable value, related to reallocation of inventories to the different markets with different prices, based on sales forecasts by management and commercial partners, and clinical programmes. </w:t>
      </w:r>
    </w:p>
    <w:p w14:paraId="6EAB1212" w14:textId="77777777" w:rsidR="00A27C22" w:rsidRPr="002D6138" w:rsidRDefault="00A27C22" w:rsidP="00A27C22">
      <w:pPr>
        <w:pStyle w:val="AL"/>
        <w:spacing w:after="120"/>
        <w:rPr>
          <w:rFonts w:asciiTheme="minorHAnsi" w:hAnsiTheme="minorHAnsi" w:cstheme="minorHAnsi"/>
          <w:bCs w:val="0"/>
          <w:color w:val="59595B"/>
          <w:szCs w:val="20"/>
        </w:rPr>
      </w:pPr>
      <w:r w:rsidRPr="00F07CB5">
        <w:rPr>
          <w:rFonts w:asciiTheme="minorHAnsi" w:hAnsiTheme="minorHAnsi" w:cstheme="minorHAnsi"/>
          <w:bCs w:val="0"/>
          <w:color w:val="59595B"/>
          <w:sz w:val="22"/>
        </w:rPr>
        <w:t>Operating costs increased to €46.9 million from €42.5 million in the first half year of 2019. The increase is a result of the increased sales activities in the US, increased development costs for both our current product as the new pipeline, and increased cost for strengthening of supporting departments</w:t>
      </w:r>
      <w:r w:rsidRPr="002D6138">
        <w:rPr>
          <w:rFonts w:asciiTheme="minorHAnsi" w:hAnsiTheme="minorHAnsi" w:cstheme="minorHAnsi"/>
          <w:bCs w:val="0"/>
          <w:color w:val="59595B"/>
          <w:szCs w:val="20"/>
        </w:rPr>
        <w:t>.</w:t>
      </w:r>
    </w:p>
    <w:p w14:paraId="78A93090" w14:textId="5A496360" w:rsidR="000D0314" w:rsidRPr="001D0FE2" w:rsidRDefault="000D0314">
      <w:pPr>
        <w:jc w:val="left"/>
        <w:rPr>
          <w:rFonts w:asciiTheme="minorHAnsi" w:hAnsiTheme="minorHAnsi" w:cstheme="minorHAnsi"/>
          <w:i/>
          <w:lang w:val="en-GB"/>
        </w:rPr>
      </w:pPr>
    </w:p>
    <w:p w14:paraId="33E12EE1" w14:textId="1AC0FCA6" w:rsidR="00A27C22" w:rsidRPr="002D6138" w:rsidRDefault="00A27C22" w:rsidP="00A27C22">
      <w:pPr>
        <w:ind w:firstLine="720"/>
        <w:rPr>
          <w:rFonts w:asciiTheme="minorHAnsi" w:hAnsiTheme="minorHAnsi" w:cstheme="minorHAnsi"/>
          <w:i/>
          <w:lang w:val="en-GB"/>
        </w:rPr>
      </w:pPr>
      <w:r w:rsidRPr="002D6138">
        <w:rPr>
          <w:rFonts w:asciiTheme="minorHAnsi" w:hAnsiTheme="minorHAnsi" w:cstheme="minorHAnsi"/>
          <w:i/>
          <w:lang w:val="en-GB"/>
        </w:rPr>
        <w:t xml:space="preserve">Employee benefits </w:t>
      </w:r>
    </w:p>
    <w:p w14:paraId="60D04EC5" w14:textId="77777777" w:rsidR="00A27C22" w:rsidRPr="001D0FE2" w:rsidRDefault="00A27C22" w:rsidP="00A27C22">
      <w:pPr>
        <w:ind w:firstLine="720"/>
        <w:rPr>
          <w:rFonts w:asciiTheme="minorHAnsi" w:hAnsiTheme="minorHAnsi" w:cstheme="minorHAnsi"/>
          <w:i/>
          <w:lang w:val="en-GB"/>
        </w:rPr>
      </w:pPr>
    </w:p>
    <w:p w14:paraId="326ABE06" w14:textId="77777777" w:rsidR="00A27C22" w:rsidRPr="00F07CB5" w:rsidRDefault="00A27C22" w:rsidP="00A27C22">
      <w:pPr>
        <w:pStyle w:val="AL"/>
        <w:spacing w:after="120"/>
        <w:rPr>
          <w:rFonts w:asciiTheme="minorHAnsi" w:hAnsiTheme="minorHAnsi" w:cstheme="minorHAnsi"/>
          <w:bCs w:val="0"/>
          <w:color w:val="59595B"/>
          <w:sz w:val="22"/>
        </w:rPr>
      </w:pPr>
      <w:r w:rsidRPr="00F07CB5">
        <w:rPr>
          <w:rFonts w:asciiTheme="minorHAnsi" w:hAnsiTheme="minorHAnsi" w:cstheme="minorHAnsi"/>
          <w:bCs w:val="0"/>
          <w:color w:val="59595B"/>
          <w:sz w:val="22"/>
        </w:rPr>
        <w:t>Employee benefits are charged to research and development costs, general and administrative costs or marketing and sales costs based on the nature of the services provided.</w:t>
      </w:r>
    </w:p>
    <w:p w14:paraId="6DA7E547" w14:textId="77777777" w:rsidR="00A95B8F" w:rsidRDefault="00A95B8F" w:rsidP="00A27C22">
      <w:pPr>
        <w:ind w:firstLine="720"/>
        <w:rPr>
          <w:rFonts w:asciiTheme="minorHAnsi" w:hAnsiTheme="minorHAnsi" w:cstheme="minorHAnsi"/>
          <w:i/>
          <w:lang w:val="en-GB"/>
        </w:rPr>
      </w:pPr>
    </w:p>
    <w:p w14:paraId="5D6BE5F8" w14:textId="77777777" w:rsidR="00A95B8F" w:rsidRDefault="00A95B8F" w:rsidP="00A27C22">
      <w:pPr>
        <w:ind w:firstLine="720"/>
        <w:rPr>
          <w:rFonts w:asciiTheme="minorHAnsi" w:hAnsiTheme="minorHAnsi" w:cstheme="minorHAnsi"/>
          <w:i/>
          <w:lang w:val="en-GB"/>
        </w:rPr>
      </w:pPr>
    </w:p>
    <w:p w14:paraId="49BFF684" w14:textId="77777777" w:rsidR="00A95B8F" w:rsidRDefault="00A95B8F" w:rsidP="00A27C22">
      <w:pPr>
        <w:ind w:firstLine="720"/>
        <w:rPr>
          <w:rFonts w:asciiTheme="minorHAnsi" w:hAnsiTheme="minorHAnsi" w:cstheme="minorHAnsi"/>
          <w:i/>
          <w:lang w:val="en-GB"/>
        </w:rPr>
      </w:pPr>
    </w:p>
    <w:p w14:paraId="4408B995" w14:textId="0F6250BC" w:rsidR="00A27C22" w:rsidRPr="002D6138" w:rsidRDefault="00A27C22" w:rsidP="00A27C22">
      <w:pPr>
        <w:ind w:firstLine="720"/>
        <w:rPr>
          <w:rFonts w:asciiTheme="minorHAnsi" w:hAnsiTheme="minorHAnsi" w:cstheme="minorHAnsi"/>
          <w:i/>
          <w:lang w:val="en-GB"/>
        </w:rPr>
      </w:pPr>
      <w:r w:rsidRPr="002D6138">
        <w:rPr>
          <w:rFonts w:asciiTheme="minorHAnsi" w:hAnsiTheme="minorHAnsi" w:cstheme="minorHAnsi"/>
          <w:i/>
          <w:lang w:val="en-GB"/>
        </w:rPr>
        <w:lastRenderedPageBreak/>
        <w:t>Depreciation and amortisation charges</w:t>
      </w:r>
    </w:p>
    <w:p w14:paraId="1DC454F5" w14:textId="77777777" w:rsidR="00A27C22" w:rsidRPr="001D0FE2" w:rsidRDefault="00A27C22" w:rsidP="00A27C22">
      <w:pPr>
        <w:ind w:firstLine="720"/>
        <w:rPr>
          <w:rFonts w:asciiTheme="minorHAnsi" w:hAnsiTheme="minorHAnsi" w:cstheme="minorHAnsi"/>
          <w:bCs/>
          <w:color w:val="59595B"/>
          <w:szCs w:val="20"/>
          <w:lang w:val="en-GB"/>
        </w:rPr>
      </w:pPr>
    </w:p>
    <w:tbl>
      <w:tblPr>
        <w:tblW w:w="9072" w:type="dxa"/>
        <w:tblLook w:val="04A0" w:firstRow="1" w:lastRow="0" w:firstColumn="1" w:lastColumn="0" w:noHBand="0" w:noVBand="1"/>
      </w:tblPr>
      <w:tblGrid>
        <w:gridCol w:w="5154"/>
        <w:gridCol w:w="1959"/>
        <w:gridCol w:w="1959"/>
      </w:tblGrid>
      <w:tr w:rsidR="00A27C22" w:rsidRPr="001D0FE2" w14:paraId="34FD912A" w14:textId="77777777" w:rsidTr="00B81D69">
        <w:trPr>
          <w:trHeight w:val="328"/>
        </w:trPr>
        <w:tc>
          <w:tcPr>
            <w:tcW w:w="4840" w:type="dxa"/>
            <w:tcBorders>
              <w:top w:val="single" w:sz="8" w:space="0" w:color="BFBFBF"/>
              <w:left w:val="single" w:sz="8" w:space="0" w:color="BFBFBF"/>
              <w:bottom w:val="nil"/>
              <w:right w:val="nil"/>
            </w:tcBorders>
            <w:shd w:val="clear" w:color="000000" w:fill="366092"/>
            <w:vAlign w:val="center"/>
            <w:hideMark/>
          </w:tcPr>
          <w:p w14:paraId="0FFC0DF4"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1840" w:type="dxa"/>
            <w:tcBorders>
              <w:top w:val="single" w:sz="8" w:space="0" w:color="BFBFBF"/>
              <w:left w:val="nil"/>
              <w:bottom w:val="nil"/>
              <w:right w:val="nil"/>
            </w:tcBorders>
            <w:shd w:val="clear" w:color="000000" w:fill="366092"/>
            <w:vAlign w:val="center"/>
            <w:hideMark/>
          </w:tcPr>
          <w:p w14:paraId="53B0000A"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2020</w:t>
            </w:r>
          </w:p>
        </w:tc>
        <w:tc>
          <w:tcPr>
            <w:tcW w:w="1840" w:type="dxa"/>
            <w:tcBorders>
              <w:top w:val="single" w:sz="8" w:space="0" w:color="BFBFBF"/>
              <w:left w:val="nil"/>
              <w:bottom w:val="nil"/>
              <w:right w:val="single" w:sz="8" w:space="0" w:color="BFBFBF"/>
            </w:tcBorders>
            <w:shd w:val="clear" w:color="000000" w:fill="366092"/>
            <w:vAlign w:val="center"/>
            <w:hideMark/>
          </w:tcPr>
          <w:p w14:paraId="21FE5487"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2019</w:t>
            </w:r>
          </w:p>
        </w:tc>
      </w:tr>
      <w:tr w:rsidR="00A27C22" w:rsidRPr="001D0FE2" w14:paraId="7E7025F0" w14:textId="77777777" w:rsidTr="00B81D69">
        <w:trPr>
          <w:trHeight w:val="328"/>
        </w:trPr>
        <w:tc>
          <w:tcPr>
            <w:tcW w:w="4840" w:type="dxa"/>
            <w:tcBorders>
              <w:top w:val="nil"/>
              <w:left w:val="single" w:sz="8" w:space="0" w:color="BFBFBF"/>
              <w:bottom w:val="nil"/>
              <w:right w:val="nil"/>
            </w:tcBorders>
            <w:shd w:val="clear" w:color="auto" w:fill="auto"/>
            <w:noWrap/>
            <w:vAlign w:val="center"/>
            <w:hideMark/>
          </w:tcPr>
          <w:p w14:paraId="7EB6D517"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Property, plant and equipment </w:t>
            </w:r>
          </w:p>
        </w:tc>
        <w:tc>
          <w:tcPr>
            <w:tcW w:w="1840" w:type="dxa"/>
            <w:tcBorders>
              <w:top w:val="nil"/>
              <w:left w:val="single" w:sz="8" w:space="0" w:color="BFBFBF"/>
              <w:bottom w:val="nil"/>
              <w:right w:val="single" w:sz="8" w:space="0" w:color="BFBFBF"/>
            </w:tcBorders>
            <w:shd w:val="clear" w:color="000000" w:fill="DCE6F1"/>
            <w:noWrap/>
            <w:vAlign w:val="bottom"/>
            <w:hideMark/>
          </w:tcPr>
          <w:p w14:paraId="4719D595" w14:textId="77777777" w:rsidR="00A27C22" w:rsidRPr="00DC3886" w:rsidRDefault="00A27C22" w:rsidP="00B81D69">
            <w:pPr>
              <w:jc w:val="righ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(840)</w:t>
            </w:r>
          </w:p>
        </w:tc>
        <w:tc>
          <w:tcPr>
            <w:tcW w:w="1840" w:type="dxa"/>
            <w:tcBorders>
              <w:top w:val="nil"/>
              <w:left w:val="nil"/>
              <w:bottom w:val="nil"/>
              <w:right w:val="single" w:sz="8" w:space="0" w:color="BFBFBF"/>
            </w:tcBorders>
            <w:shd w:val="clear" w:color="auto" w:fill="auto"/>
            <w:noWrap/>
            <w:vAlign w:val="bottom"/>
            <w:hideMark/>
          </w:tcPr>
          <w:p w14:paraId="45238347" w14:textId="77777777" w:rsidR="00A27C22" w:rsidRPr="00DC3886" w:rsidRDefault="00A27C22" w:rsidP="00B81D69">
            <w:pPr>
              <w:jc w:val="righ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(679)</w:t>
            </w:r>
          </w:p>
        </w:tc>
      </w:tr>
      <w:tr w:rsidR="00A27C22" w:rsidRPr="001D0FE2" w14:paraId="70CB1515" w14:textId="77777777" w:rsidTr="00B81D69">
        <w:trPr>
          <w:trHeight w:val="328"/>
        </w:trPr>
        <w:tc>
          <w:tcPr>
            <w:tcW w:w="4840" w:type="dxa"/>
            <w:tcBorders>
              <w:top w:val="nil"/>
              <w:left w:val="single" w:sz="8" w:space="0" w:color="BFBFBF"/>
              <w:bottom w:val="nil"/>
              <w:right w:val="nil"/>
            </w:tcBorders>
            <w:shd w:val="clear" w:color="auto" w:fill="auto"/>
            <w:noWrap/>
            <w:vAlign w:val="center"/>
            <w:hideMark/>
          </w:tcPr>
          <w:p w14:paraId="2F6C5EA7"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Right-of-use assets</w:t>
            </w:r>
          </w:p>
        </w:tc>
        <w:tc>
          <w:tcPr>
            <w:tcW w:w="1840" w:type="dxa"/>
            <w:tcBorders>
              <w:top w:val="nil"/>
              <w:left w:val="single" w:sz="8" w:space="0" w:color="BFBFBF"/>
              <w:bottom w:val="nil"/>
              <w:right w:val="single" w:sz="8" w:space="0" w:color="BFBFBF"/>
            </w:tcBorders>
            <w:shd w:val="clear" w:color="000000" w:fill="DCE6F1"/>
            <w:noWrap/>
            <w:vAlign w:val="bottom"/>
            <w:hideMark/>
          </w:tcPr>
          <w:p w14:paraId="6B77E6E3" w14:textId="77777777" w:rsidR="00A27C22" w:rsidRPr="00DC3886" w:rsidRDefault="00A27C22" w:rsidP="00B81D69">
            <w:pPr>
              <w:jc w:val="righ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(784)</w:t>
            </w:r>
          </w:p>
        </w:tc>
        <w:tc>
          <w:tcPr>
            <w:tcW w:w="1840" w:type="dxa"/>
            <w:tcBorders>
              <w:top w:val="nil"/>
              <w:left w:val="nil"/>
              <w:bottom w:val="nil"/>
              <w:right w:val="single" w:sz="8" w:space="0" w:color="BFBFBF"/>
            </w:tcBorders>
            <w:shd w:val="clear" w:color="auto" w:fill="auto"/>
            <w:noWrap/>
            <w:vAlign w:val="bottom"/>
            <w:hideMark/>
          </w:tcPr>
          <w:p w14:paraId="71E17179" w14:textId="77777777" w:rsidR="00A27C22" w:rsidRPr="00DC3886" w:rsidRDefault="00A27C22" w:rsidP="00B81D69">
            <w:pPr>
              <w:jc w:val="righ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(674)</w:t>
            </w:r>
          </w:p>
        </w:tc>
      </w:tr>
      <w:tr w:rsidR="00A27C22" w:rsidRPr="001D0FE2" w14:paraId="36BD4401" w14:textId="77777777" w:rsidTr="00B81D69">
        <w:trPr>
          <w:trHeight w:val="328"/>
        </w:trPr>
        <w:tc>
          <w:tcPr>
            <w:tcW w:w="4840" w:type="dxa"/>
            <w:tcBorders>
              <w:top w:val="nil"/>
              <w:left w:val="single" w:sz="8" w:space="0" w:color="BFBFBF"/>
              <w:bottom w:val="nil"/>
              <w:right w:val="nil"/>
            </w:tcBorders>
            <w:shd w:val="clear" w:color="auto" w:fill="auto"/>
            <w:noWrap/>
            <w:vAlign w:val="center"/>
            <w:hideMark/>
          </w:tcPr>
          <w:p w14:paraId="39F4B6A6"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Intangible assets</w:t>
            </w:r>
          </w:p>
        </w:tc>
        <w:tc>
          <w:tcPr>
            <w:tcW w:w="1840" w:type="dxa"/>
            <w:tcBorders>
              <w:top w:val="nil"/>
              <w:left w:val="single" w:sz="8" w:space="0" w:color="BFBFBF"/>
              <w:bottom w:val="single" w:sz="8" w:space="0" w:color="BFBFBF"/>
              <w:right w:val="single" w:sz="8" w:space="0" w:color="BFBFBF"/>
            </w:tcBorders>
            <w:shd w:val="clear" w:color="000000" w:fill="DCE6F1"/>
            <w:noWrap/>
            <w:vAlign w:val="bottom"/>
            <w:hideMark/>
          </w:tcPr>
          <w:p w14:paraId="7C0FC70F" w14:textId="77777777" w:rsidR="00A27C22" w:rsidRPr="00DC3886" w:rsidRDefault="00A27C22" w:rsidP="00B81D69">
            <w:pPr>
              <w:jc w:val="righ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(1.759)</w:t>
            </w:r>
          </w:p>
        </w:tc>
        <w:tc>
          <w:tcPr>
            <w:tcW w:w="1840" w:type="dxa"/>
            <w:tcBorders>
              <w:top w:val="nil"/>
              <w:left w:val="nil"/>
              <w:bottom w:val="single" w:sz="8" w:space="0" w:color="BFBFBF"/>
              <w:right w:val="single" w:sz="8" w:space="0" w:color="BFBFBF"/>
            </w:tcBorders>
            <w:shd w:val="clear" w:color="auto" w:fill="auto"/>
            <w:noWrap/>
            <w:vAlign w:val="bottom"/>
            <w:hideMark/>
          </w:tcPr>
          <w:p w14:paraId="0454729B" w14:textId="77777777" w:rsidR="00A27C22" w:rsidRPr="00DC3886" w:rsidRDefault="00A27C22" w:rsidP="00B81D69">
            <w:pPr>
              <w:jc w:val="righ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(1.440)</w:t>
            </w:r>
          </w:p>
        </w:tc>
      </w:tr>
      <w:tr w:rsidR="00A27C22" w:rsidRPr="001D0FE2" w14:paraId="5EFCBF61" w14:textId="77777777" w:rsidTr="00B81D69">
        <w:trPr>
          <w:trHeight w:val="480"/>
        </w:trPr>
        <w:tc>
          <w:tcPr>
            <w:tcW w:w="484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15E6ADD6"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Total</w:t>
            </w:r>
          </w:p>
        </w:tc>
        <w:tc>
          <w:tcPr>
            <w:tcW w:w="1840" w:type="dxa"/>
            <w:tcBorders>
              <w:top w:val="nil"/>
              <w:left w:val="nil"/>
              <w:bottom w:val="single" w:sz="8" w:space="0" w:color="BFBFBF"/>
              <w:right w:val="single" w:sz="8" w:space="0" w:color="BFBFBF"/>
            </w:tcBorders>
            <w:shd w:val="clear" w:color="000000" w:fill="DCE6F1"/>
            <w:noWrap/>
            <w:vAlign w:val="center"/>
            <w:hideMark/>
          </w:tcPr>
          <w:p w14:paraId="4DA7AB8E"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(3.383)</w:t>
            </w:r>
          </w:p>
        </w:tc>
        <w:tc>
          <w:tcPr>
            <w:tcW w:w="1840" w:type="dxa"/>
            <w:tcBorders>
              <w:top w:val="nil"/>
              <w:left w:val="nil"/>
              <w:bottom w:val="single" w:sz="8" w:space="0" w:color="BFBFBF"/>
              <w:right w:val="single" w:sz="8" w:space="0" w:color="BFBFBF"/>
            </w:tcBorders>
            <w:shd w:val="clear" w:color="auto" w:fill="auto"/>
            <w:noWrap/>
            <w:vAlign w:val="center"/>
            <w:hideMark/>
          </w:tcPr>
          <w:p w14:paraId="346D44FF" w14:textId="77777777" w:rsidR="00A27C22" w:rsidRPr="002D6138" w:rsidRDefault="00A27C22" w:rsidP="00B81D69">
            <w:pPr>
              <w:jc w:val="left"/>
              <w:rPr>
                <w:rFonts w:asciiTheme="minorHAnsi" w:hAnsiTheme="minorHAnsi" w:cstheme="minorHAnsi"/>
                <w:b/>
                <w:bCs/>
                <w:sz w:val="20"/>
                <w:szCs w:val="20"/>
                <w:lang w:val="en-GB"/>
              </w:rPr>
            </w:pPr>
            <w:r w:rsidRPr="002D6138">
              <w:rPr>
                <w:rFonts w:asciiTheme="minorHAnsi" w:hAnsiTheme="minorHAnsi" w:cstheme="minorHAnsi"/>
                <w:b/>
                <w:bCs/>
                <w:sz w:val="20"/>
                <w:szCs w:val="20"/>
                <w:lang w:val="en-GB"/>
              </w:rPr>
              <w:t xml:space="preserve">                         (2.793)</w:t>
            </w:r>
          </w:p>
        </w:tc>
      </w:tr>
    </w:tbl>
    <w:p w14:paraId="2146D6CA" w14:textId="77777777" w:rsidR="00A27C22" w:rsidRPr="001D0FE2" w:rsidRDefault="00A27C22" w:rsidP="00A27C22">
      <w:pPr>
        <w:ind w:firstLine="720"/>
        <w:rPr>
          <w:rFonts w:asciiTheme="minorHAnsi" w:hAnsiTheme="minorHAnsi" w:cstheme="minorHAnsi"/>
          <w:bCs/>
          <w:color w:val="59595B"/>
          <w:szCs w:val="20"/>
          <w:lang w:val="en-GB"/>
        </w:rPr>
      </w:pPr>
    </w:p>
    <w:p w14:paraId="35AAC219" w14:textId="77777777" w:rsidR="00A27C22" w:rsidRPr="00F07CB5" w:rsidRDefault="00A27C22" w:rsidP="00A27C22">
      <w:pPr>
        <w:pStyle w:val="AL"/>
        <w:spacing w:after="120"/>
        <w:rPr>
          <w:rFonts w:asciiTheme="minorHAnsi" w:hAnsiTheme="minorHAnsi" w:cstheme="minorHAnsi"/>
          <w:bCs w:val="0"/>
          <w:color w:val="59595B"/>
          <w:sz w:val="22"/>
        </w:rPr>
      </w:pPr>
      <w:r w:rsidRPr="00F07CB5">
        <w:rPr>
          <w:rFonts w:asciiTheme="minorHAnsi" w:hAnsiTheme="minorHAnsi" w:cstheme="minorHAnsi"/>
          <w:bCs w:val="0"/>
          <w:color w:val="59595B"/>
          <w:sz w:val="22"/>
        </w:rPr>
        <w:t>The depreciation on right-of-use assets relates to leased buildings and cars</w:t>
      </w:r>
      <w:r w:rsidRPr="00F07CB5">
        <w:rPr>
          <w:rFonts w:asciiTheme="minorHAnsi" w:hAnsiTheme="minorHAnsi" w:cstheme="minorHAnsi"/>
          <w:bCs w:val="0"/>
          <w:i/>
          <w:iCs/>
          <w:color w:val="59595B"/>
          <w:sz w:val="22"/>
        </w:rPr>
        <w:t>.</w:t>
      </w:r>
      <w:r w:rsidRPr="00F07CB5">
        <w:rPr>
          <w:rFonts w:asciiTheme="minorHAnsi" w:hAnsiTheme="minorHAnsi" w:cstheme="minorHAnsi"/>
          <w:bCs w:val="0"/>
          <w:color w:val="59595B"/>
          <w:sz w:val="22"/>
        </w:rPr>
        <w:t xml:space="preserve"> </w:t>
      </w:r>
    </w:p>
    <w:p w14:paraId="72E51431" w14:textId="77777777" w:rsidR="00A27C22" w:rsidRPr="00F07CB5" w:rsidRDefault="00A27C22" w:rsidP="00A27C22">
      <w:pPr>
        <w:pStyle w:val="AL"/>
        <w:spacing w:after="120"/>
        <w:rPr>
          <w:rFonts w:asciiTheme="minorHAnsi" w:hAnsiTheme="minorHAnsi" w:cstheme="minorHAnsi"/>
          <w:bCs w:val="0"/>
          <w:color w:val="59595B"/>
          <w:sz w:val="22"/>
        </w:rPr>
      </w:pPr>
      <w:r w:rsidRPr="00F07CB5">
        <w:rPr>
          <w:rFonts w:asciiTheme="minorHAnsi" w:hAnsiTheme="minorHAnsi" w:cstheme="minorHAnsi"/>
          <w:bCs w:val="0"/>
          <w:color w:val="59595B"/>
          <w:sz w:val="22"/>
        </w:rPr>
        <w:t xml:space="preserve">The amortisation of the intangible assets mainly relates to the re-acquired US commercialisation rights and are allocated to marketing and sales costs in the statement of income. </w:t>
      </w:r>
    </w:p>
    <w:p w14:paraId="59449735" w14:textId="77777777" w:rsidR="00A27C22" w:rsidRPr="00DC3886" w:rsidRDefault="00A27C22" w:rsidP="00A27C22">
      <w:pPr>
        <w:pStyle w:val="ListParagraph"/>
        <w:numPr>
          <w:ilvl w:val="0"/>
          <w:numId w:val="3"/>
        </w:numPr>
        <w:autoSpaceDE w:val="0"/>
        <w:autoSpaceDN w:val="0"/>
        <w:adjustRightInd w:val="0"/>
        <w:spacing w:before="240"/>
        <w:rPr>
          <w:rFonts w:asciiTheme="minorHAnsi" w:hAnsiTheme="minorHAnsi" w:cstheme="minorHAnsi"/>
          <w:i/>
          <w:color w:val="59595B"/>
          <w:szCs w:val="22"/>
          <w:lang w:val="en-GB"/>
        </w:rPr>
      </w:pPr>
      <w:r w:rsidRPr="00DC3886">
        <w:rPr>
          <w:rFonts w:asciiTheme="minorHAnsi" w:hAnsiTheme="minorHAnsi" w:cstheme="minorHAnsi"/>
          <w:i/>
          <w:color w:val="59595B"/>
          <w:szCs w:val="22"/>
          <w:lang w:val="en-GB"/>
        </w:rPr>
        <w:t xml:space="preserve">Financial expenses  </w:t>
      </w:r>
    </w:p>
    <w:p w14:paraId="3769AC63" w14:textId="77777777" w:rsidR="00A27C22" w:rsidRPr="001D0FE2" w:rsidRDefault="00A27C22" w:rsidP="00A27C22">
      <w:pPr>
        <w:pStyle w:val="AL"/>
        <w:spacing w:after="120"/>
        <w:rPr>
          <w:rFonts w:asciiTheme="minorHAnsi" w:hAnsiTheme="minorHAnsi" w:cstheme="minorHAnsi"/>
          <w:bCs w:val="0"/>
          <w:color w:val="59595B"/>
          <w:szCs w:val="20"/>
        </w:rPr>
      </w:pPr>
    </w:p>
    <w:tbl>
      <w:tblPr>
        <w:tblW w:w="9072" w:type="dxa"/>
        <w:tblLook w:val="04A0" w:firstRow="1" w:lastRow="0" w:firstColumn="1" w:lastColumn="0" w:noHBand="0" w:noVBand="1"/>
      </w:tblPr>
      <w:tblGrid>
        <w:gridCol w:w="5912"/>
        <w:gridCol w:w="1720"/>
        <w:gridCol w:w="1440"/>
      </w:tblGrid>
      <w:tr w:rsidR="00A27C22" w:rsidRPr="001D0FE2" w14:paraId="1B321B29" w14:textId="77777777" w:rsidTr="00B81D69">
        <w:trPr>
          <w:trHeight w:val="370"/>
        </w:trPr>
        <w:tc>
          <w:tcPr>
            <w:tcW w:w="6180" w:type="dxa"/>
            <w:tcBorders>
              <w:top w:val="single" w:sz="8" w:space="0" w:color="BFBFBF"/>
              <w:left w:val="single" w:sz="8" w:space="0" w:color="BFBFBF"/>
              <w:bottom w:val="nil"/>
              <w:right w:val="nil"/>
            </w:tcBorders>
            <w:shd w:val="clear" w:color="000000" w:fill="366092"/>
            <w:vAlign w:val="center"/>
            <w:hideMark/>
          </w:tcPr>
          <w:p w14:paraId="6C072D86" w14:textId="77777777" w:rsidR="00A27C22" w:rsidRPr="001D0FE2" w:rsidRDefault="00A27C22" w:rsidP="00B81D69">
            <w:pPr>
              <w:jc w:val="left"/>
              <w:rPr>
                <w:rFonts w:asciiTheme="minorHAnsi" w:hAnsiTheme="minorHAnsi" w:cstheme="minorHAnsi"/>
                <w:color w:val="FFFFFF"/>
                <w:sz w:val="20"/>
                <w:szCs w:val="20"/>
                <w:lang w:val="en-GB"/>
              </w:rPr>
            </w:pPr>
            <w:r w:rsidRPr="001D0FE2">
              <w:rPr>
                <w:rFonts w:asciiTheme="minorHAnsi" w:hAnsiTheme="minorHAnsi" w:cstheme="minorHAnsi"/>
                <w:color w:val="FFFFFF"/>
                <w:sz w:val="20"/>
                <w:szCs w:val="20"/>
                <w:lang w:val="en-GB"/>
              </w:rPr>
              <w:t>Amounts in € ‘000</w:t>
            </w:r>
          </w:p>
        </w:tc>
        <w:tc>
          <w:tcPr>
            <w:tcW w:w="1720" w:type="dxa"/>
            <w:tcBorders>
              <w:top w:val="single" w:sz="8" w:space="0" w:color="BFBFBF"/>
              <w:left w:val="nil"/>
              <w:bottom w:val="nil"/>
              <w:right w:val="nil"/>
            </w:tcBorders>
            <w:shd w:val="clear" w:color="000000" w:fill="366092"/>
            <w:vAlign w:val="center"/>
            <w:hideMark/>
          </w:tcPr>
          <w:p w14:paraId="6A6A6C88"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2020</w:t>
            </w:r>
          </w:p>
        </w:tc>
        <w:tc>
          <w:tcPr>
            <w:tcW w:w="1440" w:type="dxa"/>
            <w:tcBorders>
              <w:top w:val="single" w:sz="8" w:space="0" w:color="BFBFBF"/>
              <w:left w:val="nil"/>
              <w:bottom w:val="nil"/>
              <w:right w:val="single" w:sz="8" w:space="0" w:color="BFBFBF"/>
            </w:tcBorders>
            <w:shd w:val="clear" w:color="000000" w:fill="366092"/>
            <w:vAlign w:val="center"/>
            <w:hideMark/>
          </w:tcPr>
          <w:p w14:paraId="0FD28B2E"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2019</w:t>
            </w:r>
          </w:p>
        </w:tc>
      </w:tr>
      <w:tr w:rsidR="00A27C22" w:rsidRPr="001D0FE2" w14:paraId="58DFE32F" w14:textId="77777777" w:rsidTr="00B81D69">
        <w:trPr>
          <w:trHeight w:val="328"/>
        </w:trPr>
        <w:tc>
          <w:tcPr>
            <w:tcW w:w="6180" w:type="dxa"/>
            <w:tcBorders>
              <w:top w:val="nil"/>
              <w:left w:val="single" w:sz="8" w:space="0" w:color="BFBFBF"/>
              <w:bottom w:val="nil"/>
              <w:right w:val="single" w:sz="8" w:space="0" w:color="BFBFBF"/>
            </w:tcBorders>
            <w:shd w:val="clear" w:color="auto" w:fill="auto"/>
            <w:vAlign w:val="center"/>
            <w:hideMark/>
          </w:tcPr>
          <w:p w14:paraId="6C48B741"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Foreign currency results</w:t>
            </w:r>
          </w:p>
        </w:tc>
        <w:tc>
          <w:tcPr>
            <w:tcW w:w="1720" w:type="dxa"/>
            <w:tcBorders>
              <w:top w:val="nil"/>
              <w:left w:val="nil"/>
              <w:bottom w:val="nil"/>
              <w:right w:val="single" w:sz="8" w:space="0" w:color="BFBFBF"/>
            </w:tcBorders>
            <w:shd w:val="clear" w:color="000000" w:fill="DCE6F1"/>
            <w:noWrap/>
            <w:vAlign w:val="bottom"/>
            <w:hideMark/>
          </w:tcPr>
          <w:p w14:paraId="3CAB1DC4"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634 </w:t>
            </w:r>
          </w:p>
        </w:tc>
        <w:tc>
          <w:tcPr>
            <w:tcW w:w="1440" w:type="dxa"/>
            <w:tcBorders>
              <w:top w:val="nil"/>
              <w:left w:val="nil"/>
              <w:bottom w:val="nil"/>
              <w:right w:val="single" w:sz="8" w:space="0" w:color="BFBFBF"/>
            </w:tcBorders>
            <w:shd w:val="clear" w:color="auto" w:fill="auto"/>
            <w:noWrap/>
            <w:vAlign w:val="bottom"/>
            <w:hideMark/>
          </w:tcPr>
          <w:p w14:paraId="0BA1CA70"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   </w:t>
            </w:r>
          </w:p>
        </w:tc>
      </w:tr>
      <w:tr w:rsidR="00A27C22" w:rsidRPr="001D0FE2" w14:paraId="47D3F2B6" w14:textId="77777777" w:rsidTr="00B81D69">
        <w:trPr>
          <w:trHeight w:val="328"/>
        </w:trPr>
        <w:tc>
          <w:tcPr>
            <w:tcW w:w="6180" w:type="dxa"/>
            <w:tcBorders>
              <w:top w:val="nil"/>
              <w:left w:val="single" w:sz="8" w:space="0" w:color="BFBFBF"/>
              <w:bottom w:val="nil"/>
              <w:right w:val="single" w:sz="8" w:space="0" w:color="BFBFBF"/>
            </w:tcBorders>
            <w:shd w:val="clear" w:color="auto" w:fill="auto"/>
            <w:vAlign w:val="center"/>
            <w:hideMark/>
          </w:tcPr>
          <w:p w14:paraId="201B5A44"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Interest income</w:t>
            </w:r>
          </w:p>
        </w:tc>
        <w:tc>
          <w:tcPr>
            <w:tcW w:w="1720" w:type="dxa"/>
            <w:tcBorders>
              <w:top w:val="nil"/>
              <w:left w:val="nil"/>
              <w:bottom w:val="nil"/>
              <w:right w:val="single" w:sz="8" w:space="0" w:color="BFBFBF"/>
            </w:tcBorders>
            <w:shd w:val="clear" w:color="000000" w:fill="DCE6F1"/>
            <w:noWrap/>
            <w:vAlign w:val="bottom"/>
            <w:hideMark/>
          </w:tcPr>
          <w:p w14:paraId="5462B486"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487 </w:t>
            </w:r>
          </w:p>
        </w:tc>
        <w:tc>
          <w:tcPr>
            <w:tcW w:w="1440" w:type="dxa"/>
            <w:tcBorders>
              <w:top w:val="nil"/>
              <w:left w:val="nil"/>
              <w:bottom w:val="nil"/>
              <w:right w:val="single" w:sz="8" w:space="0" w:color="BFBFBF"/>
            </w:tcBorders>
            <w:shd w:val="clear" w:color="auto" w:fill="auto"/>
            <w:noWrap/>
            <w:vAlign w:val="bottom"/>
            <w:hideMark/>
          </w:tcPr>
          <w:p w14:paraId="69B46001"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475 </w:t>
            </w:r>
          </w:p>
        </w:tc>
      </w:tr>
      <w:tr w:rsidR="00A27C22" w:rsidRPr="001D0FE2" w14:paraId="6933114A" w14:textId="77777777" w:rsidTr="00B81D69">
        <w:trPr>
          <w:trHeight w:val="328"/>
        </w:trPr>
        <w:tc>
          <w:tcPr>
            <w:tcW w:w="6180" w:type="dxa"/>
            <w:tcBorders>
              <w:top w:val="nil"/>
              <w:left w:val="single" w:sz="8" w:space="0" w:color="BFBFBF"/>
              <w:bottom w:val="nil"/>
              <w:right w:val="single" w:sz="8" w:space="0" w:color="BFBFBF"/>
            </w:tcBorders>
            <w:shd w:val="clear" w:color="auto" w:fill="auto"/>
            <w:vAlign w:val="center"/>
            <w:hideMark/>
          </w:tcPr>
          <w:p w14:paraId="2912FC9F"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Contingent consideration</w:t>
            </w:r>
          </w:p>
        </w:tc>
        <w:tc>
          <w:tcPr>
            <w:tcW w:w="1720" w:type="dxa"/>
            <w:tcBorders>
              <w:top w:val="nil"/>
              <w:left w:val="nil"/>
              <w:bottom w:val="nil"/>
              <w:right w:val="single" w:sz="8" w:space="0" w:color="BFBFBF"/>
            </w:tcBorders>
            <w:shd w:val="clear" w:color="000000" w:fill="DCE6F1"/>
            <w:noWrap/>
            <w:vAlign w:val="bottom"/>
            <w:hideMark/>
          </w:tcPr>
          <w:p w14:paraId="587224B2"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   </w:t>
            </w:r>
          </w:p>
        </w:tc>
        <w:tc>
          <w:tcPr>
            <w:tcW w:w="1440" w:type="dxa"/>
            <w:tcBorders>
              <w:top w:val="nil"/>
              <w:left w:val="nil"/>
              <w:bottom w:val="nil"/>
              <w:right w:val="single" w:sz="8" w:space="0" w:color="BFBFBF"/>
            </w:tcBorders>
            <w:shd w:val="clear" w:color="auto" w:fill="auto"/>
            <w:noWrap/>
            <w:vAlign w:val="bottom"/>
            <w:hideMark/>
          </w:tcPr>
          <w:p w14:paraId="2DF69EB3"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31 </w:t>
            </w:r>
          </w:p>
        </w:tc>
      </w:tr>
      <w:tr w:rsidR="00A27C22" w:rsidRPr="001D0FE2" w14:paraId="1F2C5D32" w14:textId="77777777" w:rsidTr="00B81D69">
        <w:trPr>
          <w:trHeight w:val="328"/>
        </w:trPr>
        <w:tc>
          <w:tcPr>
            <w:tcW w:w="618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672B4309"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Other financial income</w:t>
            </w:r>
          </w:p>
        </w:tc>
        <w:tc>
          <w:tcPr>
            <w:tcW w:w="1720" w:type="dxa"/>
            <w:tcBorders>
              <w:top w:val="single" w:sz="8" w:space="0" w:color="BFBFBF"/>
              <w:left w:val="nil"/>
              <w:bottom w:val="single" w:sz="8" w:space="0" w:color="BFBFBF"/>
              <w:right w:val="nil"/>
            </w:tcBorders>
            <w:shd w:val="clear" w:color="000000" w:fill="DCE6F1"/>
            <w:noWrap/>
            <w:vAlign w:val="center"/>
            <w:hideMark/>
          </w:tcPr>
          <w:p w14:paraId="01B7937B"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1.121 </w:t>
            </w:r>
          </w:p>
        </w:tc>
        <w:tc>
          <w:tcPr>
            <w:tcW w:w="144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7AA175AD"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506 </w:t>
            </w:r>
          </w:p>
        </w:tc>
      </w:tr>
      <w:tr w:rsidR="00A27C22" w:rsidRPr="001D0FE2" w14:paraId="187496BE" w14:textId="77777777" w:rsidTr="00B81D69">
        <w:trPr>
          <w:trHeight w:val="328"/>
        </w:trPr>
        <w:tc>
          <w:tcPr>
            <w:tcW w:w="6180" w:type="dxa"/>
            <w:tcBorders>
              <w:top w:val="nil"/>
              <w:left w:val="single" w:sz="8" w:space="0" w:color="BFBFBF"/>
              <w:bottom w:val="nil"/>
              <w:right w:val="single" w:sz="8" w:space="0" w:color="BFBFBF"/>
            </w:tcBorders>
            <w:shd w:val="clear" w:color="auto" w:fill="auto"/>
            <w:vAlign w:val="bottom"/>
            <w:hideMark/>
          </w:tcPr>
          <w:p w14:paraId="04000E93"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Foreign currency results</w:t>
            </w:r>
          </w:p>
        </w:tc>
        <w:tc>
          <w:tcPr>
            <w:tcW w:w="1720" w:type="dxa"/>
            <w:tcBorders>
              <w:top w:val="nil"/>
              <w:left w:val="nil"/>
              <w:bottom w:val="nil"/>
              <w:right w:val="single" w:sz="8" w:space="0" w:color="BFBFBF"/>
            </w:tcBorders>
            <w:shd w:val="clear" w:color="000000" w:fill="DCE6F1"/>
            <w:noWrap/>
            <w:vAlign w:val="bottom"/>
            <w:hideMark/>
          </w:tcPr>
          <w:p w14:paraId="113BD4DA"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   </w:t>
            </w:r>
          </w:p>
        </w:tc>
        <w:tc>
          <w:tcPr>
            <w:tcW w:w="1440" w:type="dxa"/>
            <w:tcBorders>
              <w:top w:val="nil"/>
              <w:left w:val="nil"/>
              <w:bottom w:val="nil"/>
              <w:right w:val="single" w:sz="8" w:space="0" w:color="BFBFBF"/>
            </w:tcBorders>
            <w:shd w:val="clear" w:color="auto" w:fill="auto"/>
            <w:noWrap/>
            <w:vAlign w:val="bottom"/>
            <w:hideMark/>
          </w:tcPr>
          <w:p w14:paraId="3F61728E"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(208)</w:t>
            </w:r>
          </w:p>
        </w:tc>
      </w:tr>
      <w:tr w:rsidR="00A27C22" w:rsidRPr="001D0FE2" w14:paraId="40920668" w14:textId="77777777" w:rsidTr="00B81D69">
        <w:trPr>
          <w:trHeight w:val="328"/>
        </w:trPr>
        <w:tc>
          <w:tcPr>
            <w:tcW w:w="6180" w:type="dxa"/>
            <w:tcBorders>
              <w:top w:val="nil"/>
              <w:left w:val="single" w:sz="8" w:space="0" w:color="BFBFBF"/>
              <w:bottom w:val="nil"/>
              <w:right w:val="single" w:sz="8" w:space="0" w:color="BFBFBF"/>
            </w:tcBorders>
            <w:shd w:val="clear" w:color="auto" w:fill="auto"/>
            <w:vAlign w:val="bottom"/>
            <w:hideMark/>
          </w:tcPr>
          <w:p w14:paraId="4BC7B2BE"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Interest loans and borrowings</w:t>
            </w:r>
          </w:p>
        </w:tc>
        <w:tc>
          <w:tcPr>
            <w:tcW w:w="1720" w:type="dxa"/>
            <w:tcBorders>
              <w:top w:val="nil"/>
              <w:left w:val="nil"/>
              <w:bottom w:val="nil"/>
              <w:right w:val="single" w:sz="8" w:space="0" w:color="BFBFBF"/>
            </w:tcBorders>
            <w:shd w:val="clear" w:color="000000" w:fill="DCE6F1"/>
            <w:noWrap/>
            <w:vAlign w:val="bottom"/>
            <w:hideMark/>
          </w:tcPr>
          <w:p w14:paraId="4720F3F2"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(449)</w:t>
            </w:r>
          </w:p>
        </w:tc>
        <w:tc>
          <w:tcPr>
            <w:tcW w:w="1440" w:type="dxa"/>
            <w:tcBorders>
              <w:top w:val="nil"/>
              <w:left w:val="nil"/>
              <w:bottom w:val="nil"/>
              <w:right w:val="single" w:sz="8" w:space="0" w:color="BFBFBF"/>
            </w:tcBorders>
            <w:shd w:val="clear" w:color="auto" w:fill="auto"/>
            <w:noWrap/>
            <w:vAlign w:val="bottom"/>
            <w:hideMark/>
          </w:tcPr>
          <w:p w14:paraId="563B6B59"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(6.229)</w:t>
            </w:r>
          </w:p>
        </w:tc>
      </w:tr>
      <w:tr w:rsidR="00A27C22" w:rsidRPr="001D0FE2" w14:paraId="2FAAF773" w14:textId="77777777" w:rsidTr="00B81D69">
        <w:trPr>
          <w:trHeight w:val="328"/>
        </w:trPr>
        <w:tc>
          <w:tcPr>
            <w:tcW w:w="6180" w:type="dxa"/>
            <w:tcBorders>
              <w:top w:val="nil"/>
              <w:left w:val="single" w:sz="8" w:space="0" w:color="BFBFBF"/>
              <w:bottom w:val="nil"/>
              <w:right w:val="single" w:sz="8" w:space="0" w:color="BFBFBF"/>
            </w:tcBorders>
            <w:shd w:val="clear" w:color="auto" w:fill="auto"/>
            <w:vAlign w:val="bottom"/>
            <w:hideMark/>
          </w:tcPr>
          <w:p w14:paraId="3D0C8BCA"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Exit fees and expenses </w:t>
            </w:r>
          </w:p>
        </w:tc>
        <w:tc>
          <w:tcPr>
            <w:tcW w:w="1720" w:type="dxa"/>
            <w:tcBorders>
              <w:top w:val="nil"/>
              <w:left w:val="nil"/>
              <w:bottom w:val="nil"/>
              <w:right w:val="single" w:sz="8" w:space="0" w:color="BFBFBF"/>
            </w:tcBorders>
            <w:shd w:val="clear" w:color="000000" w:fill="DCE6F1"/>
            <w:noWrap/>
            <w:vAlign w:val="bottom"/>
            <w:hideMark/>
          </w:tcPr>
          <w:p w14:paraId="255B8D37"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(3.672)</w:t>
            </w:r>
          </w:p>
        </w:tc>
        <w:tc>
          <w:tcPr>
            <w:tcW w:w="1440" w:type="dxa"/>
            <w:tcBorders>
              <w:top w:val="nil"/>
              <w:left w:val="nil"/>
              <w:bottom w:val="nil"/>
              <w:right w:val="single" w:sz="8" w:space="0" w:color="BFBFBF"/>
            </w:tcBorders>
            <w:shd w:val="clear" w:color="auto" w:fill="auto"/>
            <w:noWrap/>
            <w:vAlign w:val="bottom"/>
            <w:hideMark/>
          </w:tcPr>
          <w:p w14:paraId="44453FBC"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   </w:t>
            </w:r>
          </w:p>
        </w:tc>
      </w:tr>
      <w:tr w:rsidR="00A27C22" w:rsidRPr="001D0FE2" w14:paraId="3E8A68C0" w14:textId="77777777" w:rsidTr="00B81D69">
        <w:trPr>
          <w:trHeight w:val="328"/>
        </w:trPr>
        <w:tc>
          <w:tcPr>
            <w:tcW w:w="6180" w:type="dxa"/>
            <w:tcBorders>
              <w:top w:val="nil"/>
              <w:left w:val="single" w:sz="8" w:space="0" w:color="BFBFBF"/>
              <w:bottom w:val="nil"/>
              <w:right w:val="single" w:sz="8" w:space="0" w:color="BFBFBF"/>
            </w:tcBorders>
            <w:shd w:val="clear" w:color="auto" w:fill="auto"/>
            <w:vAlign w:val="bottom"/>
            <w:hideMark/>
          </w:tcPr>
          <w:p w14:paraId="4CE3BCAF"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Interest on convertible bonds</w:t>
            </w:r>
          </w:p>
        </w:tc>
        <w:tc>
          <w:tcPr>
            <w:tcW w:w="1720" w:type="dxa"/>
            <w:tcBorders>
              <w:top w:val="nil"/>
              <w:left w:val="nil"/>
              <w:bottom w:val="nil"/>
              <w:right w:val="single" w:sz="8" w:space="0" w:color="BFBFBF"/>
            </w:tcBorders>
            <w:shd w:val="clear" w:color="000000" w:fill="DCE6F1"/>
            <w:noWrap/>
            <w:vAlign w:val="bottom"/>
            <w:hideMark/>
          </w:tcPr>
          <w:p w14:paraId="57CA7178"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(1.944)</w:t>
            </w:r>
          </w:p>
        </w:tc>
        <w:tc>
          <w:tcPr>
            <w:tcW w:w="1440" w:type="dxa"/>
            <w:tcBorders>
              <w:top w:val="nil"/>
              <w:left w:val="nil"/>
              <w:bottom w:val="nil"/>
              <w:right w:val="single" w:sz="8" w:space="0" w:color="BFBFBF"/>
            </w:tcBorders>
            <w:shd w:val="clear" w:color="auto" w:fill="auto"/>
            <w:noWrap/>
            <w:vAlign w:val="bottom"/>
            <w:hideMark/>
          </w:tcPr>
          <w:p w14:paraId="0C6FF804"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   </w:t>
            </w:r>
          </w:p>
        </w:tc>
      </w:tr>
      <w:tr w:rsidR="00A27C22" w:rsidRPr="001D0FE2" w14:paraId="14B75ED3" w14:textId="77777777" w:rsidTr="00B81D69">
        <w:trPr>
          <w:trHeight w:val="328"/>
        </w:trPr>
        <w:tc>
          <w:tcPr>
            <w:tcW w:w="6180" w:type="dxa"/>
            <w:tcBorders>
              <w:top w:val="nil"/>
              <w:left w:val="single" w:sz="8" w:space="0" w:color="BFBFBF"/>
              <w:bottom w:val="nil"/>
              <w:right w:val="single" w:sz="8" w:space="0" w:color="BFBFBF"/>
            </w:tcBorders>
            <w:shd w:val="clear" w:color="auto" w:fill="auto"/>
            <w:vAlign w:val="bottom"/>
            <w:hideMark/>
          </w:tcPr>
          <w:p w14:paraId="5EE16989"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Other interest expenses</w:t>
            </w:r>
          </w:p>
        </w:tc>
        <w:tc>
          <w:tcPr>
            <w:tcW w:w="1720" w:type="dxa"/>
            <w:tcBorders>
              <w:top w:val="nil"/>
              <w:left w:val="nil"/>
              <w:bottom w:val="nil"/>
              <w:right w:val="single" w:sz="8" w:space="0" w:color="BFBFBF"/>
            </w:tcBorders>
            <w:shd w:val="clear" w:color="000000" w:fill="DCE6F1"/>
            <w:noWrap/>
            <w:vAlign w:val="bottom"/>
            <w:hideMark/>
          </w:tcPr>
          <w:p w14:paraId="089A9A2B"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(382)</w:t>
            </w:r>
          </w:p>
        </w:tc>
        <w:tc>
          <w:tcPr>
            <w:tcW w:w="1440" w:type="dxa"/>
            <w:tcBorders>
              <w:top w:val="nil"/>
              <w:left w:val="nil"/>
              <w:bottom w:val="nil"/>
              <w:right w:val="single" w:sz="8" w:space="0" w:color="BFBFBF"/>
            </w:tcBorders>
            <w:shd w:val="clear" w:color="auto" w:fill="auto"/>
            <w:noWrap/>
            <w:vAlign w:val="bottom"/>
            <w:hideMark/>
          </w:tcPr>
          <w:p w14:paraId="2E191E97"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(330)</w:t>
            </w:r>
          </w:p>
        </w:tc>
      </w:tr>
      <w:tr w:rsidR="00A27C22" w:rsidRPr="001D0FE2" w14:paraId="4B7CD5CB" w14:textId="77777777" w:rsidTr="00B81D69">
        <w:trPr>
          <w:trHeight w:val="328"/>
        </w:trPr>
        <w:tc>
          <w:tcPr>
            <w:tcW w:w="6180" w:type="dxa"/>
            <w:tcBorders>
              <w:top w:val="nil"/>
              <w:left w:val="single" w:sz="8" w:space="0" w:color="BFBFBF"/>
              <w:bottom w:val="nil"/>
              <w:right w:val="single" w:sz="8" w:space="0" w:color="BFBFBF"/>
            </w:tcBorders>
            <w:shd w:val="clear" w:color="auto" w:fill="auto"/>
            <w:vAlign w:val="bottom"/>
            <w:hideMark/>
          </w:tcPr>
          <w:p w14:paraId="59BD8191"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Contingent consideration</w:t>
            </w:r>
          </w:p>
        </w:tc>
        <w:tc>
          <w:tcPr>
            <w:tcW w:w="1720" w:type="dxa"/>
            <w:tcBorders>
              <w:top w:val="nil"/>
              <w:left w:val="nil"/>
              <w:bottom w:val="nil"/>
              <w:right w:val="single" w:sz="8" w:space="0" w:color="BFBFBF"/>
            </w:tcBorders>
            <w:shd w:val="clear" w:color="000000" w:fill="DCE6F1"/>
            <w:noWrap/>
            <w:vAlign w:val="bottom"/>
            <w:hideMark/>
          </w:tcPr>
          <w:p w14:paraId="56208B5D"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(1.216)</w:t>
            </w:r>
          </w:p>
        </w:tc>
        <w:tc>
          <w:tcPr>
            <w:tcW w:w="1440" w:type="dxa"/>
            <w:tcBorders>
              <w:top w:val="nil"/>
              <w:left w:val="nil"/>
              <w:bottom w:val="nil"/>
              <w:right w:val="single" w:sz="8" w:space="0" w:color="BFBFBF"/>
            </w:tcBorders>
            <w:shd w:val="clear" w:color="auto" w:fill="auto"/>
            <w:noWrap/>
            <w:vAlign w:val="bottom"/>
            <w:hideMark/>
          </w:tcPr>
          <w:p w14:paraId="398F5A02"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   </w:t>
            </w:r>
          </w:p>
        </w:tc>
      </w:tr>
      <w:tr w:rsidR="00A27C22" w:rsidRPr="001D0FE2" w14:paraId="79C4536C" w14:textId="77777777" w:rsidTr="00B81D69">
        <w:trPr>
          <w:trHeight w:val="380"/>
        </w:trPr>
        <w:tc>
          <w:tcPr>
            <w:tcW w:w="6180" w:type="dxa"/>
            <w:tcBorders>
              <w:top w:val="nil"/>
              <w:left w:val="single" w:sz="8" w:space="0" w:color="BFBFBF"/>
              <w:bottom w:val="nil"/>
              <w:right w:val="single" w:sz="8" w:space="0" w:color="BFBFBF"/>
            </w:tcBorders>
            <w:shd w:val="clear" w:color="auto" w:fill="auto"/>
            <w:vAlign w:val="center"/>
            <w:hideMark/>
          </w:tcPr>
          <w:p w14:paraId="0F22A923"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Other financial expenses</w:t>
            </w:r>
          </w:p>
        </w:tc>
        <w:tc>
          <w:tcPr>
            <w:tcW w:w="1720" w:type="dxa"/>
            <w:tcBorders>
              <w:top w:val="nil"/>
              <w:left w:val="nil"/>
              <w:bottom w:val="single" w:sz="8" w:space="0" w:color="BFBFBF"/>
              <w:right w:val="single" w:sz="8" w:space="0" w:color="BFBFBF"/>
            </w:tcBorders>
            <w:shd w:val="clear" w:color="000000" w:fill="DCE6F1"/>
            <w:noWrap/>
            <w:vAlign w:val="bottom"/>
            <w:hideMark/>
          </w:tcPr>
          <w:p w14:paraId="3FBF55C4"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(78)</w:t>
            </w:r>
          </w:p>
        </w:tc>
        <w:tc>
          <w:tcPr>
            <w:tcW w:w="1440" w:type="dxa"/>
            <w:tcBorders>
              <w:top w:val="nil"/>
              <w:left w:val="nil"/>
              <w:bottom w:val="single" w:sz="8" w:space="0" w:color="BFBFBF"/>
              <w:right w:val="single" w:sz="8" w:space="0" w:color="BFBFBF"/>
            </w:tcBorders>
            <w:shd w:val="clear" w:color="auto" w:fill="auto"/>
            <w:noWrap/>
            <w:vAlign w:val="bottom"/>
            <w:hideMark/>
          </w:tcPr>
          <w:p w14:paraId="2A4A26EE"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   </w:t>
            </w:r>
          </w:p>
        </w:tc>
      </w:tr>
      <w:tr w:rsidR="00A27C22" w:rsidRPr="001D0FE2" w14:paraId="008E62DD" w14:textId="77777777" w:rsidTr="00B81D69">
        <w:trPr>
          <w:trHeight w:val="328"/>
        </w:trPr>
        <w:tc>
          <w:tcPr>
            <w:tcW w:w="618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7BC143B4"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Other financial expenses</w:t>
            </w:r>
          </w:p>
        </w:tc>
        <w:tc>
          <w:tcPr>
            <w:tcW w:w="1720" w:type="dxa"/>
            <w:tcBorders>
              <w:top w:val="nil"/>
              <w:left w:val="nil"/>
              <w:bottom w:val="single" w:sz="8" w:space="0" w:color="BFBFBF"/>
              <w:right w:val="single" w:sz="8" w:space="0" w:color="BFBFBF"/>
            </w:tcBorders>
            <w:shd w:val="clear" w:color="000000" w:fill="DCE6F1"/>
            <w:noWrap/>
            <w:vAlign w:val="center"/>
            <w:hideMark/>
          </w:tcPr>
          <w:p w14:paraId="404F38C4"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(7.741)</w:t>
            </w:r>
          </w:p>
        </w:tc>
        <w:tc>
          <w:tcPr>
            <w:tcW w:w="1440" w:type="dxa"/>
            <w:tcBorders>
              <w:top w:val="nil"/>
              <w:left w:val="nil"/>
              <w:bottom w:val="single" w:sz="8" w:space="0" w:color="BFBFBF"/>
              <w:right w:val="single" w:sz="8" w:space="0" w:color="BFBFBF"/>
            </w:tcBorders>
            <w:shd w:val="clear" w:color="auto" w:fill="auto"/>
            <w:noWrap/>
            <w:vAlign w:val="center"/>
            <w:hideMark/>
          </w:tcPr>
          <w:p w14:paraId="3A419218"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(6.767)</w:t>
            </w:r>
          </w:p>
        </w:tc>
      </w:tr>
      <w:tr w:rsidR="00A27C22" w:rsidRPr="001D0FE2" w14:paraId="4A5FA509" w14:textId="77777777" w:rsidTr="00B81D69">
        <w:trPr>
          <w:trHeight w:val="328"/>
        </w:trPr>
        <w:tc>
          <w:tcPr>
            <w:tcW w:w="6180" w:type="dxa"/>
            <w:tcBorders>
              <w:top w:val="nil"/>
              <w:left w:val="single" w:sz="8" w:space="0" w:color="BFBFBF"/>
              <w:bottom w:val="nil"/>
              <w:right w:val="single" w:sz="8" w:space="0" w:color="BFBFBF"/>
            </w:tcBorders>
            <w:shd w:val="clear" w:color="auto" w:fill="auto"/>
            <w:vAlign w:val="center"/>
            <w:hideMark/>
          </w:tcPr>
          <w:p w14:paraId="717357FA" w14:textId="77777777" w:rsidR="00A27C22" w:rsidRPr="00DC3886" w:rsidRDefault="00A27C22" w:rsidP="00B81D69">
            <w:pPr>
              <w:jc w:val="left"/>
              <w:rPr>
                <w:rFonts w:asciiTheme="minorHAnsi" w:hAnsiTheme="minorHAnsi" w:cstheme="minorHAnsi"/>
                <w:sz w:val="20"/>
                <w:szCs w:val="20"/>
                <w:lang w:val="en-GB"/>
              </w:rPr>
            </w:pPr>
            <w:r w:rsidRPr="00DC3886">
              <w:rPr>
                <w:rFonts w:asciiTheme="minorHAnsi" w:hAnsiTheme="minorHAnsi" w:cstheme="minorHAnsi"/>
                <w:sz w:val="20"/>
                <w:szCs w:val="20"/>
                <w:lang w:val="en-GB"/>
              </w:rPr>
              <w:t> </w:t>
            </w:r>
          </w:p>
        </w:tc>
        <w:tc>
          <w:tcPr>
            <w:tcW w:w="1720" w:type="dxa"/>
            <w:tcBorders>
              <w:top w:val="nil"/>
              <w:left w:val="nil"/>
              <w:bottom w:val="single" w:sz="8" w:space="0" w:color="BFBFBF"/>
              <w:right w:val="single" w:sz="8" w:space="0" w:color="BFBFBF"/>
            </w:tcBorders>
            <w:shd w:val="clear" w:color="000000" w:fill="DCE6F1"/>
            <w:noWrap/>
            <w:vAlign w:val="bottom"/>
            <w:hideMark/>
          </w:tcPr>
          <w:p w14:paraId="71030BA7" w14:textId="77777777" w:rsidR="00A27C22" w:rsidRPr="00DC3886" w:rsidRDefault="00A27C22" w:rsidP="00B81D69">
            <w:pPr>
              <w:jc w:val="left"/>
              <w:rPr>
                <w:rFonts w:asciiTheme="minorHAnsi" w:hAnsiTheme="minorHAnsi" w:cstheme="minorHAnsi"/>
                <w:sz w:val="20"/>
                <w:szCs w:val="20"/>
                <w:lang w:val="en-GB"/>
              </w:rPr>
            </w:pPr>
            <w:r w:rsidRPr="00DC3886">
              <w:rPr>
                <w:rFonts w:asciiTheme="minorHAnsi" w:hAnsiTheme="minorHAnsi" w:cstheme="minorHAnsi"/>
                <w:sz w:val="20"/>
                <w:szCs w:val="20"/>
                <w:lang w:val="en-GB"/>
              </w:rPr>
              <w:t> </w:t>
            </w:r>
          </w:p>
        </w:tc>
        <w:tc>
          <w:tcPr>
            <w:tcW w:w="1440" w:type="dxa"/>
            <w:tcBorders>
              <w:top w:val="nil"/>
              <w:left w:val="nil"/>
              <w:bottom w:val="single" w:sz="8" w:space="0" w:color="BFBFBF"/>
              <w:right w:val="single" w:sz="8" w:space="0" w:color="BFBFBF"/>
            </w:tcBorders>
            <w:shd w:val="clear" w:color="auto" w:fill="auto"/>
            <w:noWrap/>
            <w:vAlign w:val="bottom"/>
            <w:hideMark/>
          </w:tcPr>
          <w:p w14:paraId="1CE2F863" w14:textId="77777777" w:rsidR="00A27C22" w:rsidRPr="00DC3886" w:rsidRDefault="00A27C22" w:rsidP="00B81D69">
            <w:pPr>
              <w:jc w:val="left"/>
              <w:rPr>
                <w:rFonts w:asciiTheme="minorHAnsi" w:hAnsiTheme="minorHAnsi" w:cstheme="minorHAnsi"/>
                <w:sz w:val="20"/>
                <w:szCs w:val="20"/>
                <w:lang w:val="en-GB"/>
              </w:rPr>
            </w:pPr>
            <w:r w:rsidRPr="00DC3886">
              <w:rPr>
                <w:rFonts w:asciiTheme="minorHAnsi" w:hAnsiTheme="minorHAnsi" w:cstheme="minorHAnsi"/>
                <w:sz w:val="20"/>
                <w:szCs w:val="20"/>
                <w:lang w:val="en-GB"/>
              </w:rPr>
              <w:t> </w:t>
            </w:r>
          </w:p>
        </w:tc>
      </w:tr>
      <w:tr w:rsidR="00A27C22" w:rsidRPr="001D0FE2" w14:paraId="0F23F4AB" w14:textId="77777777" w:rsidTr="00B81D69">
        <w:trPr>
          <w:trHeight w:val="328"/>
        </w:trPr>
        <w:tc>
          <w:tcPr>
            <w:tcW w:w="618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524B3784"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Total other financial income and expenses</w:t>
            </w:r>
          </w:p>
        </w:tc>
        <w:tc>
          <w:tcPr>
            <w:tcW w:w="1720" w:type="dxa"/>
            <w:tcBorders>
              <w:top w:val="nil"/>
              <w:left w:val="nil"/>
              <w:bottom w:val="single" w:sz="8" w:space="0" w:color="BFBFBF"/>
              <w:right w:val="single" w:sz="8" w:space="0" w:color="BFBFBF"/>
            </w:tcBorders>
            <w:shd w:val="clear" w:color="000000" w:fill="DCE6F1"/>
            <w:noWrap/>
            <w:vAlign w:val="center"/>
            <w:hideMark/>
          </w:tcPr>
          <w:p w14:paraId="2A9D965A"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(6.620)</w:t>
            </w:r>
          </w:p>
        </w:tc>
        <w:tc>
          <w:tcPr>
            <w:tcW w:w="1440" w:type="dxa"/>
            <w:tcBorders>
              <w:top w:val="nil"/>
              <w:left w:val="nil"/>
              <w:bottom w:val="single" w:sz="8" w:space="0" w:color="BFBFBF"/>
              <w:right w:val="single" w:sz="8" w:space="0" w:color="BFBFBF"/>
            </w:tcBorders>
            <w:shd w:val="clear" w:color="auto" w:fill="auto"/>
            <w:noWrap/>
            <w:vAlign w:val="center"/>
            <w:hideMark/>
          </w:tcPr>
          <w:p w14:paraId="7A9DB489"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(6.261)</w:t>
            </w:r>
          </w:p>
        </w:tc>
      </w:tr>
    </w:tbl>
    <w:p w14:paraId="716DF233" w14:textId="77777777" w:rsidR="00A27C22" w:rsidRPr="00DC3886" w:rsidRDefault="00A27C22" w:rsidP="00A27C22">
      <w:pPr>
        <w:pStyle w:val="AL"/>
        <w:spacing w:after="120"/>
        <w:rPr>
          <w:rFonts w:asciiTheme="minorHAnsi" w:hAnsiTheme="minorHAnsi" w:cstheme="minorHAnsi"/>
          <w:bCs w:val="0"/>
          <w:color w:val="59595B"/>
          <w:szCs w:val="20"/>
        </w:rPr>
      </w:pPr>
    </w:p>
    <w:p w14:paraId="21F18391" w14:textId="46F307AB" w:rsidR="000D0314" w:rsidRPr="00F07CB5" w:rsidRDefault="00A27C22" w:rsidP="00A27C22">
      <w:pPr>
        <w:pStyle w:val="AL"/>
        <w:spacing w:after="120"/>
        <w:rPr>
          <w:rFonts w:asciiTheme="minorHAnsi" w:hAnsiTheme="minorHAnsi" w:cstheme="minorHAnsi"/>
          <w:bCs w:val="0"/>
          <w:color w:val="59595B"/>
          <w:sz w:val="22"/>
        </w:rPr>
      </w:pPr>
      <w:r w:rsidRPr="00F07CB5">
        <w:rPr>
          <w:rFonts w:asciiTheme="minorHAnsi" w:hAnsiTheme="minorHAnsi" w:cstheme="minorHAnsi"/>
          <w:bCs w:val="0"/>
          <w:color w:val="59595B"/>
          <w:sz w:val="22"/>
        </w:rPr>
        <w:t>The exit fees and expenses relate to the repayment in full of the loan from Orbimed Royalty Opportunities II, LP.</w:t>
      </w:r>
    </w:p>
    <w:p w14:paraId="7479FF6A" w14:textId="77777777" w:rsidR="000D0314" w:rsidRPr="00DC3886" w:rsidRDefault="000D0314">
      <w:pPr>
        <w:jc w:val="left"/>
        <w:rPr>
          <w:rFonts w:asciiTheme="minorHAnsi" w:hAnsiTheme="minorHAnsi" w:cstheme="minorHAnsi"/>
          <w:color w:val="59595B"/>
          <w:szCs w:val="20"/>
          <w:lang w:val="en-GB"/>
        </w:rPr>
      </w:pPr>
      <w:r w:rsidRPr="00DC3886">
        <w:rPr>
          <w:rFonts w:asciiTheme="minorHAnsi" w:hAnsiTheme="minorHAnsi" w:cstheme="minorHAnsi"/>
          <w:bCs/>
          <w:color w:val="59595B"/>
          <w:szCs w:val="20"/>
        </w:rPr>
        <w:br w:type="page"/>
      </w:r>
    </w:p>
    <w:p w14:paraId="49512106" w14:textId="77777777" w:rsidR="00A27C22" w:rsidRPr="00DC3886" w:rsidRDefault="00A27C22" w:rsidP="00A27C22">
      <w:pPr>
        <w:pStyle w:val="ListParagraph"/>
        <w:numPr>
          <w:ilvl w:val="0"/>
          <w:numId w:val="3"/>
        </w:numPr>
        <w:autoSpaceDE w:val="0"/>
        <w:autoSpaceDN w:val="0"/>
        <w:adjustRightInd w:val="0"/>
        <w:spacing w:before="240"/>
        <w:rPr>
          <w:rFonts w:asciiTheme="minorHAnsi" w:hAnsiTheme="minorHAnsi" w:cstheme="minorHAnsi"/>
          <w:i/>
          <w:color w:val="59595B"/>
          <w:szCs w:val="22"/>
          <w:lang w:val="en-GB"/>
        </w:rPr>
      </w:pPr>
      <w:r w:rsidRPr="00DC3886">
        <w:rPr>
          <w:rFonts w:asciiTheme="minorHAnsi" w:hAnsiTheme="minorHAnsi" w:cstheme="minorHAnsi"/>
          <w:i/>
          <w:color w:val="59595B"/>
          <w:szCs w:val="22"/>
          <w:lang w:val="en-GB"/>
        </w:rPr>
        <w:lastRenderedPageBreak/>
        <w:t xml:space="preserve">Share of net profits in associates using the equity method </w:t>
      </w:r>
    </w:p>
    <w:p w14:paraId="486CCABB" w14:textId="77777777" w:rsidR="00A27C22" w:rsidRPr="00DC3886" w:rsidRDefault="00A27C22" w:rsidP="00A27C22">
      <w:pPr>
        <w:pStyle w:val="ListParagraph"/>
        <w:autoSpaceDE w:val="0"/>
        <w:autoSpaceDN w:val="0"/>
        <w:adjustRightInd w:val="0"/>
        <w:spacing w:before="240"/>
        <w:rPr>
          <w:rFonts w:asciiTheme="minorHAnsi" w:hAnsiTheme="minorHAnsi" w:cstheme="minorHAnsi"/>
          <w:i/>
          <w:color w:val="59595B"/>
          <w:szCs w:val="22"/>
          <w:lang w:val="en-GB"/>
        </w:rPr>
      </w:pPr>
    </w:p>
    <w:p w14:paraId="10AA42D3" w14:textId="359BE92C" w:rsidR="00A27C22" w:rsidRPr="00F07CB5" w:rsidRDefault="00A27C22" w:rsidP="006446EE">
      <w:pPr>
        <w:jc w:val="left"/>
        <w:rPr>
          <w:rFonts w:asciiTheme="minorHAnsi" w:hAnsiTheme="minorHAnsi" w:cstheme="minorHAnsi"/>
          <w:color w:val="59595B"/>
          <w:sz w:val="22"/>
          <w:szCs w:val="22"/>
          <w:lang w:val="en-GB"/>
        </w:rPr>
      </w:pPr>
      <w:r w:rsidRPr="00F07CB5">
        <w:rPr>
          <w:rFonts w:asciiTheme="minorHAnsi" w:hAnsiTheme="minorHAnsi" w:cstheme="minorHAnsi"/>
          <w:color w:val="59595B"/>
          <w:sz w:val="22"/>
          <w:szCs w:val="22"/>
          <w:lang w:val="en-GB"/>
        </w:rPr>
        <w:t>On April 7</w:t>
      </w:r>
      <w:r w:rsidRPr="00F07CB5">
        <w:rPr>
          <w:rFonts w:asciiTheme="minorHAnsi" w:hAnsiTheme="minorHAnsi" w:cstheme="minorHAnsi"/>
          <w:color w:val="59595B"/>
          <w:sz w:val="22"/>
          <w:szCs w:val="22"/>
          <w:vertAlign w:val="superscript"/>
          <w:lang w:val="en-GB"/>
        </w:rPr>
        <w:t>th</w:t>
      </w:r>
      <w:r w:rsidR="000D0314" w:rsidRPr="00F07CB5">
        <w:rPr>
          <w:rFonts w:asciiTheme="minorHAnsi" w:hAnsiTheme="minorHAnsi" w:cstheme="minorHAnsi"/>
          <w:color w:val="59595B"/>
          <w:sz w:val="22"/>
          <w:szCs w:val="22"/>
          <w:lang w:val="en-GB"/>
        </w:rPr>
        <w:t>, 2019</w:t>
      </w:r>
      <w:r w:rsidRPr="00F07CB5">
        <w:rPr>
          <w:rFonts w:asciiTheme="minorHAnsi" w:hAnsiTheme="minorHAnsi" w:cstheme="minorHAnsi"/>
          <w:color w:val="59595B"/>
          <w:sz w:val="22"/>
          <w:szCs w:val="22"/>
          <w:lang w:val="en-GB"/>
        </w:rPr>
        <w:t xml:space="preserve"> Pharming Group, through its 100% subsidiary Pharming Technologies B.V., has taken a 43,85% stake in BioConnection B.V. through conversion of EUR 2.6 million of existing credits (“prepayments”) and EUR 2.5 million of cash </w:t>
      </w:r>
      <w:bookmarkStart w:id="4" w:name="_Hlk14352414"/>
      <w:r w:rsidRPr="00F07CB5">
        <w:rPr>
          <w:rFonts w:asciiTheme="minorHAnsi" w:hAnsiTheme="minorHAnsi" w:cstheme="minorHAnsi"/>
          <w:color w:val="59595B"/>
          <w:sz w:val="22"/>
          <w:szCs w:val="22"/>
          <w:lang w:val="en-GB"/>
        </w:rPr>
        <w:t xml:space="preserve">payment for a total </w:t>
      </w:r>
      <w:bookmarkEnd w:id="4"/>
      <w:r w:rsidRPr="00F07CB5">
        <w:rPr>
          <w:rFonts w:asciiTheme="minorHAnsi" w:hAnsiTheme="minorHAnsi" w:cstheme="minorHAnsi"/>
          <w:color w:val="59595B"/>
          <w:sz w:val="22"/>
          <w:szCs w:val="22"/>
          <w:lang w:val="en-GB"/>
        </w:rPr>
        <w:t xml:space="preserve">of EUR 5.1 million. </w:t>
      </w:r>
    </w:p>
    <w:p w14:paraId="6ED258CA" w14:textId="77777777" w:rsidR="00A27C22" w:rsidRPr="00F07CB5" w:rsidRDefault="00A27C22" w:rsidP="00A27C22">
      <w:pPr>
        <w:tabs>
          <w:tab w:val="left" w:pos="2835"/>
          <w:tab w:val="left" w:pos="6237"/>
        </w:tabs>
        <w:rPr>
          <w:rFonts w:asciiTheme="minorHAnsi" w:eastAsia="Calibri Light" w:hAnsiTheme="minorHAnsi" w:cstheme="minorHAnsi"/>
          <w:color w:val="59595B"/>
          <w:sz w:val="22"/>
          <w:szCs w:val="22"/>
          <w:lang w:val="en-GB"/>
        </w:rPr>
      </w:pPr>
    </w:p>
    <w:p w14:paraId="16A529CF" w14:textId="4766D693" w:rsidR="00A27C22" w:rsidRPr="00F07CB5" w:rsidRDefault="00A27C22" w:rsidP="00A27C22">
      <w:pPr>
        <w:tabs>
          <w:tab w:val="left" w:pos="2835"/>
          <w:tab w:val="left" w:pos="6237"/>
        </w:tabs>
        <w:rPr>
          <w:rFonts w:asciiTheme="minorHAnsi" w:eastAsia="Calibri Light" w:hAnsiTheme="minorHAnsi" w:cstheme="minorHAnsi"/>
          <w:color w:val="59595B"/>
          <w:sz w:val="22"/>
          <w:szCs w:val="22"/>
          <w:highlight w:val="green"/>
          <w:lang w:val="en-GB"/>
        </w:rPr>
      </w:pPr>
      <w:r w:rsidRPr="00F07CB5">
        <w:rPr>
          <w:rFonts w:asciiTheme="minorHAnsi" w:eastAsia="Calibri Light" w:hAnsiTheme="minorHAnsi" w:cstheme="minorHAnsi"/>
          <w:color w:val="59595B"/>
          <w:sz w:val="22"/>
          <w:szCs w:val="22"/>
          <w:lang w:val="en-GB"/>
        </w:rPr>
        <w:t xml:space="preserve">In the Board of Management’s judgement, the investment in BioConnection constitutes an investment in an unconsolidated structured entity, as Pharming has significant influence but does not have control of BioConnection and is embargoed by a shareholders agreement between the shareholders of BioConnection from influencing any activity between the two parties which is in any significant way different from the relationship which existed between the two prior to the investment.  In addition to its carrying value for the investment, Pharming’s risk is limited to the provision of a €3 million corporate guarantee in favour of ABN AMRO Bank in the unlikely event that BioConnection were to default on all its debts and its assets did not meet the outstanding liabilities owing to ABN AMRO Bank. In the opinion of the Board of Management, the fact that BioConnection is a growing profitable company which has met all its obligations as they </w:t>
      </w:r>
      <w:r w:rsidR="000D0314" w:rsidRPr="00F07CB5">
        <w:rPr>
          <w:rFonts w:asciiTheme="minorHAnsi" w:eastAsia="Calibri Light" w:hAnsiTheme="minorHAnsi" w:cstheme="minorHAnsi"/>
          <w:color w:val="59595B"/>
          <w:sz w:val="22"/>
          <w:szCs w:val="22"/>
          <w:lang w:val="en-GB"/>
        </w:rPr>
        <w:t>became</w:t>
      </w:r>
      <w:r w:rsidRPr="00F07CB5">
        <w:rPr>
          <w:rFonts w:asciiTheme="minorHAnsi" w:eastAsia="Calibri Light" w:hAnsiTheme="minorHAnsi" w:cstheme="minorHAnsi"/>
          <w:color w:val="59595B"/>
          <w:sz w:val="22"/>
          <w:szCs w:val="22"/>
          <w:lang w:val="en-GB"/>
        </w:rPr>
        <w:t xml:space="preserve"> due since inception makes the likelihood of this guarantee ever being used very small.  The guarantee is accounted for under IFRS 9 and appears as financial guarantee liabilities </w:t>
      </w:r>
      <w:r w:rsidR="00173597" w:rsidRPr="00F07CB5">
        <w:rPr>
          <w:rFonts w:asciiTheme="minorHAnsi" w:eastAsia="Calibri Light" w:hAnsiTheme="minorHAnsi" w:cstheme="minorHAnsi"/>
          <w:color w:val="59595B"/>
          <w:sz w:val="22"/>
          <w:szCs w:val="22"/>
          <w:lang w:val="en-GB"/>
        </w:rPr>
        <w:t>in Other</w:t>
      </w:r>
      <w:r w:rsidRPr="00F07CB5">
        <w:rPr>
          <w:rFonts w:asciiTheme="minorHAnsi" w:eastAsia="Calibri Light" w:hAnsiTheme="minorHAnsi" w:cstheme="minorHAnsi"/>
          <w:color w:val="59595B"/>
          <w:sz w:val="22"/>
          <w:szCs w:val="22"/>
          <w:lang w:val="en-GB"/>
        </w:rPr>
        <w:t xml:space="preserve"> financial liabilities.</w:t>
      </w:r>
    </w:p>
    <w:p w14:paraId="59419761" w14:textId="77777777" w:rsidR="00A27C22" w:rsidRPr="00F07CB5" w:rsidRDefault="00A27C22" w:rsidP="00A27C22">
      <w:pPr>
        <w:rPr>
          <w:rFonts w:asciiTheme="minorHAnsi" w:hAnsiTheme="minorHAnsi" w:cstheme="minorHAnsi"/>
          <w:color w:val="59595B"/>
          <w:sz w:val="22"/>
          <w:szCs w:val="22"/>
          <w:lang w:val="en-GB"/>
        </w:rPr>
      </w:pPr>
    </w:p>
    <w:p w14:paraId="31BA53E4" w14:textId="77777777" w:rsidR="00A27C22" w:rsidRPr="00F07CB5" w:rsidRDefault="00A27C22" w:rsidP="00A27C22">
      <w:pPr>
        <w:rPr>
          <w:rFonts w:asciiTheme="minorHAnsi" w:hAnsiTheme="minorHAnsi" w:cstheme="minorHAnsi"/>
          <w:color w:val="59595B"/>
          <w:sz w:val="22"/>
          <w:szCs w:val="22"/>
          <w:lang w:val="en-GB"/>
        </w:rPr>
      </w:pPr>
      <w:r w:rsidRPr="00F07CB5">
        <w:rPr>
          <w:rFonts w:asciiTheme="minorHAnsi" w:hAnsiTheme="minorHAnsi" w:cstheme="minorHAnsi"/>
          <w:color w:val="59595B"/>
          <w:sz w:val="22"/>
          <w:szCs w:val="22"/>
          <w:lang w:val="en-GB"/>
        </w:rPr>
        <w:t>The carrying amount of this investment has changed as follows:</w:t>
      </w:r>
    </w:p>
    <w:p w14:paraId="543126F2" w14:textId="77777777" w:rsidR="00A27C22" w:rsidRPr="001D0FE2" w:rsidRDefault="00A27C22" w:rsidP="00A27C22">
      <w:pPr>
        <w:rPr>
          <w:rFonts w:asciiTheme="minorHAnsi" w:hAnsiTheme="minorHAnsi" w:cstheme="minorHAnsi"/>
          <w:color w:val="595959" w:themeColor="text1" w:themeTint="A6"/>
          <w:lang w:val="en-GB"/>
        </w:rPr>
      </w:pPr>
    </w:p>
    <w:tbl>
      <w:tblPr>
        <w:tblW w:w="9072" w:type="dxa"/>
        <w:tblLook w:val="04A0" w:firstRow="1" w:lastRow="0" w:firstColumn="1" w:lastColumn="0" w:noHBand="0" w:noVBand="1"/>
      </w:tblPr>
      <w:tblGrid>
        <w:gridCol w:w="5632"/>
        <w:gridCol w:w="1720"/>
        <w:gridCol w:w="1720"/>
      </w:tblGrid>
      <w:tr w:rsidR="00A27C22" w:rsidRPr="001D0FE2" w14:paraId="0F8F52FE" w14:textId="77777777" w:rsidTr="000D0314">
        <w:trPr>
          <w:trHeight w:val="840"/>
        </w:trPr>
        <w:tc>
          <w:tcPr>
            <w:tcW w:w="5632" w:type="dxa"/>
            <w:tcBorders>
              <w:top w:val="single" w:sz="8" w:space="0" w:color="BFBFBF"/>
              <w:left w:val="single" w:sz="8" w:space="0" w:color="BFBFBF"/>
              <w:bottom w:val="nil"/>
              <w:right w:val="nil"/>
            </w:tcBorders>
            <w:shd w:val="clear" w:color="000000" w:fill="366092"/>
            <w:vAlign w:val="center"/>
            <w:hideMark/>
          </w:tcPr>
          <w:p w14:paraId="05EE0607"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1720" w:type="dxa"/>
            <w:tcBorders>
              <w:top w:val="single" w:sz="8" w:space="0" w:color="BFBFBF"/>
              <w:left w:val="nil"/>
              <w:bottom w:val="nil"/>
              <w:right w:val="nil"/>
            </w:tcBorders>
            <w:shd w:val="clear" w:color="000000" w:fill="366092"/>
            <w:vAlign w:val="center"/>
            <w:hideMark/>
          </w:tcPr>
          <w:p w14:paraId="1769F151"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30 June</w:t>
            </w:r>
            <w:r w:rsidRPr="001D0FE2">
              <w:rPr>
                <w:rFonts w:asciiTheme="minorHAnsi" w:hAnsiTheme="minorHAnsi" w:cstheme="minorHAnsi"/>
                <w:b/>
                <w:bCs/>
                <w:color w:val="FFFFFF"/>
                <w:sz w:val="20"/>
                <w:szCs w:val="20"/>
                <w:lang w:val="en-GB"/>
              </w:rPr>
              <w:br/>
              <w:t>2020</w:t>
            </w:r>
          </w:p>
        </w:tc>
        <w:tc>
          <w:tcPr>
            <w:tcW w:w="1720" w:type="dxa"/>
            <w:tcBorders>
              <w:top w:val="single" w:sz="8" w:space="0" w:color="BFBFBF"/>
              <w:left w:val="nil"/>
              <w:bottom w:val="nil"/>
              <w:right w:val="single" w:sz="8" w:space="0" w:color="BFBFBF"/>
            </w:tcBorders>
            <w:shd w:val="clear" w:color="000000" w:fill="366092"/>
            <w:vAlign w:val="center"/>
            <w:hideMark/>
          </w:tcPr>
          <w:p w14:paraId="565B81CC"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31 December</w:t>
            </w:r>
            <w:r w:rsidRPr="001D0FE2">
              <w:rPr>
                <w:rFonts w:asciiTheme="minorHAnsi" w:hAnsiTheme="minorHAnsi" w:cstheme="minorHAnsi"/>
                <w:b/>
                <w:bCs/>
                <w:color w:val="FFFFFF"/>
                <w:sz w:val="20"/>
                <w:szCs w:val="20"/>
                <w:lang w:val="en-GB"/>
              </w:rPr>
              <w:br/>
              <w:t>2019</w:t>
            </w:r>
          </w:p>
        </w:tc>
      </w:tr>
      <w:tr w:rsidR="00A27C22" w:rsidRPr="001D0FE2" w14:paraId="52B95D87" w14:textId="77777777" w:rsidTr="000D0314">
        <w:trPr>
          <w:trHeight w:val="343"/>
        </w:trPr>
        <w:tc>
          <w:tcPr>
            <w:tcW w:w="5632" w:type="dxa"/>
            <w:tcBorders>
              <w:top w:val="nil"/>
              <w:left w:val="single" w:sz="8" w:space="0" w:color="BFBFBF"/>
              <w:bottom w:val="single" w:sz="8" w:space="0" w:color="BFBFBF"/>
              <w:right w:val="single" w:sz="8" w:space="0" w:color="BFBFBF"/>
            </w:tcBorders>
            <w:shd w:val="clear" w:color="000000" w:fill="FFFFFF"/>
            <w:vAlign w:val="center"/>
            <w:hideMark/>
          </w:tcPr>
          <w:p w14:paraId="086F92A0"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Balance at 1 January</w:t>
            </w:r>
          </w:p>
        </w:tc>
        <w:tc>
          <w:tcPr>
            <w:tcW w:w="1720" w:type="dxa"/>
            <w:tcBorders>
              <w:top w:val="nil"/>
              <w:left w:val="nil"/>
              <w:bottom w:val="single" w:sz="8" w:space="0" w:color="BFBFBF"/>
              <w:right w:val="single" w:sz="8" w:space="0" w:color="BFBFBF"/>
            </w:tcBorders>
            <w:shd w:val="clear" w:color="000000" w:fill="DCE6F1"/>
            <w:noWrap/>
            <w:vAlign w:val="center"/>
            <w:hideMark/>
          </w:tcPr>
          <w:p w14:paraId="3B58A804"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5.508 </w:t>
            </w:r>
          </w:p>
        </w:tc>
        <w:tc>
          <w:tcPr>
            <w:tcW w:w="1720" w:type="dxa"/>
            <w:tcBorders>
              <w:top w:val="nil"/>
              <w:left w:val="nil"/>
              <w:bottom w:val="single" w:sz="8" w:space="0" w:color="BFBFBF"/>
              <w:right w:val="single" w:sz="8" w:space="0" w:color="BFBFBF"/>
            </w:tcBorders>
            <w:shd w:val="clear" w:color="auto" w:fill="auto"/>
            <w:noWrap/>
            <w:vAlign w:val="center"/>
            <w:hideMark/>
          </w:tcPr>
          <w:p w14:paraId="53327B84"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   </w:t>
            </w:r>
          </w:p>
        </w:tc>
      </w:tr>
      <w:tr w:rsidR="00A27C22" w:rsidRPr="001D0FE2" w14:paraId="26CFF629" w14:textId="77777777" w:rsidTr="000D0314">
        <w:trPr>
          <w:trHeight w:val="343"/>
        </w:trPr>
        <w:tc>
          <w:tcPr>
            <w:tcW w:w="5632" w:type="dxa"/>
            <w:tcBorders>
              <w:top w:val="nil"/>
              <w:left w:val="single" w:sz="8" w:space="0" w:color="BFBFBF"/>
              <w:bottom w:val="nil"/>
              <w:right w:val="single" w:sz="8" w:space="0" w:color="BFBFBF"/>
            </w:tcBorders>
            <w:shd w:val="clear" w:color="auto" w:fill="auto"/>
            <w:vAlign w:val="bottom"/>
            <w:hideMark/>
          </w:tcPr>
          <w:p w14:paraId="2C45F76F"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Carrying value initial recognition</w:t>
            </w:r>
          </w:p>
        </w:tc>
        <w:tc>
          <w:tcPr>
            <w:tcW w:w="1720" w:type="dxa"/>
            <w:tcBorders>
              <w:top w:val="nil"/>
              <w:left w:val="nil"/>
              <w:bottom w:val="nil"/>
              <w:right w:val="single" w:sz="8" w:space="0" w:color="BFBFBF"/>
            </w:tcBorders>
            <w:shd w:val="clear" w:color="000000" w:fill="DCE6F1"/>
            <w:noWrap/>
            <w:vAlign w:val="bottom"/>
            <w:hideMark/>
          </w:tcPr>
          <w:p w14:paraId="13322CAD"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   </w:t>
            </w:r>
          </w:p>
        </w:tc>
        <w:tc>
          <w:tcPr>
            <w:tcW w:w="1720" w:type="dxa"/>
            <w:tcBorders>
              <w:top w:val="nil"/>
              <w:left w:val="nil"/>
              <w:bottom w:val="nil"/>
              <w:right w:val="single" w:sz="8" w:space="0" w:color="BFBFBF"/>
            </w:tcBorders>
            <w:shd w:val="clear" w:color="auto" w:fill="auto"/>
            <w:noWrap/>
            <w:vAlign w:val="bottom"/>
            <w:hideMark/>
          </w:tcPr>
          <w:p w14:paraId="06E8AA0A"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5.078 </w:t>
            </w:r>
          </w:p>
        </w:tc>
      </w:tr>
      <w:tr w:rsidR="00A27C22" w:rsidRPr="001D0FE2" w14:paraId="2A0575BA" w14:textId="77777777" w:rsidTr="000D0314">
        <w:trPr>
          <w:trHeight w:val="343"/>
        </w:trPr>
        <w:tc>
          <w:tcPr>
            <w:tcW w:w="5632" w:type="dxa"/>
            <w:tcBorders>
              <w:top w:val="nil"/>
              <w:left w:val="single" w:sz="8" w:space="0" w:color="BFBFBF"/>
              <w:bottom w:val="nil"/>
              <w:right w:val="single" w:sz="8" w:space="0" w:color="BFBFBF"/>
            </w:tcBorders>
            <w:shd w:val="clear" w:color="auto" w:fill="auto"/>
            <w:vAlign w:val="bottom"/>
            <w:hideMark/>
          </w:tcPr>
          <w:p w14:paraId="13234309"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Recognition of financial guarantee</w:t>
            </w:r>
          </w:p>
        </w:tc>
        <w:tc>
          <w:tcPr>
            <w:tcW w:w="1720" w:type="dxa"/>
            <w:tcBorders>
              <w:top w:val="nil"/>
              <w:left w:val="nil"/>
              <w:bottom w:val="nil"/>
              <w:right w:val="single" w:sz="8" w:space="0" w:color="BFBFBF"/>
            </w:tcBorders>
            <w:shd w:val="clear" w:color="000000" w:fill="DCE6F1"/>
            <w:noWrap/>
            <w:vAlign w:val="bottom"/>
            <w:hideMark/>
          </w:tcPr>
          <w:p w14:paraId="4ACF7654"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   </w:t>
            </w:r>
          </w:p>
        </w:tc>
        <w:tc>
          <w:tcPr>
            <w:tcW w:w="1720" w:type="dxa"/>
            <w:tcBorders>
              <w:top w:val="nil"/>
              <w:left w:val="nil"/>
              <w:bottom w:val="nil"/>
              <w:right w:val="single" w:sz="8" w:space="0" w:color="BFBFBF"/>
            </w:tcBorders>
            <w:shd w:val="clear" w:color="auto" w:fill="auto"/>
            <w:noWrap/>
            <w:vAlign w:val="bottom"/>
            <w:hideMark/>
          </w:tcPr>
          <w:p w14:paraId="13FB47FD"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221 </w:t>
            </w:r>
          </w:p>
        </w:tc>
      </w:tr>
      <w:tr w:rsidR="00A27C22" w:rsidRPr="001D0FE2" w14:paraId="3D741C34" w14:textId="77777777" w:rsidTr="000D0314">
        <w:trPr>
          <w:trHeight w:val="343"/>
        </w:trPr>
        <w:tc>
          <w:tcPr>
            <w:tcW w:w="5632" w:type="dxa"/>
            <w:tcBorders>
              <w:top w:val="nil"/>
              <w:left w:val="single" w:sz="8" w:space="0" w:color="BFBFBF"/>
              <w:bottom w:val="nil"/>
              <w:right w:val="single" w:sz="8" w:space="0" w:color="BFBFBF"/>
            </w:tcBorders>
            <w:shd w:val="clear" w:color="auto" w:fill="auto"/>
            <w:vAlign w:val="bottom"/>
            <w:hideMark/>
          </w:tcPr>
          <w:p w14:paraId="2E82189E"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Amortization of financial guarantee</w:t>
            </w:r>
          </w:p>
        </w:tc>
        <w:tc>
          <w:tcPr>
            <w:tcW w:w="1720" w:type="dxa"/>
            <w:tcBorders>
              <w:top w:val="nil"/>
              <w:left w:val="nil"/>
              <w:bottom w:val="nil"/>
              <w:right w:val="single" w:sz="8" w:space="0" w:color="BFBFBF"/>
            </w:tcBorders>
            <w:shd w:val="clear" w:color="000000" w:fill="DCE6F1"/>
            <w:noWrap/>
            <w:vAlign w:val="bottom"/>
            <w:hideMark/>
          </w:tcPr>
          <w:p w14:paraId="4FF73A24"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(13)</w:t>
            </w:r>
          </w:p>
        </w:tc>
        <w:tc>
          <w:tcPr>
            <w:tcW w:w="1720" w:type="dxa"/>
            <w:tcBorders>
              <w:top w:val="nil"/>
              <w:left w:val="nil"/>
              <w:bottom w:val="nil"/>
              <w:right w:val="single" w:sz="8" w:space="0" w:color="BFBFBF"/>
            </w:tcBorders>
            <w:shd w:val="clear" w:color="auto" w:fill="auto"/>
            <w:noWrap/>
            <w:vAlign w:val="bottom"/>
            <w:hideMark/>
          </w:tcPr>
          <w:p w14:paraId="5A7E61A0"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(20)</w:t>
            </w:r>
          </w:p>
        </w:tc>
      </w:tr>
      <w:tr w:rsidR="00A27C22" w:rsidRPr="001D0FE2" w14:paraId="2387BAB4" w14:textId="77777777" w:rsidTr="000D0314">
        <w:trPr>
          <w:trHeight w:val="343"/>
        </w:trPr>
        <w:tc>
          <w:tcPr>
            <w:tcW w:w="5632" w:type="dxa"/>
            <w:tcBorders>
              <w:top w:val="nil"/>
              <w:left w:val="single" w:sz="8" w:space="0" w:color="BFBFBF"/>
              <w:bottom w:val="nil"/>
              <w:right w:val="single" w:sz="8" w:space="0" w:color="BFBFBF"/>
            </w:tcBorders>
            <w:shd w:val="clear" w:color="auto" w:fill="auto"/>
            <w:vAlign w:val="bottom"/>
            <w:hideMark/>
          </w:tcPr>
          <w:p w14:paraId="2A6AD201"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Profit (loss) for the period</w:t>
            </w:r>
          </w:p>
        </w:tc>
        <w:tc>
          <w:tcPr>
            <w:tcW w:w="1720" w:type="dxa"/>
            <w:tcBorders>
              <w:top w:val="nil"/>
              <w:left w:val="nil"/>
              <w:bottom w:val="nil"/>
              <w:right w:val="single" w:sz="8" w:space="0" w:color="BFBFBF"/>
            </w:tcBorders>
            <w:shd w:val="clear" w:color="000000" w:fill="DCE6F1"/>
            <w:noWrap/>
            <w:vAlign w:val="bottom"/>
            <w:hideMark/>
          </w:tcPr>
          <w:p w14:paraId="5F074568"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121 </w:t>
            </w:r>
          </w:p>
        </w:tc>
        <w:tc>
          <w:tcPr>
            <w:tcW w:w="1720" w:type="dxa"/>
            <w:tcBorders>
              <w:top w:val="nil"/>
              <w:left w:val="nil"/>
              <w:bottom w:val="nil"/>
              <w:right w:val="single" w:sz="8" w:space="0" w:color="BFBFBF"/>
            </w:tcBorders>
            <w:shd w:val="clear" w:color="auto" w:fill="auto"/>
            <w:noWrap/>
            <w:vAlign w:val="bottom"/>
            <w:hideMark/>
          </w:tcPr>
          <w:p w14:paraId="34FE86D7"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229 </w:t>
            </w:r>
          </w:p>
        </w:tc>
      </w:tr>
      <w:tr w:rsidR="00A27C22" w:rsidRPr="001D0FE2" w14:paraId="17A77D71" w14:textId="77777777" w:rsidTr="000D0314">
        <w:trPr>
          <w:trHeight w:val="343"/>
        </w:trPr>
        <w:tc>
          <w:tcPr>
            <w:tcW w:w="5632"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291241A4"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Balance at end of period</w:t>
            </w:r>
          </w:p>
        </w:tc>
        <w:tc>
          <w:tcPr>
            <w:tcW w:w="1720" w:type="dxa"/>
            <w:tcBorders>
              <w:top w:val="single" w:sz="8" w:space="0" w:color="BFBFBF"/>
              <w:left w:val="nil"/>
              <w:bottom w:val="single" w:sz="8" w:space="0" w:color="BFBFBF"/>
              <w:right w:val="single" w:sz="8" w:space="0" w:color="BFBFBF"/>
            </w:tcBorders>
            <w:shd w:val="clear" w:color="000000" w:fill="DCE6F1"/>
            <w:noWrap/>
            <w:vAlign w:val="center"/>
            <w:hideMark/>
          </w:tcPr>
          <w:p w14:paraId="3C6CF789"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5.616 </w:t>
            </w:r>
          </w:p>
        </w:tc>
        <w:tc>
          <w:tcPr>
            <w:tcW w:w="1720" w:type="dxa"/>
            <w:tcBorders>
              <w:top w:val="single" w:sz="8" w:space="0" w:color="BFBFBF"/>
              <w:left w:val="nil"/>
              <w:bottom w:val="single" w:sz="8" w:space="0" w:color="BFBFBF"/>
              <w:right w:val="single" w:sz="8" w:space="0" w:color="BFBFBF"/>
            </w:tcBorders>
            <w:shd w:val="clear" w:color="auto" w:fill="auto"/>
            <w:noWrap/>
            <w:vAlign w:val="center"/>
            <w:hideMark/>
          </w:tcPr>
          <w:p w14:paraId="3B611D22"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5.508 </w:t>
            </w:r>
          </w:p>
        </w:tc>
      </w:tr>
    </w:tbl>
    <w:p w14:paraId="0F841499" w14:textId="69E0DA70" w:rsidR="000D0314" w:rsidRPr="001D0FE2" w:rsidRDefault="000D0314" w:rsidP="00A27C22">
      <w:pPr>
        <w:rPr>
          <w:rFonts w:asciiTheme="minorHAnsi" w:hAnsiTheme="minorHAnsi" w:cstheme="minorHAnsi"/>
          <w:color w:val="595959" w:themeColor="text1" w:themeTint="A6"/>
          <w:lang w:val="en-GB"/>
        </w:rPr>
      </w:pPr>
    </w:p>
    <w:p w14:paraId="7228F2CB" w14:textId="77777777" w:rsidR="000D0314" w:rsidRPr="00DC3886" w:rsidRDefault="000D0314">
      <w:pPr>
        <w:jc w:val="left"/>
        <w:rPr>
          <w:rFonts w:asciiTheme="minorHAnsi" w:hAnsiTheme="minorHAnsi" w:cstheme="minorHAnsi"/>
          <w:color w:val="59595B"/>
          <w:lang w:val="en-GB"/>
        </w:rPr>
      </w:pPr>
      <w:r w:rsidRPr="00DC3886">
        <w:rPr>
          <w:rFonts w:asciiTheme="minorHAnsi" w:hAnsiTheme="minorHAnsi" w:cstheme="minorHAnsi"/>
          <w:color w:val="59595B"/>
          <w:lang w:val="en-GB"/>
        </w:rPr>
        <w:br w:type="page"/>
      </w:r>
    </w:p>
    <w:p w14:paraId="5916DC11" w14:textId="3F7414EB" w:rsidR="00A27C22" w:rsidRPr="00DC3886" w:rsidRDefault="000D0314" w:rsidP="00A27C22">
      <w:pPr>
        <w:pStyle w:val="ListParagraph"/>
        <w:numPr>
          <w:ilvl w:val="0"/>
          <w:numId w:val="3"/>
        </w:numPr>
        <w:autoSpaceDE w:val="0"/>
        <w:autoSpaceDN w:val="0"/>
        <w:adjustRightInd w:val="0"/>
        <w:spacing w:before="240"/>
        <w:rPr>
          <w:rFonts w:asciiTheme="minorHAnsi" w:hAnsiTheme="minorHAnsi" w:cstheme="minorHAnsi"/>
          <w:i/>
          <w:color w:val="59595B"/>
          <w:szCs w:val="22"/>
          <w:lang w:val="en-GB"/>
        </w:rPr>
      </w:pPr>
      <w:r w:rsidRPr="00DC3886">
        <w:rPr>
          <w:rFonts w:asciiTheme="minorHAnsi" w:hAnsiTheme="minorHAnsi" w:cstheme="minorHAnsi"/>
          <w:i/>
          <w:color w:val="59595B"/>
          <w:szCs w:val="22"/>
          <w:lang w:val="en-GB"/>
        </w:rPr>
        <w:lastRenderedPageBreak/>
        <w:t>I</w:t>
      </w:r>
      <w:r w:rsidR="00A27C22" w:rsidRPr="00DC3886">
        <w:rPr>
          <w:rFonts w:asciiTheme="minorHAnsi" w:hAnsiTheme="minorHAnsi" w:cstheme="minorHAnsi"/>
          <w:i/>
          <w:color w:val="59595B"/>
          <w:szCs w:val="22"/>
          <w:lang w:val="en-GB"/>
        </w:rPr>
        <w:t xml:space="preserve">nventories </w:t>
      </w:r>
    </w:p>
    <w:p w14:paraId="5D0551A4" w14:textId="77777777" w:rsidR="00A27C22" w:rsidRPr="00DC3886" w:rsidRDefault="00A27C22" w:rsidP="00A27C22">
      <w:pPr>
        <w:pStyle w:val="ListParagraph"/>
        <w:autoSpaceDE w:val="0"/>
        <w:autoSpaceDN w:val="0"/>
        <w:adjustRightInd w:val="0"/>
        <w:spacing w:before="240"/>
        <w:rPr>
          <w:rFonts w:asciiTheme="minorHAnsi" w:hAnsiTheme="minorHAnsi" w:cstheme="minorHAnsi"/>
          <w:i/>
          <w:color w:val="59595B"/>
          <w:szCs w:val="22"/>
          <w:lang w:val="en-GB"/>
        </w:rPr>
      </w:pPr>
    </w:p>
    <w:p w14:paraId="3019D5C6" w14:textId="77777777" w:rsidR="00A27C22" w:rsidRPr="00F07CB5" w:rsidRDefault="00A27C22" w:rsidP="00A27C22">
      <w:pPr>
        <w:pStyle w:val="AL"/>
        <w:spacing w:after="120"/>
        <w:rPr>
          <w:rFonts w:asciiTheme="minorHAnsi" w:hAnsiTheme="minorHAnsi" w:cstheme="minorHAnsi"/>
          <w:bCs w:val="0"/>
          <w:color w:val="59595B"/>
          <w:sz w:val="22"/>
        </w:rPr>
      </w:pPr>
      <w:r w:rsidRPr="00F07CB5">
        <w:rPr>
          <w:rFonts w:asciiTheme="minorHAnsi" w:hAnsiTheme="minorHAnsi" w:cstheme="minorHAnsi"/>
          <w:bCs w:val="0"/>
          <w:color w:val="59595B"/>
          <w:sz w:val="22"/>
        </w:rPr>
        <w:t>Inventories include batches of RUCONEST® drug substance and product and skimmed milk available for production of RUCONEST®.</w:t>
      </w:r>
    </w:p>
    <w:p w14:paraId="6A2AD48F" w14:textId="77777777" w:rsidR="00A27C22" w:rsidRPr="00F07CB5" w:rsidRDefault="00A27C22" w:rsidP="00A27C22">
      <w:pPr>
        <w:rPr>
          <w:rFonts w:asciiTheme="minorHAnsi" w:hAnsiTheme="minorHAnsi" w:cstheme="minorHAnsi"/>
          <w:color w:val="59595B"/>
          <w:sz w:val="22"/>
          <w:szCs w:val="22"/>
          <w:lang w:val="en-GB"/>
        </w:rPr>
      </w:pPr>
      <w:r w:rsidRPr="00F07CB5">
        <w:rPr>
          <w:rFonts w:asciiTheme="minorHAnsi" w:hAnsiTheme="minorHAnsi" w:cstheme="minorHAnsi"/>
          <w:color w:val="59595B"/>
          <w:sz w:val="22"/>
          <w:szCs w:val="22"/>
          <w:lang w:val="en-GB"/>
        </w:rPr>
        <w:t>The inventory valuation at 30 June 2020 of €16.2 million (31 December 2019: €14.5 million) is stated net of a provision for impairment of €0.4 million (31 December 2019: €0.4 million) and net of a provision for obsolescence of €0 million (31 December 2019: €0.4 million).</w:t>
      </w:r>
    </w:p>
    <w:p w14:paraId="082964AB" w14:textId="77777777" w:rsidR="00A27C22" w:rsidRPr="001D0FE2" w:rsidRDefault="00A27C22" w:rsidP="00A27C22">
      <w:pPr>
        <w:rPr>
          <w:rFonts w:asciiTheme="minorHAnsi" w:hAnsiTheme="minorHAnsi" w:cstheme="minorHAnsi"/>
          <w:color w:val="59595B"/>
          <w:sz w:val="20"/>
          <w:szCs w:val="20"/>
          <w:lang w:val="en-GB"/>
        </w:rPr>
      </w:pPr>
    </w:p>
    <w:p w14:paraId="3707AB1F" w14:textId="77777777" w:rsidR="00A27C22" w:rsidRPr="001D0FE2" w:rsidRDefault="00A27C22" w:rsidP="00A27C22">
      <w:pPr>
        <w:rPr>
          <w:rFonts w:asciiTheme="minorHAnsi" w:hAnsiTheme="minorHAnsi" w:cstheme="minorHAnsi"/>
          <w:color w:val="59595B"/>
          <w:sz w:val="20"/>
          <w:szCs w:val="20"/>
          <w:lang w:val="en-GB"/>
        </w:rPr>
      </w:pPr>
    </w:p>
    <w:tbl>
      <w:tblPr>
        <w:tblW w:w="0" w:type="auto"/>
        <w:tblLook w:val="04A0" w:firstRow="1" w:lastRow="0" w:firstColumn="1" w:lastColumn="0" w:noHBand="0" w:noVBand="1"/>
      </w:tblPr>
      <w:tblGrid>
        <w:gridCol w:w="5695"/>
        <w:gridCol w:w="1656"/>
        <w:gridCol w:w="1656"/>
      </w:tblGrid>
      <w:tr w:rsidR="00A27C22" w:rsidRPr="001D0FE2" w14:paraId="712A3C06" w14:textId="77777777" w:rsidTr="00B81D69">
        <w:trPr>
          <w:trHeight w:val="520"/>
        </w:trPr>
        <w:tc>
          <w:tcPr>
            <w:tcW w:w="6320" w:type="dxa"/>
            <w:tcBorders>
              <w:top w:val="single" w:sz="8" w:space="0" w:color="BFBFBF"/>
              <w:left w:val="single" w:sz="8" w:space="0" w:color="BFBFBF"/>
              <w:bottom w:val="nil"/>
              <w:right w:val="nil"/>
            </w:tcBorders>
            <w:shd w:val="clear" w:color="000000" w:fill="366092"/>
            <w:vAlign w:val="center"/>
            <w:hideMark/>
          </w:tcPr>
          <w:p w14:paraId="3C3C842D"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1820" w:type="dxa"/>
            <w:tcBorders>
              <w:top w:val="single" w:sz="8" w:space="0" w:color="BFBFBF"/>
              <w:left w:val="nil"/>
              <w:bottom w:val="nil"/>
              <w:right w:val="nil"/>
            </w:tcBorders>
            <w:shd w:val="clear" w:color="000000" w:fill="366092"/>
            <w:vAlign w:val="center"/>
            <w:hideMark/>
          </w:tcPr>
          <w:p w14:paraId="78A789DC"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30 June</w:t>
            </w:r>
            <w:r w:rsidRPr="001D0FE2">
              <w:rPr>
                <w:rFonts w:asciiTheme="minorHAnsi" w:hAnsiTheme="minorHAnsi" w:cstheme="minorHAnsi"/>
                <w:b/>
                <w:bCs/>
                <w:color w:val="FFFFFF"/>
                <w:sz w:val="20"/>
                <w:szCs w:val="20"/>
                <w:lang w:val="en-GB"/>
              </w:rPr>
              <w:br/>
              <w:t>2020</w:t>
            </w:r>
          </w:p>
        </w:tc>
        <w:tc>
          <w:tcPr>
            <w:tcW w:w="1820" w:type="dxa"/>
            <w:tcBorders>
              <w:top w:val="single" w:sz="8" w:space="0" w:color="BFBFBF"/>
              <w:left w:val="nil"/>
              <w:bottom w:val="nil"/>
              <w:right w:val="single" w:sz="8" w:space="0" w:color="BFBFBF"/>
            </w:tcBorders>
            <w:shd w:val="clear" w:color="000000" w:fill="366092"/>
            <w:vAlign w:val="center"/>
            <w:hideMark/>
          </w:tcPr>
          <w:p w14:paraId="4E60C31E"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31 December</w:t>
            </w:r>
            <w:r w:rsidRPr="001D0FE2">
              <w:rPr>
                <w:rFonts w:asciiTheme="minorHAnsi" w:hAnsiTheme="minorHAnsi" w:cstheme="minorHAnsi"/>
                <w:b/>
                <w:bCs/>
                <w:color w:val="FFFFFF"/>
                <w:sz w:val="20"/>
                <w:szCs w:val="20"/>
                <w:lang w:val="en-GB"/>
              </w:rPr>
              <w:br/>
              <w:t>2019</w:t>
            </w:r>
          </w:p>
        </w:tc>
      </w:tr>
      <w:tr w:rsidR="00A27C22" w:rsidRPr="001D0FE2" w14:paraId="26B3FF2B" w14:textId="77777777" w:rsidTr="00B81D69">
        <w:trPr>
          <w:trHeight w:val="358"/>
        </w:trPr>
        <w:tc>
          <w:tcPr>
            <w:tcW w:w="6320" w:type="dxa"/>
            <w:tcBorders>
              <w:top w:val="nil"/>
              <w:left w:val="single" w:sz="8" w:space="0" w:color="BFBFBF"/>
              <w:bottom w:val="nil"/>
              <w:right w:val="nil"/>
            </w:tcBorders>
            <w:shd w:val="clear" w:color="auto" w:fill="auto"/>
            <w:noWrap/>
            <w:vAlign w:val="bottom"/>
            <w:hideMark/>
          </w:tcPr>
          <w:p w14:paraId="7C4DA21F"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Finished goods </w:t>
            </w:r>
          </w:p>
        </w:tc>
        <w:tc>
          <w:tcPr>
            <w:tcW w:w="1820" w:type="dxa"/>
            <w:tcBorders>
              <w:top w:val="nil"/>
              <w:left w:val="single" w:sz="8" w:space="0" w:color="BFBFBF"/>
              <w:bottom w:val="nil"/>
              <w:right w:val="single" w:sz="8" w:space="0" w:color="BFBFBF"/>
            </w:tcBorders>
            <w:shd w:val="clear" w:color="000000" w:fill="DCE6F1"/>
            <w:noWrap/>
            <w:vAlign w:val="bottom"/>
            <w:hideMark/>
          </w:tcPr>
          <w:p w14:paraId="4951677D"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8.436 </w:t>
            </w:r>
          </w:p>
        </w:tc>
        <w:tc>
          <w:tcPr>
            <w:tcW w:w="1820" w:type="dxa"/>
            <w:tcBorders>
              <w:top w:val="nil"/>
              <w:left w:val="nil"/>
              <w:bottom w:val="nil"/>
              <w:right w:val="single" w:sz="8" w:space="0" w:color="BFBFBF"/>
            </w:tcBorders>
            <w:shd w:val="clear" w:color="auto" w:fill="auto"/>
            <w:noWrap/>
            <w:vAlign w:val="bottom"/>
            <w:hideMark/>
          </w:tcPr>
          <w:p w14:paraId="52FBF35C"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10.320 </w:t>
            </w:r>
          </w:p>
        </w:tc>
      </w:tr>
      <w:tr w:rsidR="00A27C22" w:rsidRPr="001D0FE2" w14:paraId="07A23C5A" w14:textId="77777777" w:rsidTr="00B81D69">
        <w:trPr>
          <w:trHeight w:val="360"/>
        </w:trPr>
        <w:tc>
          <w:tcPr>
            <w:tcW w:w="6320" w:type="dxa"/>
            <w:tcBorders>
              <w:top w:val="nil"/>
              <w:left w:val="single" w:sz="8" w:space="0" w:color="BFBFBF"/>
              <w:bottom w:val="nil"/>
              <w:right w:val="nil"/>
            </w:tcBorders>
            <w:shd w:val="clear" w:color="auto" w:fill="auto"/>
            <w:noWrap/>
            <w:vAlign w:val="bottom"/>
            <w:hideMark/>
          </w:tcPr>
          <w:p w14:paraId="6250D9EE"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Work in progress </w:t>
            </w:r>
          </w:p>
        </w:tc>
        <w:tc>
          <w:tcPr>
            <w:tcW w:w="1820" w:type="dxa"/>
            <w:tcBorders>
              <w:top w:val="nil"/>
              <w:left w:val="single" w:sz="8" w:space="0" w:color="BFBFBF"/>
              <w:bottom w:val="nil"/>
              <w:right w:val="single" w:sz="8" w:space="0" w:color="BFBFBF"/>
            </w:tcBorders>
            <w:shd w:val="clear" w:color="000000" w:fill="DCE6F1"/>
            <w:noWrap/>
            <w:vAlign w:val="bottom"/>
            <w:hideMark/>
          </w:tcPr>
          <w:p w14:paraId="52C559F9"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5.037 </w:t>
            </w:r>
          </w:p>
        </w:tc>
        <w:tc>
          <w:tcPr>
            <w:tcW w:w="1820" w:type="dxa"/>
            <w:tcBorders>
              <w:top w:val="nil"/>
              <w:left w:val="nil"/>
              <w:bottom w:val="nil"/>
              <w:right w:val="single" w:sz="8" w:space="0" w:color="BFBFBF"/>
            </w:tcBorders>
            <w:shd w:val="clear" w:color="auto" w:fill="auto"/>
            <w:noWrap/>
            <w:vAlign w:val="bottom"/>
            <w:hideMark/>
          </w:tcPr>
          <w:p w14:paraId="78198F7A"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1.843 </w:t>
            </w:r>
          </w:p>
        </w:tc>
      </w:tr>
      <w:tr w:rsidR="00A27C22" w:rsidRPr="001D0FE2" w14:paraId="3501724E" w14:textId="77777777" w:rsidTr="00B81D69">
        <w:trPr>
          <w:trHeight w:val="358"/>
        </w:trPr>
        <w:tc>
          <w:tcPr>
            <w:tcW w:w="6320" w:type="dxa"/>
            <w:tcBorders>
              <w:top w:val="nil"/>
              <w:left w:val="single" w:sz="8" w:space="0" w:color="BFBFBF"/>
              <w:bottom w:val="nil"/>
              <w:right w:val="nil"/>
            </w:tcBorders>
            <w:shd w:val="clear" w:color="auto" w:fill="auto"/>
            <w:noWrap/>
            <w:vAlign w:val="bottom"/>
            <w:hideMark/>
          </w:tcPr>
          <w:p w14:paraId="75F1F413"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Raw materials</w:t>
            </w:r>
          </w:p>
        </w:tc>
        <w:tc>
          <w:tcPr>
            <w:tcW w:w="1820" w:type="dxa"/>
            <w:tcBorders>
              <w:top w:val="nil"/>
              <w:left w:val="single" w:sz="8" w:space="0" w:color="BFBFBF"/>
              <w:bottom w:val="single" w:sz="8" w:space="0" w:color="BFBFBF"/>
              <w:right w:val="single" w:sz="8" w:space="0" w:color="BFBFBF"/>
            </w:tcBorders>
            <w:shd w:val="clear" w:color="000000" w:fill="DCE6F1"/>
            <w:noWrap/>
            <w:vAlign w:val="bottom"/>
            <w:hideMark/>
          </w:tcPr>
          <w:p w14:paraId="5E2D839F"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2.750 </w:t>
            </w:r>
          </w:p>
        </w:tc>
        <w:tc>
          <w:tcPr>
            <w:tcW w:w="1820" w:type="dxa"/>
            <w:tcBorders>
              <w:top w:val="nil"/>
              <w:left w:val="nil"/>
              <w:bottom w:val="single" w:sz="8" w:space="0" w:color="BFBFBF"/>
              <w:right w:val="single" w:sz="8" w:space="0" w:color="BFBFBF"/>
            </w:tcBorders>
            <w:shd w:val="clear" w:color="auto" w:fill="auto"/>
            <w:noWrap/>
            <w:vAlign w:val="bottom"/>
            <w:hideMark/>
          </w:tcPr>
          <w:p w14:paraId="131F5B62"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2.304 </w:t>
            </w:r>
          </w:p>
        </w:tc>
      </w:tr>
      <w:tr w:rsidR="00A27C22" w:rsidRPr="001D0FE2" w14:paraId="3BCB0322" w14:textId="77777777" w:rsidTr="00B81D69">
        <w:trPr>
          <w:trHeight w:val="358"/>
        </w:trPr>
        <w:tc>
          <w:tcPr>
            <w:tcW w:w="632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138ADA8D"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Balance at end of period</w:t>
            </w:r>
          </w:p>
        </w:tc>
        <w:tc>
          <w:tcPr>
            <w:tcW w:w="1820" w:type="dxa"/>
            <w:tcBorders>
              <w:top w:val="nil"/>
              <w:left w:val="nil"/>
              <w:bottom w:val="single" w:sz="8" w:space="0" w:color="BFBFBF"/>
              <w:right w:val="single" w:sz="8" w:space="0" w:color="BFBFBF"/>
            </w:tcBorders>
            <w:shd w:val="clear" w:color="000000" w:fill="DCE6F1"/>
            <w:noWrap/>
            <w:vAlign w:val="center"/>
            <w:hideMark/>
          </w:tcPr>
          <w:p w14:paraId="50EF2040"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16.223 </w:t>
            </w:r>
          </w:p>
        </w:tc>
        <w:tc>
          <w:tcPr>
            <w:tcW w:w="1820" w:type="dxa"/>
            <w:tcBorders>
              <w:top w:val="nil"/>
              <w:left w:val="nil"/>
              <w:bottom w:val="single" w:sz="8" w:space="0" w:color="BFBFBF"/>
              <w:right w:val="single" w:sz="8" w:space="0" w:color="BFBFBF"/>
            </w:tcBorders>
            <w:shd w:val="clear" w:color="auto" w:fill="auto"/>
            <w:noWrap/>
            <w:vAlign w:val="center"/>
            <w:hideMark/>
          </w:tcPr>
          <w:p w14:paraId="00B5069A"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14.467 </w:t>
            </w:r>
          </w:p>
        </w:tc>
      </w:tr>
    </w:tbl>
    <w:p w14:paraId="76440A3D" w14:textId="77777777" w:rsidR="00A27C22" w:rsidRPr="001D0FE2" w:rsidRDefault="00A27C22" w:rsidP="00A27C22">
      <w:pPr>
        <w:rPr>
          <w:rFonts w:asciiTheme="minorHAnsi" w:hAnsiTheme="minorHAnsi" w:cstheme="minorHAnsi"/>
          <w:color w:val="59595B"/>
          <w:szCs w:val="20"/>
          <w:lang w:val="en-GB"/>
        </w:rPr>
      </w:pPr>
    </w:p>
    <w:p w14:paraId="2B49B821" w14:textId="77777777" w:rsidR="00A27C22" w:rsidRPr="00DC3886" w:rsidRDefault="00A27C22" w:rsidP="00A27C22">
      <w:pPr>
        <w:rPr>
          <w:rFonts w:asciiTheme="minorHAnsi" w:hAnsiTheme="minorHAnsi" w:cstheme="minorHAnsi"/>
          <w:color w:val="59595B"/>
          <w:szCs w:val="20"/>
          <w:lang w:val="en-GB"/>
        </w:rPr>
      </w:pPr>
      <w:r w:rsidRPr="00DC3886">
        <w:rPr>
          <w:rFonts w:asciiTheme="minorHAnsi" w:hAnsiTheme="minorHAnsi" w:cstheme="minorHAnsi"/>
          <w:color w:val="59595B"/>
          <w:szCs w:val="20"/>
          <w:lang w:val="en-GB"/>
        </w:rPr>
        <w:t>Changes in the adjustment to net realisable value:</w:t>
      </w:r>
    </w:p>
    <w:p w14:paraId="42573D8A" w14:textId="77777777" w:rsidR="00A27C22" w:rsidRPr="001D0FE2" w:rsidRDefault="00A27C22" w:rsidP="00A27C22">
      <w:pPr>
        <w:rPr>
          <w:rFonts w:asciiTheme="minorHAnsi" w:hAnsiTheme="minorHAnsi" w:cstheme="minorHAnsi"/>
          <w:color w:val="59595B"/>
          <w:szCs w:val="20"/>
          <w:lang w:val="en-GB"/>
        </w:rPr>
      </w:pPr>
    </w:p>
    <w:tbl>
      <w:tblPr>
        <w:tblW w:w="0" w:type="auto"/>
        <w:tblLook w:val="04A0" w:firstRow="1" w:lastRow="0" w:firstColumn="1" w:lastColumn="0" w:noHBand="0" w:noVBand="1"/>
      </w:tblPr>
      <w:tblGrid>
        <w:gridCol w:w="5695"/>
        <w:gridCol w:w="1656"/>
        <w:gridCol w:w="1656"/>
      </w:tblGrid>
      <w:tr w:rsidR="00A27C22" w:rsidRPr="001D0FE2" w14:paraId="70839CF6" w14:textId="77777777" w:rsidTr="00B81D69">
        <w:trPr>
          <w:trHeight w:val="883"/>
        </w:trPr>
        <w:tc>
          <w:tcPr>
            <w:tcW w:w="6320" w:type="dxa"/>
            <w:tcBorders>
              <w:top w:val="single" w:sz="8" w:space="0" w:color="BFBFBF"/>
              <w:left w:val="single" w:sz="8" w:space="0" w:color="BFBFBF"/>
              <w:bottom w:val="nil"/>
              <w:right w:val="nil"/>
            </w:tcBorders>
            <w:shd w:val="clear" w:color="000000" w:fill="366092"/>
            <w:vAlign w:val="center"/>
            <w:hideMark/>
          </w:tcPr>
          <w:p w14:paraId="27E0A6C9"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1820" w:type="dxa"/>
            <w:tcBorders>
              <w:top w:val="single" w:sz="8" w:space="0" w:color="BFBFBF"/>
              <w:left w:val="nil"/>
              <w:bottom w:val="nil"/>
              <w:right w:val="nil"/>
            </w:tcBorders>
            <w:shd w:val="clear" w:color="000000" w:fill="366092"/>
            <w:vAlign w:val="center"/>
            <w:hideMark/>
          </w:tcPr>
          <w:p w14:paraId="706B23B7"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Period to</w:t>
            </w:r>
            <w:r w:rsidRPr="001D0FE2">
              <w:rPr>
                <w:rFonts w:asciiTheme="minorHAnsi" w:hAnsiTheme="minorHAnsi" w:cstheme="minorHAnsi"/>
                <w:b/>
                <w:bCs/>
                <w:color w:val="FFFFFF"/>
                <w:sz w:val="20"/>
                <w:szCs w:val="20"/>
                <w:lang w:val="en-GB"/>
              </w:rPr>
              <w:br/>
              <w:t>30 June</w:t>
            </w:r>
            <w:r w:rsidRPr="001D0FE2">
              <w:rPr>
                <w:rFonts w:asciiTheme="minorHAnsi" w:hAnsiTheme="minorHAnsi" w:cstheme="minorHAnsi"/>
                <w:b/>
                <w:bCs/>
                <w:color w:val="FFFFFF"/>
                <w:sz w:val="20"/>
                <w:szCs w:val="20"/>
                <w:lang w:val="en-GB"/>
              </w:rPr>
              <w:br/>
              <w:t>2020</w:t>
            </w:r>
          </w:p>
        </w:tc>
        <w:tc>
          <w:tcPr>
            <w:tcW w:w="1820" w:type="dxa"/>
            <w:tcBorders>
              <w:top w:val="single" w:sz="8" w:space="0" w:color="BFBFBF"/>
              <w:left w:val="nil"/>
              <w:bottom w:val="nil"/>
              <w:right w:val="single" w:sz="8" w:space="0" w:color="BFBFBF"/>
            </w:tcBorders>
            <w:shd w:val="clear" w:color="000000" w:fill="366092"/>
            <w:vAlign w:val="center"/>
            <w:hideMark/>
          </w:tcPr>
          <w:p w14:paraId="5946143F"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xml:space="preserve">Period to </w:t>
            </w:r>
            <w:r w:rsidRPr="001D0FE2">
              <w:rPr>
                <w:rFonts w:asciiTheme="minorHAnsi" w:hAnsiTheme="minorHAnsi" w:cstheme="minorHAnsi"/>
                <w:b/>
                <w:bCs/>
                <w:color w:val="FFFFFF"/>
                <w:sz w:val="20"/>
                <w:szCs w:val="20"/>
                <w:lang w:val="en-GB"/>
              </w:rPr>
              <w:br/>
              <w:t>31 December</w:t>
            </w:r>
            <w:r w:rsidRPr="001D0FE2">
              <w:rPr>
                <w:rFonts w:asciiTheme="minorHAnsi" w:hAnsiTheme="minorHAnsi" w:cstheme="minorHAnsi"/>
                <w:b/>
                <w:bCs/>
                <w:color w:val="FFFFFF"/>
                <w:sz w:val="20"/>
                <w:szCs w:val="20"/>
                <w:lang w:val="en-GB"/>
              </w:rPr>
              <w:br/>
              <w:t>2019</w:t>
            </w:r>
          </w:p>
        </w:tc>
      </w:tr>
      <w:tr w:rsidR="00A27C22" w:rsidRPr="001D0FE2" w14:paraId="79C882A8" w14:textId="77777777" w:rsidTr="00B81D69">
        <w:trPr>
          <w:trHeight w:val="360"/>
        </w:trPr>
        <w:tc>
          <w:tcPr>
            <w:tcW w:w="6320" w:type="dxa"/>
            <w:tcBorders>
              <w:top w:val="nil"/>
              <w:left w:val="single" w:sz="8" w:space="0" w:color="BFBFBF"/>
              <w:bottom w:val="single" w:sz="8" w:space="0" w:color="BFBFBF"/>
              <w:right w:val="single" w:sz="8" w:space="0" w:color="BFBFBF"/>
            </w:tcBorders>
            <w:shd w:val="clear" w:color="000000" w:fill="FFFFFF"/>
            <w:vAlign w:val="center"/>
            <w:hideMark/>
          </w:tcPr>
          <w:p w14:paraId="04296EAD"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Balance at 1 January</w:t>
            </w:r>
          </w:p>
        </w:tc>
        <w:tc>
          <w:tcPr>
            <w:tcW w:w="1820" w:type="dxa"/>
            <w:tcBorders>
              <w:top w:val="nil"/>
              <w:left w:val="nil"/>
              <w:bottom w:val="single" w:sz="8" w:space="0" w:color="BFBFBF"/>
              <w:right w:val="single" w:sz="8" w:space="0" w:color="BFBFBF"/>
            </w:tcBorders>
            <w:shd w:val="clear" w:color="000000" w:fill="DCE6F1"/>
            <w:noWrap/>
            <w:vAlign w:val="center"/>
            <w:hideMark/>
          </w:tcPr>
          <w:p w14:paraId="44878624"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(830)</w:t>
            </w:r>
          </w:p>
        </w:tc>
        <w:tc>
          <w:tcPr>
            <w:tcW w:w="1820" w:type="dxa"/>
            <w:tcBorders>
              <w:top w:val="nil"/>
              <w:left w:val="nil"/>
              <w:bottom w:val="single" w:sz="8" w:space="0" w:color="BFBFBF"/>
              <w:right w:val="single" w:sz="8" w:space="0" w:color="BFBFBF"/>
            </w:tcBorders>
            <w:shd w:val="clear" w:color="auto" w:fill="auto"/>
            <w:noWrap/>
            <w:vAlign w:val="center"/>
            <w:hideMark/>
          </w:tcPr>
          <w:p w14:paraId="1E31DBC3"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(927)</w:t>
            </w:r>
          </w:p>
        </w:tc>
      </w:tr>
      <w:tr w:rsidR="00A27C22" w:rsidRPr="001D0FE2" w14:paraId="6AD104FC" w14:textId="77777777" w:rsidTr="00B81D69">
        <w:trPr>
          <w:trHeight w:val="358"/>
        </w:trPr>
        <w:tc>
          <w:tcPr>
            <w:tcW w:w="6320" w:type="dxa"/>
            <w:tcBorders>
              <w:top w:val="nil"/>
              <w:left w:val="single" w:sz="8" w:space="0" w:color="BFBFBF"/>
              <w:bottom w:val="nil"/>
              <w:right w:val="nil"/>
            </w:tcBorders>
            <w:shd w:val="clear" w:color="auto" w:fill="auto"/>
            <w:noWrap/>
            <w:vAlign w:val="bottom"/>
            <w:hideMark/>
          </w:tcPr>
          <w:p w14:paraId="1C49576D"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Addition to provision</w:t>
            </w:r>
          </w:p>
        </w:tc>
        <w:tc>
          <w:tcPr>
            <w:tcW w:w="1820" w:type="dxa"/>
            <w:tcBorders>
              <w:top w:val="nil"/>
              <w:left w:val="single" w:sz="8" w:space="0" w:color="BFBFBF"/>
              <w:bottom w:val="nil"/>
              <w:right w:val="single" w:sz="8" w:space="0" w:color="BFBFBF"/>
            </w:tcBorders>
            <w:shd w:val="clear" w:color="000000" w:fill="DCE6F1"/>
            <w:noWrap/>
            <w:vAlign w:val="bottom"/>
            <w:hideMark/>
          </w:tcPr>
          <w:p w14:paraId="44ABB5C2"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(536)</w:t>
            </w:r>
          </w:p>
        </w:tc>
        <w:tc>
          <w:tcPr>
            <w:tcW w:w="1820" w:type="dxa"/>
            <w:tcBorders>
              <w:top w:val="nil"/>
              <w:left w:val="nil"/>
              <w:bottom w:val="nil"/>
              <w:right w:val="single" w:sz="8" w:space="0" w:color="BFBFBF"/>
            </w:tcBorders>
            <w:shd w:val="clear" w:color="auto" w:fill="auto"/>
            <w:noWrap/>
            <w:vAlign w:val="bottom"/>
            <w:hideMark/>
          </w:tcPr>
          <w:p w14:paraId="0A68A00F"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(1.010)</w:t>
            </w:r>
          </w:p>
        </w:tc>
      </w:tr>
      <w:tr w:rsidR="00A27C22" w:rsidRPr="001D0FE2" w14:paraId="2EE8826D" w14:textId="77777777" w:rsidTr="00B81D69">
        <w:trPr>
          <w:trHeight w:val="358"/>
        </w:trPr>
        <w:tc>
          <w:tcPr>
            <w:tcW w:w="6320" w:type="dxa"/>
            <w:tcBorders>
              <w:top w:val="nil"/>
              <w:left w:val="single" w:sz="8" w:space="0" w:color="BFBFBF"/>
              <w:bottom w:val="nil"/>
              <w:right w:val="nil"/>
            </w:tcBorders>
            <w:shd w:val="clear" w:color="auto" w:fill="auto"/>
            <w:noWrap/>
            <w:vAlign w:val="bottom"/>
            <w:hideMark/>
          </w:tcPr>
          <w:p w14:paraId="6FB937D2"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Release of provision</w:t>
            </w:r>
          </w:p>
        </w:tc>
        <w:tc>
          <w:tcPr>
            <w:tcW w:w="1820" w:type="dxa"/>
            <w:tcBorders>
              <w:top w:val="nil"/>
              <w:left w:val="single" w:sz="8" w:space="0" w:color="BFBFBF"/>
              <w:bottom w:val="nil"/>
              <w:right w:val="single" w:sz="8" w:space="0" w:color="BFBFBF"/>
            </w:tcBorders>
            <w:shd w:val="clear" w:color="000000" w:fill="DCE6F1"/>
            <w:noWrap/>
            <w:vAlign w:val="bottom"/>
            <w:hideMark/>
          </w:tcPr>
          <w:p w14:paraId="2F9F724B"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797 </w:t>
            </w:r>
          </w:p>
        </w:tc>
        <w:tc>
          <w:tcPr>
            <w:tcW w:w="1820" w:type="dxa"/>
            <w:tcBorders>
              <w:top w:val="nil"/>
              <w:left w:val="nil"/>
              <w:bottom w:val="nil"/>
              <w:right w:val="single" w:sz="8" w:space="0" w:color="BFBFBF"/>
            </w:tcBorders>
            <w:shd w:val="clear" w:color="auto" w:fill="auto"/>
            <w:noWrap/>
            <w:vAlign w:val="bottom"/>
            <w:hideMark/>
          </w:tcPr>
          <w:p w14:paraId="12F07C98"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328 </w:t>
            </w:r>
          </w:p>
        </w:tc>
      </w:tr>
      <w:tr w:rsidR="00A27C22" w:rsidRPr="001D0FE2" w14:paraId="5FCBEFFC" w14:textId="77777777" w:rsidTr="00B81D69">
        <w:trPr>
          <w:trHeight w:val="358"/>
        </w:trPr>
        <w:tc>
          <w:tcPr>
            <w:tcW w:w="6320" w:type="dxa"/>
            <w:tcBorders>
              <w:top w:val="nil"/>
              <w:left w:val="single" w:sz="8" w:space="0" w:color="BFBFBF"/>
              <w:bottom w:val="nil"/>
              <w:right w:val="nil"/>
            </w:tcBorders>
            <w:shd w:val="clear" w:color="auto" w:fill="auto"/>
            <w:noWrap/>
            <w:vAlign w:val="bottom"/>
            <w:hideMark/>
          </w:tcPr>
          <w:p w14:paraId="28E053B6"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Usage of provision</w:t>
            </w:r>
          </w:p>
        </w:tc>
        <w:tc>
          <w:tcPr>
            <w:tcW w:w="1820" w:type="dxa"/>
            <w:tcBorders>
              <w:top w:val="nil"/>
              <w:left w:val="single" w:sz="8" w:space="0" w:color="BFBFBF"/>
              <w:bottom w:val="nil"/>
              <w:right w:val="single" w:sz="8" w:space="0" w:color="BFBFBF"/>
            </w:tcBorders>
            <w:shd w:val="clear" w:color="000000" w:fill="DCE6F1"/>
            <w:noWrap/>
            <w:vAlign w:val="bottom"/>
            <w:hideMark/>
          </w:tcPr>
          <w:p w14:paraId="40F824DD"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164 </w:t>
            </w:r>
          </w:p>
        </w:tc>
        <w:tc>
          <w:tcPr>
            <w:tcW w:w="1820" w:type="dxa"/>
            <w:tcBorders>
              <w:top w:val="nil"/>
              <w:left w:val="nil"/>
              <w:bottom w:val="nil"/>
              <w:right w:val="single" w:sz="8" w:space="0" w:color="BFBFBF"/>
            </w:tcBorders>
            <w:shd w:val="clear" w:color="auto" w:fill="auto"/>
            <w:noWrap/>
            <w:vAlign w:val="bottom"/>
            <w:hideMark/>
          </w:tcPr>
          <w:p w14:paraId="0AAB1186"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779 </w:t>
            </w:r>
          </w:p>
        </w:tc>
      </w:tr>
      <w:tr w:rsidR="00A27C22" w:rsidRPr="001D0FE2" w14:paraId="15207FE5" w14:textId="77777777" w:rsidTr="00B81D69">
        <w:trPr>
          <w:trHeight w:val="358"/>
        </w:trPr>
        <w:tc>
          <w:tcPr>
            <w:tcW w:w="632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2DC27A21"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Balance at end of period</w:t>
            </w:r>
          </w:p>
        </w:tc>
        <w:tc>
          <w:tcPr>
            <w:tcW w:w="1820" w:type="dxa"/>
            <w:tcBorders>
              <w:top w:val="single" w:sz="8" w:space="0" w:color="BFBFBF"/>
              <w:left w:val="nil"/>
              <w:bottom w:val="single" w:sz="8" w:space="0" w:color="BFBFBF"/>
              <w:right w:val="single" w:sz="8" w:space="0" w:color="BFBFBF"/>
            </w:tcBorders>
            <w:shd w:val="clear" w:color="000000" w:fill="DCE6F1"/>
            <w:noWrap/>
            <w:vAlign w:val="center"/>
            <w:hideMark/>
          </w:tcPr>
          <w:p w14:paraId="18D406D4"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(405)</w:t>
            </w:r>
          </w:p>
        </w:tc>
        <w:tc>
          <w:tcPr>
            <w:tcW w:w="1820" w:type="dxa"/>
            <w:tcBorders>
              <w:top w:val="single" w:sz="8" w:space="0" w:color="BFBFBF"/>
              <w:left w:val="nil"/>
              <w:bottom w:val="single" w:sz="8" w:space="0" w:color="BFBFBF"/>
              <w:right w:val="single" w:sz="8" w:space="0" w:color="BFBFBF"/>
            </w:tcBorders>
            <w:shd w:val="clear" w:color="auto" w:fill="auto"/>
            <w:noWrap/>
            <w:vAlign w:val="center"/>
            <w:hideMark/>
          </w:tcPr>
          <w:p w14:paraId="1916A765"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(830)</w:t>
            </w:r>
          </w:p>
        </w:tc>
      </w:tr>
    </w:tbl>
    <w:p w14:paraId="1AD7427E" w14:textId="77777777" w:rsidR="00A27C22" w:rsidRPr="001D0FE2" w:rsidRDefault="00A27C22" w:rsidP="00A27C22">
      <w:pPr>
        <w:rPr>
          <w:rFonts w:asciiTheme="minorHAnsi" w:hAnsiTheme="minorHAnsi" w:cstheme="minorHAnsi"/>
          <w:color w:val="59595B"/>
          <w:szCs w:val="20"/>
          <w:lang w:val="en-GB"/>
        </w:rPr>
      </w:pPr>
    </w:p>
    <w:p w14:paraId="4F1EAE7E" w14:textId="77777777" w:rsidR="00A27C22" w:rsidRPr="00DC3886" w:rsidRDefault="00A27C22" w:rsidP="00A27C22">
      <w:pPr>
        <w:pStyle w:val="NoSpacing"/>
        <w:rPr>
          <w:rFonts w:asciiTheme="minorHAnsi" w:hAnsiTheme="minorHAnsi" w:cstheme="minorHAnsi"/>
          <w:color w:val="59595B"/>
          <w:lang w:val="en-GB"/>
        </w:rPr>
      </w:pPr>
      <w:r w:rsidRPr="00DC3886">
        <w:rPr>
          <w:rFonts w:asciiTheme="minorHAnsi" w:hAnsiTheme="minorHAnsi" w:cstheme="minorHAnsi"/>
          <w:color w:val="59595B"/>
          <w:lang w:val="en-GB"/>
        </w:rPr>
        <w:t>The main portion of inventories at 30 June 2020 has expiration dates starting beyond 2021 and is expected to be sold or used before expiration.</w:t>
      </w:r>
    </w:p>
    <w:p w14:paraId="671905FE" w14:textId="77777777" w:rsidR="00A27C22" w:rsidRPr="00DC3886" w:rsidRDefault="00A27C22" w:rsidP="00A27C22">
      <w:pPr>
        <w:pStyle w:val="ListParagraph"/>
        <w:numPr>
          <w:ilvl w:val="0"/>
          <w:numId w:val="3"/>
        </w:numPr>
        <w:autoSpaceDE w:val="0"/>
        <w:autoSpaceDN w:val="0"/>
        <w:adjustRightInd w:val="0"/>
        <w:spacing w:before="240"/>
        <w:rPr>
          <w:rFonts w:asciiTheme="minorHAnsi" w:hAnsiTheme="minorHAnsi" w:cstheme="minorHAnsi"/>
          <w:i/>
          <w:color w:val="59595B"/>
          <w:szCs w:val="22"/>
          <w:lang w:val="en-GB"/>
        </w:rPr>
      </w:pPr>
      <w:r w:rsidRPr="00DC3886">
        <w:rPr>
          <w:rFonts w:asciiTheme="minorHAnsi" w:hAnsiTheme="minorHAnsi" w:cstheme="minorHAnsi"/>
          <w:i/>
          <w:color w:val="59595B"/>
          <w:szCs w:val="22"/>
          <w:lang w:val="en-GB"/>
        </w:rPr>
        <w:t xml:space="preserve">Equity </w:t>
      </w:r>
    </w:p>
    <w:p w14:paraId="4607C288" w14:textId="77777777" w:rsidR="00A27C22" w:rsidRPr="00DC3886" w:rsidRDefault="00A27C22" w:rsidP="00A27C22">
      <w:pPr>
        <w:pStyle w:val="NoSpacing"/>
        <w:spacing w:after="120" w:line="120" w:lineRule="auto"/>
        <w:rPr>
          <w:rFonts w:asciiTheme="minorHAnsi" w:hAnsiTheme="minorHAnsi" w:cstheme="minorHAnsi"/>
          <w:color w:val="59595B"/>
          <w:lang w:val="en-GB"/>
        </w:rPr>
      </w:pPr>
    </w:p>
    <w:p w14:paraId="32BEAC68" w14:textId="3F5AC15E" w:rsidR="00A27C22" w:rsidRPr="00DC3886" w:rsidRDefault="00A27C22" w:rsidP="00A27C22">
      <w:pPr>
        <w:pStyle w:val="NoSpacing"/>
        <w:spacing w:after="120"/>
        <w:rPr>
          <w:rFonts w:asciiTheme="minorHAnsi" w:hAnsiTheme="minorHAnsi" w:cstheme="minorHAnsi"/>
          <w:color w:val="59595B"/>
          <w:lang w:val="en-GB"/>
        </w:rPr>
      </w:pPr>
      <w:r w:rsidRPr="00DC3886">
        <w:rPr>
          <w:rFonts w:asciiTheme="minorHAnsi" w:hAnsiTheme="minorHAnsi" w:cstheme="minorHAnsi"/>
          <w:color w:val="59595B"/>
          <w:lang w:val="en-GB"/>
        </w:rPr>
        <w:t xml:space="preserve">The Company’s authorised share capital increased by 10% to €8.8 million and is divided into 880,000,000 ordinary shares with a nominal value of €0.01 each. All 637.703.008 shares outstanding at 30 June 2020 have been fully paid-up. Other reserves include those reserves related to currency translation, share-based compensation expenses and other equity-settled transactions. In the first half year of 2020 a total of 6.379.541 new shares have been issued resulting </w:t>
      </w:r>
      <w:r w:rsidR="00173597" w:rsidRPr="00DC3886">
        <w:rPr>
          <w:rFonts w:asciiTheme="minorHAnsi" w:hAnsiTheme="minorHAnsi" w:cstheme="minorHAnsi"/>
          <w:color w:val="59595B"/>
          <w:lang w:val="en-GB"/>
        </w:rPr>
        <w:t>from conversion</w:t>
      </w:r>
      <w:r w:rsidRPr="00DC3886">
        <w:rPr>
          <w:rFonts w:asciiTheme="minorHAnsi" w:hAnsiTheme="minorHAnsi" w:cstheme="minorHAnsi"/>
          <w:color w:val="59595B"/>
          <w:lang w:val="en-GB"/>
        </w:rPr>
        <w:t xml:space="preserve"> </w:t>
      </w:r>
      <w:r w:rsidR="00173597" w:rsidRPr="00DC3886">
        <w:rPr>
          <w:rFonts w:asciiTheme="minorHAnsi" w:hAnsiTheme="minorHAnsi" w:cstheme="minorHAnsi"/>
          <w:color w:val="59595B"/>
          <w:lang w:val="en-GB"/>
        </w:rPr>
        <w:t>of warrants</w:t>
      </w:r>
      <w:r w:rsidRPr="00DC3886">
        <w:rPr>
          <w:rFonts w:asciiTheme="minorHAnsi" w:hAnsiTheme="minorHAnsi" w:cstheme="minorHAnsi"/>
          <w:color w:val="59595B"/>
          <w:lang w:val="en-GB"/>
        </w:rPr>
        <w:t>, the issuance of LTIP shares, and the exercise of options.</w:t>
      </w:r>
    </w:p>
    <w:p w14:paraId="57E8D2D1" w14:textId="77777777" w:rsidR="00A27C22" w:rsidRPr="00DC3886" w:rsidRDefault="00A27C22" w:rsidP="00A27C22">
      <w:pPr>
        <w:pStyle w:val="NoSpacing"/>
        <w:spacing w:after="120"/>
        <w:rPr>
          <w:rFonts w:asciiTheme="minorHAnsi" w:hAnsiTheme="minorHAnsi" w:cstheme="minorHAnsi"/>
          <w:color w:val="59595B"/>
          <w:lang w:val="en-GB"/>
        </w:rPr>
      </w:pPr>
      <w:r w:rsidRPr="00DC3886">
        <w:rPr>
          <w:rFonts w:asciiTheme="minorHAnsi" w:hAnsiTheme="minorHAnsi" w:cstheme="minorHAnsi"/>
          <w:color w:val="59595B"/>
          <w:lang w:val="en-GB"/>
        </w:rPr>
        <w:t>Please refer to the condensed consolidated statement of changes in equity.</w:t>
      </w:r>
    </w:p>
    <w:p w14:paraId="19EC8F3E" w14:textId="2ABC2BE6" w:rsidR="000D0314" w:rsidRPr="00DC3886" w:rsidRDefault="000D0314">
      <w:pPr>
        <w:jc w:val="left"/>
        <w:rPr>
          <w:rFonts w:asciiTheme="minorHAnsi" w:eastAsia="Calibri" w:hAnsiTheme="minorHAnsi" w:cstheme="minorHAnsi"/>
          <w:color w:val="59595B"/>
          <w:sz w:val="22"/>
          <w:szCs w:val="22"/>
          <w:lang w:val="en-GB"/>
        </w:rPr>
      </w:pPr>
      <w:r w:rsidRPr="00DC3886">
        <w:rPr>
          <w:rFonts w:asciiTheme="minorHAnsi" w:hAnsiTheme="minorHAnsi" w:cstheme="minorHAnsi"/>
          <w:color w:val="59595B"/>
          <w:lang w:val="en-GB"/>
        </w:rPr>
        <w:br w:type="page"/>
      </w:r>
    </w:p>
    <w:p w14:paraId="234005E8" w14:textId="77777777" w:rsidR="00A27C22" w:rsidRPr="00DC3886" w:rsidRDefault="00A27C22" w:rsidP="00A27C22">
      <w:pPr>
        <w:pStyle w:val="ListParagraph"/>
        <w:numPr>
          <w:ilvl w:val="0"/>
          <w:numId w:val="3"/>
        </w:numPr>
        <w:autoSpaceDE w:val="0"/>
        <w:autoSpaceDN w:val="0"/>
        <w:adjustRightInd w:val="0"/>
        <w:spacing w:before="120" w:after="120"/>
        <w:jc w:val="left"/>
        <w:rPr>
          <w:rFonts w:asciiTheme="minorHAnsi" w:eastAsia="Calibri" w:hAnsiTheme="minorHAnsi" w:cstheme="minorHAnsi"/>
          <w:i/>
          <w:color w:val="59595B"/>
          <w:szCs w:val="22"/>
          <w:lang w:val="en-GB"/>
        </w:rPr>
      </w:pPr>
      <w:bookmarkStart w:id="5" w:name="_Toc444768942"/>
      <w:bookmarkStart w:id="6" w:name="_Hlk41306877"/>
      <w:r w:rsidRPr="00DC3886">
        <w:rPr>
          <w:rFonts w:asciiTheme="minorHAnsi" w:hAnsiTheme="minorHAnsi" w:cstheme="minorHAnsi"/>
          <w:i/>
          <w:color w:val="59595B"/>
          <w:szCs w:val="22"/>
          <w:lang w:val="en-GB"/>
        </w:rPr>
        <w:lastRenderedPageBreak/>
        <w:t>Loans and borrowings</w:t>
      </w:r>
      <w:bookmarkEnd w:id="5"/>
      <w:r w:rsidRPr="00DC3886">
        <w:rPr>
          <w:rFonts w:asciiTheme="minorHAnsi" w:hAnsiTheme="minorHAnsi" w:cstheme="minorHAnsi"/>
          <w:i/>
          <w:color w:val="59595B"/>
          <w:szCs w:val="22"/>
          <w:lang w:val="en-GB"/>
        </w:rPr>
        <w:t xml:space="preserve"> </w:t>
      </w:r>
    </w:p>
    <w:p w14:paraId="6A2F5A96" w14:textId="77777777" w:rsidR="00A27C22" w:rsidRPr="00DC3886" w:rsidRDefault="00A27C22" w:rsidP="00A27C22">
      <w:pPr>
        <w:pStyle w:val="ListParagraph"/>
        <w:autoSpaceDE w:val="0"/>
        <w:autoSpaceDN w:val="0"/>
        <w:adjustRightInd w:val="0"/>
        <w:spacing w:before="120" w:after="120"/>
        <w:jc w:val="left"/>
        <w:rPr>
          <w:rFonts w:asciiTheme="minorHAnsi" w:eastAsia="Calibri" w:hAnsiTheme="minorHAnsi" w:cstheme="minorHAnsi"/>
          <w:color w:val="59595B"/>
          <w:szCs w:val="22"/>
          <w:lang w:val="en-GB"/>
        </w:rPr>
      </w:pPr>
    </w:p>
    <w:p w14:paraId="35B32D5F" w14:textId="77777777" w:rsidR="00A27C22" w:rsidRPr="006C5875" w:rsidRDefault="00A27C22" w:rsidP="00A27C22">
      <w:pPr>
        <w:keepNext/>
        <w:keepLines/>
        <w:spacing w:before="120"/>
        <w:outlineLvl w:val="2"/>
        <w:rPr>
          <w:rFonts w:asciiTheme="minorHAnsi" w:eastAsia="MS Mincho" w:hAnsiTheme="minorHAnsi" w:cstheme="minorHAnsi"/>
          <w:color w:val="59595B"/>
          <w:sz w:val="22"/>
          <w:szCs w:val="22"/>
          <w:lang w:val="en-GB"/>
        </w:rPr>
      </w:pPr>
      <w:r w:rsidRPr="006C5875">
        <w:rPr>
          <w:rFonts w:asciiTheme="minorHAnsi" w:eastAsia="MS Mincho" w:hAnsiTheme="minorHAnsi" w:cstheme="minorHAnsi"/>
          <w:color w:val="59595B"/>
          <w:sz w:val="22"/>
          <w:szCs w:val="22"/>
          <w:lang w:val="en-GB"/>
        </w:rPr>
        <w:t xml:space="preserve">In 2017, the Company </w:t>
      </w:r>
      <w:proofErr w:type="gramStart"/>
      <w:r w:rsidRPr="006C5875">
        <w:rPr>
          <w:rFonts w:asciiTheme="minorHAnsi" w:eastAsia="MS Mincho" w:hAnsiTheme="minorHAnsi" w:cstheme="minorHAnsi"/>
          <w:color w:val="59595B"/>
          <w:sz w:val="22"/>
          <w:szCs w:val="22"/>
          <w:lang w:val="en-GB"/>
        </w:rPr>
        <w:t>entered into</w:t>
      </w:r>
      <w:proofErr w:type="gramEnd"/>
      <w:r w:rsidRPr="006C5875">
        <w:rPr>
          <w:rFonts w:asciiTheme="minorHAnsi" w:eastAsia="MS Mincho" w:hAnsiTheme="minorHAnsi" w:cstheme="minorHAnsi"/>
          <w:color w:val="59595B"/>
          <w:sz w:val="22"/>
          <w:szCs w:val="22"/>
          <w:lang w:val="en-GB"/>
        </w:rPr>
        <w:t xml:space="preserve"> a debt facility with Orbimed Royalty Opportunities II, LP to raise US$100 million (€91.3 million at 2017 exchange rate). </w:t>
      </w:r>
    </w:p>
    <w:p w14:paraId="35E0592C" w14:textId="77777777" w:rsidR="00A27C22" w:rsidRPr="006C5875" w:rsidRDefault="00A27C22" w:rsidP="00A27C22">
      <w:pPr>
        <w:keepNext/>
        <w:keepLines/>
        <w:spacing w:before="120"/>
        <w:outlineLvl w:val="2"/>
        <w:rPr>
          <w:rFonts w:asciiTheme="minorHAnsi" w:eastAsia="MS Mincho" w:hAnsiTheme="minorHAnsi" w:cstheme="minorHAnsi"/>
          <w:color w:val="59595B"/>
          <w:sz w:val="22"/>
          <w:szCs w:val="22"/>
          <w:lang w:val="en-GB"/>
        </w:rPr>
      </w:pPr>
      <w:r w:rsidRPr="006C5875">
        <w:rPr>
          <w:rFonts w:asciiTheme="minorHAnsi" w:eastAsia="MS Mincho" w:hAnsiTheme="minorHAnsi" w:cstheme="minorHAnsi"/>
          <w:color w:val="59595B"/>
          <w:sz w:val="22"/>
          <w:szCs w:val="22"/>
          <w:lang w:val="en-GB"/>
        </w:rPr>
        <w:t>Under the terms and conditions of this debt facility, the lenders provided an amount of US$100 million secured senior debt funding against 48 months promissory notes with interest of the sum of (i) the Applicable Margin of 11% plus (ii) the greater of (x) One-Month LIBOR and (y) 1.00%. Quarterly repayment of the loan has been started in September 2018. The Company has the option to prepay the loan before its maturity date. As further consideration for the facility, the lenders received a 4% warrant coverage (9,174,372 warrants) with a strike price of €0.455 representing the closing price of Pharming shares immediately prior to the closing date, plus a 2.5% commitment fee of the principal sum and an assignment fee on the maturity date of US$3.7 million. The warrants have been separated from the loan and recognised in equity. On repayment of the loan on January 25, 2020 the Company had to pay an exit fee of 5%.</w:t>
      </w:r>
    </w:p>
    <w:p w14:paraId="7AC9C7A5" w14:textId="77777777" w:rsidR="00A27C22" w:rsidRPr="006C5875" w:rsidRDefault="00A27C22" w:rsidP="00A27C22">
      <w:pPr>
        <w:jc w:val="left"/>
        <w:rPr>
          <w:rFonts w:asciiTheme="minorHAnsi" w:eastAsia="Calibri Light" w:hAnsiTheme="minorHAnsi" w:cstheme="minorHAnsi"/>
          <w:b/>
          <w:bCs/>
          <w:color w:val="59595B"/>
          <w:sz w:val="22"/>
          <w:szCs w:val="22"/>
          <w:lang w:val="en-GB"/>
        </w:rPr>
      </w:pPr>
    </w:p>
    <w:p w14:paraId="29FCFCE7" w14:textId="77777777" w:rsidR="00A27C22" w:rsidRPr="006C5875" w:rsidRDefault="00A27C22" w:rsidP="00A27C22">
      <w:pPr>
        <w:rPr>
          <w:rFonts w:asciiTheme="minorHAnsi" w:hAnsiTheme="minorHAnsi" w:cstheme="minorHAnsi"/>
          <w:color w:val="59595B"/>
          <w:sz w:val="22"/>
          <w:szCs w:val="22"/>
          <w:lang w:val="en-GB"/>
        </w:rPr>
      </w:pPr>
      <w:r w:rsidRPr="006C5875">
        <w:rPr>
          <w:rFonts w:asciiTheme="minorHAnsi" w:hAnsiTheme="minorHAnsi" w:cstheme="minorHAnsi"/>
          <w:color w:val="59595B"/>
          <w:sz w:val="22"/>
          <w:szCs w:val="22"/>
          <w:lang w:val="en-GB"/>
        </w:rPr>
        <w:t>Movements of the loan were as follows:</w:t>
      </w:r>
    </w:p>
    <w:p w14:paraId="697EFC69" w14:textId="77777777" w:rsidR="00A27C22" w:rsidRPr="001D0FE2" w:rsidRDefault="00A27C22" w:rsidP="00A27C22">
      <w:pPr>
        <w:rPr>
          <w:rFonts w:asciiTheme="minorHAnsi" w:hAnsiTheme="minorHAnsi" w:cstheme="minorHAnsi"/>
          <w:color w:val="59595B"/>
          <w:szCs w:val="20"/>
          <w:lang w:val="en-GB"/>
        </w:rPr>
      </w:pPr>
    </w:p>
    <w:tbl>
      <w:tblPr>
        <w:tblW w:w="9072" w:type="dxa"/>
        <w:tblLook w:val="04A0" w:firstRow="1" w:lastRow="0" w:firstColumn="1" w:lastColumn="0" w:noHBand="0" w:noVBand="1"/>
      </w:tblPr>
      <w:tblGrid>
        <w:gridCol w:w="5512"/>
        <w:gridCol w:w="1780"/>
        <w:gridCol w:w="1780"/>
      </w:tblGrid>
      <w:tr w:rsidR="00A27C22" w:rsidRPr="001D0FE2" w14:paraId="676B4AC6" w14:textId="77777777" w:rsidTr="006166DB">
        <w:trPr>
          <w:trHeight w:val="810"/>
        </w:trPr>
        <w:tc>
          <w:tcPr>
            <w:tcW w:w="5512" w:type="dxa"/>
            <w:tcBorders>
              <w:top w:val="single" w:sz="8" w:space="0" w:color="BFBFBF"/>
              <w:left w:val="single" w:sz="8" w:space="0" w:color="BFBFBF"/>
              <w:bottom w:val="nil"/>
              <w:right w:val="nil"/>
            </w:tcBorders>
            <w:shd w:val="clear" w:color="000000" w:fill="366092"/>
            <w:vAlign w:val="center"/>
            <w:hideMark/>
          </w:tcPr>
          <w:bookmarkEnd w:id="6"/>
          <w:p w14:paraId="511E30E9"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1780" w:type="dxa"/>
            <w:tcBorders>
              <w:top w:val="single" w:sz="8" w:space="0" w:color="BFBFBF"/>
              <w:left w:val="nil"/>
              <w:bottom w:val="nil"/>
              <w:right w:val="nil"/>
            </w:tcBorders>
            <w:shd w:val="clear" w:color="000000" w:fill="366092"/>
            <w:vAlign w:val="center"/>
            <w:hideMark/>
          </w:tcPr>
          <w:p w14:paraId="0E472A85" w14:textId="77777777" w:rsidR="00A27C22" w:rsidRPr="001D0FE2" w:rsidRDefault="00A27C22" w:rsidP="00B81D69">
            <w:pPr>
              <w:jc w:val="right"/>
              <w:rPr>
                <w:rFonts w:asciiTheme="minorHAnsi" w:hAnsiTheme="minorHAnsi" w:cstheme="minorHAnsi"/>
                <w:color w:val="FFFFFF"/>
                <w:sz w:val="20"/>
                <w:szCs w:val="20"/>
                <w:lang w:val="en-GB"/>
              </w:rPr>
            </w:pPr>
            <w:r w:rsidRPr="001D0FE2">
              <w:rPr>
                <w:rFonts w:asciiTheme="minorHAnsi" w:hAnsiTheme="minorHAnsi" w:cstheme="minorHAnsi"/>
                <w:color w:val="FFFFFF"/>
                <w:sz w:val="20"/>
                <w:szCs w:val="20"/>
                <w:lang w:val="en-GB"/>
              </w:rPr>
              <w:t>Period to</w:t>
            </w:r>
            <w:r w:rsidRPr="001D0FE2">
              <w:rPr>
                <w:rFonts w:asciiTheme="minorHAnsi" w:hAnsiTheme="minorHAnsi" w:cstheme="minorHAnsi"/>
                <w:color w:val="FFFFFF"/>
                <w:sz w:val="20"/>
                <w:szCs w:val="20"/>
                <w:lang w:val="en-GB"/>
              </w:rPr>
              <w:br/>
              <w:t>30 June</w:t>
            </w:r>
            <w:r w:rsidRPr="001D0FE2">
              <w:rPr>
                <w:rFonts w:asciiTheme="minorHAnsi" w:hAnsiTheme="minorHAnsi" w:cstheme="minorHAnsi"/>
                <w:color w:val="FFFFFF"/>
                <w:sz w:val="20"/>
                <w:szCs w:val="20"/>
                <w:lang w:val="en-GB"/>
              </w:rPr>
              <w:br/>
              <w:t>2020</w:t>
            </w:r>
          </w:p>
        </w:tc>
        <w:tc>
          <w:tcPr>
            <w:tcW w:w="1780" w:type="dxa"/>
            <w:tcBorders>
              <w:top w:val="single" w:sz="8" w:space="0" w:color="BFBFBF"/>
              <w:left w:val="nil"/>
              <w:bottom w:val="nil"/>
              <w:right w:val="single" w:sz="8" w:space="0" w:color="BFBFBF"/>
            </w:tcBorders>
            <w:shd w:val="clear" w:color="000000" w:fill="366092"/>
            <w:vAlign w:val="center"/>
            <w:hideMark/>
          </w:tcPr>
          <w:p w14:paraId="5B36FBEB" w14:textId="77777777" w:rsidR="00A27C22" w:rsidRPr="001D0FE2" w:rsidRDefault="00A27C22" w:rsidP="00B81D69">
            <w:pPr>
              <w:jc w:val="right"/>
              <w:rPr>
                <w:rFonts w:asciiTheme="minorHAnsi" w:hAnsiTheme="minorHAnsi" w:cstheme="minorHAnsi"/>
                <w:color w:val="FFFFFF"/>
                <w:sz w:val="20"/>
                <w:szCs w:val="20"/>
                <w:lang w:val="en-GB"/>
              </w:rPr>
            </w:pPr>
            <w:r w:rsidRPr="001D0FE2">
              <w:rPr>
                <w:rFonts w:asciiTheme="minorHAnsi" w:hAnsiTheme="minorHAnsi" w:cstheme="minorHAnsi"/>
                <w:color w:val="FFFFFF"/>
                <w:sz w:val="20"/>
                <w:szCs w:val="20"/>
                <w:lang w:val="en-GB"/>
              </w:rPr>
              <w:t>Period to</w:t>
            </w:r>
            <w:r w:rsidRPr="001D0FE2">
              <w:rPr>
                <w:rFonts w:asciiTheme="minorHAnsi" w:hAnsiTheme="minorHAnsi" w:cstheme="minorHAnsi"/>
                <w:color w:val="FFFFFF"/>
                <w:sz w:val="20"/>
                <w:szCs w:val="20"/>
                <w:lang w:val="en-GB"/>
              </w:rPr>
              <w:br/>
              <w:t>31 December</w:t>
            </w:r>
            <w:r w:rsidRPr="001D0FE2">
              <w:rPr>
                <w:rFonts w:asciiTheme="minorHAnsi" w:hAnsiTheme="minorHAnsi" w:cstheme="minorHAnsi"/>
                <w:color w:val="FFFFFF"/>
                <w:sz w:val="20"/>
                <w:szCs w:val="20"/>
                <w:lang w:val="en-GB"/>
              </w:rPr>
              <w:br/>
              <w:t>2019</w:t>
            </w:r>
          </w:p>
        </w:tc>
      </w:tr>
      <w:tr w:rsidR="00A27C22" w:rsidRPr="001D0FE2" w14:paraId="0E1013D1" w14:textId="77777777" w:rsidTr="006166DB">
        <w:trPr>
          <w:trHeight w:val="360"/>
        </w:trPr>
        <w:tc>
          <w:tcPr>
            <w:tcW w:w="5512" w:type="dxa"/>
            <w:tcBorders>
              <w:top w:val="nil"/>
              <w:left w:val="single" w:sz="8" w:space="0" w:color="BFBFBF"/>
              <w:bottom w:val="single" w:sz="8" w:space="0" w:color="BFBFBF"/>
              <w:right w:val="single" w:sz="8" w:space="0" w:color="BFBFBF"/>
            </w:tcBorders>
            <w:shd w:val="clear" w:color="000000" w:fill="FFFFFF"/>
            <w:vAlign w:val="center"/>
            <w:hideMark/>
          </w:tcPr>
          <w:p w14:paraId="1A20770F"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Carrying value at 1 January</w:t>
            </w:r>
          </w:p>
        </w:tc>
        <w:tc>
          <w:tcPr>
            <w:tcW w:w="1780" w:type="dxa"/>
            <w:tcBorders>
              <w:top w:val="nil"/>
              <w:left w:val="nil"/>
              <w:bottom w:val="single" w:sz="8" w:space="0" w:color="BFBFBF"/>
              <w:right w:val="single" w:sz="8" w:space="0" w:color="BFBFBF"/>
            </w:tcBorders>
            <w:shd w:val="clear" w:color="000000" w:fill="DCE6F1"/>
            <w:noWrap/>
            <w:vAlign w:val="center"/>
            <w:hideMark/>
          </w:tcPr>
          <w:p w14:paraId="6A8427DA"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45.590 </w:t>
            </w:r>
          </w:p>
        </w:tc>
        <w:tc>
          <w:tcPr>
            <w:tcW w:w="1780" w:type="dxa"/>
            <w:tcBorders>
              <w:top w:val="nil"/>
              <w:left w:val="nil"/>
              <w:bottom w:val="single" w:sz="8" w:space="0" w:color="BFBFBF"/>
              <w:right w:val="single" w:sz="8" w:space="0" w:color="BFBFBF"/>
            </w:tcBorders>
            <w:shd w:val="clear" w:color="auto" w:fill="auto"/>
            <w:noWrap/>
            <w:vAlign w:val="center"/>
            <w:hideMark/>
          </w:tcPr>
          <w:p w14:paraId="6AF9D93E"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72.502 </w:t>
            </w:r>
          </w:p>
        </w:tc>
      </w:tr>
      <w:tr w:rsidR="00A27C22" w:rsidRPr="001D0FE2" w14:paraId="3E9C47E1" w14:textId="77777777" w:rsidTr="006166DB">
        <w:trPr>
          <w:trHeight w:val="360"/>
        </w:trPr>
        <w:tc>
          <w:tcPr>
            <w:tcW w:w="5512" w:type="dxa"/>
            <w:tcBorders>
              <w:top w:val="nil"/>
              <w:left w:val="single" w:sz="8" w:space="0" w:color="BFBFBF"/>
              <w:bottom w:val="nil"/>
              <w:right w:val="single" w:sz="8" w:space="0" w:color="BFBFBF"/>
            </w:tcBorders>
            <w:shd w:val="clear" w:color="auto" w:fill="auto"/>
            <w:vAlign w:val="bottom"/>
            <w:hideMark/>
          </w:tcPr>
          <w:p w14:paraId="19D4E8CF"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Amortised costs (financial income and expenses)</w:t>
            </w:r>
          </w:p>
        </w:tc>
        <w:tc>
          <w:tcPr>
            <w:tcW w:w="1780" w:type="dxa"/>
            <w:tcBorders>
              <w:top w:val="nil"/>
              <w:left w:val="nil"/>
              <w:bottom w:val="nil"/>
              <w:right w:val="single" w:sz="8" w:space="0" w:color="BFBFBF"/>
            </w:tcBorders>
            <w:shd w:val="clear" w:color="000000" w:fill="DCE6F1"/>
            <w:noWrap/>
            <w:vAlign w:val="bottom"/>
            <w:hideMark/>
          </w:tcPr>
          <w:p w14:paraId="17F4034D"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449 </w:t>
            </w:r>
          </w:p>
        </w:tc>
        <w:tc>
          <w:tcPr>
            <w:tcW w:w="1780" w:type="dxa"/>
            <w:tcBorders>
              <w:top w:val="nil"/>
              <w:left w:val="nil"/>
              <w:bottom w:val="nil"/>
              <w:right w:val="single" w:sz="8" w:space="0" w:color="BFBFBF"/>
            </w:tcBorders>
            <w:shd w:val="clear" w:color="auto" w:fill="auto"/>
            <w:noWrap/>
            <w:vAlign w:val="bottom"/>
            <w:hideMark/>
          </w:tcPr>
          <w:p w14:paraId="072F59FF"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11.255 </w:t>
            </w:r>
          </w:p>
        </w:tc>
      </w:tr>
      <w:tr w:rsidR="00A27C22" w:rsidRPr="001D0FE2" w14:paraId="4CEAEE8C" w14:textId="77777777" w:rsidTr="006166DB">
        <w:trPr>
          <w:trHeight w:val="360"/>
        </w:trPr>
        <w:tc>
          <w:tcPr>
            <w:tcW w:w="5512" w:type="dxa"/>
            <w:tcBorders>
              <w:top w:val="nil"/>
              <w:left w:val="single" w:sz="8" w:space="0" w:color="BFBFBF"/>
              <w:bottom w:val="nil"/>
              <w:right w:val="single" w:sz="8" w:space="0" w:color="BFBFBF"/>
            </w:tcBorders>
            <w:shd w:val="clear" w:color="auto" w:fill="auto"/>
            <w:vAlign w:val="bottom"/>
            <w:hideMark/>
          </w:tcPr>
          <w:p w14:paraId="0C7E5E14"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Interest paid (cash flow)</w:t>
            </w:r>
          </w:p>
        </w:tc>
        <w:tc>
          <w:tcPr>
            <w:tcW w:w="1780" w:type="dxa"/>
            <w:tcBorders>
              <w:top w:val="nil"/>
              <w:left w:val="nil"/>
              <w:bottom w:val="nil"/>
              <w:right w:val="single" w:sz="8" w:space="0" w:color="BFBFBF"/>
            </w:tcBorders>
            <w:shd w:val="clear" w:color="000000" w:fill="DCE6F1"/>
            <w:noWrap/>
            <w:vAlign w:val="bottom"/>
            <w:hideMark/>
          </w:tcPr>
          <w:p w14:paraId="66EBE8D9"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(346)</w:t>
            </w:r>
          </w:p>
        </w:tc>
        <w:tc>
          <w:tcPr>
            <w:tcW w:w="1780" w:type="dxa"/>
            <w:tcBorders>
              <w:top w:val="nil"/>
              <w:left w:val="nil"/>
              <w:bottom w:val="nil"/>
              <w:right w:val="single" w:sz="8" w:space="0" w:color="BFBFBF"/>
            </w:tcBorders>
            <w:shd w:val="clear" w:color="auto" w:fill="auto"/>
            <w:noWrap/>
            <w:vAlign w:val="bottom"/>
            <w:hideMark/>
          </w:tcPr>
          <w:p w14:paraId="0350C6E5"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(8.419)</w:t>
            </w:r>
          </w:p>
        </w:tc>
      </w:tr>
      <w:tr w:rsidR="00A27C22" w:rsidRPr="001D0FE2" w14:paraId="788CD04F" w14:textId="77777777" w:rsidTr="006166DB">
        <w:trPr>
          <w:trHeight w:val="360"/>
        </w:trPr>
        <w:tc>
          <w:tcPr>
            <w:tcW w:w="5512" w:type="dxa"/>
            <w:tcBorders>
              <w:top w:val="nil"/>
              <w:left w:val="single" w:sz="8" w:space="0" w:color="BFBFBF"/>
              <w:bottom w:val="nil"/>
              <w:right w:val="single" w:sz="8" w:space="0" w:color="BFBFBF"/>
            </w:tcBorders>
            <w:shd w:val="clear" w:color="auto" w:fill="auto"/>
            <w:vAlign w:val="bottom"/>
            <w:hideMark/>
          </w:tcPr>
          <w:p w14:paraId="6BCE42E8"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Repayment and exit fee</w:t>
            </w:r>
          </w:p>
        </w:tc>
        <w:tc>
          <w:tcPr>
            <w:tcW w:w="1780" w:type="dxa"/>
            <w:tcBorders>
              <w:top w:val="nil"/>
              <w:left w:val="nil"/>
              <w:bottom w:val="nil"/>
              <w:right w:val="single" w:sz="8" w:space="0" w:color="BFBFBF"/>
            </w:tcBorders>
            <w:shd w:val="clear" w:color="000000" w:fill="DCE6F1"/>
            <w:noWrap/>
            <w:vAlign w:val="bottom"/>
            <w:hideMark/>
          </w:tcPr>
          <w:p w14:paraId="62E9AB26"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(46.140)</w:t>
            </w:r>
          </w:p>
        </w:tc>
        <w:tc>
          <w:tcPr>
            <w:tcW w:w="1780" w:type="dxa"/>
            <w:tcBorders>
              <w:top w:val="nil"/>
              <w:left w:val="nil"/>
              <w:bottom w:val="nil"/>
              <w:right w:val="single" w:sz="8" w:space="0" w:color="BFBFBF"/>
            </w:tcBorders>
            <w:shd w:val="clear" w:color="auto" w:fill="auto"/>
            <w:noWrap/>
            <w:vAlign w:val="bottom"/>
            <w:hideMark/>
          </w:tcPr>
          <w:p w14:paraId="3957CE29"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(31.406)</w:t>
            </w:r>
          </w:p>
        </w:tc>
      </w:tr>
      <w:tr w:rsidR="00A27C22" w:rsidRPr="001D0FE2" w14:paraId="319A6774" w14:textId="77777777" w:rsidTr="006166DB">
        <w:trPr>
          <w:trHeight w:val="360"/>
        </w:trPr>
        <w:tc>
          <w:tcPr>
            <w:tcW w:w="5512" w:type="dxa"/>
            <w:tcBorders>
              <w:top w:val="nil"/>
              <w:left w:val="single" w:sz="8" w:space="0" w:color="BFBFBF"/>
              <w:bottom w:val="nil"/>
              <w:right w:val="single" w:sz="8" w:space="0" w:color="BFBFBF"/>
            </w:tcBorders>
            <w:shd w:val="clear" w:color="auto" w:fill="auto"/>
            <w:vAlign w:val="bottom"/>
            <w:hideMark/>
          </w:tcPr>
          <w:p w14:paraId="4D206999"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Revaluation loan</w:t>
            </w:r>
          </w:p>
        </w:tc>
        <w:tc>
          <w:tcPr>
            <w:tcW w:w="1780" w:type="dxa"/>
            <w:tcBorders>
              <w:top w:val="nil"/>
              <w:left w:val="nil"/>
              <w:bottom w:val="nil"/>
              <w:right w:val="single" w:sz="8" w:space="0" w:color="BFBFBF"/>
            </w:tcBorders>
            <w:shd w:val="clear" w:color="000000" w:fill="DCE6F1"/>
            <w:noWrap/>
            <w:vAlign w:val="bottom"/>
            <w:hideMark/>
          </w:tcPr>
          <w:p w14:paraId="6F7FF902"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447 </w:t>
            </w:r>
          </w:p>
        </w:tc>
        <w:tc>
          <w:tcPr>
            <w:tcW w:w="1780" w:type="dxa"/>
            <w:tcBorders>
              <w:top w:val="nil"/>
              <w:left w:val="nil"/>
              <w:bottom w:val="nil"/>
              <w:right w:val="single" w:sz="8" w:space="0" w:color="BFBFBF"/>
            </w:tcBorders>
            <w:shd w:val="clear" w:color="auto" w:fill="auto"/>
            <w:noWrap/>
            <w:vAlign w:val="bottom"/>
            <w:hideMark/>
          </w:tcPr>
          <w:p w14:paraId="1B80A72F"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1.658 </w:t>
            </w:r>
          </w:p>
        </w:tc>
      </w:tr>
      <w:tr w:rsidR="00A27C22" w:rsidRPr="001D0FE2" w14:paraId="3664A77B" w14:textId="77777777" w:rsidTr="006166DB">
        <w:trPr>
          <w:trHeight w:val="360"/>
        </w:trPr>
        <w:tc>
          <w:tcPr>
            <w:tcW w:w="5512"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0B7F9B85"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Carrying value at end of period</w:t>
            </w:r>
          </w:p>
        </w:tc>
        <w:tc>
          <w:tcPr>
            <w:tcW w:w="1780" w:type="dxa"/>
            <w:tcBorders>
              <w:top w:val="single" w:sz="8" w:space="0" w:color="BFBFBF"/>
              <w:left w:val="nil"/>
              <w:bottom w:val="single" w:sz="8" w:space="0" w:color="BFBFBF"/>
              <w:right w:val="single" w:sz="8" w:space="0" w:color="BFBFBF"/>
            </w:tcBorders>
            <w:shd w:val="clear" w:color="000000" w:fill="DCE6F1"/>
            <w:noWrap/>
            <w:vAlign w:val="center"/>
            <w:hideMark/>
          </w:tcPr>
          <w:p w14:paraId="397DF0A5"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   </w:t>
            </w:r>
          </w:p>
        </w:tc>
        <w:tc>
          <w:tcPr>
            <w:tcW w:w="1780" w:type="dxa"/>
            <w:tcBorders>
              <w:top w:val="single" w:sz="8" w:space="0" w:color="BFBFBF"/>
              <w:left w:val="nil"/>
              <w:bottom w:val="single" w:sz="8" w:space="0" w:color="BFBFBF"/>
              <w:right w:val="single" w:sz="8" w:space="0" w:color="BFBFBF"/>
            </w:tcBorders>
            <w:shd w:val="clear" w:color="auto" w:fill="auto"/>
            <w:noWrap/>
            <w:vAlign w:val="center"/>
            <w:hideMark/>
          </w:tcPr>
          <w:p w14:paraId="2F85ADAE"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45.590 </w:t>
            </w:r>
          </w:p>
        </w:tc>
      </w:tr>
      <w:tr w:rsidR="006166DB" w:rsidRPr="00DC3886" w14:paraId="0411FBC4" w14:textId="77777777" w:rsidTr="006166DB">
        <w:trPr>
          <w:trHeight w:val="345"/>
        </w:trPr>
        <w:tc>
          <w:tcPr>
            <w:tcW w:w="5512" w:type="dxa"/>
            <w:tcBorders>
              <w:top w:val="nil"/>
              <w:left w:val="single" w:sz="8" w:space="0" w:color="BFBFBF"/>
              <w:bottom w:val="nil"/>
              <w:right w:val="single" w:sz="8" w:space="0" w:color="BFBFBF"/>
            </w:tcBorders>
            <w:shd w:val="clear" w:color="auto" w:fill="auto"/>
            <w:vAlign w:val="bottom"/>
            <w:hideMark/>
          </w:tcPr>
          <w:p w14:paraId="4E79E729"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Current portion</w:t>
            </w:r>
          </w:p>
        </w:tc>
        <w:tc>
          <w:tcPr>
            <w:tcW w:w="1780" w:type="dxa"/>
            <w:tcBorders>
              <w:top w:val="nil"/>
              <w:left w:val="nil"/>
              <w:bottom w:val="nil"/>
              <w:right w:val="single" w:sz="8" w:space="0" w:color="BFBFBF"/>
            </w:tcBorders>
            <w:shd w:val="clear" w:color="000000" w:fill="DCE6F1"/>
            <w:noWrap/>
            <w:vAlign w:val="bottom"/>
            <w:hideMark/>
          </w:tcPr>
          <w:p w14:paraId="35A5E2B1"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   </w:t>
            </w:r>
          </w:p>
        </w:tc>
        <w:tc>
          <w:tcPr>
            <w:tcW w:w="1780" w:type="dxa"/>
            <w:tcBorders>
              <w:top w:val="nil"/>
              <w:left w:val="nil"/>
              <w:bottom w:val="nil"/>
              <w:right w:val="single" w:sz="8" w:space="0" w:color="BFBFBF"/>
            </w:tcBorders>
            <w:shd w:val="clear" w:color="auto" w:fill="auto"/>
            <w:noWrap/>
            <w:vAlign w:val="bottom"/>
            <w:hideMark/>
          </w:tcPr>
          <w:p w14:paraId="37F66F20"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45.590 </w:t>
            </w:r>
          </w:p>
        </w:tc>
      </w:tr>
      <w:tr w:rsidR="006166DB" w:rsidRPr="00DC3886" w14:paraId="43FD0D16" w14:textId="77777777" w:rsidTr="006166DB">
        <w:trPr>
          <w:trHeight w:val="345"/>
        </w:trPr>
        <w:tc>
          <w:tcPr>
            <w:tcW w:w="5512" w:type="dxa"/>
            <w:tcBorders>
              <w:top w:val="nil"/>
              <w:left w:val="single" w:sz="8" w:space="0" w:color="BFBFBF"/>
              <w:bottom w:val="single" w:sz="8" w:space="0" w:color="BFBFBF"/>
              <w:right w:val="single" w:sz="8" w:space="0" w:color="BFBFBF"/>
            </w:tcBorders>
            <w:shd w:val="clear" w:color="auto" w:fill="auto"/>
            <w:vAlign w:val="bottom"/>
            <w:hideMark/>
          </w:tcPr>
          <w:p w14:paraId="40F43936"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Non-current portion</w:t>
            </w:r>
          </w:p>
        </w:tc>
        <w:tc>
          <w:tcPr>
            <w:tcW w:w="1780" w:type="dxa"/>
            <w:tcBorders>
              <w:top w:val="nil"/>
              <w:left w:val="nil"/>
              <w:bottom w:val="single" w:sz="8" w:space="0" w:color="BFBFBF"/>
              <w:right w:val="single" w:sz="8" w:space="0" w:color="BFBFBF"/>
            </w:tcBorders>
            <w:shd w:val="clear" w:color="000000" w:fill="DCE6F1"/>
            <w:noWrap/>
            <w:vAlign w:val="bottom"/>
            <w:hideMark/>
          </w:tcPr>
          <w:p w14:paraId="7443B07E"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   </w:t>
            </w:r>
          </w:p>
        </w:tc>
        <w:tc>
          <w:tcPr>
            <w:tcW w:w="1780" w:type="dxa"/>
            <w:tcBorders>
              <w:top w:val="nil"/>
              <w:left w:val="nil"/>
              <w:bottom w:val="single" w:sz="8" w:space="0" w:color="BFBFBF"/>
              <w:right w:val="single" w:sz="8" w:space="0" w:color="BFBFBF"/>
            </w:tcBorders>
            <w:shd w:val="clear" w:color="auto" w:fill="auto"/>
            <w:noWrap/>
            <w:vAlign w:val="bottom"/>
            <w:hideMark/>
          </w:tcPr>
          <w:p w14:paraId="63D6D6D8"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   </w:t>
            </w:r>
          </w:p>
        </w:tc>
      </w:tr>
    </w:tbl>
    <w:p w14:paraId="5DEBDF0E" w14:textId="77777777" w:rsidR="00A27C22" w:rsidRPr="00DC3886" w:rsidRDefault="00A27C22" w:rsidP="00A27C22">
      <w:pPr>
        <w:jc w:val="left"/>
        <w:rPr>
          <w:rFonts w:asciiTheme="minorHAnsi" w:eastAsia="Calibri Light" w:hAnsiTheme="minorHAnsi" w:cstheme="minorHAnsi"/>
          <w:b/>
          <w:bCs/>
          <w:color w:val="59595B"/>
          <w:sz w:val="20"/>
          <w:szCs w:val="20"/>
          <w:lang w:val="en-GB"/>
        </w:rPr>
      </w:pPr>
    </w:p>
    <w:p w14:paraId="162D0904" w14:textId="1DBABE23" w:rsidR="00A27C22" w:rsidRPr="00DC3886" w:rsidRDefault="00A27C22" w:rsidP="00DC3886">
      <w:pPr>
        <w:pStyle w:val="ListParagraph"/>
        <w:numPr>
          <w:ilvl w:val="0"/>
          <w:numId w:val="3"/>
        </w:numPr>
        <w:autoSpaceDE w:val="0"/>
        <w:autoSpaceDN w:val="0"/>
        <w:adjustRightInd w:val="0"/>
        <w:spacing w:before="120" w:after="120"/>
        <w:jc w:val="left"/>
        <w:rPr>
          <w:rFonts w:asciiTheme="minorHAnsi" w:eastAsia="Calibri" w:hAnsiTheme="minorHAnsi" w:cstheme="minorHAnsi"/>
          <w:i/>
          <w:color w:val="59595B"/>
          <w:szCs w:val="22"/>
          <w:lang w:val="en-GB"/>
        </w:rPr>
      </w:pPr>
      <w:r w:rsidRPr="00DC3886">
        <w:rPr>
          <w:rFonts w:asciiTheme="minorHAnsi" w:hAnsiTheme="minorHAnsi" w:cstheme="minorHAnsi"/>
          <w:i/>
          <w:color w:val="59595B"/>
          <w:szCs w:val="22"/>
          <w:lang w:val="en-GB"/>
        </w:rPr>
        <w:t>Convertible bonds</w:t>
      </w:r>
    </w:p>
    <w:p w14:paraId="58BFACE7" w14:textId="77777777" w:rsidR="00A27C22" w:rsidRPr="00DC3886" w:rsidRDefault="00A27C22" w:rsidP="00A27C22">
      <w:pPr>
        <w:pStyle w:val="NormalWeb"/>
        <w:spacing w:before="120" w:after="0"/>
        <w:jc w:val="both"/>
        <w:rPr>
          <w:rFonts w:asciiTheme="minorHAnsi" w:hAnsiTheme="minorHAnsi" w:cstheme="minorHAnsi"/>
          <w:color w:val="59595B"/>
          <w:sz w:val="22"/>
          <w:szCs w:val="22"/>
          <w:lang w:val="en-GB"/>
        </w:rPr>
      </w:pPr>
      <w:r w:rsidRPr="00DC3886">
        <w:rPr>
          <w:rFonts w:asciiTheme="minorHAnsi" w:hAnsiTheme="minorHAnsi" w:cstheme="minorHAnsi"/>
          <w:noProof/>
          <w:color w:val="59595B"/>
          <w:spacing w:val="2"/>
          <w:sz w:val="22"/>
          <w:szCs w:val="22"/>
          <w:lang w:val="en-GB"/>
        </w:rPr>
        <w:t xml:space="preserve">In January 2020, the Company offered €125 million of 5-year convertible bonds. </w:t>
      </w:r>
      <w:r w:rsidRPr="00DC3886">
        <w:rPr>
          <w:rFonts w:asciiTheme="minorHAnsi" w:hAnsiTheme="minorHAnsi" w:cstheme="minorHAnsi"/>
          <w:color w:val="59595B"/>
          <w:sz w:val="22"/>
          <w:szCs w:val="22"/>
          <w:lang w:val="en-GB"/>
        </w:rPr>
        <w:t xml:space="preserve">The net proceeds of the issue of the bonds were used to redeem the balance of approximately US$ 51 million of the loan with Orbimed Advisors in full, and the remaining balance of the net proceeds will also be used to support capital expenditure in relation to the expansion of the commercialisation and manufacturing infrastructure of the Company and also serve as funding for the launch of Pharming’s recently acquired leniolisib product, as well as for additional acquisitions/in-licensing opportunities. </w:t>
      </w:r>
    </w:p>
    <w:p w14:paraId="4C58FA93" w14:textId="77777777" w:rsidR="00A27C22" w:rsidRPr="00DC3886" w:rsidRDefault="00A27C22" w:rsidP="00A27C22">
      <w:pPr>
        <w:pStyle w:val="NormalWeb"/>
        <w:spacing w:before="120" w:after="0"/>
        <w:jc w:val="both"/>
        <w:rPr>
          <w:rFonts w:asciiTheme="minorHAnsi" w:hAnsiTheme="minorHAnsi" w:cstheme="minorHAnsi"/>
          <w:color w:val="59595B"/>
          <w:sz w:val="22"/>
          <w:szCs w:val="22"/>
          <w:lang w:val="en-GB"/>
        </w:rPr>
      </w:pPr>
      <w:r w:rsidRPr="00DC3886">
        <w:rPr>
          <w:rFonts w:asciiTheme="minorHAnsi" w:hAnsiTheme="minorHAnsi" w:cstheme="minorHAnsi"/>
          <w:color w:val="59595B"/>
          <w:sz w:val="22"/>
          <w:szCs w:val="22"/>
          <w:lang w:val="en-GB"/>
        </w:rPr>
        <w:t xml:space="preserve">The bonds were issued at par and carry a coupon of 3.00% per annum payable semi-annually in arrears in equal instalments. Unless previously converted, redeemed or purchased and cancelled, the Bonds will be redeemed at par on 21 January 2025. The Bonds will be convertible into ordinary shares of the Company with an initial conversion price of €2.0028, which represented a premium of 40% above the volume weighted average price (VWAP) of an ordinary Pharming share on Euronext Amsterdam between opening of trading on the launch date and the pricing of the Bonds (which was €1.4306). This initial conversion price may be subject to customary adjustment provisions as set out in the terms and conditions of the Bonds. The number of ordinary shares initially underlying the Bonds is 62,412,622, representing 9.9% of the Company’s current issued share capital. </w:t>
      </w:r>
    </w:p>
    <w:p w14:paraId="0C91BF62" w14:textId="77777777" w:rsidR="00A27C22" w:rsidRPr="00DC3886" w:rsidRDefault="00A27C22" w:rsidP="00A27C22">
      <w:pPr>
        <w:widowControl w:val="0"/>
        <w:autoSpaceDE w:val="0"/>
        <w:autoSpaceDN w:val="0"/>
        <w:spacing w:before="120"/>
        <w:ind w:right="147"/>
        <w:rPr>
          <w:rFonts w:asciiTheme="minorHAnsi" w:hAnsiTheme="minorHAnsi" w:cstheme="minorHAnsi"/>
          <w:noProof/>
          <w:color w:val="59595B"/>
          <w:sz w:val="22"/>
          <w:szCs w:val="22"/>
          <w:lang w:val="en-GB" w:eastAsia="x-none"/>
        </w:rPr>
      </w:pPr>
      <w:r w:rsidRPr="00DC3886">
        <w:rPr>
          <w:rFonts w:asciiTheme="minorHAnsi" w:hAnsiTheme="minorHAnsi" w:cstheme="minorHAnsi"/>
          <w:noProof/>
          <w:color w:val="59595B"/>
          <w:sz w:val="22"/>
          <w:szCs w:val="22"/>
          <w:lang w:val="en-GB" w:eastAsia="x-none"/>
        </w:rPr>
        <w:t xml:space="preserve">These bonds are listed on the Frankfurt Exchange (Börse Frankfurt: PHARMING GRP 20/25 CV). </w:t>
      </w:r>
    </w:p>
    <w:p w14:paraId="4E67CE3E" w14:textId="77777777" w:rsidR="00A27C22" w:rsidRPr="00DC3886" w:rsidRDefault="00A27C22" w:rsidP="00A27C22">
      <w:pPr>
        <w:widowControl w:val="0"/>
        <w:autoSpaceDE w:val="0"/>
        <w:autoSpaceDN w:val="0"/>
        <w:spacing w:before="120"/>
        <w:ind w:right="147"/>
        <w:rPr>
          <w:rFonts w:asciiTheme="minorHAnsi" w:hAnsiTheme="minorHAnsi" w:cstheme="minorHAnsi"/>
          <w:noProof/>
          <w:color w:val="59595B"/>
          <w:sz w:val="22"/>
          <w:szCs w:val="22"/>
          <w:lang w:val="en-GB" w:eastAsia="x-none"/>
        </w:rPr>
      </w:pPr>
      <w:r w:rsidRPr="00DC3886">
        <w:rPr>
          <w:rFonts w:asciiTheme="minorHAnsi" w:hAnsiTheme="minorHAnsi" w:cstheme="minorHAnsi"/>
          <w:noProof/>
          <w:color w:val="59595B"/>
          <w:sz w:val="22"/>
          <w:szCs w:val="22"/>
          <w:lang w:val="en-GB" w:eastAsia="x-none"/>
        </w:rPr>
        <w:lastRenderedPageBreak/>
        <w:t>The convertible bonds comprise of two components. The first component is a financial liability, which represents Pharming’s contractual obligation to deliver cash or another financial asset for payment of interest and principal, if not converted. The second component is an equity instrument as it represents a written call option granting the holder the right, for a specified period of time, to convert it into a fixed number of Pharming Group N.V. ‘s ordinary shares.</w:t>
      </w:r>
    </w:p>
    <w:p w14:paraId="7F6010D6" w14:textId="77777777" w:rsidR="00A27C22" w:rsidRPr="00DC3886" w:rsidRDefault="00A27C22" w:rsidP="00A27C22">
      <w:pPr>
        <w:widowControl w:val="0"/>
        <w:autoSpaceDE w:val="0"/>
        <w:autoSpaceDN w:val="0"/>
        <w:spacing w:before="120"/>
        <w:ind w:right="147"/>
        <w:rPr>
          <w:rFonts w:asciiTheme="minorHAnsi" w:hAnsiTheme="minorHAnsi" w:cstheme="minorHAnsi"/>
          <w:noProof/>
          <w:color w:val="59595B"/>
          <w:sz w:val="22"/>
          <w:szCs w:val="22"/>
          <w:lang w:val="en-GB" w:eastAsia="x-none"/>
        </w:rPr>
      </w:pPr>
      <w:r w:rsidRPr="00DC3886">
        <w:rPr>
          <w:rFonts w:asciiTheme="minorHAnsi" w:hAnsiTheme="minorHAnsi" w:cstheme="minorHAnsi"/>
          <w:noProof/>
          <w:color w:val="59595B"/>
          <w:sz w:val="22"/>
          <w:szCs w:val="22"/>
          <w:lang w:val="en-GB" w:eastAsia="x-none"/>
        </w:rPr>
        <w:t>The fair value of the consideration in respect of the liability components is measured at the fair value of a similar liability that does not have any associated equity conversion option (IFRS 9 paragraph 5.1.1). This is the liability component’s carrying amount at initial  recognition.</w:t>
      </w:r>
    </w:p>
    <w:p w14:paraId="2372ECA9" w14:textId="77777777" w:rsidR="00A27C22" w:rsidRPr="00DC3886" w:rsidRDefault="00A27C22" w:rsidP="00A27C22">
      <w:pPr>
        <w:widowControl w:val="0"/>
        <w:autoSpaceDE w:val="0"/>
        <w:autoSpaceDN w:val="0"/>
        <w:spacing w:before="120"/>
        <w:ind w:right="147"/>
        <w:rPr>
          <w:rFonts w:asciiTheme="minorHAnsi" w:hAnsiTheme="minorHAnsi" w:cstheme="minorHAnsi"/>
          <w:noProof/>
          <w:color w:val="59595B"/>
          <w:sz w:val="22"/>
          <w:szCs w:val="22"/>
          <w:lang w:val="en-GB" w:eastAsia="x-none"/>
        </w:rPr>
      </w:pPr>
      <w:r w:rsidRPr="00DC3886">
        <w:rPr>
          <w:rFonts w:asciiTheme="minorHAnsi" w:hAnsiTheme="minorHAnsi" w:cstheme="minorHAnsi"/>
          <w:noProof/>
          <w:color w:val="59595B"/>
          <w:sz w:val="22"/>
          <w:szCs w:val="22"/>
          <w:lang w:val="en-GB" w:eastAsia="x-none"/>
        </w:rPr>
        <w:t>The equity component will be measured at the residual  difference between the nominal value and the fair value of a similar liability that does not have any asoociated equity conversion option ( IAS 32 paragraph 31).</w:t>
      </w:r>
    </w:p>
    <w:p w14:paraId="0AEDE03F" w14:textId="77777777" w:rsidR="00A27C22" w:rsidRPr="00DC3886" w:rsidRDefault="00A27C22" w:rsidP="00A27C22">
      <w:pPr>
        <w:jc w:val="left"/>
        <w:rPr>
          <w:rFonts w:asciiTheme="minorHAnsi" w:eastAsia="Calibri Light" w:hAnsiTheme="minorHAnsi" w:cstheme="minorHAnsi"/>
          <w:b/>
          <w:bCs/>
          <w:color w:val="59595B"/>
          <w:sz w:val="22"/>
          <w:szCs w:val="22"/>
          <w:lang w:val="en-GB"/>
        </w:rPr>
      </w:pPr>
    </w:p>
    <w:p w14:paraId="62C083FC" w14:textId="77777777" w:rsidR="00A27C22" w:rsidRPr="00DC3886" w:rsidRDefault="00A27C22" w:rsidP="00A27C22">
      <w:pPr>
        <w:rPr>
          <w:rFonts w:asciiTheme="minorHAnsi" w:hAnsiTheme="minorHAnsi" w:cstheme="minorHAnsi"/>
          <w:color w:val="59595B"/>
          <w:sz w:val="22"/>
          <w:szCs w:val="22"/>
          <w:lang w:val="en-GB"/>
        </w:rPr>
      </w:pPr>
      <w:r w:rsidRPr="00DC3886">
        <w:rPr>
          <w:rFonts w:asciiTheme="minorHAnsi" w:hAnsiTheme="minorHAnsi" w:cstheme="minorHAnsi"/>
          <w:color w:val="59595B"/>
          <w:sz w:val="22"/>
          <w:szCs w:val="22"/>
          <w:lang w:val="en-GB"/>
        </w:rPr>
        <w:t>Movements of the convertible bonds were as follows:</w:t>
      </w:r>
    </w:p>
    <w:p w14:paraId="6BB81170" w14:textId="77777777" w:rsidR="00A27C22" w:rsidRPr="001D0FE2" w:rsidRDefault="00A27C22" w:rsidP="00A27C22">
      <w:pPr>
        <w:rPr>
          <w:rFonts w:asciiTheme="minorHAnsi" w:hAnsiTheme="minorHAnsi" w:cstheme="minorHAnsi"/>
          <w:color w:val="59595B"/>
          <w:szCs w:val="20"/>
          <w:lang w:val="en-GB"/>
        </w:rPr>
      </w:pPr>
    </w:p>
    <w:tbl>
      <w:tblPr>
        <w:tblW w:w="9072" w:type="dxa"/>
        <w:tblLook w:val="04A0" w:firstRow="1" w:lastRow="0" w:firstColumn="1" w:lastColumn="0" w:noHBand="0" w:noVBand="1"/>
      </w:tblPr>
      <w:tblGrid>
        <w:gridCol w:w="7043"/>
        <w:gridCol w:w="2029"/>
      </w:tblGrid>
      <w:tr w:rsidR="00A27C22" w:rsidRPr="001D0FE2" w14:paraId="55045C71" w14:textId="77777777" w:rsidTr="00B81D69">
        <w:trPr>
          <w:trHeight w:val="810"/>
        </w:trPr>
        <w:tc>
          <w:tcPr>
            <w:tcW w:w="6180" w:type="dxa"/>
            <w:tcBorders>
              <w:top w:val="single" w:sz="8" w:space="0" w:color="BFBFBF"/>
              <w:left w:val="single" w:sz="8" w:space="0" w:color="BFBFBF"/>
              <w:bottom w:val="single" w:sz="8" w:space="0" w:color="BFBFBF"/>
              <w:right w:val="nil"/>
            </w:tcBorders>
            <w:shd w:val="clear" w:color="000000" w:fill="366092"/>
            <w:vAlign w:val="center"/>
            <w:hideMark/>
          </w:tcPr>
          <w:p w14:paraId="0F81E868"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1780" w:type="dxa"/>
            <w:tcBorders>
              <w:top w:val="single" w:sz="8" w:space="0" w:color="BFBFBF"/>
              <w:left w:val="nil"/>
              <w:bottom w:val="nil"/>
              <w:right w:val="single" w:sz="8" w:space="0" w:color="BFBFBF"/>
            </w:tcBorders>
            <w:shd w:val="clear" w:color="000000" w:fill="366092"/>
            <w:vAlign w:val="center"/>
            <w:hideMark/>
          </w:tcPr>
          <w:p w14:paraId="05BD94DC"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Period to</w:t>
            </w:r>
            <w:r w:rsidRPr="001D0FE2">
              <w:rPr>
                <w:rFonts w:asciiTheme="minorHAnsi" w:hAnsiTheme="minorHAnsi" w:cstheme="minorHAnsi"/>
                <w:b/>
                <w:bCs/>
                <w:color w:val="FFFFFF"/>
                <w:sz w:val="20"/>
                <w:szCs w:val="20"/>
                <w:lang w:val="en-GB"/>
              </w:rPr>
              <w:br/>
              <w:t>30 June</w:t>
            </w:r>
            <w:r w:rsidRPr="001D0FE2">
              <w:rPr>
                <w:rFonts w:asciiTheme="minorHAnsi" w:hAnsiTheme="minorHAnsi" w:cstheme="minorHAnsi"/>
                <w:b/>
                <w:bCs/>
                <w:color w:val="FFFFFF"/>
                <w:sz w:val="20"/>
                <w:szCs w:val="20"/>
                <w:lang w:val="en-GB"/>
              </w:rPr>
              <w:br/>
              <w:t>2020</w:t>
            </w:r>
          </w:p>
        </w:tc>
      </w:tr>
      <w:tr w:rsidR="00A27C22" w:rsidRPr="001D0FE2" w14:paraId="4CF1D54B" w14:textId="77777777" w:rsidTr="00B81D69">
        <w:trPr>
          <w:trHeight w:val="360"/>
        </w:trPr>
        <w:tc>
          <w:tcPr>
            <w:tcW w:w="6180" w:type="dxa"/>
            <w:tcBorders>
              <w:top w:val="nil"/>
              <w:left w:val="single" w:sz="8" w:space="0" w:color="BFBFBF"/>
              <w:bottom w:val="single" w:sz="8" w:space="0" w:color="BFBFBF"/>
              <w:right w:val="single" w:sz="8" w:space="0" w:color="BFBFBF"/>
            </w:tcBorders>
            <w:shd w:val="clear" w:color="000000" w:fill="FFFFFF"/>
            <w:vAlign w:val="center"/>
            <w:hideMark/>
          </w:tcPr>
          <w:p w14:paraId="235B2E73"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Balance at 1 January</w:t>
            </w:r>
          </w:p>
        </w:tc>
        <w:tc>
          <w:tcPr>
            <w:tcW w:w="1780" w:type="dxa"/>
            <w:tcBorders>
              <w:top w:val="nil"/>
              <w:left w:val="nil"/>
              <w:bottom w:val="single" w:sz="8" w:space="0" w:color="BFBFBF"/>
              <w:right w:val="single" w:sz="8" w:space="0" w:color="BFBFBF"/>
            </w:tcBorders>
            <w:shd w:val="clear" w:color="000000" w:fill="DCE6F1"/>
            <w:noWrap/>
            <w:vAlign w:val="center"/>
            <w:hideMark/>
          </w:tcPr>
          <w:p w14:paraId="7C11AB9E"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   </w:t>
            </w:r>
          </w:p>
        </w:tc>
      </w:tr>
      <w:tr w:rsidR="00A27C22" w:rsidRPr="001D0FE2" w14:paraId="06874C2C" w14:textId="77777777" w:rsidTr="00B81D69">
        <w:trPr>
          <w:trHeight w:val="360"/>
        </w:trPr>
        <w:tc>
          <w:tcPr>
            <w:tcW w:w="6180" w:type="dxa"/>
            <w:tcBorders>
              <w:top w:val="nil"/>
              <w:left w:val="single" w:sz="8" w:space="0" w:color="BFBFBF"/>
              <w:bottom w:val="nil"/>
              <w:right w:val="single" w:sz="8" w:space="0" w:color="BFBFBF"/>
            </w:tcBorders>
            <w:shd w:val="clear" w:color="auto" w:fill="auto"/>
            <w:vAlign w:val="bottom"/>
            <w:hideMark/>
          </w:tcPr>
          <w:p w14:paraId="749072B0"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Carrying value initial recognition</w:t>
            </w:r>
          </w:p>
        </w:tc>
        <w:tc>
          <w:tcPr>
            <w:tcW w:w="1780" w:type="dxa"/>
            <w:tcBorders>
              <w:top w:val="nil"/>
              <w:left w:val="nil"/>
              <w:bottom w:val="nil"/>
              <w:right w:val="single" w:sz="8" w:space="0" w:color="BFBFBF"/>
            </w:tcBorders>
            <w:shd w:val="clear" w:color="000000" w:fill="DCE6F1"/>
            <w:noWrap/>
            <w:vAlign w:val="bottom"/>
            <w:hideMark/>
          </w:tcPr>
          <w:p w14:paraId="648CBEF9"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121.277 </w:t>
            </w:r>
          </w:p>
        </w:tc>
      </w:tr>
      <w:tr w:rsidR="00A27C22" w:rsidRPr="001D0FE2" w14:paraId="3E151884" w14:textId="77777777" w:rsidTr="00B81D69">
        <w:trPr>
          <w:trHeight w:val="360"/>
        </w:trPr>
        <w:tc>
          <w:tcPr>
            <w:tcW w:w="6180" w:type="dxa"/>
            <w:tcBorders>
              <w:top w:val="nil"/>
              <w:left w:val="single" w:sz="8" w:space="0" w:color="BFBFBF"/>
              <w:bottom w:val="nil"/>
              <w:right w:val="single" w:sz="8" w:space="0" w:color="BFBFBF"/>
            </w:tcBorders>
            <w:shd w:val="clear" w:color="auto" w:fill="auto"/>
            <w:vAlign w:val="bottom"/>
            <w:hideMark/>
          </w:tcPr>
          <w:p w14:paraId="0F81F52D"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Interest paid (cash flow)</w:t>
            </w:r>
          </w:p>
        </w:tc>
        <w:tc>
          <w:tcPr>
            <w:tcW w:w="1780" w:type="dxa"/>
            <w:tcBorders>
              <w:top w:val="nil"/>
              <w:left w:val="nil"/>
              <w:bottom w:val="nil"/>
              <w:right w:val="single" w:sz="8" w:space="0" w:color="BFBFBF"/>
            </w:tcBorders>
            <w:shd w:val="clear" w:color="000000" w:fill="DCE6F1"/>
            <w:noWrap/>
            <w:vAlign w:val="bottom"/>
            <w:hideMark/>
          </w:tcPr>
          <w:p w14:paraId="07A773E0"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   </w:t>
            </w:r>
          </w:p>
        </w:tc>
      </w:tr>
      <w:tr w:rsidR="00A27C22" w:rsidRPr="001D0FE2" w14:paraId="27E7B921" w14:textId="77777777" w:rsidTr="00B81D69">
        <w:trPr>
          <w:trHeight w:val="360"/>
        </w:trPr>
        <w:tc>
          <w:tcPr>
            <w:tcW w:w="6180" w:type="dxa"/>
            <w:tcBorders>
              <w:top w:val="nil"/>
              <w:left w:val="single" w:sz="8" w:space="0" w:color="BFBFBF"/>
              <w:bottom w:val="nil"/>
              <w:right w:val="single" w:sz="8" w:space="0" w:color="BFBFBF"/>
            </w:tcBorders>
            <w:shd w:val="clear" w:color="auto" w:fill="auto"/>
            <w:vAlign w:val="bottom"/>
            <w:hideMark/>
          </w:tcPr>
          <w:p w14:paraId="4A5A4603"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Amortization transaction cost</w:t>
            </w:r>
          </w:p>
        </w:tc>
        <w:tc>
          <w:tcPr>
            <w:tcW w:w="1780" w:type="dxa"/>
            <w:tcBorders>
              <w:top w:val="nil"/>
              <w:left w:val="nil"/>
              <w:bottom w:val="nil"/>
              <w:right w:val="single" w:sz="8" w:space="0" w:color="BFBFBF"/>
            </w:tcBorders>
            <w:shd w:val="clear" w:color="000000" w:fill="DCE6F1"/>
            <w:noWrap/>
            <w:vAlign w:val="bottom"/>
            <w:hideMark/>
          </w:tcPr>
          <w:p w14:paraId="043CB490"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301 </w:t>
            </w:r>
          </w:p>
        </w:tc>
      </w:tr>
      <w:tr w:rsidR="00A27C22" w:rsidRPr="001D0FE2" w14:paraId="76772AB6" w14:textId="77777777" w:rsidTr="00B81D69">
        <w:trPr>
          <w:trHeight w:val="360"/>
        </w:trPr>
        <w:tc>
          <w:tcPr>
            <w:tcW w:w="6180" w:type="dxa"/>
            <w:tcBorders>
              <w:top w:val="nil"/>
              <w:left w:val="single" w:sz="8" w:space="0" w:color="BFBFBF"/>
              <w:bottom w:val="nil"/>
              <w:right w:val="single" w:sz="8" w:space="0" w:color="BFBFBF"/>
            </w:tcBorders>
            <w:shd w:val="clear" w:color="auto" w:fill="auto"/>
            <w:vAlign w:val="bottom"/>
            <w:hideMark/>
          </w:tcPr>
          <w:p w14:paraId="7FB5DF08"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Accrued interest </w:t>
            </w:r>
          </w:p>
        </w:tc>
        <w:tc>
          <w:tcPr>
            <w:tcW w:w="1780" w:type="dxa"/>
            <w:tcBorders>
              <w:top w:val="nil"/>
              <w:left w:val="nil"/>
              <w:bottom w:val="nil"/>
              <w:right w:val="single" w:sz="8" w:space="0" w:color="BFBFBF"/>
            </w:tcBorders>
            <w:shd w:val="clear" w:color="000000" w:fill="DCE6F1"/>
            <w:noWrap/>
            <w:vAlign w:val="bottom"/>
            <w:hideMark/>
          </w:tcPr>
          <w:p w14:paraId="7F3A3103" w14:textId="77777777" w:rsidR="00A27C22" w:rsidRPr="00DC3886" w:rsidRDefault="00A27C22" w:rsidP="00B81D69">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1.644 </w:t>
            </w:r>
          </w:p>
        </w:tc>
      </w:tr>
      <w:tr w:rsidR="00A27C22" w:rsidRPr="001D0FE2" w14:paraId="0AFC246F" w14:textId="77777777" w:rsidTr="00B81D69">
        <w:trPr>
          <w:trHeight w:val="360"/>
        </w:trPr>
        <w:tc>
          <w:tcPr>
            <w:tcW w:w="618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54AE743D"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Carrying value at end of period</w:t>
            </w:r>
          </w:p>
        </w:tc>
        <w:tc>
          <w:tcPr>
            <w:tcW w:w="1780" w:type="dxa"/>
            <w:tcBorders>
              <w:top w:val="single" w:sz="8" w:space="0" w:color="BFBFBF"/>
              <w:left w:val="nil"/>
              <w:bottom w:val="single" w:sz="8" w:space="0" w:color="BFBFBF"/>
              <w:right w:val="single" w:sz="8" w:space="0" w:color="BFBFBF"/>
            </w:tcBorders>
            <w:shd w:val="clear" w:color="000000" w:fill="DCE6F1"/>
            <w:noWrap/>
            <w:vAlign w:val="center"/>
            <w:hideMark/>
          </w:tcPr>
          <w:p w14:paraId="43AE2632" w14:textId="77777777" w:rsidR="00A27C22" w:rsidRPr="00DC3886" w:rsidRDefault="00A27C22" w:rsidP="00B81D69">
            <w:pPr>
              <w:jc w:val="left"/>
              <w:rPr>
                <w:rFonts w:asciiTheme="minorHAnsi" w:hAnsiTheme="minorHAnsi" w:cstheme="minorHAnsi"/>
                <w:b/>
                <w:bCs/>
                <w:sz w:val="20"/>
                <w:szCs w:val="20"/>
                <w:lang w:val="en-GB"/>
              </w:rPr>
            </w:pPr>
            <w:r w:rsidRPr="00DC3886">
              <w:rPr>
                <w:rFonts w:asciiTheme="minorHAnsi" w:hAnsiTheme="minorHAnsi" w:cstheme="minorHAnsi"/>
                <w:b/>
                <w:bCs/>
                <w:sz w:val="20"/>
                <w:szCs w:val="20"/>
                <w:lang w:val="en-GB"/>
              </w:rPr>
              <w:t xml:space="preserve">                       123.222 </w:t>
            </w:r>
          </w:p>
        </w:tc>
      </w:tr>
    </w:tbl>
    <w:p w14:paraId="60AD2B5D" w14:textId="09921124" w:rsidR="000D0314" w:rsidRPr="001D0FE2" w:rsidRDefault="000D0314">
      <w:pPr>
        <w:jc w:val="left"/>
        <w:rPr>
          <w:rFonts w:asciiTheme="minorHAnsi" w:eastAsia="Calibri" w:hAnsiTheme="minorHAnsi" w:cstheme="minorHAnsi"/>
          <w:color w:val="59595B"/>
          <w:sz w:val="22"/>
          <w:szCs w:val="22"/>
          <w:lang w:val="en-GB"/>
        </w:rPr>
      </w:pPr>
    </w:p>
    <w:p w14:paraId="5A0142C4" w14:textId="3539B2AB" w:rsidR="00A27C22" w:rsidRDefault="00A27C22" w:rsidP="00DC3886">
      <w:pPr>
        <w:pStyle w:val="ListParagraph"/>
        <w:numPr>
          <w:ilvl w:val="0"/>
          <w:numId w:val="3"/>
        </w:numPr>
        <w:autoSpaceDE w:val="0"/>
        <w:autoSpaceDN w:val="0"/>
        <w:adjustRightInd w:val="0"/>
        <w:rPr>
          <w:rFonts w:asciiTheme="minorHAnsi" w:hAnsiTheme="minorHAnsi" w:cstheme="minorHAnsi"/>
          <w:i/>
          <w:color w:val="59595B"/>
          <w:szCs w:val="22"/>
          <w:lang w:val="en-GB"/>
        </w:rPr>
      </w:pPr>
      <w:proofErr w:type="gramStart"/>
      <w:r w:rsidRPr="00DC3886">
        <w:rPr>
          <w:rFonts w:asciiTheme="minorHAnsi" w:hAnsiTheme="minorHAnsi" w:cstheme="minorHAnsi"/>
          <w:i/>
          <w:color w:val="59595B"/>
          <w:szCs w:val="22"/>
          <w:lang w:val="en-GB"/>
        </w:rPr>
        <w:t>Fully-diluted</w:t>
      </w:r>
      <w:proofErr w:type="gramEnd"/>
      <w:r w:rsidRPr="00DC3886">
        <w:rPr>
          <w:rFonts w:asciiTheme="minorHAnsi" w:hAnsiTheme="minorHAnsi" w:cstheme="minorHAnsi"/>
          <w:i/>
          <w:color w:val="59595B"/>
          <w:szCs w:val="22"/>
          <w:lang w:val="en-GB"/>
        </w:rPr>
        <w:t xml:space="preserve"> shares </w:t>
      </w:r>
    </w:p>
    <w:p w14:paraId="01881E1F" w14:textId="77777777" w:rsidR="00DC3886" w:rsidRPr="00DC3886" w:rsidRDefault="00DC3886" w:rsidP="00DC3886">
      <w:pPr>
        <w:autoSpaceDE w:val="0"/>
        <w:autoSpaceDN w:val="0"/>
        <w:adjustRightInd w:val="0"/>
        <w:ind w:left="360"/>
        <w:rPr>
          <w:rFonts w:asciiTheme="minorHAnsi" w:hAnsiTheme="minorHAnsi" w:cstheme="minorHAnsi"/>
          <w:i/>
          <w:color w:val="59595B"/>
          <w:szCs w:val="22"/>
          <w:lang w:val="en-GB"/>
        </w:rPr>
      </w:pPr>
    </w:p>
    <w:p w14:paraId="7D6B34FD" w14:textId="77777777" w:rsidR="00A27C22" w:rsidRPr="00DC3886" w:rsidRDefault="00A27C22" w:rsidP="00A27C22">
      <w:pPr>
        <w:pStyle w:val="NoSpacing"/>
        <w:spacing w:after="120"/>
        <w:rPr>
          <w:rFonts w:asciiTheme="minorHAnsi" w:hAnsiTheme="minorHAnsi" w:cstheme="minorHAnsi"/>
          <w:color w:val="59595B"/>
          <w:lang w:val="en-GB"/>
        </w:rPr>
      </w:pPr>
      <w:r w:rsidRPr="00DC3886">
        <w:rPr>
          <w:rFonts w:asciiTheme="minorHAnsi" w:hAnsiTheme="minorHAnsi" w:cstheme="minorHAnsi"/>
          <w:color w:val="59595B"/>
          <w:lang w:val="en-GB"/>
        </w:rPr>
        <w:t>The total number of outstanding shares at 30 June 2020 was 637.703.008. The weighted average shares outstanding over the first half year were 634.155.889. The basic earnings per share, based on the weighted average, was € 0.029 for the first half year 2020.</w:t>
      </w:r>
    </w:p>
    <w:p w14:paraId="14DCBB4F" w14:textId="71123626" w:rsidR="00A27C22" w:rsidRDefault="00A27C22" w:rsidP="00A27C22">
      <w:pPr>
        <w:pStyle w:val="NoSpacing"/>
        <w:spacing w:after="120"/>
        <w:rPr>
          <w:rFonts w:asciiTheme="minorHAnsi" w:hAnsiTheme="minorHAnsi" w:cstheme="minorHAnsi"/>
          <w:color w:val="59595B"/>
          <w:lang w:val="en-GB"/>
        </w:rPr>
      </w:pPr>
      <w:r w:rsidRPr="00DC3886">
        <w:rPr>
          <w:rFonts w:asciiTheme="minorHAnsi" w:hAnsiTheme="minorHAnsi" w:cstheme="minorHAnsi"/>
          <w:color w:val="59595B"/>
          <w:lang w:val="en-GB"/>
        </w:rPr>
        <w:t>For the first six month of 2020 and 2019, the basic and fully diluted profit per share were:</w:t>
      </w:r>
    </w:p>
    <w:p w14:paraId="62B44D9C" w14:textId="77777777" w:rsidR="006166DB" w:rsidRPr="001D0FE2" w:rsidRDefault="006166DB" w:rsidP="00A27C22">
      <w:pPr>
        <w:pStyle w:val="NoSpacing"/>
        <w:spacing w:after="120"/>
        <w:rPr>
          <w:rFonts w:asciiTheme="minorHAnsi" w:hAnsiTheme="minorHAnsi" w:cstheme="minorHAnsi"/>
          <w:color w:val="59595B"/>
          <w:lang w:val="en-GB"/>
        </w:rPr>
      </w:pPr>
    </w:p>
    <w:tbl>
      <w:tblPr>
        <w:tblW w:w="9072" w:type="dxa"/>
        <w:tblLook w:val="04A0" w:firstRow="1" w:lastRow="0" w:firstColumn="1" w:lastColumn="0" w:noHBand="0" w:noVBand="1"/>
      </w:tblPr>
      <w:tblGrid>
        <w:gridCol w:w="6272"/>
        <w:gridCol w:w="1400"/>
        <w:gridCol w:w="1400"/>
      </w:tblGrid>
      <w:tr w:rsidR="000E0548" w:rsidRPr="001D0FE2" w14:paraId="09F8D593" w14:textId="77777777" w:rsidTr="00B81D69">
        <w:trPr>
          <w:trHeight w:val="260"/>
        </w:trPr>
        <w:tc>
          <w:tcPr>
            <w:tcW w:w="6272" w:type="dxa"/>
            <w:tcBorders>
              <w:top w:val="single" w:sz="8" w:space="0" w:color="BFBFBF"/>
              <w:left w:val="single" w:sz="8" w:space="0" w:color="BFBFBF"/>
              <w:bottom w:val="nil"/>
              <w:right w:val="nil"/>
            </w:tcBorders>
            <w:shd w:val="clear" w:color="000000" w:fill="366092"/>
            <w:vAlign w:val="center"/>
            <w:hideMark/>
          </w:tcPr>
          <w:p w14:paraId="730A80AA" w14:textId="6B46B86C" w:rsidR="000E0548" w:rsidRPr="001D0FE2" w:rsidRDefault="000E0548" w:rsidP="000E0548">
            <w:pPr>
              <w:jc w:val="left"/>
              <w:rPr>
                <w:rFonts w:asciiTheme="minorHAnsi" w:hAnsiTheme="minorHAnsi" w:cstheme="minorHAnsi"/>
                <w:i/>
                <w:iCs/>
                <w:color w:val="FFFFFF"/>
                <w:sz w:val="20"/>
                <w:szCs w:val="20"/>
                <w:lang w:val="en-GB"/>
              </w:rPr>
            </w:pPr>
            <w:r w:rsidRPr="001D0FE2">
              <w:rPr>
                <w:rFonts w:asciiTheme="minorHAnsi" w:hAnsiTheme="minorHAnsi" w:cstheme="minorHAnsi"/>
                <w:color w:val="FFFFFF"/>
                <w:sz w:val="16"/>
                <w:szCs w:val="16"/>
                <w:lang w:val="en-GB"/>
              </w:rPr>
              <w:t>Amounts in € ‘000</w:t>
            </w:r>
          </w:p>
        </w:tc>
        <w:tc>
          <w:tcPr>
            <w:tcW w:w="1400" w:type="dxa"/>
            <w:tcBorders>
              <w:top w:val="single" w:sz="8" w:space="0" w:color="BFBFBF"/>
              <w:left w:val="nil"/>
              <w:bottom w:val="nil"/>
              <w:right w:val="nil"/>
            </w:tcBorders>
            <w:shd w:val="clear" w:color="000000" w:fill="366092"/>
            <w:vAlign w:val="center"/>
            <w:hideMark/>
          </w:tcPr>
          <w:p w14:paraId="74F6F816" w14:textId="77777777" w:rsidR="000E0548" w:rsidRPr="001D0FE2" w:rsidRDefault="000E0548" w:rsidP="000E0548">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2020</w:t>
            </w:r>
          </w:p>
        </w:tc>
        <w:tc>
          <w:tcPr>
            <w:tcW w:w="1400" w:type="dxa"/>
            <w:tcBorders>
              <w:top w:val="single" w:sz="8" w:space="0" w:color="BFBFBF"/>
              <w:left w:val="nil"/>
              <w:bottom w:val="nil"/>
              <w:right w:val="single" w:sz="8" w:space="0" w:color="BFBFBF"/>
            </w:tcBorders>
            <w:shd w:val="clear" w:color="000000" w:fill="366092"/>
            <w:vAlign w:val="center"/>
            <w:hideMark/>
          </w:tcPr>
          <w:p w14:paraId="4198476C" w14:textId="77777777" w:rsidR="000E0548" w:rsidRPr="001D0FE2" w:rsidRDefault="000E0548" w:rsidP="000E0548">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2019</w:t>
            </w:r>
          </w:p>
        </w:tc>
      </w:tr>
      <w:tr w:rsidR="000E0548" w:rsidRPr="00DC3886" w14:paraId="3A3DEA97" w14:textId="77777777" w:rsidTr="00B81D69">
        <w:trPr>
          <w:trHeight w:val="433"/>
        </w:trPr>
        <w:tc>
          <w:tcPr>
            <w:tcW w:w="6272" w:type="dxa"/>
            <w:tcBorders>
              <w:top w:val="nil"/>
              <w:left w:val="single" w:sz="8" w:space="0" w:color="BFBFBF"/>
              <w:bottom w:val="single" w:sz="8" w:space="0" w:color="BFBFBF"/>
              <w:right w:val="single" w:sz="8" w:space="0" w:color="BFBFBF"/>
            </w:tcBorders>
            <w:shd w:val="clear" w:color="000000" w:fill="FFFFFF"/>
            <w:vAlign w:val="center"/>
            <w:hideMark/>
          </w:tcPr>
          <w:p w14:paraId="2A262BFD" w14:textId="77777777" w:rsidR="000E0548" w:rsidRPr="00DC3886" w:rsidRDefault="000E0548" w:rsidP="000E0548">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Net profit (loss) attributable to equity owners of the parent (in €’000)</w:t>
            </w:r>
          </w:p>
        </w:tc>
        <w:tc>
          <w:tcPr>
            <w:tcW w:w="1400" w:type="dxa"/>
            <w:tcBorders>
              <w:top w:val="nil"/>
              <w:left w:val="nil"/>
              <w:bottom w:val="single" w:sz="8" w:space="0" w:color="BFBFBF"/>
              <w:right w:val="single" w:sz="8" w:space="0" w:color="BFBFBF"/>
            </w:tcBorders>
            <w:shd w:val="clear" w:color="000000" w:fill="DCE6F1"/>
            <w:noWrap/>
            <w:vAlign w:val="bottom"/>
            <w:hideMark/>
          </w:tcPr>
          <w:p w14:paraId="15725C9C" w14:textId="77777777" w:rsidR="000E0548" w:rsidRPr="00DC3886" w:rsidRDefault="000E0548" w:rsidP="000E0548">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18.143 </w:t>
            </w:r>
          </w:p>
        </w:tc>
        <w:tc>
          <w:tcPr>
            <w:tcW w:w="1400" w:type="dxa"/>
            <w:tcBorders>
              <w:top w:val="nil"/>
              <w:left w:val="nil"/>
              <w:bottom w:val="single" w:sz="8" w:space="0" w:color="BFBFBF"/>
              <w:right w:val="single" w:sz="8" w:space="0" w:color="BFBFBF"/>
            </w:tcBorders>
            <w:shd w:val="clear" w:color="auto" w:fill="auto"/>
            <w:noWrap/>
            <w:vAlign w:val="bottom"/>
            <w:hideMark/>
          </w:tcPr>
          <w:p w14:paraId="5F577C06" w14:textId="77777777" w:rsidR="000E0548" w:rsidRPr="00DC3886" w:rsidRDefault="000E0548" w:rsidP="000E0548">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             13.594 </w:t>
            </w:r>
          </w:p>
        </w:tc>
      </w:tr>
      <w:tr w:rsidR="000E0548" w:rsidRPr="00DC3886" w14:paraId="15580034" w14:textId="77777777" w:rsidTr="00B81D69">
        <w:trPr>
          <w:trHeight w:val="260"/>
        </w:trPr>
        <w:tc>
          <w:tcPr>
            <w:tcW w:w="6272" w:type="dxa"/>
            <w:tcBorders>
              <w:top w:val="nil"/>
              <w:left w:val="single" w:sz="8" w:space="0" w:color="BFBFBF"/>
              <w:bottom w:val="nil"/>
              <w:right w:val="single" w:sz="8" w:space="0" w:color="BFBFBF"/>
            </w:tcBorders>
            <w:shd w:val="clear" w:color="000000" w:fill="FFFFFF"/>
            <w:vAlign w:val="center"/>
            <w:hideMark/>
          </w:tcPr>
          <w:p w14:paraId="745D78B8" w14:textId="77777777" w:rsidR="000E0548" w:rsidRPr="00DC3886" w:rsidRDefault="000E0548" w:rsidP="000E0548">
            <w:pPr>
              <w:jc w:val="left"/>
              <w:rPr>
                <w:rFonts w:asciiTheme="minorHAnsi" w:hAnsiTheme="minorHAnsi" w:cstheme="minorHAnsi"/>
                <w:b/>
                <w:bCs/>
                <w:color w:val="59595B"/>
                <w:sz w:val="20"/>
                <w:szCs w:val="20"/>
                <w:lang w:val="en-GB"/>
              </w:rPr>
            </w:pPr>
            <w:r w:rsidRPr="00DC3886">
              <w:rPr>
                <w:rFonts w:asciiTheme="minorHAnsi" w:hAnsiTheme="minorHAnsi" w:cstheme="minorHAnsi"/>
                <w:b/>
                <w:bCs/>
                <w:color w:val="59595B"/>
                <w:sz w:val="20"/>
                <w:szCs w:val="20"/>
                <w:lang w:val="en-GB"/>
              </w:rPr>
              <w:t>Weighted average shares outstanding (in '000)</w:t>
            </w:r>
          </w:p>
        </w:tc>
        <w:tc>
          <w:tcPr>
            <w:tcW w:w="1400" w:type="dxa"/>
            <w:tcBorders>
              <w:top w:val="nil"/>
              <w:left w:val="nil"/>
              <w:bottom w:val="nil"/>
              <w:right w:val="single" w:sz="8" w:space="0" w:color="BFBFBF"/>
            </w:tcBorders>
            <w:shd w:val="clear" w:color="000000" w:fill="DCE6F1"/>
            <w:vAlign w:val="center"/>
            <w:hideMark/>
          </w:tcPr>
          <w:p w14:paraId="40ED3131" w14:textId="77777777" w:rsidR="000E0548" w:rsidRPr="00DC3886" w:rsidRDefault="000E0548" w:rsidP="000E0548">
            <w:pPr>
              <w:jc w:val="right"/>
              <w:rPr>
                <w:rFonts w:asciiTheme="minorHAnsi" w:hAnsiTheme="minorHAnsi" w:cstheme="minorHAnsi"/>
                <w:b/>
                <w:bCs/>
                <w:color w:val="59595B"/>
                <w:sz w:val="20"/>
                <w:szCs w:val="20"/>
                <w:lang w:val="en-GB"/>
              </w:rPr>
            </w:pPr>
            <w:r w:rsidRPr="00DC3886">
              <w:rPr>
                <w:rFonts w:asciiTheme="minorHAnsi" w:hAnsiTheme="minorHAnsi" w:cstheme="minorHAnsi"/>
                <w:b/>
                <w:bCs/>
                <w:color w:val="59595B"/>
                <w:sz w:val="20"/>
                <w:szCs w:val="20"/>
                <w:lang w:val="en-GB"/>
              </w:rPr>
              <w:t xml:space="preserve">           634.156 </w:t>
            </w:r>
          </w:p>
        </w:tc>
        <w:tc>
          <w:tcPr>
            <w:tcW w:w="1400" w:type="dxa"/>
            <w:tcBorders>
              <w:top w:val="nil"/>
              <w:left w:val="nil"/>
              <w:bottom w:val="nil"/>
              <w:right w:val="single" w:sz="8" w:space="0" w:color="BFBFBF"/>
            </w:tcBorders>
            <w:shd w:val="clear" w:color="000000" w:fill="FFFFFF"/>
            <w:vAlign w:val="center"/>
            <w:hideMark/>
          </w:tcPr>
          <w:p w14:paraId="6684F280" w14:textId="77777777" w:rsidR="000E0548" w:rsidRPr="00DC3886" w:rsidRDefault="000E0548" w:rsidP="000E0548">
            <w:pPr>
              <w:jc w:val="right"/>
              <w:rPr>
                <w:rFonts w:asciiTheme="minorHAnsi" w:hAnsiTheme="minorHAnsi" w:cstheme="minorHAnsi"/>
                <w:b/>
                <w:bCs/>
                <w:color w:val="59595B"/>
                <w:sz w:val="20"/>
                <w:szCs w:val="20"/>
                <w:lang w:val="en-GB"/>
              </w:rPr>
            </w:pPr>
            <w:r w:rsidRPr="00DC3886">
              <w:rPr>
                <w:rFonts w:asciiTheme="minorHAnsi" w:hAnsiTheme="minorHAnsi" w:cstheme="minorHAnsi"/>
                <w:b/>
                <w:bCs/>
                <w:color w:val="59595B"/>
                <w:sz w:val="20"/>
                <w:szCs w:val="20"/>
                <w:lang w:val="en-GB"/>
              </w:rPr>
              <w:t xml:space="preserve">           623.157 </w:t>
            </w:r>
          </w:p>
        </w:tc>
      </w:tr>
      <w:tr w:rsidR="000E0548" w:rsidRPr="00DC3886" w14:paraId="58438BBB" w14:textId="77777777" w:rsidTr="00B81D69">
        <w:trPr>
          <w:trHeight w:val="463"/>
        </w:trPr>
        <w:tc>
          <w:tcPr>
            <w:tcW w:w="6272" w:type="dxa"/>
            <w:tcBorders>
              <w:top w:val="nil"/>
              <w:left w:val="single" w:sz="8" w:space="0" w:color="BFBFBF"/>
              <w:bottom w:val="single" w:sz="8" w:space="0" w:color="BFBFBF"/>
              <w:right w:val="single" w:sz="8" w:space="0" w:color="BFBFBF"/>
            </w:tcBorders>
            <w:shd w:val="clear" w:color="000000" w:fill="FFFFFF"/>
            <w:vAlign w:val="center"/>
            <w:hideMark/>
          </w:tcPr>
          <w:p w14:paraId="6C0C8D5A" w14:textId="77777777" w:rsidR="000E0548" w:rsidRPr="00DC3886" w:rsidRDefault="000E0548" w:rsidP="000E0548">
            <w:pPr>
              <w:jc w:val="lef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Basic profit (loss) per share (in €)</w:t>
            </w:r>
          </w:p>
        </w:tc>
        <w:tc>
          <w:tcPr>
            <w:tcW w:w="1400" w:type="dxa"/>
            <w:tcBorders>
              <w:top w:val="nil"/>
              <w:left w:val="nil"/>
              <w:bottom w:val="single" w:sz="8" w:space="0" w:color="BFBFBF"/>
              <w:right w:val="single" w:sz="8" w:space="0" w:color="BFBFBF"/>
            </w:tcBorders>
            <w:shd w:val="clear" w:color="000000" w:fill="DCE6F1"/>
            <w:vAlign w:val="center"/>
            <w:hideMark/>
          </w:tcPr>
          <w:p w14:paraId="389793F5" w14:textId="77777777" w:rsidR="000E0548" w:rsidRPr="00DC3886" w:rsidRDefault="000E0548" w:rsidP="000E0548">
            <w:pPr>
              <w:jc w:val="righ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0,029 </w:t>
            </w:r>
          </w:p>
        </w:tc>
        <w:tc>
          <w:tcPr>
            <w:tcW w:w="1400" w:type="dxa"/>
            <w:tcBorders>
              <w:top w:val="nil"/>
              <w:left w:val="nil"/>
              <w:bottom w:val="single" w:sz="8" w:space="0" w:color="BFBFBF"/>
              <w:right w:val="single" w:sz="8" w:space="0" w:color="BFBFBF"/>
            </w:tcBorders>
            <w:shd w:val="clear" w:color="000000" w:fill="FFFFFF"/>
            <w:vAlign w:val="center"/>
            <w:hideMark/>
          </w:tcPr>
          <w:p w14:paraId="2A13E4F6" w14:textId="77777777" w:rsidR="000E0548" w:rsidRPr="00DC3886" w:rsidRDefault="000E0548" w:rsidP="000E0548">
            <w:pPr>
              <w:jc w:val="righ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0,022 </w:t>
            </w:r>
          </w:p>
        </w:tc>
      </w:tr>
      <w:tr w:rsidR="000E0548" w:rsidRPr="00DC3886" w14:paraId="04012B8E" w14:textId="77777777" w:rsidTr="00B81D69">
        <w:trPr>
          <w:trHeight w:val="260"/>
        </w:trPr>
        <w:tc>
          <w:tcPr>
            <w:tcW w:w="6272" w:type="dxa"/>
            <w:tcBorders>
              <w:top w:val="nil"/>
              <w:left w:val="single" w:sz="8" w:space="0" w:color="BFBFBF"/>
              <w:bottom w:val="nil"/>
              <w:right w:val="single" w:sz="8" w:space="0" w:color="BFBFBF"/>
            </w:tcBorders>
            <w:shd w:val="clear" w:color="000000" w:fill="FFFFFF"/>
            <w:vAlign w:val="center"/>
            <w:hideMark/>
          </w:tcPr>
          <w:p w14:paraId="32546106" w14:textId="77777777" w:rsidR="000E0548" w:rsidRPr="00DC3886" w:rsidRDefault="000E0548" w:rsidP="000E0548">
            <w:pPr>
              <w:jc w:val="left"/>
              <w:rPr>
                <w:rFonts w:asciiTheme="minorHAnsi" w:hAnsiTheme="minorHAnsi" w:cstheme="minorHAnsi"/>
                <w:b/>
                <w:bCs/>
                <w:color w:val="59595B"/>
                <w:sz w:val="20"/>
                <w:szCs w:val="20"/>
                <w:lang w:val="en-GB"/>
              </w:rPr>
            </w:pPr>
            <w:r w:rsidRPr="00DC3886">
              <w:rPr>
                <w:rFonts w:asciiTheme="minorHAnsi" w:hAnsiTheme="minorHAnsi" w:cstheme="minorHAnsi"/>
                <w:b/>
                <w:bCs/>
                <w:color w:val="59595B"/>
                <w:sz w:val="20"/>
                <w:szCs w:val="20"/>
                <w:lang w:val="en-GB"/>
              </w:rPr>
              <w:t>Weighted average fully-diluted shares outstanding (in '000)</w:t>
            </w:r>
          </w:p>
        </w:tc>
        <w:tc>
          <w:tcPr>
            <w:tcW w:w="1400" w:type="dxa"/>
            <w:tcBorders>
              <w:top w:val="nil"/>
              <w:left w:val="nil"/>
              <w:bottom w:val="nil"/>
              <w:right w:val="single" w:sz="8" w:space="0" w:color="BFBFBF"/>
            </w:tcBorders>
            <w:shd w:val="clear" w:color="000000" w:fill="DCE6F1"/>
            <w:vAlign w:val="center"/>
            <w:hideMark/>
          </w:tcPr>
          <w:p w14:paraId="6A1ADFB8" w14:textId="77777777" w:rsidR="000E0548" w:rsidRPr="00DC3886" w:rsidRDefault="000E0548" w:rsidP="000E0548">
            <w:pPr>
              <w:jc w:val="right"/>
              <w:rPr>
                <w:rFonts w:asciiTheme="minorHAnsi" w:hAnsiTheme="minorHAnsi" w:cstheme="minorHAnsi"/>
                <w:b/>
                <w:bCs/>
                <w:color w:val="59595B"/>
                <w:sz w:val="20"/>
                <w:szCs w:val="20"/>
                <w:lang w:val="en-GB"/>
              </w:rPr>
            </w:pPr>
            <w:r w:rsidRPr="00DC3886">
              <w:rPr>
                <w:rFonts w:asciiTheme="minorHAnsi" w:hAnsiTheme="minorHAnsi" w:cstheme="minorHAnsi"/>
                <w:b/>
                <w:bCs/>
                <w:color w:val="59595B"/>
                <w:sz w:val="20"/>
                <w:szCs w:val="20"/>
                <w:lang w:val="en-GB"/>
              </w:rPr>
              <w:t xml:space="preserve">           738.277 </w:t>
            </w:r>
          </w:p>
        </w:tc>
        <w:tc>
          <w:tcPr>
            <w:tcW w:w="1400" w:type="dxa"/>
            <w:tcBorders>
              <w:top w:val="nil"/>
              <w:left w:val="nil"/>
              <w:bottom w:val="nil"/>
              <w:right w:val="single" w:sz="8" w:space="0" w:color="BFBFBF"/>
            </w:tcBorders>
            <w:shd w:val="clear" w:color="auto" w:fill="auto"/>
            <w:vAlign w:val="center"/>
            <w:hideMark/>
          </w:tcPr>
          <w:p w14:paraId="24058D0F" w14:textId="77777777" w:rsidR="000E0548" w:rsidRPr="00DC3886" w:rsidRDefault="000E0548" w:rsidP="000E0548">
            <w:pPr>
              <w:jc w:val="right"/>
              <w:rPr>
                <w:rFonts w:asciiTheme="minorHAnsi" w:hAnsiTheme="minorHAnsi" w:cstheme="minorHAnsi"/>
                <w:b/>
                <w:bCs/>
                <w:color w:val="59595B"/>
                <w:sz w:val="20"/>
                <w:szCs w:val="20"/>
                <w:lang w:val="en-GB"/>
              </w:rPr>
            </w:pPr>
            <w:r w:rsidRPr="00DC3886">
              <w:rPr>
                <w:rFonts w:asciiTheme="minorHAnsi" w:hAnsiTheme="minorHAnsi" w:cstheme="minorHAnsi"/>
                <w:b/>
                <w:bCs/>
                <w:color w:val="59595B"/>
                <w:sz w:val="20"/>
                <w:szCs w:val="20"/>
                <w:lang w:val="en-GB"/>
              </w:rPr>
              <w:t xml:space="preserve">           666.094 </w:t>
            </w:r>
          </w:p>
        </w:tc>
      </w:tr>
      <w:tr w:rsidR="000E0548" w:rsidRPr="00DC3886" w14:paraId="68F15157" w14:textId="77777777" w:rsidTr="00B81D69">
        <w:trPr>
          <w:trHeight w:val="463"/>
        </w:trPr>
        <w:tc>
          <w:tcPr>
            <w:tcW w:w="6272" w:type="dxa"/>
            <w:tcBorders>
              <w:top w:val="nil"/>
              <w:left w:val="single" w:sz="8" w:space="0" w:color="BFBFBF"/>
              <w:bottom w:val="single" w:sz="8" w:space="0" w:color="BFBFBF"/>
              <w:right w:val="single" w:sz="8" w:space="0" w:color="BFBFBF"/>
            </w:tcBorders>
            <w:shd w:val="clear" w:color="000000" w:fill="FFFFFF"/>
            <w:vAlign w:val="center"/>
            <w:hideMark/>
          </w:tcPr>
          <w:p w14:paraId="3BF0956B" w14:textId="77777777" w:rsidR="000E0548" w:rsidRPr="00DC3886" w:rsidRDefault="000E0548" w:rsidP="000E0548">
            <w:pPr>
              <w:jc w:val="left"/>
              <w:rPr>
                <w:rFonts w:asciiTheme="minorHAnsi" w:hAnsiTheme="minorHAnsi" w:cstheme="minorHAnsi"/>
                <w:color w:val="59595B"/>
                <w:sz w:val="20"/>
                <w:szCs w:val="20"/>
                <w:lang w:val="en-GB"/>
              </w:rPr>
            </w:pPr>
            <w:proofErr w:type="gramStart"/>
            <w:r w:rsidRPr="00DC3886">
              <w:rPr>
                <w:rFonts w:asciiTheme="minorHAnsi" w:hAnsiTheme="minorHAnsi" w:cstheme="minorHAnsi"/>
                <w:color w:val="59595B"/>
                <w:sz w:val="20"/>
                <w:szCs w:val="20"/>
                <w:lang w:val="en-GB"/>
              </w:rPr>
              <w:t>Fully-diluted</w:t>
            </w:r>
            <w:proofErr w:type="gramEnd"/>
            <w:r w:rsidRPr="00DC3886">
              <w:rPr>
                <w:rFonts w:asciiTheme="minorHAnsi" w:hAnsiTheme="minorHAnsi" w:cstheme="minorHAnsi"/>
                <w:color w:val="59595B"/>
                <w:sz w:val="20"/>
                <w:szCs w:val="20"/>
                <w:lang w:val="en-GB"/>
              </w:rPr>
              <w:t xml:space="preserve"> profit per share (in €</w:t>
            </w:r>
            <w:r w:rsidRPr="00DC3886">
              <w:rPr>
                <w:rFonts w:asciiTheme="minorHAnsi" w:hAnsiTheme="minorHAnsi" w:cstheme="minorHAnsi"/>
                <w:color w:val="59595B"/>
                <w:sz w:val="18"/>
                <w:szCs w:val="18"/>
                <w:lang w:val="en-GB"/>
              </w:rPr>
              <w:t>)</w:t>
            </w:r>
          </w:p>
        </w:tc>
        <w:tc>
          <w:tcPr>
            <w:tcW w:w="1400" w:type="dxa"/>
            <w:tcBorders>
              <w:top w:val="nil"/>
              <w:left w:val="nil"/>
              <w:bottom w:val="single" w:sz="8" w:space="0" w:color="BFBFBF"/>
              <w:right w:val="single" w:sz="8" w:space="0" w:color="BFBFBF"/>
            </w:tcBorders>
            <w:shd w:val="clear" w:color="000000" w:fill="DCE6F1"/>
            <w:vAlign w:val="center"/>
            <w:hideMark/>
          </w:tcPr>
          <w:p w14:paraId="17A0F181" w14:textId="77777777" w:rsidR="000E0548" w:rsidRPr="00DC3886" w:rsidRDefault="000E0548" w:rsidP="000E0548">
            <w:pPr>
              <w:jc w:val="righ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0,025 </w:t>
            </w:r>
          </w:p>
        </w:tc>
        <w:tc>
          <w:tcPr>
            <w:tcW w:w="1400" w:type="dxa"/>
            <w:tcBorders>
              <w:top w:val="nil"/>
              <w:left w:val="nil"/>
              <w:bottom w:val="single" w:sz="8" w:space="0" w:color="BFBFBF"/>
              <w:right w:val="single" w:sz="8" w:space="0" w:color="BFBFBF"/>
            </w:tcBorders>
            <w:shd w:val="clear" w:color="auto" w:fill="auto"/>
            <w:vAlign w:val="center"/>
            <w:hideMark/>
          </w:tcPr>
          <w:p w14:paraId="145DAE38" w14:textId="77777777" w:rsidR="000E0548" w:rsidRPr="00DC3886" w:rsidRDefault="000E0548" w:rsidP="000E0548">
            <w:pPr>
              <w:jc w:val="right"/>
              <w:rPr>
                <w:rFonts w:asciiTheme="minorHAnsi" w:hAnsiTheme="minorHAnsi" w:cstheme="minorHAnsi"/>
                <w:color w:val="59595B"/>
                <w:sz w:val="20"/>
                <w:szCs w:val="20"/>
                <w:lang w:val="en-GB"/>
              </w:rPr>
            </w:pPr>
            <w:r w:rsidRPr="00DC3886">
              <w:rPr>
                <w:rFonts w:asciiTheme="minorHAnsi" w:hAnsiTheme="minorHAnsi" w:cstheme="minorHAnsi"/>
                <w:color w:val="59595B"/>
                <w:sz w:val="20"/>
                <w:szCs w:val="20"/>
                <w:lang w:val="en-GB"/>
              </w:rPr>
              <w:t xml:space="preserve">0,020 </w:t>
            </w:r>
          </w:p>
        </w:tc>
      </w:tr>
    </w:tbl>
    <w:p w14:paraId="0CCA5CE3" w14:textId="77777777" w:rsidR="00A27C22" w:rsidRPr="00DC3886" w:rsidRDefault="00A27C22" w:rsidP="00A27C22">
      <w:pPr>
        <w:pStyle w:val="NoSpacing"/>
        <w:ind w:right="144"/>
        <w:jc w:val="both"/>
        <w:rPr>
          <w:rFonts w:asciiTheme="minorHAnsi" w:hAnsiTheme="minorHAnsi" w:cstheme="minorHAnsi"/>
          <w:color w:val="59595B"/>
          <w:lang w:val="en-GB"/>
        </w:rPr>
      </w:pPr>
    </w:p>
    <w:p w14:paraId="0C3D2A85" w14:textId="77777777" w:rsidR="006166DB" w:rsidRDefault="006166DB" w:rsidP="00173597">
      <w:pPr>
        <w:pStyle w:val="NoSpacing"/>
        <w:ind w:right="144"/>
        <w:jc w:val="both"/>
        <w:rPr>
          <w:rFonts w:asciiTheme="minorHAnsi" w:hAnsiTheme="minorHAnsi" w:cstheme="minorHAnsi"/>
          <w:color w:val="59595B"/>
          <w:lang w:val="en-GB"/>
        </w:rPr>
      </w:pPr>
    </w:p>
    <w:p w14:paraId="678F18F1" w14:textId="77777777" w:rsidR="006166DB" w:rsidRDefault="006166DB" w:rsidP="00173597">
      <w:pPr>
        <w:pStyle w:val="NoSpacing"/>
        <w:ind w:right="144"/>
        <w:jc w:val="both"/>
        <w:rPr>
          <w:rFonts w:asciiTheme="minorHAnsi" w:hAnsiTheme="minorHAnsi" w:cstheme="minorHAnsi"/>
          <w:color w:val="59595B"/>
          <w:lang w:val="en-GB"/>
        </w:rPr>
      </w:pPr>
    </w:p>
    <w:p w14:paraId="20EE4F78" w14:textId="77777777" w:rsidR="006166DB" w:rsidRDefault="006166DB" w:rsidP="00173597">
      <w:pPr>
        <w:pStyle w:val="NoSpacing"/>
        <w:ind w:right="144"/>
        <w:jc w:val="both"/>
        <w:rPr>
          <w:rFonts w:asciiTheme="minorHAnsi" w:hAnsiTheme="minorHAnsi" w:cstheme="minorHAnsi"/>
          <w:color w:val="59595B"/>
          <w:lang w:val="en-GB"/>
        </w:rPr>
      </w:pPr>
    </w:p>
    <w:p w14:paraId="447DA615" w14:textId="77777777" w:rsidR="006166DB" w:rsidRDefault="006166DB" w:rsidP="00173597">
      <w:pPr>
        <w:pStyle w:val="NoSpacing"/>
        <w:ind w:right="144"/>
        <w:jc w:val="both"/>
        <w:rPr>
          <w:rFonts w:asciiTheme="minorHAnsi" w:hAnsiTheme="minorHAnsi" w:cstheme="minorHAnsi"/>
          <w:color w:val="59595B"/>
          <w:lang w:val="en-GB"/>
        </w:rPr>
      </w:pPr>
    </w:p>
    <w:p w14:paraId="361A2DF4" w14:textId="77777777" w:rsidR="006166DB" w:rsidRDefault="006166DB" w:rsidP="00173597">
      <w:pPr>
        <w:pStyle w:val="NoSpacing"/>
        <w:ind w:right="144"/>
        <w:jc w:val="both"/>
        <w:rPr>
          <w:rFonts w:asciiTheme="minorHAnsi" w:hAnsiTheme="minorHAnsi" w:cstheme="minorHAnsi"/>
          <w:color w:val="59595B"/>
          <w:lang w:val="en-GB"/>
        </w:rPr>
      </w:pPr>
    </w:p>
    <w:p w14:paraId="7695EF82" w14:textId="77777777" w:rsidR="006166DB" w:rsidRDefault="006166DB" w:rsidP="00173597">
      <w:pPr>
        <w:pStyle w:val="NoSpacing"/>
        <w:ind w:right="144"/>
        <w:jc w:val="both"/>
        <w:rPr>
          <w:rFonts w:asciiTheme="minorHAnsi" w:hAnsiTheme="minorHAnsi" w:cstheme="minorHAnsi"/>
          <w:color w:val="59595B"/>
          <w:lang w:val="en-GB"/>
        </w:rPr>
      </w:pPr>
    </w:p>
    <w:p w14:paraId="7EC88A3A" w14:textId="7385FF09" w:rsidR="00A27C22" w:rsidRPr="00DC3886" w:rsidRDefault="00A27C22" w:rsidP="00173597">
      <w:pPr>
        <w:pStyle w:val="NoSpacing"/>
        <w:ind w:right="144"/>
        <w:jc w:val="both"/>
        <w:rPr>
          <w:rFonts w:asciiTheme="minorHAnsi" w:hAnsiTheme="minorHAnsi" w:cstheme="minorHAnsi"/>
          <w:color w:val="59595B"/>
          <w:lang w:val="en-GB"/>
        </w:rPr>
      </w:pPr>
      <w:r w:rsidRPr="00DC3886">
        <w:rPr>
          <w:rFonts w:asciiTheme="minorHAnsi" w:hAnsiTheme="minorHAnsi" w:cstheme="minorHAnsi"/>
          <w:color w:val="59595B"/>
          <w:lang w:val="en-GB"/>
        </w:rPr>
        <w:lastRenderedPageBreak/>
        <w:t xml:space="preserve">Since the reporting date, the company has issued </w:t>
      </w:r>
      <w:r w:rsidR="00C012D0" w:rsidRPr="00DC3886">
        <w:rPr>
          <w:rFonts w:asciiTheme="minorHAnsi" w:hAnsiTheme="minorHAnsi" w:cstheme="minorHAnsi"/>
          <w:color w:val="59595B"/>
          <w:lang w:val="en-GB"/>
        </w:rPr>
        <w:t>40</w:t>
      </w:r>
      <w:r w:rsidRPr="00DC3886">
        <w:rPr>
          <w:rFonts w:asciiTheme="minorHAnsi" w:hAnsiTheme="minorHAnsi" w:cstheme="minorHAnsi"/>
          <w:color w:val="59595B"/>
          <w:lang w:val="en-GB"/>
        </w:rPr>
        <w:t>.000 shares through the exercise of employee options.  The number of issued shares as at 30 July 2020 is 637.7</w:t>
      </w:r>
      <w:r w:rsidR="00540EB9" w:rsidRPr="00DC3886">
        <w:rPr>
          <w:rFonts w:asciiTheme="minorHAnsi" w:hAnsiTheme="minorHAnsi" w:cstheme="minorHAnsi"/>
          <w:color w:val="59595B"/>
          <w:lang w:val="en-GB"/>
        </w:rPr>
        <w:t>43</w:t>
      </w:r>
      <w:r w:rsidRPr="00DC3886">
        <w:rPr>
          <w:rFonts w:asciiTheme="minorHAnsi" w:hAnsiTheme="minorHAnsi" w:cstheme="minorHAnsi"/>
          <w:color w:val="59595B"/>
          <w:lang w:val="en-GB"/>
        </w:rPr>
        <w:t>.008</w:t>
      </w:r>
      <w:r w:rsidR="00173597" w:rsidRPr="00DC3886">
        <w:rPr>
          <w:rFonts w:asciiTheme="minorHAnsi" w:hAnsiTheme="minorHAnsi" w:cstheme="minorHAnsi"/>
          <w:color w:val="59595B"/>
          <w:lang w:val="en-GB"/>
        </w:rPr>
        <w:t>.</w:t>
      </w:r>
    </w:p>
    <w:p w14:paraId="174768EF" w14:textId="77777777" w:rsidR="00B116FA" w:rsidRPr="00DC3886" w:rsidRDefault="00B116FA" w:rsidP="00B116FA">
      <w:pPr>
        <w:pStyle w:val="NoSpacing"/>
        <w:spacing w:after="120"/>
        <w:rPr>
          <w:rFonts w:asciiTheme="minorHAnsi" w:hAnsiTheme="minorHAnsi" w:cstheme="minorHAnsi"/>
          <w:color w:val="59595B"/>
          <w:lang w:val="en-GB"/>
        </w:rPr>
      </w:pPr>
      <w:r w:rsidRPr="00DC3886">
        <w:rPr>
          <w:rFonts w:asciiTheme="minorHAnsi" w:hAnsiTheme="minorHAnsi" w:cstheme="minorHAnsi"/>
          <w:color w:val="59595B"/>
          <w:lang w:val="en-GB"/>
        </w:rPr>
        <w:t>The composition of the number of shares and share rights outstanding as well as authorised share capital as at 30 June 2020 is provided in the following table:</w:t>
      </w:r>
    </w:p>
    <w:tbl>
      <w:tblPr>
        <w:tblW w:w="0" w:type="auto"/>
        <w:tblLook w:val="04A0" w:firstRow="1" w:lastRow="0" w:firstColumn="1" w:lastColumn="0" w:noHBand="0" w:noVBand="1"/>
      </w:tblPr>
      <w:tblGrid>
        <w:gridCol w:w="3067"/>
        <w:gridCol w:w="1560"/>
        <w:gridCol w:w="1460"/>
        <w:gridCol w:w="1460"/>
        <w:gridCol w:w="1460"/>
      </w:tblGrid>
      <w:tr w:rsidR="00B116FA" w:rsidRPr="001D0FE2" w14:paraId="148EE9B3" w14:textId="77777777" w:rsidTr="00320026">
        <w:trPr>
          <w:trHeight w:val="520"/>
        </w:trPr>
        <w:tc>
          <w:tcPr>
            <w:tcW w:w="3067" w:type="dxa"/>
            <w:tcBorders>
              <w:top w:val="single" w:sz="8" w:space="0" w:color="BFBFBF"/>
              <w:left w:val="single" w:sz="8" w:space="0" w:color="BFBFBF"/>
              <w:bottom w:val="nil"/>
              <w:right w:val="nil"/>
            </w:tcBorders>
            <w:shd w:val="clear" w:color="000000" w:fill="366092"/>
            <w:vAlign w:val="center"/>
            <w:hideMark/>
          </w:tcPr>
          <w:p w14:paraId="299157FE" w14:textId="77777777" w:rsidR="00B116FA" w:rsidRPr="001D0FE2" w:rsidRDefault="00B116FA" w:rsidP="00320026">
            <w:pPr>
              <w:jc w:val="left"/>
              <w:rPr>
                <w:rFonts w:asciiTheme="minorHAnsi" w:hAnsiTheme="minorHAnsi" w:cstheme="minorHAnsi"/>
                <w:color w:val="FFFFFF"/>
                <w:sz w:val="20"/>
                <w:szCs w:val="20"/>
                <w:lang w:val="en-GB" w:eastAsia="en-NL"/>
              </w:rPr>
            </w:pPr>
            <w:r w:rsidRPr="001D0FE2">
              <w:rPr>
                <w:rFonts w:asciiTheme="minorHAnsi" w:hAnsiTheme="minorHAnsi" w:cstheme="minorHAnsi"/>
                <w:color w:val="FFFFFF"/>
                <w:sz w:val="20"/>
                <w:szCs w:val="20"/>
                <w:lang w:val="en-GB" w:eastAsia="en-NL"/>
              </w:rPr>
              <w:t> </w:t>
            </w:r>
          </w:p>
        </w:tc>
        <w:tc>
          <w:tcPr>
            <w:tcW w:w="1560" w:type="dxa"/>
            <w:tcBorders>
              <w:top w:val="single" w:sz="8" w:space="0" w:color="BFBFBF"/>
              <w:left w:val="nil"/>
              <w:bottom w:val="nil"/>
              <w:right w:val="nil"/>
            </w:tcBorders>
            <w:shd w:val="clear" w:color="000000" w:fill="366092"/>
            <w:vAlign w:val="center"/>
            <w:hideMark/>
          </w:tcPr>
          <w:p w14:paraId="47E96378" w14:textId="77777777" w:rsidR="00B116FA" w:rsidRPr="001D0FE2" w:rsidRDefault="00B116FA" w:rsidP="00320026">
            <w:pPr>
              <w:jc w:val="right"/>
              <w:rPr>
                <w:rFonts w:asciiTheme="minorHAnsi" w:hAnsiTheme="minorHAnsi" w:cstheme="minorHAnsi"/>
                <w:b/>
                <w:bCs/>
                <w:color w:val="FFFFFF"/>
                <w:sz w:val="20"/>
                <w:szCs w:val="20"/>
                <w:lang w:val="en-GB" w:eastAsia="en-NL"/>
              </w:rPr>
            </w:pPr>
            <w:r w:rsidRPr="001D0FE2">
              <w:rPr>
                <w:rFonts w:asciiTheme="minorHAnsi" w:hAnsiTheme="minorHAnsi" w:cstheme="minorHAnsi"/>
                <w:b/>
                <w:bCs/>
                <w:color w:val="FFFFFF"/>
                <w:sz w:val="20"/>
                <w:szCs w:val="20"/>
                <w:lang w:val="en-GB" w:eastAsia="en-NL"/>
              </w:rPr>
              <w:t>31 December</w:t>
            </w:r>
            <w:r w:rsidRPr="001D0FE2">
              <w:rPr>
                <w:rFonts w:asciiTheme="minorHAnsi" w:hAnsiTheme="minorHAnsi" w:cstheme="minorHAnsi"/>
                <w:b/>
                <w:bCs/>
                <w:color w:val="FFFFFF"/>
                <w:sz w:val="20"/>
                <w:szCs w:val="20"/>
                <w:lang w:val="en-GB" w:eastAsia="en-NL"/>
              </w:rPr>
              <w:br/>
              <w:t>2019</w:t>
            </w:r>
          </w:p>
        </w:tc>
        <w:tc>
          <w:tcPr>
            <w:tcW w:w="1460" w:type="dxa"/>
            <w:tcBorders>
              <w:top w:val="single" w:sz="8" w:space="0" w:color="BFBFBF"/>
              <w:left w:val="nil"/>
              <w:bottom w:val="nil"/>
              <w:right w:val="nil"/>
            </w:tcBorders>
            <w:shd w:val="clear" w:color="000000" w:fill="366092"/>
            <w:vAlign w:val="center"/>
            <w:hideMark/>
          </w:tcPr>
          <w:p w14:paraId="5F99D546" w14:textId="77777777" w:rsidR="00B116FA" w:rsidRPr="001D0FE2" w:rsidRDefault="00B116FA" w:rsidP="00320026">
            <w:pPr>
              <w:jc w:val="right"/>
              <w:rPr>
                <w:rFonts w:asciiTheme="minorHAnsi" w:hAnsiTheme="minorHAnsi" w:cstheme="minorHAnsi"/>
                <w:b/>
                <w:bCs/>
                <w:color w:val="FFFFFF"/>
                <w:sz w:val="20"/>
                <w:szCs w:val="20"/>
                <w:lang w:val="en-GB" w:eastAsia="en-NL"/>
              </w:rPr>
            </w:pPr>
            <w:r w:rsidRPr="001D0FE2">
              <w:rPr>
                <w:rFonts w:asciiTheme="minorHAnsi" w:hAnsiTheme="minorHAnsi" w:cstheme="minorHAnsi"/>
                <w:b/>
                <w:bCs/>
                <w:color w:val="FFFFFF"/>
                <w:sz w:val="20"/>
                <w:szCs w:val="20"/>
                <w:lang w:val="en-GB" w:eastAsia="en-NL"/>
              </w:rPr>
              <w:t>Shares issued</w:t>
            </w:r>
          </w:p>
        </w:tc>
        <w:tc>
          <w:tcPr>
            <w:tcW w:w="1460" w:type="dxa"/>
            <w:tcBorders>
              <w:top w:val="single" w:sz="8" w:space="0" w:color="BFBFBF"/>
              <w:left w:val="nil"/>
              <w:bottom w:val="nil"/>
              <w:right w:val="nil"/>
            </w:tcBorders>
            <w:shd w:val="clear" w:color="000000" w:fill="366092"/>
            <w:vAlign w:val="center"/>
            <w:hideMark/>
          </w:tcPr>
          <w:p w14:paraId="2B97C0BD" w14:textId="77777777" w:rsidR="00B116FA" w:rsidRPr="001D0FE2" w:rsidRDefault="00B116FA" w:rsidP="00320026">
            <w:pPr>
              <w:jc w:val="right"/>
              <w:rPr>
                <w:rFonts w:asciiTheme="minorHAnsi" w:hAnsiTheme="minorHAnsi" w:cstheme="minorHAnsi"/>
                <w:b/>
                <w:bCs/>
                <w:color w:val="FFFFFF"/>
                <w:sz w:val="20"/>
                <w:szCs w:val="20"/>
                <w:lang w:val="en-GB" w:eastAsia="en-NL"/>
              </w:rPr>
            </w:pPr>
            <w:r w:rsidRPr="001D0FE2">
              <w:rPr>
                <w:rFonts w:asciiTheme="minorHAnsi" w:hAnsiTheme="minorHAnsi" w:cstheme="minorHAnsi"/>
                <w:b/>
                <w:bCs/>
                <w:color w:val="FFFFFF"/>
                <w:sz w:val="20"/>
                <w:szCs w:val="20"/>
                <w:lang w:val="en-GB" w:eastAsia="en-NL"/>
              </w:rPr>
              <w:t>Shares reserved</w:t>
            </w:r>
          </w:p>
        </w:tc>
        <w:tc>
          <w:tcPr>
            <w:tcW w:w="1460" w:type="dxa"/>
            <w:tcBorders>
              <w:top w:val="single" w:sz="8" w:space="0" w:color="BFBFBF"/>
              <w:left w:val="nil"/>
              <w:bottom w:val="nil"/>
              <w:right w:val="single" w:sz="8" w:space="0" w:color="BFBFBF"/>
            </w:tcBorders>
            <w:shd w:val="clear" w:color="000000" w:fill="366092"/>
            <w:vAlign w:val="center"/>
            <w:hideMark/>
          </w:tcPr>
          <w:p w14:paraId="77C9D21F" w14:textId="77777777" w:rsidR="00B116FA" w:rsidRPr="001D0FE2" w:rsidRDefault="00B116FA" w:rsidP="00320026">
            <w:pPr>
              <w:jc w:val="right"/>
              <w:rPr>
                <w:rFonts w:asciiTheme="minorHAnsi" w:hAnsiTheme="minorHAnsi" w:cstheme="minorHAnsi"/>
                <w:b/>
                <w:bCs/>
                <w:color w:val="FFFFFF"/>
                <w:sz w:val="20"/>
                <w:szCs w:val="20"/>
                <w:lang w:val="en-GB" w:eastAsia="en-NL"/>
              </w:rPr>
            </w:pPr>
            <w:r w:rsidRPr="001D0FE2">
              <w:rPr>
                <w:rFonts w:asciiTheme="minorHAnsi" w:hAnsiTheme="minorHAnsi" w:cstheme="minorHAnsi"/>
                <w:b/>
                <w:bCs/>
                <w:color w:val="FFFFFF"/>
                <w:sz w:val="20"/>
                <w:szCs w:val="20"/>
                <w:lang w:val="en-GB" w:eastAsia="en-NL"/>
              </w:rPr>
              <w:t>30 June 2020</w:t>
            </w:r>
          </w:p>
        </w:tc>
      </w:tr>
      <w:tr w:rsidR="00B116FA" w:rsidRPr="001D0FE2" w14:paraId="18BAD4CA" w14:textId="77777777" w:rsidTr="00320026">
        <w:trPr>
          <w:trHeight w:val="360"/>
        </w:trPr>
        <w:tc>
          <w:tcPr>
            <w:tcW w:w="3067" w:type="dxa"/>
            <w:tcBorders>
              <w:top w:val="nil"/>
              <w:left w:val="single" w:sz="8" w:space="0" w:color="BFBFBF"/>
              <w:bottom w:val="nil"/>
              <w:right w:val="single" w:sz="8" w:space="0" w:color="BFBFBF"/>
            </w:tcBorders>
            <w:shd w:val="clear" w:color="000000" w:fill="FFFFFF"/>
            <w:vAlign w:val="center"/>
            <w:hideMark/>
          </w:tcPr>
          <w:p w14:paraId="49A82403"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Issued shares</w:t>
            </w:r>
          </w:p>
        </w:tc>
        <w:tc>
          <w:tcPr>
            <w:tcW w:w="1560" w:type="dxa"/>
            <w:tcBorders>
              <w:top w:val="nil"/>
              <w:left w:val="nil"/>
              <w:bottom w:val="nil"/>
              <w:right w:val="single" w:sz="8" w:space="0" w:color="BFBFBF"/>
            </w:tcBorders>
            <w:shd w:val="clear" w:color="000000" w:fill="DCE6F1"/>
            <w:noWrap/>
            <w:vAlign w:val="center"/>
            <w:hideMark/>
          </w:tcPr>
          <w:p w14:paraId="527A5278"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631.323.467 </w:t>
            </w:r>
          </w:p>
        </w:tc>
        <w:tc>
          <w:tcPr>
            <w:tcW w:w="1460" w:type="dxa"/>
            <w:tcBorders>
              <w:top w:val="nil"/>
              <w:left w:val="nil"/>
              <w:bottom w:val="nil"/>
              <w:right w:val="single" w:sz="8" w:space="0" w:color="BFBFBF"/>
            </w:tcBorders>
            <w:shd w:val="clear" w:color="000000" w:fill="DCE6F1"/>
            <w:noWrap/>
            <w:vAlign w:val="center"/>
            <w:hideMark/>
          </w:tcPr>
          <w:p w14:paraId="39BA9518"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6.379.541 </w:t>
            </w:r>
          </w:p>
        </w:tc>
        <w:tc>
          <w:tcPr>
            <w:tcW w:w="1460" w:type="dxa"/>
            <w:tcBorders>
              <w:top w:val="nil"/>
              <w:left w:val="nil"/>
              <w:bottom w:val="nil"/>
              <w:right w:val="single" w:sz="8" w:space="0" w:color="BFBFBF"/>
            </w:tcBorders>
            <w:shd w:val="clear" w:color="000000" w:fill="DCE6F1"/>
            <w:noWrap/>
            <w:vAlign w:val="center"/>
            <w:hideMark/>
          </w:tcPr>
          <w:p w14:paraId="45F688D8"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1DEC991E"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637.703.008 </w:t>
            </w:r>
          </w:p>
        </w:tc>
      </w:tr>
      <w:tr w:rsidR="00B116FA" w:rsidRPr="001D0FE2" w14:paraId="7C70DC44" w14:textId="77777777" w:rsidTr="00320026">
        <w:trPr>
          <w:trHeight w:val="360"/>
        </w:trPr>
        <w:tc>
          <w:tcPr>
            <w:tcW w:w="3067" w:type="dxa"/>
            <w:tcBorders>
              <w:top w:val="nil"/>
              <w:left w:val="single" w:sz="8" w:space="0" w:color="BFBFBF"/>
              <w:bottom w:val="nil"/>
              <w:right w:val="single" w:sz="8" w:space="0" w:color="BFBFBF"/>
            </w:tcBorders>
            <w:shd w:val="clear" w:color="000000" w:fill="FFFFFF"/>
            <w:vAlign w:val="center"/>
            <w:hideMark/>
          </w:tcPr>
          <w:p w14:paraId="52820866"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Warrants</w:t>
            </w:r>
          </w:p>
        </w:tc>
        <w:tc>
          <w:tcPr>
            <w:tcW w:w="1560" w:type="dxa"/>
            <w:tcBorders>
              <w:top w:val="nil"/>
              <w:left w:val="nil"/>
              <w:bottom w:val="nil"/>
              <w:right w:val="single" w:sz="8" w:space="0" w:color="BFBFBF"/>
            </w:tcBorders>
            <w:shd w:val="clear" w:color="000000" w:fill="DCE6F1"/>
            <w:noWrap/>
            <w:vAlign w:val="center"/>
            <w:hideMark/>
          </w:tcPr>
          <w:p w14:paraId="618901AD"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208.944 </w:t>
            </w:r>
          </w:p>
        </w:tc>
        <w:tc>
          <w:tcPr>
            <w:tcW w:w="1460" w:type="dxa"/>
            <w:tcBorders>
              <w:top w:val="nil"/>
              <w:left w:val="nil"/>
              <w:bottom w:val="nil"/>
              <w:right w:val="single" w:sz="8" w:space="0" w:color="BFBFBF"/>
            </w:tcBorders>
            <w:shd w:val="clear" w:color="000000" w:fill="DCE6F1"/>
            <w:noWrap/>
            <w:vAlign w:val="center"/>
            <w:hideMark/>
          </w:tcPr>
          <w:p w14:paraId="601234C5"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357F4B20"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6F71D121"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208.944 </w:t>
            </w:r>
          </w:p>
        </w:tc>
      </w:tr>
      <w:tr w:rsidR="00B116FA" w:rsidRPr="001D0FE2" w14:paraId="4F1D3560" w14:textId="77777777" w:rsidTr="00320026">
        <w:trPr>
          <w:trHeight w:val="360"/>
        </w:trPr>
        <w:tc>
          <w:tcPr>
            <w:tcW w:w="3067" w:type="dxa"/>
            <w:tcBorders>
              <w:top w:val="nil"/>
              <w:left w:val="single" w:sz="8" w:space="0" w:color="BFBFBF"/>
              <w:bottom w:val="nil"/>
              <w:right w:val="single" w:sz="8" w:space="0" w:color="BFBFBF"/>
            </w:tcBorders>
            <w:shd w:val="clear" w:color="000000" w:fill="FFFFFF"/>
            <w:vAlign w:val="center"/>
            <w:hideMark/>
          </w:tcPr>
          <w:p w14:paraId="10BF1185"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Options</w:t>
            </w:r>
          </w:p>
        </w:tc>
        <w:tc>
          <w:tcPr>
            <w:tcW w:w="1560" w:type="dxa"/>
            <w:tcBorders>
              <w:top w:val="nil"/>
              <w:left w:val="nil"/>
              <w:bottom w:val="nil"/>
              <w:right w:val="single" w:sz="8" w:space="0" w:color="BFBFBF"/>
            </w:tcBorders>
            <w:shd w:val="clear" w:color="000000" w:fill="DCE6F1"/>
            <w:noWrap/>
            <w:vAlign w:val="center"/>
            <w:hideMark/>
          </w:tcPr>
          <w:p w14:paraId="0D0FD5B0"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40.327.537 </w:t>
            </w:r>
          </w:p>
        </w:tc>
        <w:tc>
          <w:tcPr>
            <w:tcW w:w="1460" w:type="dxa"/>
            <w:tcBorders>
              <w:top w:val="nil"/>
              <w:left w:val="nil"/>
              <w:bottom w:val="nil"/>
              <w:right w:val="single" w:sz="8" w:space="0" w:color="BFBFBF"/>
            </w:tcBorders>
            <w:shd w:val="clear" w:color="000000" w:fill="DCE6F1"/>
            <w:noWrap/>
            <w:vAlign w:val="center"/>
            <w:hideMark/>
          </w:tcPr>
          <w:p w14:paraId="33858785"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(3.840.107)</w:t>
            </w:r>
          </w:p>
        </w:tc>
        <w:tc>
          <w:tcPr>
            <w:tcW w:w="1460" w:type="dxa"/>
            <w:tcBorders>
              <w:top w:val="nil"/>
              <w:left w:val="nil"/>
              <w:bottom w:val="nil"/>
              <w:right w:val="single" w:sz="8" w:space="0" w:color="BFBFBF"/>
            </w:tcBorders>
            <w:shd w:val="clear" w:color="000000" w:fill="DCE6F1"/>
            <w:noWrap/>
            <w:vAlign w:val="center"/>
            <w:hideMark/>
          </w:tcPr>
          <w:p w14:paraId="24ACD734"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15C8B039"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36.487.430 </w:t>
            </w:r>
          </w:p>
        </w:tc>
      </w:tr>
      <w:tr w:rsidR="00B116FA" w:rsidRPr="001D0FE2" w14:paraId="3565C9AA" w14:textId="77777777" w:rsidTr="00320026">
        <w:trPr>
          <w:trHeight w:val="360"/>
        </w:trPr>
        <w:tc>
          <w:tcPr>
            <w:tcW w:w="3067" w:type="dxa"/>
            <w:tcBorders>
              <w:top w:val="nil"/>
              <w:left w:val="single" w:sz="8" w:space="0" w:color="BFBFBF"/>
              <w:bottom w:val="nil"/>
              <w:right w:val="single" w:sz="8" w:space="0" w:color="BFBFBF"/>
            </w:tcBorders>
            <w:shd w:val="clear" w:color="000000" w:fill="FFFFFF"/>
            <w:vAlign w:val="center"/>
            <w:hideMark/>
          </w:tcPr>
          <w:p w14:paraId="2E958655"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Convertible bonds</w:t>
            </w:r>
          </w:p>
        </w:tc>
        <w:tc>
          <w:tcPr>
            <w:tcW w:w="1560" w:type="dxa"/>
            <w:tcBorders>
              <w:top w:val="nil"/>
              <w:left w:val="nil"/>
              <w:bottom w:val="nil"/>
              <w:right w:val="single" w:sz="8" w:space="0" w:color="BFBFBF"/>
            </w:tcBorders>
            <w:shd w:val="clear" w:color="000000" w:fill="DCE6F1"/>
            <w:noWrap/>
            <w:vAlign w:val="center"/>
            <w:hideMark/>
          </w:tcPr>
          <w:p w14:paraId="394F3848"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2F2EEDFC"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366CAF7E"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62.412.622 </w:t>
            </w:r>
          </w:p>
        </w:tc>
        <w:tc>
          <w:tcPr>
            <w:tcW w:w="1460" w:type="dxa"/>
            <w:tcBorders>
              <w:top w:val="nil"/>
              <w:left w:val="nil"/>
              <w:bottom w:val="nil"/>
              <w:right w:val="single" w:sz="8" w:space="0" w:color="BFBFBF"/>
            </w:tcBorders>
            <w:shd w:val="clear" w:color="000000" w:fill="DCE6F1"/>
            <w:noWrap/>
            <w:vAlign w:val="center"/>
            <w:hideMark/>
          </w:tcPr>
          <w:p w14:paraId="0295518A"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62.412.622 </w:t>
            </w:r>
          </w:p>
        </w:tc>
      </w:tr>
      <w:tr w:rsidR="00B116FA" w:rsidRPr="001D0FE2" w14:paraId="7937B1A4" w14:textId="77777777" w:rsidTr="00320026">
        <w:trPr>
          <w:trHeight w:val="360"/>
        </w:trPr>
        <w:tc>
          <w:tcPr>
            <w:tcW w:w="3067" w:type="dxa"/>
            <w:tcBorders>
              <w:top w:val="nil"/>
              <w:left w:val="single" w:sz="8" w:space="0" w:color="BFBFBF"/>
              <w:bottom w:val="nil"/>
              <w:right w:val="single" w:sz="8" w:space="0" w:color="BFBFBF"/>
            </w:tcBorders>
            <w:shd w:val="clear" w:color="000000" w:fill="FFFFFF"/>
            <w:vAlign w:val="center"/>
            <w:hideMark/>
          </w:tcPr>
          <w:p w14:paraId="1CF650E2"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LTIP</w:t>
            </w:r>
          </w:p>
        </w:tc>
        <w:tc>
          <w:tcPr>
            <w:tcW w:w="1560" w:type="dxa"/>
            <w:tcBorders>
              <w:top w:val="nil"/>
              <w:left w:val="nil"/>
              <w:bottom w:val="nil"/>
              <w:right w:val="single" w:sz="8" w:space="0" w:color="BFBFBF"/>
            </w:tcBorders>
            <w:shd w:val="clear" w:color="000000" w:fill="DCE6F1"/>
            <w:noWrap/>
            <w:vAlign w:val="center"/>
            <w:hideMark/>
          </w:tcPr>
          <w:p w14:paraId="3089BB94"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7.644.971 </w:t>
            </w:r>
          </w:p>
        </w:tc>
        <w:tc>
          <w:tcPr>
            <w:tcW w:w="1460" w:type="dxa"/>
            <w:tcBorders>
              <w:top w:val="nil"/>
              <w:left w:val="nil"/>
              <w:bottom w:val="nil"/>
              <w:right w:val="single" w:sz="8" w:space="0" w:color="BFBFBF"/>
            </w:tcBorders>
            <w:shd w:val="clear" w:color="000000" w:fill="DCE6F1"/>
            <w:noWrap/>
            <w:vAlign w:val="center"/>
            <w:hideMark/>
          </w:tcPr>
          <w:p w14:paraId="2EEDEF90"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(3.513.263)</w:t>
            </w:r>
          </w:p>
        </w:tc>
        <w:tc>
          <w:tcPr>
            <w:tcW w:w="1460" w:type="dxa"/>
            <w:tcBorders>
              <w:top w:val="nil"/>
              <w:left w:val="nil"/>
              <w:bottom w:val="nil"/>
              <w:right w:val="single" w:sz="8" w:space="0" w:color="BFBFBF"/>
            </w:tcBorders>
            <w:shd w:val="clear" w:color="000000" w:fill="DCE6F1"/>
            <w:noWrap/>
            <w:vAlign w:val="center"/>
            <w:hideMark/>
          </w:tcPr>
          <w:p w14:paraId="790C3622"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6485B9D9"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4.131.708 </w:t>
            </w:r>
          </w:p>
        </w:tc>
      </w:tr>
      <w:tr w:rsidR="00B116FA" w:rsidRPr="001D0FE2" w14:paraId="50462090" w14:textId="77777777" w:rsidTr="00320026">
        <w:trPr>
          <w:trHeight w:val="360"/>
        </w:trPr>
        <w:tc>
          <w:tcPr>
            <w:tcW w:w="3067" w:type="dxa"/>
            <w:tcBorders>
              <w:top w:val="single" w:sz="8" w:space="0" w:color="BFBFBF"/>
              <w:left w:val="single" w:sz="8" w:space="0" w:color="BFBFBF"/>
              <w:bottom w:val="single" w:sz="8" w:space="0" w:color="BFBFBF"/>
              <w:right w:val="nil"/>
            </w:tcBorders>
            <w:shd w:val="clear" w:color="000000" w:fill="FFFFFF"/>
            <w:vAlign w:val="center"/>
            <w:hideMark/>
          </w:tcPr>
          <w:p w14:paraId="68A6CB6C" w14:textId="77777777" w:rsidR="00B116FA" w:rsidRPr="00DC3886" w:rsidRDefault="00B116FA" w:rsidP="00320026">
            <w:pPr>
              <w:jc w:val="left"/>
              <w:rPr>
                <w:rFonts w:asciiTheme="minorHAnsi" w:hAnsiTheme="minorHAnsi" w:cstheme="minorHAnsi"/>
                <w:b/>
                <w:bCs/>
                <w:sz w:val="20"/>
                <w:szCs w:val="20"/>
                <w:lang w:val="en-GB" w:eastAsia="en-NL"/>
              </w:rPr>
            </w:pPr>
            <w:proofErr w:type="gramStart"/>
            <w:r w:rsidRPr="00DC3886">
              <w:rPr>
                <w:rFonts w:asciiTheme="minorHAnsi" w:hAnsiTheme="minorHAnsi" w:cstheme="minorHAnsi"/>
                <w:b/>
                <w:bCs/>
                <w:sz w:val="20"/>
                <w:szCs w:val="20"/>
                <w:lang w:val="en-GB" w:eastAsia="en-NL"/>
              </w:rPr>
              <w:t>Fully-diluted</w:t>
            </w:r>
            <w:proofErr w:type="gramEnd"/>
            <w:r w:rsidRPr="00DC3886">
              <w:rPr>
                <w:rFonts w:asciiTheme="minorHAnsi" w:hAnsiTheme="minorHAnsi" w:cstheme="minorHAnsi"/>
                <w:b/>
                <w:bCs/>
                <w:sz w:val="20"/>
                <w:szCs w:val="20"/>
                <w:lang w:val="en-GB" w:eastAsia="en-NL"/>
              </w:rPr>
              <w:t xml:space="preserve"> shares</w:t>
            </w:r>
          </w:p>
        </w:tc>
        <w:tc>
          <w:tcPr>
            <w:tcW w:w="1560" w:type="dxa"/>
            <w:tcBorders>
              <w:top w:val="single" w:sz="8" w:space="0" w:color="BFBFBF"/>
              <w:left w:val="single" w:sz="8" w:space="0" w:color="BFBFBF"/>
              <w:bottom w:val="single" w:sz="8" w:space="0" w:color="BFBFBF"/>
              <w:right w:val="single" w:sz="8" w:space="0" w:color="BFBFBF"/>
            </w:tcBorders>
            <w:shd w:val="clear" w:color="000000" w:fill="DCE6F1"/>
            <w:noWrap/>
            <w:vAlign w:val="center"/>
            <w:hideMark/>
          </w:tcPr>
          <w:p w14:paraId="61D6EF56"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xml:space="preserve">       679.504.919 </w:t>
            </w:r>
          </w:p>
        </w:tc>
        <w:tc>
          <w:tcPr>
            <w:tcW w:w="1460" w:type="dxa"/>
            <w:tcBorders>
              <w:top w:val="single" w:sz="8" w:space="0" w:color="BFBFBF"/>
              <w:left w:val="nil"/>
              <w:bottom w:val="single" w:sz="8" w:space="0" w:color="BFBFBF"/>
              <w:right w:val="single" w:sz="8" w:space="0" w:color="BFBFBF"/>
            </w:tcBorders>
            <w:shd w:val="clear" w:color="000000" w:fill="DCE6F1"/>
            <w:noWrap/>
            <w:vAlign w:val="center"/>
            <w:hideMark/>
          </w:tcPr>
          <w:p w14:paraId="0DA88ED0"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xml:space="preserve">          (973.829)</w:t>
            </w:r>
          </w:p>
        </w:tc>
        <w:tc>
          <w:tcPr>
            <w:tcW w:w="1460" w:type="dxa"/>
            <w:tcBorders>
              <w:top w:val="single" w:sz="8" w:space="0" w:color="BFBFBF"/>
              <w:left w:val="nil"/>
              <w:bottom w:val="single" w:sz="8" w:space="0" w:color="BFBFBF"/>
              <w:right w:val="single" w:sz="8" w:space="0" w:color="BFBFBF"/>
            </w:tcBorders>
            <w:shd w:val="clear" w:color="000000" w:fill="DCE6F1"/>
            <w:noWrap/>
            <w:vAlign w:val="center"/>
            <w:hideMark/>
          </w:tcPr>
          <w:p w14:paraId="167B6981"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xml:space="preserve">       62.412.622 </w:t>
            </w:r>
          </w:p>
        </w:tc>
        <w:tc>
          <w:tcPr>
            <w:tcW w:w="1460" w:type="dxa"/>
            <w:tcBorders>
              <w:top w:val="single" w:sz="8" w:space="0" w:color="BFBFBF"/>
              <w:left w:val="nil"/>
              <w:bottom w:val="single" w:sz="8" w:space="0" w:color="BFBFBF"/>
              <w:right w:val="single" w:sz="8" w:space="0" w:color="BFBFBF"/>
            </w:tcBorders>
            <w:shd w:val="clear" w:color="000000" w:fill="DCE6F1"/>
            <w:noWrap/>
            <w:vAlign w:val="center"/>
            <w:hideMark/>
          </w:tcPr>
          <w:p w14:paraId="178B2639"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xml:space="preserve">    740.943.712 </w:t>
            </w:r>
          </w:p>
        </w:tc>
      </w:tr>
      <w:tr w:rsidR="00B116FA" w:rsidRPr="001D0FE2" w14:paraId="7B0792D8" w14:textId="77777777" w:rsidTr="00320026">
        <w:trPr>
          <w:trHeight w:val="360"/>
        </w:trPr>
        <w:tc>
          <w:tcPr>
            <w:tcW w:w="3067" w:type="dxa"/>
            <w:tcBorders>
              <w:top w:val="nil"/>
              <w:left w:val="single" w:sz="8" w:space="0" w:color="BFBFBF"/>
              <w:bottom w:val="nil"/>
              <w:right w:val="nil"/>
            </w:tcBorders>
            <w:shd w:val="clear" w:color="000000" w:fill="FFFFFF"/>
            <w:vAlign w:val="center"/>
            <w:hideMark/>
          </w:tcPr>
          <w:p w14:paraId="2D5C1592"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Available for issue</w:t>
            </w:r>
          </w:p>
        </w:tc>
        <w:tc>
          <w:tcPr>
            <w:tcW w:w="1560" w:type="dxa"/>
            <w:tcBorders>
              <w:top w:val="nil"/>
              <w:left w:val="single" w:sz="8" w:space="0" w:color="BFBFBF"/>
              <w:bottom w:val="single" w:sz="8" w:space="0" w:color="BFBFBF"/>
              <w:right w:val="single" w:sz="8" w:space="0" w:color="BFBFBF"/>
            </w:tcBorders>
            <w:shd w:val="clear" w:color="000000" w:fill="DCE6F1"/>
            <w:noWrap/>
            <w:vAlign w:val="center"/>
            <w:hideMark/>
          </w:tcPr>
          <w:p w14:paraId="40B45309"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120.495.081 </w:t>
            </w:r>
          </w:p>
        </w:tc>
        <w:tc>
          <w:tcPr>
            <w:tcW w:w="1460" w:type="dxa"/>
            <w:tcBorders>
              <w:top w:val="nil"/>
              <w:left w:val="nil"/>
              <w:bottom w:val="single" w:sz="8" w:space="0" w:color="BFBFBF"/>
              <w:right w:val="single" w:sz="8" w:space="0" w:color="BFBFBF"/>
            </w:tcBorders>
            <w:shd w:val="clear" w:color="000000" w:fill="DCE6F1"/>
            <w:noWrap/>
            <w:vAlign w:val="center"/>
            <w:hideMark/>
          </w:tcPr>
          <w:p w14:paraId="60E267AB"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80.973.829</w:t>
            </w:r>
          </w:p>
        </w:tc>
        <w:tc>
          <w:tcPr>
            <w:tcW w:w="1460" w:type="dxa"/>
            <w:tcBorders>
              <w:top w:val="nil"/>
              <w:left w:val="nil"/>
              <w:bottom w:val="single" w:sz="8" w:space="0" w:color="BFBFBF"/>
              <w:right w:val="single" w:sz="8" w:space="0" w:color="BFBFBF"/>
            </w:tcBorders>
            <w:shd w:val="clear" w:color="000000" w:fill="DCE6F1"/>
            <w:noWrap/>
            <w:vAlign w:val="center"/>
            <w:hideMark/>
          </w:tcPr>
          <w:p w14:paraId="68AFFE6F"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(62.412.622)</w:t>
            </w:r>
          </w:p>
        </w:tc>
        <w:tc>
          <w:tcPr>
            <w:tcW w:w="1460" w:type="dxa"/>
            <w:tcBorders>
              <w:top w:val="nil"/>
              <w:left w:val="nil"/>
              <w:bottom w:val="single" w:sz="8" w:space="0" w:color="BFBFBF"/>
              <w:right w:val="single" w:sz="8" w:space="0" w:color="BFBFBF"/>
            </w:tcBorders>
            <w:shd w:val="clear" w:color="000000" w:fill="DCE6F1"/>
            <w:noWrap/>
            <w:vAlign w:val="center"/>
            <w:hideMark/>
          </w:tcPr>
          <w:p w14:paraId="42C0D712"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139.056.288</w:t>
            </w:r>
          </w:p>
        </w:tc>
      </w:tr>
      <w:tr w:rsidR="00B116FA" w:rsidRPr="001D0FE2" w14:paraId="700CD699" w14:textId="77777777" w:rsidTr="00320026">
        <w:trPr>
          <w:trHeight w:val="360"/>
        </w:trPr>
        <w:tc>
          <w:tcPr>
            <w:tcW w:w="3067" w:type="dxa"/>
            <w:tcBorders>
              <w:top w:val="single" w:sz="8" w:space="0" w:color="BFBFBF"/>
              <w:left w:val="single" w:sz="8" w:space="0" w:color="BFBFBF"/>
              <w:bottom w:val="single" w:sz="8" w:space="0" w:color="BFBFBF"/>
              <w:right w:val="nil"/>
            </w:tcBorders>
            <w:shd w:val="clear" w:color="000000" w:fill="FFFFFF"/>
            <w:vAlign w:val="center"/>
            <w:hideMark/>
          </w:tcPr>
          <w:p w14:paraId="6C996958"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Authorised share capital</w:t>
            </w:r>
          </w:p>
        </w:tc>
        <w:tc>
          <w:tcPr>
            <w:tcW w:w="1560" w:type="dxa"/>
            <w:tcBorders>
              <w:top w:val="nil"/>
              <w:left w:val="single" w:sz="8" w:space="0" w:color="BFBFBF"/>
              <w:bottom w:val="single" w:sz="8" w:space="0" w:color="BFBFBF"/>
              <w:right w:val="single" w:sz="8" w:space="0" w:color="BFBFBF"/>
            </w:tcBorders>
            <w:shd w:val="clear" w:color="000000" w:fill="DCE6F1"/>
            <w:noWrap/>
            <w:vAlign w:val="center"/>
            <w:hideMark/>
          </w:tcPr>
          <w:p w14:paraId="546B3EFE"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xml:space="preserve">       800.000.000 </w:t>
            </w:r>
          </w:p>
        </w:tc>
        <w:tc>
          <w:tcPr>
            <w:tcW w:w="1460" w:type="dxa"/>
            <w:tcBorders>
              <w:top w:val="nil"/>
              <w:left w:val="nil"/>
              <w:bottom w:val="single" w:sz="8" w:space="0" w:color="BFBFBF"/>
              <w:right w:val="single" w:sz="8" w:space="0" w:color="BFBFBF"/>
            </w:tcBorders>
            <w:shd w:val="clear" w:color="000000" w:fill="DCE6F1"/>
            <w:noWrap/>
            <w:vAlign w:val="center"/>
            <w:hideMark/>
          </w:tcPr>
          <w:p w14:paraId="315C7103" w14:textId="77777777" w:rsidR="00B116FA" w:rsidRPr="00DC3886" w:rsidRDefault="00B116FA" w:rsidP="00320026">
            <w:pPr>
              <w:jc w:val="righ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80.000.000</w:t>
            </w:r>
          </w:p>
        </w:tc>
        <w:tc>
          <w:tcPr>
            <w:tcW w:w="1460" w:type="dxa"/>
            <w:tcBorders>
              <w:top w:val="nil"/>
              <w:left w:val="nil"/>
              <w:bottom w:val="single" w:sz="8" w:space="0" w:color="BFBFBF"/>
              <w:right w:val="single" w:sz="8" w:space="0" w:color="BFBFBF"/>
            </w:tcBorders>
            <w:shd w:val="clear" w:color="000000" w:fill="DCE6F1"/>
            <w:noWrap/>
            <w:vAlign w:val="center"/>
            <w:hideMark/>
          </w:tcPr>
          <w:p w14:paraId="426858A8" w14:textId="77777777" w:rsidR="00B116FA" w:rsidRPr="00DC3886" w:rsidRDefault="00B116FA" w:rsidP="00320026">
            <w:pPr>
              <w:jc w:val="righ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w:t>
            </w:r>
          </w:p>
        </w:tc>
        <w:tc>
          <w:tcPr>
            <w:tcW w:w="1460" w:type="dxa"/>
            <w:tcBorders>
              <w:top w:val="nil"/>
              <w:left w:val="nil"/>
              <w:bottom w:val="single" w:sz="8" w:space="0" w:color="BFBFBF"/>
              <w:right w:val="single" w:sz="8" w:space="0" w:color="BFBFBF"/>
            </w:tcBorders>
            <w:shd w:val="clear" w:color="000000" w:fill="DCE6F1"/>
            <w:noWrap/>
            <w:vAlign w:val="center"/>
            <w:hideMark/>
          </w:tcPr>
          <w:p w14:paraId="381DF355"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xml:space="preserve">    880.000.000 </w:t>
            </w:r>
          </w:p>
        </w:tc>
      </w:tr>
      <w:tr w:rsidR="00B116FA" w:rsidRPr="001D0FE2" w14:paraId="3BBFB7E9" w14:textId="77777777" w:rsidTr="00320026">
        <w:trPr>
          <w:trHeight w:val="260"/>
        </w:trPr>
        <w:tc>
          <w:tcPr>
            <w:tcW w:w="3067" w:type="dxa"/>
            <w:tcBorders>
              <w:top w:val="nil"/>
              <w:left w:val="nil"/>
              <w:bottom w:val="nil"/>
              <w:right w:val="nil"/>
            </w:tcBorders>
            <w:shd w:val="clear" w:color="auto" w:fill="auto"/>
            <w:noWrap/>
            <w:hideMark/>
          </w:tcPr>
          <w:p w14:paraId="379199CD" w14:textId="77777777" w:rsidR="00B116FA" w:rsidRPr="00DC3886" w:rsidRDefault="00B116FA" w:rsidP="00320026">
            <w:pPr>
              <w:jc w:val="left"/>
              <w:rPr>
                <w:rFonts w:asciiTheme="minorHAnsi" w:hAnsiTheme="minorHAnsi" w:cstheme="minorHAnsi"/>
                <w:b/>
                <w:bCs/>
                <w:sz w:val="20"/>
                <w:szCs w:val="20"/>
                <w:lang w:val="en-GB" w:eastAsia="en-NL"/>
              </w:rPr>
            </w:pPr>
          </w:p>
        </w:tc>
        <w:tc>
          <w:tcPr>
            <w:tcW w:w="1560" w:type="dxa"/>
            <w:tcBorders>
              <w:top w:val="nil"/>
              <w:left w:val="nil"/>
              <w:bottom w:val="nil"/>
              <w:right w:val="nil"/>
            </w:tcBorders>
            <w:shd w:val="clear" w:color="auto" w:fill="auto"/>
            <w:noWrap/>
            <w:hideMark/>
          </w:tcPr>
          <w:p w14:paraId="67C62ECD" w14:textId="77777777" w:rsidR="00B116FA" w:rsidRPr="00DC3886" w:rsidRDefault="00B116FA" w:rsidP="00320026">
            <w:pPr>
              <w:jc w:val="left"/>
              <w:rPr>
                <w:rFonts w:asciiTheme="minorHAnsi" w:hAnsiTheme="minorHAnsi" w:cstheme="minorHAnsi"/>
                <w:sz w:val="20"/>
                <w:szCs w:val="20"/>
                <w:lang w:val="en-GB" w:eastAsia="en-NL"/>
              </w:rPr>
            </w:pPr>
          </w:p>
        </w:tc>
        <w:tc>
          <w:tcPr>
            <w:tcW w:w="1460" w:type="dxa"/>
            <w:tcBorders>
              <w:top w:val="nil"/>
              <w:left w:val="nil"/>
              <w:bottom w:val="nil"/>
              <w:right w:val="nil"/>
            </w:tcBorders>
            <w:shd w:val="clear" w:color="auto" w:fill="auto"/>
            <w:noWrap/>
            <w:hideMark/>
          </w:tcPr>
          <w:p w14:paraId="38FE6CCD" w14:textId="77777777" w:rsidR="00B116FA" w:rsidRPr="00DC3886" w:rsidRDefault="00B116FA" w:rsidP="00320026">
            <w:pPr>
              <w:jc w:val="left"/>
              <w:rPr>
                <w:rFonts w:asciiTheme="minorHAnsi" w:hAnsiTheme="minorHAnsi" w:cstheme="minorHAnsi"/>
                <w:sz w:val="20"/>
                <w:szCs w:val="20"/>
                <w:lang w:val="en-GB" w:eastAsia="en-NL"/>
              </w:rPr>
            </w:pPr>
          </w:p>
        </w:tc>
        <w:tc>
          <w:tcPr>
            <w:tcW w:w="1460" w:type="dxa"/>
            <w:tcBorders>
              <w:top w:val="nil"/>
              <w:left w:val="nil"/>
              <w:bottom w:val="nil"/>
              <w:right w:val="nil"/>
            </w:tcBorders>
            <w:shd w:val="clear" w:color="auto" w:fill="auto"/>
            <w:noWrap/>
            <w:hideMark/>
          </w:tcPr>
          <w:p w14:paraId="13A0D7C1" w14:textId="77777777" w:rsidR="00B116FA" w:rsidRPr="00DC3886" w:rsidRDefault="00B116FA" w:rsidP="00320026">
            <w:pPr>
              <w:jc w:val="right"/>
              <w:rPr>
                <w:rFonts w:asciiTheme="minorHAnsi" w:hAnsiTheme="minorHAnsi" w:cstheme="minorHAnsi"/>
                <w:sz w:val="20"/>
                <w:szCs w:val="20"/>
                <w:lang w:val="en-GB" w:eastAsia="en-NL"/>
              </w:rPr>
            </w:pPr>
          </w:p>
        </w:tc>
        <w:tc>
          <w:tcPr>
            <w:tcW w:w="1460" w:type="dxa"/>
            <w:tcBorders>
              <w:top w:val="nil"/>
              <w:left w:val="nil"/>
              <w:bottom w:val="nil"/>
              <w:right w:val="nil"/>
            </w:tcBorders>
            <w:shd w:val="clear" w:color="auto" w:fill="auto"/>
            <w:noWrap/>
            <w:hideMark/>
          </w:tcPr>
          <w:p w14:paraId="1C81D471" w14:textId="77777777" w:rsidR="00B116FA" w:rsidRPr="00DC3886" w:rsidRDefault="00B116FA" w:rsidP="00320026">
            <w:pPr>
              <w:jc w:val="left"/>
              <w:rPr>
                <w:rFonts w:asciiTheme="minorHAnsi" w:hAnsiTheme="minorHAnsi" w:cstheme="minorHAnsi"/>
                <w:sz w:val="20"/>
                <w:szCs w:val="20"/>
                <w:lang w:val="en-GB" w:eastAsia="en-NL"/>
              </w:rPr>
            </w:pPr>
          </w:p>
        </w:tc>
      </w:tr>
      <w:tr w:rsidR="00B116FA" w:rsidRPr="001D0FE2" w14:paraId="5BC91F43" w14:textId="77777777" w:rsidTr="00320026">
        <w:trPr>
          <w:trHeight w:val="270"/>
        </w:trPr>
        <w:tc>
          <w:tcPr>
            <w:tcW w:w="3067" w:type="dxa"/>
            <w:tcBorders>
              <w:top w:val="nil"/>
              <w:left w:val="nil"/>
              <w:bottom w:val="nil"/>
              <w:right w:val="nil"/>
            </w:tcBorders>
            <w:shd w:val="clear" w:color="auto" w:fill="auto"/>
            <w:noWrap/>
            <w:hideMark/>
          </w:tcPr>
          <w:p w14:paraId="44FF3CB6" w14:textId="77777777" w:rsidR="00B116FA" w:rsidRPr="001D0FE2" w:rsidRDefault="00B116FA" w:rsidP="00320026">
            <w:pPr>
              <w:jc w:val="left"/>
              <w:rPr>
                <w:rFonts w:asciiTheme="minorHAnsi" w:hAnsiTheme="minorHAnsi" w:cstheme="minorHAnsi"/>
                <w:color w:val="auto"/>
                <w:sz w:val="20"/>
                <w:szCs w:val="20"/>
                <w:lang w:val="en-GB" w:eastAsia="en-NL"/>
              </w:rPr>
            </w:pPr>
          </w:p>
        </w:tc>
        <w:tc>
          <w:tcPr>
            <w:tcW w:w="1560" w:type="dxa"/>
            <w:tcBorders>
              <w:top w:val="nil"/>
              <w:left w:val="nil"/>
              <w:bottom w:val="nil"/>
              <w:right w:val="nil"/>
            </w:tcBorders>
            <w:shd w:val="clear" w:color="auto" w:fill="auto"/>
            <w:noWrap/>
            <w:hideMark/>
          </w:tcPr>
          <w:p w14:paraId="0EC8EE82" w14:textId="77777777" w:rsidR="00B116FA" w:rsidRPr="001D0FE2" w:rsidRDefault="00B116FA" w:rsidP="00320026">
            <w:pPr>
              <w:jc w:val="left"/>
              <w:rPr>
                <w:rFonts w:asciiTheme="minorHAnsi" w:hAnsiTheme="minorHAnsi" w:cstheme="minorHAnsi"/>
                <w:color w:val="auto"/>
                <w:sz w:val="20"/>
                <w:szCs w:val="20"/>
                <w:lang w:val="en-GB" w:eastAsia="en-NL"/>
              </w:rPr>
            </w:pPr>
          </w:p>
        </w:tc>
        <w:tc>
          <w:tcPr>
            <w:tcW w:w="1460" w:type="dxa"/>
            <w:tcBorders>
              <w:top w:val="nil"/>
              <w:left w:val="nil"/>
              <w:bottom w:val="nil"/>
              <w:right w:val="nil"/>
            </w:tcBorders>
            <w:shd w:val="clear" w:color="auto" w:fill="auto"/>
            <w:noWrap/>
            <w:hideMark/>
          </w:tcPr>
          <w:p w14:paraId="4D72A347" w14:textId="77777777" w:rsidR="00B116FA" w:rsidRPr="001D0FE2" w:rsidRDefault="00B116FA" w:rsidP="00320026">
            <w:pPr>
              <w:jc w:val="left"/>
              <w:rPr>
                <w:rFonts w:asciiTheme="minorHAnsi" w:hAnsiTheme="minorHAnsi" w:cstheme="minorHAnsi"/>
                <w:color w:val="auto"/>
                <w:sz w:val="20"/>
                <w:szCs w:val="20"/>
                <w:lang w:val="en-GB" w:eastAsia="en-NL"/>
              </w:rPr>
            </w:pPr>
          </w:p>
        </w:tc>
        <w:tc>
          <w:tcPr>
            <w:tcW w:w="1460" w:type="dxa"/>
            <w:tcBorders>
              <w:top w:val="nil"/>
              <w:left w:val="nil"/>
              <w:bottom w:val="nil"/>
              <w:right w:val="nil"/>
            </w:tcBorders>
            <w:shd w:val="clear" w:color="auto" w:fill="auto"/>
            <w:noWrap/>
            <w:hideMark/>
          </w:tcPr>
          <w:p w14:paraId="41EEC185" w14:textId="77777777" w:rsidR="00B116FA" w:rsidRPr="001D0FE2" w:rsidRDefault="00B116FA" w:rsidP="00320026">
            <w:pPr>
              <w:jc w:val="left"/>
              <w:rPr>
                <w:rFonts w:asciiTheme="minorHAnsi" w:hAnsiTheme="minorHAnsi" w:cstheme="minorHAnsi"/>
                <w:color w:val="auto"/>
                <w:sz w:val="20"/>
                <w:szCs w:val="20"/>
                <w:lang w:val="en-GB" w:eastAsia="en-NL"/>
              </w:rPr>
            </w:pPr>
          </w:p>
        </w:tc>
        <w:tc>
          <w:tcPr>
            <w:tcW w:w="1460" w:type="dxa"/>
            <w:tcBorders>
              <w:top w:val="nil"/>
              <w:left w:val="nil"/>
              <w:bottom w:val="nil"/>
              <w:right w:val="nil"/>
            </w:tcBorders>
            <w:shd w:val="clear" w:color="auto" w:fill="auto"/>
            <w:noWrap/>
            <w:hideMark/>
          </w:tcPr>
          <w:p w14:paraId="7F82E647" w14:textId="77777777" w:rsidR="00B116FA" w:rsidRPr="001D0FE2" w:rsidRDefault="00B116FA" w:rsidP="00320026">
            <w:pPr>
              <w:jc w:val="left"/>
              <w:rPr>
                <w:rFonts w:asciiTheme="minorHAnsi" w:hAnsiTheme="minorHAnsi" w:cstheme="minorHAnsi"/>
                <w:color w:val="auto"/>
                <w:sz w:val="20"/>
                <w:szCs w:val="20"/>
                <w:lang w:val="en-GB" w:eastAsia="en-NL"/>
              </w:rPr>
            </w:pPr>
          </w:p>
        </w:tc>
      </w:tr>
      <w:tr w:rsidR="00B116FA" w:rsidRPr="001D0FE2" w14:paraId="5EB5B670" w14:textId="77777777" w:rsidTr="00320026">
        <w:trPr>
          <w:trHeight w:val="388"/>
        </w:trPr>
        <w:tc>
          <w:tcPr>
            <w:tcW w:w="3067" w:type="dxa"/>
            <w:tcBorders>
              <w:top w:val="single" w:sz="8" w:space="0" w:color="BFBFBF"/>
              <w:left w:val="single" w:sz="8" w:space="0" w:color="BFBFBF"/>
              <w:bottom w:val="single" w:sz="8" w:space="0" w:color="BFBFBF"/>
              <w:right w:val="nil"/>
            </w:tcBorders>
            <w:shd w:val="clear" w:color="000000" w:fill="366092"/>
            <w:vAlign w:val="center"/>
            <w:hideMark/>
          </w:tcPr>
          <w:p w14:paraId="4DC135B7" w14:textId="77777777" w:rsidR="00B116FA" w:rsidRPr="001D0FE2" w:rsidRDefault="00B116FA" w:rsidP="00320026">
            <w:pPr>
              <w:jc w:val="left"/>
              <w:rPr>
                <w:rFonts w:asciiTheme="minorHAnsi" w:hAnsiTheme="minorHAnsi" w:cstheme="minorHAnsi"/>
                <w:color w:val="FFFFFF"/>
                <w:sz w:val="20"/>
                <w:szCs w:val="20"/>
                <w:lang w:val="en-GB" w:eastAsia="en-NL"/>
              </w:rPr>
            </w:pPr>
            <w:r w:rsidRPr="001D0FE2">
              <w:rPr>
                <w:rFonts w:asciiTheme="minorHAnsi" w:hAnsiTheme="minorHAnsi" w:cstheme="minorHAnsi"/>
                <w:color w:val="FFFFFF"/>
                <w:sz w:val="20"/>
                <w:szCs w:val="20"/>
                <w:lang w:val="en-GB" w:eastAsia="en-NL"/>
              </w:rPr>
              <w:t> </w:t>
            </w:r>
          </w:p>
        </w:tc>
        <w:tc>
          <w:tcPr>
            <w:tcW w:w="1560" w:type="dxa"/>
            <w:tcBorders>
              <w:top w:val="single" w:sz="8" w:space="0" w:color="BFBFBF"/>
              <w:left w:val="nil"/>
              <w:bottom w:val="single" w:sz="8" w:space="0" w:color="C7C8CA"/>
              <w:right w:val="nil"/>
            </w:tcBorders>
            <w:shd w:val="clear" w:color="000000" w:fill="366092"/>
            <w:vAlign w:val="center"/>
            <w:hideMark/>
          </w:tcPr>
          <w:p w14:paraId="0836884C" w14:textId="77777777" w:rsidR="00B116FA" w:rsidRPr="001D0FE2" w:rsidRDefault="00B116FA" w:rsidP="00320026">
            <w:pPr>
              <w:jc w:val="right"/>
              <w:rPr>
                <w:rFonts w:asciiTheme="minorHAnsi" w:hAnsiTheme="minorHAnsi" w:cstheme="minorHAnsi"/>
                <w:b/>
                <w:bCs/>
                <w:color w:val="FFFFFF"/>
                <w:sz w:val="20"/>
                <w:szCs w:val="20"/>
                <w:lang w:val="en-GB" w:eastAsia="en-NL"/>
              </w:rPr>
            </w:pPr>
            <w:r w:rsidRPr="001D0FE2">
              <w:rPr>
                <w:rFonts w:asciiTheme="minorHAnsi" w:hAnsiTheme="minorHAnsi" w:cstheme="minorHAnsi"/>
                <w:b/>
                <w:bCs/>
                <w:color w:val="FFFFFF"/>
                <w:sz w:val="20"/>
                <w:szCs w:val="20"/>
                <w:lang w:val="en-GB" w:eastAsia="en-NL"/>
              </w:rPr>
              <w:t>30 June 2020</w:t>
            </w:r>
          </w:p>
        </w:tc>
        <w:tc>
          <w:tcPr>
            <w:tcW w:w="1460" w:type="dxa"/>
            <w:tcBorders>
              <w:top w:val="single" w:sz="8" w:space="0" w:color="BFBFBF"/>
              <w:left w:val="nil"/>
              <w:bottom w:val="single" w:sz="8" w:space="0" w:color="C7C8CA"/>
              <w:right w:val="nil"/>
            </w:tcBorders>
            <w:shd w:val="clear" w:color="000000" w:fill="366092"/>
            <w:vAlign w:val="center"/>
            <w:hideMark/>
          </w:tcPr>
          <w:p w14:paraId="2F1784C8" w14:textId="77777777" w:rsidR="00B116FA" w:rsidRPr="001D0FE2" w:rsidRDefault="00B116FA" w:rsidP="00320026">
            <w:pPr>
              <w:jc w:val="right"/>
              <w:rPr>
                <w:rFonts w:asciiTheme="minorHAnsi" w:hAnsiTheme="minorHAnsi" w:cstheme="minorHAnsi"/>
                <w:b/>
                <w:bCs/>
                <w:color w:val="FFFFFF"/>
                <w:sz w:val="20"/>
                <w:szCs w:val="20"/>
                <w:lang w:val="en-GB" w:eastAsia="en-NL"/>
              </w:rPr>
            </w:pPr>
            <w:r w:rsidRPr="001D0FE2">
              <w:rPr>
                <w:rFonts w:asciiTheme="minorHAnsi" w:hAnsiTheme="minorHAnsi" w:cstheme="minorHAnsi"/>
                <w:b/>
                <w:bCs/>
                <w:color w:val="FFFFFF"/>
                <w:sz w:val="20"/>
                <w:szCs w:val="20"/>
                <w:lang w:val="en-GB" w:eastAsia="en-NL"/>
              </w:rPr>
              <w:t>Shares issued</w:t>
            </w:r>
          </w:p>
        </w:tc>
        <w:tc>
          <w:tcPr>
            <w:tcW w:w="1460" w:type="dxa"/>
            <w:tcBorders>
              <w:top w:val="single" w:sz="8" w:space="0" w:color="BFBFBF"/>
              <w:left w:val="nil"/>
              <w:bottom w:val="single" w:sz="8" w:space="0" w:color="C7C8CA"/>
              <w:right w:val="nil"/>
            </w:tcBorders>
            <w:shd w:val="clear" w:color="000000" w:fill="366092"/>
            <w:vAlign w:val="center"/>
            <w:hideMark/>
          </w:tcPr>
          <w:p w14:paraId="344DB6D6" w14:textId="77777777" w:rsidR="00B116FA" w:rsidRPr="001D0FE2" w:rsidRDefault="00B116FA" w:rsidP="00320026">
            <w:pPr>
              <w:jc w:val="right"/>
              <w:rPr>
                <w:rFonts w:asciiTheme="minorHAnsi" w:hAnsiTheme="minorHAnsi" w:cstheme="minorHAnsi"/>
                <w:b/>
                <w:bCs/>
                <w:color w:val="FFFFFF"/>
                <w:sz w:val="20"/>
                <w:szCs w:val="20"/>
                <w:lang w:val="en-GB" w:eastAsia="en-NL"/>
              </w:rPr>
            </w:pPr>
            <w:r w:rsidRPr="001D0FE2">
              <w:rPr>
                <w:rFonts w:asciiTheme="minorHAnsi" w:hAnsiTheme="minorHAnsi" w:cstheme="minorHAnsi"/>
                <w:b/>
                <w:bCs/>
                <w:color w:val="FFFFFF"/>
                <w:sz w:val="20"/>
                <w:szCs w:val="20"/>
                <w:lang w:val="en-GB" w:eastAsia="en-NL"/>
              </w:rPr>
              <w:t>Shares reserved</w:t>
            </w:r>
          </w:p>
        </w:tc>
        <w:tc>
          <w:tcPr>
            <w:tcW w:w="1460" w:type="dxa"/>
            <w:tcBorders>
              <w:top w:val="single" w:sz="8" w:space="0" w:color="BFBFBF"/>
              <w:left w:val="nil"/>
              <w:bottom w:val="single" w:sz="8" w:space="0" w:color="C7C8CA"/>
              <w:right w:val="single" w:sz="8" w:space="0" w:color="BFBFBF"/>
            </w:tcBorders>
            <w:shd w:val="clear" w:color="000000" w:fill="366092"/>
            <w:vAlign w:val="center"/>
            <w:hideMark/>
          </w:tcPr>
          <w:p w14:paraId="246C02D7" w14:textId="4F20CAD6" w:rsidR="00B116FA" w:rsidRPr="001D0FE2" w:rsidRDefault="00B116FA" w:rsidP="00320026">
            <w:pPr>
              <w:jc w:val="right"/>
              <w:rPr>
                <w:rFonts w:asciiTheme="minorHAnsi" w:hAnsiTheme="minorHAnsi" w:cstheme="minorHAnsi"/>
                <w:b/>
                <w:bCs/>
                <w:color w:val="FFFFFF"/>
                <w:sz w:val="20"/>
                <w:szCs w:val="20"/>
                <w:lang w:val="en-GB" w:eastAsia="en-NL"/>
              </w:rPr>
            </w:pPr>
            <w:r w:rsidRPr="001D0FE2">
              <w:rPr>
                <w:rFonts w:asciiTheme="minorHAnsi" w:hAnsiTheme="minorHAnsi" w:cstheme="minorHAnsi"/>
                <w:b/>
                <w:bCs/>
                <w:color w:val="FFFFFF"/>
                <w:sz w:val="20"/>
                <w:szCs w:val="20"/>
                <w:lang w:val="en-GB" w:eastAsia="en-NL"/>
              </w:rPr>
              <w:t>30 July 2020</w:t>
            </w:r>
          </w:p>
        </w:tc>
      </w:tr>
      <w:tr w:rsidR="00B116FA" w:rsidRPr="001D0FE2" w14:paraId="785D86B1" w14:textId="77777777" w:rsidTr="00320026">
        <w:trPr>
          <w:trHeight w:val="375"/>
        </w:trPr>
        <w:tc>
          <w:tcPr>
            <w:tcW w:w="3067" w:type="dxa"/>
            <w:tcBorders>
              <w:top w:val="nil"/>
              <w:left w:val="single" w:sz="8" w:space="0" w:color="BFBFBF"/>
              <w:bottom w:val="nil"/>
              <w:right w:val="single" w:sz="8" w:space="0" w:color="BFBFBF"/>
            </w:tcBorders>
            <w:shd w:val="clear" w:color="000000" w:fill="FFFFFF"/>
            <w:vAlign w:val="center"/>
            <w:hideMark/>
          </w:tcPr>
          <w:p w14:paraId="7C24D9B3"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Issued shares</w:t>
            </w:r>
          </w:p>
        </w:tc>
        <w:tc>
          <w:tcPr>
            <w:tcW w:w="1560" w:type="dxa"/>
            <w:tcBorders>
              <w:top w:val="nil"/>
              <w:left w:val="nil"/>
              <w:bottom w:val="nil"/>
              <w:right w:val="single" w:sz="8" w:space="0" w:color="BFBFBF"/>
            </w:tcBorders>
            <w:shd w:val="clear" w:color="000000" w:fill="DCE6F1"/>
            <w:noWrap/>
            <w:vAlign w:val="center"/>
            <w:hideMark/>
          </w:tcPr>
          <w:p w14:paraId="2CC0A143"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637.703.008 </w:t>
            </w:r>
          </w:p>
        </w:tc>
        <w:tc>
          <w:tcPr>
            <w:tcW w:w="1460" w:type="dxa"/>
            <w:tcBorders>
              <w:top w:val="nil"/>
              <w:left w:val="nil"/>
              <w:bottom w:val="nil"/>
              <w:right w:val="single" w:sz="8" w:space="0" w:color="BFBFBF"/>
            </w:tcBorders>
            <w:shd w:val="clear" w:color="000000" w:fill="DCE6F1"/>
            <w:noWrap/>
            <w:vAlign w:val="center"/>
            <w:hideMark/>
          </w:tcPr>
          <w:p w14:paraId="74F75D48"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40.000 </w:t>
            </w:r>
          </w:p>
        </w:tc>
        <w:tc>
          <w:tcPr>
            <w:tcW w:w="1460" w:type="dxa"/>
            <w:tcBorders>
              <w:top w:val="nil"/>
              <w:left w:val="nil"/>
              <w:bottom w:val="nil"/>
              <w:right w:val="single" w:sz="8" w:space="0" w:color="BFBFBF"/>
            </w:tcBorders>
            <w:shd w:val="clear" w:color="000000" w:fill="DCE6F1"/>
            <w:noWrap/>
            <w:vAlign w:val="center"/>
            <w:hideMark/>
          </w:tcPr>
          <w:p w14:paraId="50C27A1B"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4FD34DD3"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637.743.008 </w:t>
            </w:r>
          </w:p>
        </w:tc>
      </w:tr>
      <w:tr w:rsidR="00B116FA" w:rsidRPr="001D0FE2" w14:paraId="4E30C0C8" w14:textId="77777777" w:rsidTr="00320026">
        <w:trPr>
          <w:trHeight w:val="375"/>
        </w:trPr>
        <w:tc>
          <w:tcPr>
            <w:tcW w:w="3067" w:type="dxa"/>
            <w:tcBorders>
              <w:top w:val="nil"/>
              <w:left w:val="single" w:sz="8" w:space="0" w:color="BFBFBF"/>
              <w:bottom w:val="nil"/>
              <w:right w:val="single" w:sz="8" w:space="0" w:color="BFBFBF"/>
            </w:tcBorders>
            <w:shd w:val="clear" w:color="000000" w:fill="FFFFFF"/>
            <w:vAlign w:val="center"/>
            <w:hideMark/>
          </w:tcPr>
          <w:p w14:paraId="37053BD9"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Warrants</w:t>
            </w:r>
          </w:p>
        </w:tc>
        <w:tc>
          <w:tcPr>
            <w:tcW w:w="1560" w:type="dxa"/>
            <w:tcBorders>
              <w:top w:val="nil"/>
              <w:left w:val="nil"/>
              <w:bottom w:val="nil"/>
              <w:right w:val="single" w:sz="8" w:space="0" w:color="BFBFBF"/>
            </w:tcBorders>
            <w:shd w:val="clear" w:color="000000" w:fill="DCE6F1"/>
            <w:noWrap/>
            <w:vAlign w:val="center"/>
            <w:hideMark/>
          </w:tcPr>
          <w:p w14:paraId="5ED5BDEF"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208.944 </w:t>
            </w:r>
          </w:p>
        </w:tc>
        <w:tc>
          <w:tcPr>
            <w:tcW w:w="1460" w:type="dxa"/>
            <w:tcBorders>
              <w:top w:val="nil"/>
              <w:left w:val="nil"/>
              <w:bottom w:val="nil"/>
              <w:right w:val="single" w:sz="8" w:space="0" w:color="BFBFBF"/>
            </w:tcBorders>
            <w:shd w:val="clear" w:color="000000" w:fill="DCE6F1"/>
            <w:noWrap/>
            <w:vAlign w:val="center"/>
            <w:hideMark/>
          </w:tcPr>
          <w:p w14:paraId="48E46C50"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7E1C27E1"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1932D562"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208.944 </w:t>
            </w:r>
          </w:p>
        </w:tc>
      </w:tr>
      <w:tr w:rsidR="00B116FA" w:rsidRPr="001D0FE2" w14:paraId="14BC4747" w14:textId="77777777" w:rsidTr="00320026">
        <w:trPr>
          <w:trHeight w:val="375"/>
        </w:trPr>
        <w:tc>
          <w:tcPr>
            <w:tcW w:w="3067" w:type="dxa"/>
            <w:tcBorders>
              <w:top w:val="nil"/>
              <w:left w:val="single" w:sz="8" w:space="0" w:color="BFBFBF"/>
              <w:bottom w:val="nil"/>
              <w:right w:val="single" w:sz="8" w:space="0" w:color="BFBFBF"/>
            </w:tcBorders>
            <w:shd w:val="clear" w:color="000000" w:fill="FFFFFF"/>
            <w:vAlign w:val="center"/>
            <w:hideMark/>
          </w:tcPr>
          <w:p w14:paraId="3F608AA1"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Options</w:t>
            </w:r>
          </w:p>
        </w:tc>
        <w:tc>
          <w:tcPr>
            <w:tcW w:w="1560" w:type="dxa"/>
            <w:tcBorders>
              <w:top w:val="nil"/>
              <w:left w:val="nil"/>
              <w:bottom w:val="nil"/>
              <w:right w:val="single" w:sz="8" w:space="0" w:color="BFBFBF"/>
            </w:tcBorders>
            <w:shd w:val="clear" w:color="000000" w:fill="DCE6F1"/>
            <w:noWrap/>
            <w:vAlign w:val="center"/>
            <w:hideMark/>
          </w:tcPr>
          <w:p w14:paraId="75B31163"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36.487.430 </w:t>
            </w:r>
          </w:p>
        </w:tc>
        <w:tc>
          <w:tcPr>
            <w:tcW w:w="1460" w:type="dxa"/>
            <w:tcBorders>
              <w:top w:val="nil"/>
              <w:left w:val="nil"/>
              <w:bottom w:val="nil"/>
              <w:right w:val="single" w:sz="8" w:space="0" w:color="BFBFBF"/>
            </w:tcBorders>
            <w:shd w:val="clear" w:color="000000" w:fill="DCE6F1"/>
            <w:noWrap/>
            <w:vAlign w:val="center"/>
            <w:hideMark/>
          </w:tcPr>
          <w:p w14:paraId="71AEE711"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(40.000) </w:t>
            </w:r>
          </w:p>
        </w:tc>
        <w:tc>
          <w:tcPr>
            <w:tcW w:w="1460" w:type="dxa"/>
            <w:tcBorders>
              <w:top w:val="nil"/>
              <w:left w:val="nil"/>
              <w:bottom w:val="nil"/>
              <w:right w:val="single" w:sz="8" w:space="0" w:color="BFBFBF"/>
            </w:tcBorders>
            <w:shd w:val="clear" w:color="000000" w:fill="DCE6F1"/>
            <w:noWrap/>
            <w:vAlign w:val="center"/>
            <w:hideMark/>
          </w:tcPr>
          <w:p w14:paraId="5DE36ACA"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(131) </w:t>
            </w:r>
          </w:p>
        </w:tc>
        <w:tc>
          <w:tcPr>
            <w:tcW w:w="1460" w:type="dxa"/>
            <w:tcBorders>
              <w:top w:val="nil"/>
              <w:left w:val="nil"/>
              <w:bottom w:val="nil"/>
              <w:right w:val="single" w:sz="8" w:space="0" w:color="BFBFBF"/>
            </w:tcBorders>
            <w:shd w:val="clear" w:color="000000" w:fill="DCE6F1"/>
            <w:noWrap/>
            <w:vAlign w:val="center"/>
            <w:hideMark/>
          </w:tcPr>
          <w:p w14:paraId="7884ABB5"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36.447.299 </w:t>
            </w:r>
          </w:p>
        </w:tc>
      </w:tr>
      <w:tr w:rsidR="00B116FA" w:rsidRPr="001D0FE2" w14:paraId="05711523" w14:textId="77777777" w:rsidTr="00320026">
        <w:trPr>
          <w:trHeight w:val="360"/>
        </w:trPr>
        <w:tc>
          <w:tcPr>
            <w:tcW w:w="3067" w:type="dxa"/>
            <w:tcBorders>
              <w:top w:val="nil"/>
              <w:left w:val="single" w:sz="8" w:space="0" w:color="BFBFBF"/>
              <w:bottom w:val="nil"/>
              <w:right w:val="single" w:sz="8" w:space="0" w:color="BFBFBF"/>
            </w:tcBorders>
            <w:shd w:val="clear" w:color="000000" w:fill="FFFFFF"/>
            <w:vAlign w:val="center"/>
            <w:hideMark/>
          </w:tcPr>
          <w:p w14:paraId="16072079"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Convertible bonds</w:t>
            </w:r>
          </w:p>
        </w:tc>
        <w:tc>
          <w:tcPr>
            <w:tcW w:w="1560" w:type="dxa"/>
            <w:tcBorders>
              <w:top w:val="nil"/>
              <w:left w:val="nil"/>
              <w:bottom w:val="nil"/>
              <w:right w:val="single" w:sz="8" w:space="0" w:color="BFBFBF"/>
            </w:tcBorders>
            <w:shd w:val="clear" w:color="000000" w:fill="DCE6F1"/>
            <w:noWrap/>
            <w:vAlign w:val="center"/>
            <w:hideMark/>
          </w:tcPr>
          <w:p w14:paraId="2A7585D8"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62.412.622 </w:t>
            </w:r>
          </w:p>
        </w:tc>
        <w:tc>
          <w:tcPr>
            <w:tcW w:w="1460" w:type="dxa"/>
            <w:tcBorders>
              <w:top w:val="nil"/>
              <w:left w:val="nil"/>
              <w:bottom w:val="nil"/>
              <w:right w:val="single" w:sz="8" w:space="0" w:color="BFBFBF"/>
            </w:tcBorders>
            <w:shd w:val="clear" w:color="000000" w:fill="DCE6F1"/>
            <w:noWrap/>
            <w:vAlign w:val="center"/>
            <w:hideMark/>
          </w:tcPr>
          <w:p w14:paraId="799C78AC"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02CE4A16"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3EFCDB2D"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62.412.622 </w:t>
            </w:r>
          </w:p>
        </w:tc>
      </w:tr>
      <w:tr w:rsidR="00B116FA" w:rsidRPr="001D0FE2" w14:paraId="33C032FD" w14:textId="77777777" w:rsidTr="00320026">
        <w:trPr>
          <w:trHeight w:val="375"/>
        </w:trPr>
        <w:tc>
          <w:tcPr>
            <w:tcW w:w="3067" w:type="dxa"/>
            <w:tcBorders>
              <w:top w:val="nil"/>
              <w:left w:val="single" w:sz="8" w:space="0" w:color="BFBFBF"/>
              <w:bottom w:val="nil"/>
              <w:right w:val="single" w:sz="8" w:space="0" w:color="BFBFBF"/>
            </w:tcBorders>
            <w:shd w:val="clear" w:color="000000" w:fill="FFFFFF"/>
            <w:vAlign w:val="center"/>
            <w:hideMark/>
          </w:tcPr>
          <w:p w14:paraId="5E448447"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LTIP</w:t>
            </w:r>
          </w:p>
        </w:tc>
        <w:tc>
          <w:tcPr>
            <w:tcW w:w="1560" w:type="dxa"/>
            <w:tcBorders>
              <w:top w:val="nil"/>
              <w:left w:val="nil"/>
              <w:bottom w:val="nil"/>
              <w:right w:val="single" w:sz="8" w:space="0" w:color="BFBFBF"/>
            </w:tcBorders>
            <w:shd w:val="clear" w:color="000000" w:fill="DCE6F1"/>
            <w:noWrap/>
            <w:vAlign w:val="center"/>
            <w:hideMark/>
          </w:tcPr>
          <w:p w14:paraId="05938A36"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4.131.708 </w:t>
            </w:r>
          </w:p>
        </w:tc>
        <w:tc>
          <w:tcPr>
            <w:tcW w:w="1460" w:type="dxa"/>
            <w:tcBorders>
              <w:top w:val="nil"/>
              <w:left w:val="nil"/>
              <w:bottom w:val="nil"/>
              <w:right w:val="single" w:sz="8" w:space="0" w:color="BFBFBF"/>
            </w:tcBorders>
            <w:shd w:val="clear" w:color="000000" w:fill="DCE6F1"/>
            <w:noWrap/>
            <w:vAlign w:val="center"/>
            <w:hideMark/>
          </w:tcPr>
          <w:p w14:paraId="0829FB1C"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4D930B35"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 </w:t>
            </w:r>
          </w:p>
        </w:tc>
        <w:tc>
          <w:tcPr>
            <w:tcW w:w="1460" w:type="dxa"/>
            <w:tcBorders>
              <w:top w:val="nil"/>
              <w:left w:val="nil"/>
              <w:bottom w:val="nil"/>
              <w:right w:val="single" w:sz="8" w:space="0" w:color="BFBFBF"/>
            </w:tcBorders>
            <w:shd w:val="clear" w:color="000000" w:fill="DCE6F1"/>
            <w:noWrap/>
            <w:vAlign w:val="center"/>
            <w:hideMark/>
          </w:tcPr>
          <w:p w14:paraId="1D21C646"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4.131.708 </w:t>
            </w:r>
          </w:p>
        </w:tc>
      </w:tr>
      <w:tr w:rsidR="00B116FA" w:rsidRPr="001D0FE2" w14:paraId="1E400680" w14:textId="77777777" w:rsidTr="00320026">
        <w:trPr>
          <w:trHeight w:val="375"/>
        </w:trPr>
        <w:tc>
          <w:tcPr>
            <w:tcW w:w="3067" w:type="dxa"/>
            <w:tcBorders>
              <w:top w:val="single" w:sz="8" w:space="0" w:color="BFBFBF"/>
              <w:left w:val="single" w:sz="8" w:space="0" w:color="BFBFBF"/>
              <w:bottom w:val="single" w:sz="8" w:space="0" w:color="BFBFBF"/>
              <w:right w:val="nil"/>
            </w:tcBorders>
            <w:shd w:val="clear" w:color="000000" w:fill="FFFFFF"/>
            <w:vAlign w:val="center"/>
            <w:hideMark/>
          </w:tcPr>
          <w:p w14:paraId="6F70D94B" w14:textId="77777777" w:rsidR="00B116FA" w:rsidRPr="00DC3886" w:rsidRDefault="00B116FA" w:rsidP="00320026">
            <w:pPr>
              <w:jc w:val="left"/>
              <w:rPr>
                <w:rFonts w:asciiTheme="minorHAnsi" w:hAnsiTheme="minorHAnsi" w:cstheme="minorHAnsi"/>
                <w:b/>
                <w:bCs/>
                <w:sz w:val="20"/>
                <w:szCs w:val="20"/>
                <w:lang w:val="en-GB" w:eastAsia="en-NL"/>
              </w:rPr>
            </w:pPr>
            <w:proofErr w:type="gramStart"/>
            <w:r w:rsidRPr="00DC3886">
              <w:rPr>
                <w:rFonts w:asciiTheme="minorHAnsi" w:hAnsiTheme="minorHAnsi" w:cstheme="minorHAnsi"/>
                <w:b/>
                <w:bCs/>
                <w:sz w:val="20"/>
                <w:szCs w:val="20"/>
                <w:lang w:val="en-GB" w:eastAsia="en-NL"/>
              </w:rPr>
              <w:t>Fully-diluted</w:t>
            </w:r>
            <w:proofErr w:type="gramEnd"/>
            <w:r w:rsidRPr="00DC3886">
              <w:rPr>
                <w:rFonts w:asciiTheme="minorHAnsi" w:hAnsiTheme="minorHAnsi" w:cstheme="minorHAnsi"/>
                <w:b/>
                <w:bCs/>
                <w:sz w:val="20"/>
                <w:szCs w:val="20"/>
                <w:lang w:val="en-GB" w:eastAsia="en-NL"/>
              </w:rPr>
              <w:t xml:space="preserve"> shares</w:t>
            </w:r>
          </w:p>
        </w:tc>
        <w:tc>
          <w:tcPr>
            <w:tcW w:w="1560" w:type="dxa"/>
            <w:tcBorders>
              <w:top w:val="single" w:sz="8" w:space="0" w:color="BFBFBF"/>
              <w:left w:val="single" w:sz="8" w:space="0" w:color="BFBFBF"/>
              <w:bottom w:val="single" w:sz="8" w:space="0" w:color="BFBFBF"/>
              <w:right w:val="single" w:sz="8" w:space="0" w:color="BFBFBF"/>
            </w:tcBorders>
            <w:shd w:val="clear" w:color="000000" w:fill="DCE6F1"/>
            <w:noWrap/>
            <w:vAlign w:val="center"/>
            <w:hideMark/>
          </w:tcPr>
          <w:p w14:paraId="574CF3BA"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xml:space="preserve">       740.943.712 </w:t>
            </w:r>
          </w:p>
        </w:tc>
        <w:tc>
          <w:tcPr>
            <w:tcW w:w="1460" w:type="dxa"/>
            <w:tcBorders>
              <w:top w:val="single" w:sz="8" w:space="0" w:color="BFBFBF"/>
              <w:left w:val="nil"/>
              <w:bottom w:val="single" w:sz="8" w:space="0" w:color="BFBFBF"/>
              <w:right w:val="single" w:sz="8" w:space="0" w:color="BFBFBF"/>
            </w:tcBorders>
            <w:shd w:val="clear" w:color="000000" w:fill="DCE6F1"/>
            <w:noWrap/>
            <w:vAlign w:val="center"/>
            <w:hideMark/>
          </w:tcPr>
          <w:p w14:paraId="3E2F0C8C" w14:textId="77777777" w:rsidR="00B116FA" w:rsidRPr="00DC3886" w:rsidRDefault="00B116FA" w:rsidP="00320026">
            <w:pPr>
              <w:jc w:val="righ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xml:space="preserve"> - </w:t>
            </w:r>
          </w:p>
        </w:tc>
        <w:tc>
          <w:tcPr>
            <w:tcW w:w="1460" w:type="dxa"/>
            <w:tcBorders>
              <w:top w:val="single" w:sz="8" w:space="0" w:color="BFBFBF"/>
              <w:left w:val="nil"/>
              <w:bottom w:val="single" w:sz="8" w:space="0" w:color="BFBFBF"/>
              <w:right w:val="single" w:sz="8" w:space="0" w:color="BFBFBF"/>
            </w:tcBorders>
            <w:shd w:val="clear" w:color="000000" w:fill="DCE6F1"/>
            <w:noWrap/>
            <w:vAlign w:val="center"/>
            <w:hideMark/>
          </w:tcPr>
          <w:p w14:paraId="2E0138DE" w14:textId="77777777" w:rsidR="00B116FA" w:rsidRPr="00DC3886" w:rsidRDefault="00B116FA" w:rsidP="00320026">
            <w:pPr>
              <w:jc w:val="righ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xml:space="preserve"> (131) </w:t>
            </w:r>
          </w:p>
        </w:tc>
        <w:tc>
          <w:tcPr>
            <w:tcW w:w="1460" w:type="dxa"/>
            <w:tcBorders>
              <w:top w:val="single" w:sz="8" w:space="0" w:color="BFBFBF"/>
              <w:left w:val="nil"/>
              <w:bottom w:val="single" w:sz="8" w:space="0" w:color="BFBFBF"/>
              <w:right w:val="single" w:sz="8" w:space="0" w:color="BFBFBF"/>
            </w:tcBorders>
            <w:shd w:val="clear" w:color="000000" w:fill="DCE6F1"/>
            <w:noWrap/>
            <w:vAlign w:val="center"/>
            <w:hideMark/>
          </w:tcPr>
          <w:p w14:paraId="7FEF6699"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xml:space="preserve">    740.943.581 </w:t>
            </w:r>
          </w:p>
        </w:tc>
      </w:tr>
      <w:tr w:rsidR="00B116FA" w:rsidRPr="001D0FE2" w14:paraId="6976CAC6" w14:textId="77777777" w:rsidTr="00320026">
        <w:trPr>
          <w:trHeight w:val="375"/>
        </w:trPr>
        <w:tc>
          <w:tcPr>
            <w:tcW w:w="3067" w:type="dxa"/>
            <w:tcBorders>
              <w:top w:val="nil"/>
              <w:left w:val="single" w:sz="8" w:space="0" w:color="BFBFBF"/>
              <w:bottom w:val="nil"/>
              <w:right w:val="single" w:sz="8" w:space="0" w:color="BFBFBF"/>
            </w:tcBorders>
            <w:shd w:val="clear" w:color="000000" w:fill="FFFFFF"/>
            <w:vAlign w:val="center"/>
            <w:hideMark/>
          </w:tcPr>
          <w:p w14:paraId="19462D5A"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Available for issue</w:t>
            </w:r>
          </w:p>
        </w:tc>
        <w:tc>
          <w:tcPr>
            <w:tcW w:w="1560" w:type="dxa"/>
            <w:tcBorders>
              <w:top w:val="nil"/>
              <w:left w:val="nil"/>
              <w:bottom w:val="single" w:sz="8" w:space="0" w:color="BFBFBF"/>
              <w:right w:val="single" w:sz="8" w:space="0" w:color="BFBFBF"/>
            </w:tcBorders>
            <w:shd w:val="clear" w:color="000000" w:fill="DCE6F1"/>
            <w:noWrap/>
            <w:vAlign w:val="center"/>
            <w:hideMark/>
          </w:tcPr>
          <w:p w14:paraId="344688CC"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139.056.288</w:t>
            </w:r>
          </w:p>
        </w:tc>
        <w:tc>
          <w:tcPr>
            <w:tcW w:w="1460" w:type="dxa"/>
            <w:tcBorders>
              <w:top w:val="nil"/>
              <w:left w:val="nil"/>
              <w:bottom w:val="single" w:sz="8" w:space="0" w:color="BFBFBF"/>
              <w:right w:val="single" w:sz="8" w:space="0" w:color="BFBFBF"/>
            </w:tcBorders>
            <w:shd w:val="clear" w:color="000000" w:fill="DCE6F1"/>
            <w:noWrap/>
            <w:vAlign w:val="center"/>
            <w:hideMark/>
          </w:tcPr>
          <w:p w14:paraId="10FACF4E" w14:textId="77777777" w:rsidR="00B116FA" w:rsidRPr="00DC3886" w:rsidRDefault="00B116FA" w:rsidP="00320026">
            <w:pPr>
              <w:jc w:val="lef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                          -</w:t>
            </w:r>
          </w:p>
        </w:tc>
        <w:tc>
          <w:tcPr>
            <w:tcW w:w="1460" w:type="dxa"/>
            <w:tcBorders>
              <w:top w:val="nil"/>
              <w:left w:val="nil"/>
              <w:bottom w:val="single" w:sz="8" w:space="0" w:color="BFBFBF"/>
              <w:right w:val="single" w:sz="8" w:space="0" w:color="BFBFBF"/>
            </w:tcBorders>
            <w:shd w:val="clear" w:color="000000" w:fill="DCE6F1"/>
            <w:noWrap/>
            <w:vAlign w:val="center"/>
            <w:hideMark/>
          </w:tcPr>
          <w:p w14:paraId="00EFAAF9"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 xml:space="preserve">131                        </w:t>
            </w:r>
          </w:p>
        </w:tc>
        <w:tc>
          <w:tcPr>
            <w:tcW w:w="1460" w:type="dxa"/>
            <w:tcBorders>
              <w:top w:val="nil"/>
              <w:left w:val="nil"/>
              <w:bottom w:val="single" w:sz="8" w:space="0" w:color="BFBFBF"/>
              <w:right w:val="single" w:sz="8" w:space="0" w:color="BFBFBF"/>
            </w:tcBorders>
            <w:shd w:val="clear" w:color="000000" w:fill="DCE6F1"/>
            <w:noWrap/>
            <w:vAlign w:val="center"/>
            <w:hideMark/>
          </w:tcPr>
          <w:p w14:paraId="057EB873" w14:textId="77777777" w:rsidR="00B116FA" w:rsidRPr="00DC3886" w:rsidRDefault="00B116FA" w:rsidP="00320026">
            <w:pPr>
              <w:jc w:val="right"/>
              <w:rPr>
                <w:rFonts w:asciiTheme="minorHAnsi" w:hAnsiTheme="minorHAnsi" w:cstheme="minorHAnsi"/>
                <w:color w:val="59595B"/>
                <w:sz w:val="20"/>
                <w:szCs w:val="20"/>
                <w:lang w:val="en-GB" w:eastAsia="en-NL"/>
              </w:rPr>
            </w:pPr>
            <w:r w:rsidRPr="00DC3886">
              <w:rPr>
                <w:rFonts w:asciiTheme="minorHAnsi" w:hAnsiTheme="minorHAnsi" w:cstheme="minorHAnsi"/>
                <w:color w:val="59595B"/>
                <w:sz w:val="20"/>
                <w:szCs w:val="20"/>
                <w:lang w:val="en-GB" w:eastAsia="en-NL"/>
              </w:rPr>
              <w:t>139.056.419</w:t>
            </w:r>
          </w:p>
        </w:tc>
      </w:tr>
      <w:tr w:rsidR="00B116FA" w:rsidRPr="001D0FE2" w14:paraId="6AC2921C" w14:textId="77777777" w:rsidTr="00320026">
        <w:trPr>
          <w:trHeight w:val="375"/>
        </w:trPr>
        <w:tc>
          <w:tcPr>
            <w:tcW w:w="3067"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0D4DFFB5"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Authorised share capital</w:t>
            </w:r>
          </w:p>
        </w:tc>
        <w:tc>
          <w:tcPr>
            <w:tcW w:w="1560" w:type="dxa"/>
            <w:tcBorders>
              <w:top w:val="nil"/>
              <w:left w:val="nil"/>
              <w:bottom w:val="single" w:sz="8" w:space="0" w:color="BFBFBF"/>
              <w:right w:val="single" w:sz="8" w:space="0" w:color="BFBFBF"/>
            </w:tcBorders>
            <w:shd w:val="clear" w:color="000000" w:fill="DCE6F1"/>
            <w:noWrap/>
            <w:vAlign w:val="center"/>
            <w:hideMark/>
          </w:tcPr>
          <w:p w14:paraId="04577AF4"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xml:space="preserve">       880.000.000 </w:t>
            </w:r>
          </w:p>
        </w:tc>
        <w:tc>
          <w:tcPr>
            <w:tcW w:w="1460" w:type="dxa"/>
            <w:tcBorders>
              <w:top w:val="nil"/>
              <w:left w:val="nil"/>
              <w:bottom w:val="single" w:sz="8" w:space="0" w:color="BFBFBF"/>
              <w:right w:val="single" w:sz="8" w:space="0" w:color="BFBFBF"/>
            </w:tcBorders>
            <w:shd w:val="clear" w:color="000000" w:fill="DCE6F1"/>
            <w:noWrap/>
            <w:vAlign w:val="center"/>
            <w:hideMark/>
          </w:tcPr>
          <w:p w14:paraId="2B149EF6"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w:t>
            </w:r>
          </w:p>
        </w:tc>
        <w:tc>
          <w:tcPr>
            <w:tcW w:w="1460" w:type="dxa"/>
            <w:tcBorders>
              <w:top w:val="nil"/>
              <w:left w:val="nil"/>
              <w:bottom w:val="single" w:sz="8" w:space="0" w:color="BFBFBF"/>
              <w:right w:val="single" w:sz="8" w:space="0" w:color="BFBFBF"/>
            </w:tcBorders>
            <w:shd w:val="clear" w:color="000000" w:fill="DCE6F1"/>
            <w:noWrap/>
            <w:vAlign w:val="center"/>
            <w:hideMark/>
          </w:tcPr>
          <w:p w14:paraId="5122FF4F"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xml:space="preserve">                          -</w:t>
            </w:r>
          </w:p>
        </w:tc>
        <w:tc>
          <w:tcPr>
            <w:tcW w:w="1460" w:type="dxa"/>
            <w:tcBorders>
              <w:top w:val="nil"/>
              <w:left w:val="nil"/>
              <w:bottom w:val="single" w:sz="8" w:space="0" w:color="BFBFBF"/>
              <w:right w:val="single" w:sz="8" w:space="0" w:color="BFBFBF"/>
            </w:tcBorders>
            <w:shd w:val="clear" w:color="000000" w:fill="DCE6F1"/>
            <w:noWrap/>
            <w:vAlign w:val="center"/>
            <w:hideMark/>
          </w:tcPr>
          <w:p w14:paraId="46A95F87" w14:textId="77777777" w:rsidR="00B116FA" w:rsidRPr="00DC3886" w:rsidRDefault="00B116FA" w:rsidP="00320026">
            <w:pPr>
              <w:jc w:val="left"/>
              <w:rPr>
                <w:rFonts w:asciiTheme="minorHAnsi" w:hAnsiTheme="minorHAnsi" w:cstheme="minorHAnsi"/>
                <w:b/>
                <w:bCs/>
                <w:sz w:val="20"/>
                <w:szCs w:val="20"/>
                <w:lang w:val="en-GB" w:eastAsia="en-NL"/>
              </w:rPr>
            </w:pPr>
            <w:r w:rsidRPr="00DC3886">
              <w:rPr>
                <w:rFonts w:asciiTheme="minorHAnsi" w:hAnsiTheme="minorHAnsi" w:cstheme="minorHAnsi"/>
                <w:b/>
                <w:bCs/>
                <w:sz w:val="20"/>
                <w:szCs w:val="20"/>
                <w:lang w:val="en-GB" w:eastAsia="en-NL"/>
              </w:rPr>
              <w:t xml:space="preserve">    880.000.000 </w:t>
            </w:r>
          </w:p>
        </w:tc>
      </w:tr>
    </w:tbl>
    <w:p w14:paraId="10333365" w14:textId="77777777" w:rsidR="00B116FA" w:rsidRPr="00DC3886" w:rsidRDefault="00B116FA" w:rsidP="00173597">
      <w:pPr>
        <w:pStyle w:val="NoSpacing"/>
        <w:ind w:right="144"/>
        <w:jc w:val="both"/>
        <w:rPr>
          <w:rFonts w:asciiTheme="minorHAnsi" w:hAnsiTheme="minorHAnsi" w:cstheme="minorHAnsi"/>
          <w:color w:val="59595B"/>
          <w:lang w:val="en-GB"/>
        </w:rPr>
      </w:pPr>
    </w:p>
    <w:p w14:paraId="6067490D" w14:textId="2C91C4DE" w:rsidR="00E331EB" w:rsidRPr="00DC3886" w:rsidRDefault="00E331EB" w:rsidP="00E331EB">
      <w:pPr>
        <w:pStyle w:val="ListParagraph"/>
        <w:numPr>
          <w:ilvl w:val="0"/>
          <w:numId w:val="3"/>
        </w:numPr>
        <w:autoSpaceDE w:val="0"/>
        <w:autoSpaceDN w:val="0"/>
        <w:adjustRightInd w:val="0"/>
        <w:rPr>
          <w:rFonts w:asciiTheme="minorHAnsi" w:hAnsiTheme="minorHAnsi" w:cstheme="minorHAnsi"/>
          <w:i/>
          <w:color w:val="59595B"/>
          <w:szCs w:val="22"/>
          <w:lang w:val="en-GB"/>
        </w:rPr>
      </w:pPr>
      <w:r w:rsidRPr="00DC3886">
        <w:rPr>
          <w:rFonts w:asciiTheme="minorHAnsi" w:hAnsiTheme="minorHAnsi" w:cstheme="minorHAnsi"/>
          <w:i/>
          <w:color w:val="59595B"/>
          <w:szCs w:val="22"/>
          <w:lang w:val="en-GB"/>
        </w:rPr>
        <w:t>Intangible Assets</w:t>
      </w:r>
    </w:p>
    <w:p w14:paraId="6F3A4D51" w14:textId="3C84B32A" w:rsidR="00E331EB" w:rsidRPr="00DC3886" w:rsidRDefault="00E331EB" w:rsidP="00E331EB">
      <w:pPr>
        <w:autoSpaceDE w:val="0"/>
        <w:autoSpaceDN w:val="0"/>
        <w:adjustRightInd w:val="0"/>
        <w:rPr>
          <w:rFonts w:asciiTheme="minorHAnsi" w:hAnsiTheme="minorHAnsi" w:cstheme="minorHAnsi"/>
          <w:i/>
          <w:color w:val="59595B"/>
          <w:szCs w:val="22"/>
          <w:lang w:val="en-GB"/>
        </w:rPr>
      </w:pPr>
    </w:p>
    <w:p w14:paraId="49DA2BF2" w14:textId="3812639C" w:rsidR="00E331EB" w:rsidRPr="00D8025F" w:rsidRDefault="00E331EB" w:rsidP="006446EE">
      <w:pPr>
        <w:autoSpaceDE w:val="0"/>
        <w:autoSpaceDN w:val="0"/>
        <w:adjustRightInd w:val="0"/>
        <w:rPr>
          <w:rFonts w:asciiTheme="minorHAnsi" w:hAnsiTheme="minorHAnsi" w:cstheme="minorHAnsi"/>
          <w:i/>
          <w:color w:val="59595B"/>
          <w:sz w:val="22"/>
          <w:szCs w:val="22"/>
          <w:lang w:val="en-GB"/>
        </w:rPr>
      </w:pPr>
      <w:r w:rsidRPr="00D8025F">
        <w:rPr>
          <w:rFonts w:asciiTheme="minorHAnsi" w:eastAsia="MS Mincho" w:hAnsiTheme="minorHAnsi" w:cstheme="minorHAnsi"/>
          <w:color w:val="59595B"/>
          <w:sz w:val="22"/>
          <w:szCs w:val="22"/>
          <w:lang w:val="en-GB"/>
        </w:rPr>
        <w:t xml:space="preserve">In 2020 intangible assets increased </w:t>
      </w:r>
      <w:r w:rsidR="00392E9C" w:rsidRPr="00D8025F">
        <w:rPr>
          <w:rFonts w:asciiTheme="minorHAnsi" w:eastAsia="MS Mincho" w:hAnsiTheme="minorHAnsi" w:cstheme="minorHAnsi"/>
          <w:color w:val="59595B"/>
          <w:sz w:val="22"/>
          <w:szCs w:val="22"/>
          <w:lang w:val="en-GB"/>
        </w:rPr>
        <w:t>mainly as result</w:t>
      </w:r>
      <w:r w:rsidR="0025798F" w:rsidRPr="00D8025F">
        <w:rPr>
          <w:rFonts w:asciiTheme="minorHAnsi" w:eastAsia="MS Mincho" w:hAnsiTheme="minorHAnsi" w:cstheme="minorHAnsi"/>
          <w:color w:val="59595B"/>
          <w:sz w:val="22"/>
          <w:szCs w:val="22"/>
          <w:lang w:val="en-GB"/>
        </w:rPr>
        <w:t xml:space="preserve"> of the payment </w:t>
      </w:r>
      <w:r w:rsidRPr="00D8025F">
        <w:rPr>
          <w:rFonts w:asciiTheme="minorHAnsi" w:eastAsia="MS Mincho" w:hAnsiTheme="minorHAnsi" w:cstheme="minorHAnsi"/>
          <w:color w:val="59595B"/>
          <w:sz w:val="22"/>
          <w:szCs w:val="22"/>
          <w:lang w:val="en-GB"/>
        </w:rPr>
        <w:t>of €7.5</w:t>
      </w:r>
      <w:r w:rsidR="006B3E3B" w:rsidRPr="00D8025F">
        <w:rPr>
          <w:rFonts w:asciiTheme="minorHAnsi" w:eastAsia="MS Mincho" w:hAnsiTheme="minorHAnsi" w:cstheme="minorHAnsi"/>
          <w:color w:val="59595B"/>
          <w:sz w:val="22"/>
          <w:szCs w:val="22"/>
          <w:lang w:val="en-GB"/>
        </w:rPr>
        <w:t xml:space="preserve"> million</w:t>
      </w:r>
      <w:r w:rsidRPr="00D8025F">
        <w:rPr>
          <w:rFonts w:asciiTheme="minorHAnsi" w:eastAsia="MS Mincho" w:hAnsiTheme="minorHAnsi" w:cstheme="minorHAnsi"/>
          <w:color w:val="59595B"/>
          <w:sz w:val="22"/>
          <w:szCs w:val="22"/>
          <w:lang w:val="en-GB"/>
        </w:rPr>
        <w:t>, related to the reacquisition of the EU commercial rights, formerly owned by SOBI.</w:t>
      </w:r>
    </w:p>
    <w:p w14:paraId="2E69FE52" w14:textId="77777777" w:rsidR="006B3E3B" w:rsidRPr="00DC3886" w:rsidRDefault="006B3E3B" w:rsidP="006B3E3B">
      <w:pPr>
        <w:autoSpaceDE w:val="0"/>
        <w:autoSpaceDN w:val="0"/>
        <w:adjustRightInd w:val="0"/>
        <w:ind w:left="360"/>
        <w:rPr>
          <w:rFonts w:asciiTheme="minorHAnsi" w:hAnsiTheme="minorHAnsi" w:cstheme="minorHAnsi"/>
          <w:i/>
          <w:color w:val="59595B"/>
          <w:szCs w:val="22"/>
          <w:lang w:val="en-GB"/>
        </w:rPr>
      </w:pPr>
    </w:p>
    <w:p w14:paraId="50341554" w14:textId="20B1E6F9" w:rsidR="00E331EB" w:rsidRPr="00DC3886" w:rsidRDefault="006B3E3B" w:rsidP="006B3E3B">
      <w:pPr>
        <w:pStyle w:val="ListParagraph"/>
        <w:numPr>
          <w:ilvl w:val="0"/>
          <w:numId w:val="3"/>
        </w:numPr>
        <w:autoSpaceDE w:val="0"/>
        <w:autoSpaceDN w:val="0"/>
        <w:adjustRightInd w:val="0"/>
        <w:rPr>
          <w:rFonts w:asciiTheme="minorHAnsi" w:hAnsiTheme="minorHAnsi" w:cstheme="minorHAnsi"/>
          <w:i/>
          <w:color w:val="59595B"/>
          <w:szCs w:val="22"/>
          <w:lang w:val="en-GB"/>
        </w:rPr>
      </w:pPr>
      <w:r w:rsidRPr="00DC3886">
        <w:rPr>
          <w:rFonts w:asciiTheme="minorHAnsi" w:hAnsiTheme="minorHAnsi" w:cstheme="minorHAnsi"/>
          <w:i/>
          <w:color w:val="59595B"/>
          <w:szCs w:val="22"/>
          <w:lang w:val="en-GB"/>
        </w:rPr>
        <w:t>Deferred tax assets</w:t>
      </w:r>
    </w:p>
    <w:p w14:paraId="43725809" w14:textId="77777777" w:rsidR="006B3E3B" w:rsidRPr="00DC3886" w:rsidRDefault="006B3E3B" w:rsidP="006B3E3B">
      <w:pPr>
        <w:autoSpaceDE w:val="0"/>
        <w:autoSpaceDN w:val="0"/>
        <w:adjustRightInd w:val="0"/>
        <w:ind w:left="360"/>
        <w:rPr>
          <w:rFonts w:asciiTheme="minorHAnsi" w:hAnsiTheme="minorHAnsi" w:cstheme="minorHAnsi"/>
          <w:i/>
          <w:color w:val="59595B"/>
          <w:szCs w:val="22"/>
          <w:lang w:val="en-GB"/>
        </w:rPr>
      </w:pPr>
    </w:p>
    <w:p w14:paraId="5368CA31" w14:textId="1D92AA7F" w:rsidR="00E331EB" w:rsidRPr="00D8025F" w:rsidRDefault="00185D27" w:rsidP="006446EE">
      <w:pPr>
        <w:autoSpaceDE w:val="0"/>
        <w:autoSpaceDN w:val="0"/>
        <w:adjustRightInd w:val="0"/>
        <w:rPr>
          <w:rFonts w:asciiTheme="minorHAnsi" w:eastAsia="MS Mincho" w:hAnsiTheme="minorHAnsi" w:cstheme="minorHAnsi"/>
          <w:color w:val="59595B"/>
          <w:sz w:val="22"/>
          <w:szCs w:val="22"/>
          <w:lang w:val="en-GB"/>
        </w:rPr>
      </w:pPr>
      <w:r w:rsidRPr="00D8025F">
        <w:rPr>
          <w:rFonts w:asciiTheme="minorHAnsi" w:eastAsia="MS Mincho" w:hAnsiTheme="minorHAnsi" w:cstheme="minorHAnsi"/>
          <w:color w:val="59595B"/>
          <w:sz w:val="22"/>
          <w:szCs w:val="22"/>
          <w:lang w:val="en-GB"/>
        </w:rPr>
        <w:t xml:space="preserve">The </w:t>
      </w:r>
      <w:r w:rsidR="00195FF7" w:rsidRPr="00D8025F">
        <w:rPr>
          <w:rFonts w:asciiTheme="minorHAnsi" w:eastAsia="MS Mincho" w:hAnsiTheme="minorHAnsi" w:cstheme="minorHAnsi"/>
          <w:color w:val="59595B"/>
          <w:sz w:val="22"/>
          <w:szCs w:val="22"/>
          <w:lang w:val="en-GB"/>
        </w:rPr>
        <w:t xml:space="preserve">changes in the </w:t>
      </w:r>
      <w:r w:rsidR="00DC3886" w:rsidRPr="00D8025F">
        <w:rPr>
          <w:rFonts w:asciiTheme="minorHAnsi" w:eastAsia="MS Mincho" w:hAnsiTheme="minorHAnsi" w:cstheme="minorHAnsi"/>
          <w:color w:val="59595B"/>
          <w:sz w:val="22"/>
          <w:szCs w:val="22"/>
          <w:lang w:val="en-GB"/>
        </w:rPr>
        <w:t>d</w:t>
      </w:r>
      <w:r w:rsidR="006B3E3B" w:rsidRPr="00D8025F">
        <w:rPr>
          <w:rFonts w:asciiTheme="minorHAnsi" w:eastAsia="MS Mincho" w:hAnsiTheme="minorHAnsi" w:cstheme="minorHAnsi"/>
          <w:color w:val="59595B"/>
          <w:sz w:val="22"/>
          <w:szCs w:val="22"/>
          <w:lang w:val="en-GB"/>
        </w:rPr>
        <w:t xml:space="preserve">eferred tax </w:t>
      </w:r>
      <w:r w:rsidR="00195FF7" w:rsidRPr="00D8025F">
        <w:rPr>
          <w:rFonts w:asciiTheme="minorHAnsi" w:eastAsia="MS Mincho" w:hAnsiTheme="minorHAnsi" w:cstheme="minorHAnsi"/>
          <w:color w:val="59595B"/>
          <w:sz w:val="22"/>
          <w:szCs w:val="22"/>
          <w:lang w:val="en-GB"/>
        </w:rPr>
        <w:t xml:space="preserve">asset can be summarised as the result of the payment of the </w:t>
      </w:r>
      <w:r w:rsidR="006B3E3B" w:rsidRPr="00D8025F">
        <w:rPr>
          <w:rFonts w:asciiTheme="minorHAnsi" w:eastAsia="MS Mincho" w:hAnsiTheme="minorHAnsi" w:cstheme="minorHAnsi"/>
          <w:color w:val="59595B"/>
          <w:sz w:val="22"/>
          <w:szCs w:val="22"/>
          <w:lang w:val="en-GB"/>
        </w:rPr>
        <w:t>contingent consideration of €16.5 million</w:t>
      </w:r>
      <w:r w:rsidR="00E22D1A" w:rsidRPr="00D8025F">
        <w:rPr>
          <w:rFonts w:asciiTheme="minorHAnsi" w:eastAsia="MS Mincho" w:hAnsiTheme="minorHAnsi" w:cstheme="minorHAnsi"/>
          <w:color w:val="59595B"/>
          <w:sz w:val="22"/>
          <w:szCs w:val="22"/>
          <w:lang w:val="en-GB"/>
        </w:rPr>
        <w:t xml:space="preserve">, leading to a </w:t>
      </w:r>
      <w:r w:rsidR="00885A3C" w:rsidRPr="00D8025F">
        <w:rPr>
          <w:rFonts w:asciiTheme="minorHAnsi" w:eastAsia="MS Mincho" w:hAnsiTheme="minorHAnsi" w:cstheme="minorHAnsi"/>
          <w:color w:val="59595B"/>
          <w:sz w:val="22"/>
          <w:szCs w:val="22"/>
          <w:lang w:val="en-GB"/>
        </w:rPr>
        <w:t>tax effect of €4.1 million</w:t>
      </w:r>
      <w:r w:rsidR="00E439BD" w:rsidRPr="00D8025F">
        <w:rPr>
          <w:rFonts w:asciiTheme="minorHAnsi" w:eastAsia="MS Mincho" w:hAnsiTheme="minorHAnsi" w:cstheme="minorHAnsi"/>
          <w:color w:val="59595B"/>
          <w:sz w:val="22"/>
          <w:szCs w:val="22"/>
          <w:lang w:val="en-GB"/>
        </w:rPr>
        <w:t xml:space="preserve">, </w:t>
      </w:r>
      <w:r w:rsidR="006B3E3B" w:rsidRPr="00D8025F">
        <w:rPr>
          <w:rFonts w:asciiTheme="minorHAnsi" w:eastAsia="MS Mincho" w:hAnsiTheme="minorHAnsi" w:cstheme="minorHAnsi"/>
          <w:color w:val="59595B"/>
          <w:sz w:val="22"/>
          <w:szCs w:val="22"/>
          <w:lang w:val="en-GB"/>
        </w:rPr>
        <w:t xml:space="preserve">and </w:t>
      </w:r>
      <w:r w:rsidR="00C240E7" w:rsidRPr="00D8025F">
        <w:rPr>
          <w:rFonts w:asciiTheme="minorHAnsi" w:eastAsia="MS Mincho" w:hAnsiTheme="minorHAnsi" w:cstheme="minorHAnsi"/>
          <w:color w:val="59595B"/>
          <w:sz w:val="22"/>
          <w:szCs w:val="22"/>
          <w:lang w:val="en-GB"/>
        </w:rPr>
        <w:t xml:space="preserve">in addition </w:t>
      </w:r>
      <w:r w:rsidR="006B3E3B" w:rsidRPr="00D8025F">
        <w:rPr>
          <w:rFonts w:asciiTheme="minorHAnsi" w:eastAsia="MS Mincho" w:hAnsiTheme="minorHAnsi" w:cstheme="minorHAnsi"/>
          <w:color w:val="59595B"/>
          <w:sz w:val="22"/>
          <w:szCs w:val="22"/>
          <w:lang w:val="en-GB"/>
        </w:rPr>
        <w:t xml:space="preserve">taxable </w:t>
      </w:r>
      <w:r w:rsidR="00EF3BD6" w:rsidRPr="00D8025F">
        <w:rPr>
          <w:rFonts w:asciiTheme="minorHAnsi" w:eastAsia="MS Mincho" w:hAnsiTheme="minorHAnsi" w:cstheme="minorHAnsi"/>
          <w:color w:val="59595B"/>
          <w:sz w:val="22"/>
          <w:szCs w:val="22"/>
          <w:lang w:val="en-GB"/>
        </w:rPr>
        <w:t>profit</w:t>
      </w:r>
      <w:r w:rsidR="00667EDE" w:rsidRPr="00D8025F">
        <w:rPr>
          <w:rFonts w:asciiTheme="minorHAnsi" w:eastAsia="MS Mincho" w:hAnsiTheme="minorHAnsi" w:cstheme="minorHAnsi"/>
          <w:color w:val="59595B"/>
          <w:sz w:val="22"/>
          <w:szCs w:val="22"/>
          <w:lang w:val="en-GB"/>
        </w:rPr>
        <w:t>s</w:t>
      </w:r>
      <w:r w:rsidR="00382BA2" w:rsidRPr="00D8025F">
        <w:rPr>
          <w:rFonts w:asciiTheme="minorHAnsi" w:eastAsia="MS Mincho" w:hAnsiTheme="minorHAnsi" w:cstheme="minorHAnsi"/>
          <w:color w:val="59595B"/>
          <w:sz w:val="22"/>
          <w:szCs w:val="22"/>
          <w:lang w:val="en-GB"/>
        </w:rPr>
        <w:t xml:space="preserve"> realised during</w:t>
      </w:r>
      <w:r w:rsidR="00EF3BD6" w:rsidRPr="00D8025F">
        <w:rPr>
          <w:rFonts w:asciiTheme="minorHAnsi" w:eastAsia="MS Mincho" w:hAnsiTheme="minorHAnsi" w:cstheme="minorHAnsi"/>
          <w:color w:val="59595B"/>
          <w:sz w:val="22"/>
          <w:szCs w:val="22"/>
          <w:lang w:val="en-GB"/>
        </w:rPr>
        <w:t xml:space="preserve"> H1</w:t>
      </w:r>
      <w:r w:rsidR="006B3E3B" w:rsidRPr="00D8025F">
        <w:rPr>
          <w:rFonts w:asciiTheme="minorHAnsi" w:eastAsia="MS Mincho" w:hAnsiTheme="minorHAnsi" w:cstheme="minorHAnsi"/>
          <w:color w:val="59595B"/>
          <w:sz w:val="22"/>
          <w:szCs w:val="22"/>
          <w:lang w:val="en-GB"/>
        </w:rPr>
        <w:t xml:space="preserve"> 2020. </w:t>
      </w:r>
    </w:p>
    <w:p w14:paraId="3BC4BA73" w14:textId="77777777" w:rsidR="00E331EB" w:rsidRPr="00DC3886" w:rsidRDefault="00E331EB" w:rsidP="00E331EB">
      <w:pPr>
        <w:autoSpaceDE w:val="0"/>
        <w:autoSpaceDN w:val="0"/>
        <w:adjustRightInd w:val="0"/>
        <w:ind w:left="360"/>
        <w:rPr>
          <w:rFonts w:asciiTheme="minorHAnsi" w:hAnsiTheme="minorHAnsi" w:cstheme="minorHAnsi"/>
          <w:i/>
          <w:color w:val="59595B"/>
          <w:szCs w:val="22"/>
          <w:lang w:val="en-GB"/>
        </w:rPr>
      </w:pPr>
    </w:p>
    <w:p w14:paraId="12DB97D4" w14:textId="20AD849A" w:rsidR="00A27C22" w:rsidRPr="00DC3886" w:rsidRDefault="00E331EB" w:rsidP="006446EE">
      <w:pPr>
        <w:autoSpaceDE w:val="0"/>
        <w:autoSpaceDN w:val="0"/>
        <w:adjustRightInd w:val="0"/>
        <w:ind w:left="360"/>
        <w:rPr>
          <w:rFonts w:asciiTheme="minorHAnsi" w:hAnsiTheme="minorHAnsi" w:cstheme="minorHAnsi"/>
          <w:i/>
          <w:color w:val="59595B"/>
          <w:szCs w:val="22"/>
          <w:lang w:val="en-GB"/>
        </w:rPr>
      </w:pPr>
      <w:r w:rsidRPr="00DC3886">
        <w:rPr>
          <w:rFonts w:asciiTheme="minorHAnsi" w:hAnsiTheme="minorHAnsi" w:cstheme="minorHAnsi"/>
          <w:i/>
          <w:color w:val="59595B"/>
          <w:szCs w:val="22"/>
          <w:lang w:val="en-GB"/>
        </w:rPr>
        <w:t xml:space="preserve">18. </w:t>
      </w:r>
      <w:r w:rsidR="00A27C22" w:rsidRPr="00DC3886">
        <w:rPr>
          <w:rFonts w:asciiTheme="minorHAnsi" w:hAnsiTheme="minorHAnsi" w:cstheme="minorHAnsi"/>
          <w:i/>
          <w:color w:val="59595B"/>
          <w:szCs w:val="22"/>
          <w:lang w:val="en-GB"/>
        </w:rPr>
        <w:t>Events since the end of the reporting period</w:t>
      </w:r>
    </w:p>
    <w:p w14:paraId="0D5C6E65" w14:textId="77777777" w:rsidR="00A27C22" w:rsidRPr="00DC3886" w:rsidRDefault="00A27C22" w:rsidP="00A27C22">
      <w:pPr>
        <w:pStyle w:val="ListParagraph"/>
        <w:autoSpaceDE w:val="0"/>
        <w:autoSpaceDN w:val="0"/>
        <w:adjustRightInd w:val="0"/>
        <w:rPr>
          <w:rFonts w:asciiTheme="minorHAnsi" w:hAnsiTheme="minorHAnsi" w:cstheme="minorHAnsi"/>
          <w:i/>
          <w:color w:val="59595B"/>
          <w:szCs w:val="22"/>
          <w:lang w:val="en-GB"/>
        </w:rPr>
      </w:pPr>
    </w:p>
    <w:p w14:paraId="2E03CC05" w14:textId="77777777" w:rsidR="00A27C22" w:rsidRPr="00D8025F" w:rsidRDefault="00A27C22" w:rsidP="00320026">
      <w:pPr>
        <w:autoSpaceDE w:val="0"/>
        <w:autoSpaceDN w:val="0"/>
        <w:adjustRightInd w:val="0"/>
        <w:rPr>
          <w:rFonts w:asciiTheme="minorHAnsi" w:eastAsia="MS Mincho" w:hAnsiTheme="minorHAnsi" w:cstheme="minorHAnsi"/>
          <w:color w:val="59595B"/>
          <w:sz w:val="22"/>
          <w:szCs w:val="22"/>
          <w:lang w:val="en-GB"/>
        </w:rPr>
      </w:pPr>
      <w:r w:rsidRPr="00D8025F">
        <w:rPr>
          <w:rFonts w:asciiTheme="minorHAnsi" w:eastAsia="MS Mincho" w:hAnsiTheme="minorHAnsi" w:cstheme="minorHAnsi"/>
          <w:color w:val="59595B"/>
          <w:sz w:val="22"/>
          <w:szCs w:val="22"/>
          <w:lang w:val="en-GB"/>
        </w:rPr>
        <w:t>There have been no significant changes or material events since the reporting date.</w:t>
      </w:r>
    </w:p>
    <w:p w14:paraId="62B69F8D" w14:textId="77777777" w:rsidR="00A27C22" w:rsidRPr="001D0FE2" w:rsidRDefault="00A27C22" w:rsidP="00A27C22">
      <w:pPr>
        <w:jc w:val="left"/>
        <w:rPr>
          <w:rFonts w:asciiTheme="minorHAnsi" w:hAnsiTheme="minorHAnsi" w:cstheme="minorHAnsi"/>
          <w:color w:val="auto"/>
          <w:sz w:val="20"/>
          <w:szCs w:val="20"/>
          <w:lang w:val="en-GB" w:eastAsia="en-GB"/>
        </w:rPr>
      </w:pPr>
    </w:p>
    <w:p w14:paraId="20454802" w14:textId="7023EC3C" w:rsidR="00A27C22" w:rsidRPr="001D0FE2" w:rsidRDefault="00A27C22" w:rsidP="006166DB">
      <w:pPr>
        <w:jc w:val="left"/>
        <w:rPr>
          <w:rFonts w:asciiTheme="minorHAnsi" w:hAnsiTheme="minorHAnsi" w:cstheme="minorHAnsi"/>
          <w:sz w:val="28"/>
          <w:lang w:val="en-GB"/>
        </w:rPr>
      </w:pPr>
      <w:r w:rsidRPr="001D0FE2">
        <w:rPr>
          <w:rFonts w:asciiTheme="minorHAnsi" w:hAnsiTheme="minorHAnsi" w:cstheme="minorHAnsi"/>
          <w:color w:val="auto"/>
          <w:sz w:val="20"/>
          <w:szCs w:val="20"/>
          <w:lang w:val="en-GB" w:eastAsia="en-GB"/>
        </w:rPr>
        <w:lastRenderedPageBreak/>
        <w:br/>
      </w:r>
      <w:r w:rsidRPr="001D0FE2">
        <w:rPr>
          <w:rFonts w:asciiTheme="minorHAnsi" w:hAnsiTheme="minorHAnsi" w:cstheme="minorHAnsi"/>
          <w:sz w:val="28"/>
          <w:lang w:val="en-GB"/>
        </w:rPr>
        <w:t xml:space="preserve">Appendix: Main Condensed Consolidated Interim Financial Statements reported in US dollars </w:t>
      </w:r>
    </w:p>
    <w:p w14:paraId="3CB20718" w14:textId="77777777" w:rsidR="006F4535" w:rsidRDefault="006F4535" w:rsidP="00173597">
      <w:pPr>
        <w:jc w:val="left"/>
        <w:rPr>
          <w:rFonts w:asciiTheme="minorHAnsi" w:eastAsiaTheme="majorEastAsia" w:hAnsiTheme="minorHAnsi" w:cstheme="minorHAnsi"/>
          <w:b/>
          <w:color w:val="59595B"/>
          <w:szCs w:val="28"/>
          <w:lang w:val="en-GB" w:eastAsia="zh-CN"/>
        </w:rPr>
      </w:pPr>
    </w:p>
    <w:p w14:paraId="1537F814" w14:textId="18F9A816" w:rsidR="00A27C22" w:rsidRPr="001D0FE2" w:rsidRDefault="00A27C22" w:rsidP="00173597">
      <w:pPr>
        <w:jc w:val="left"/>
        <w:rPr>
          <w:rFonts w:asciiTheme="minorHAnsi" w:eastAsiaTheme="majorEastAsia" w:hAnsiTheme="minorHAnsi" w:cstheme="minorHAnsi"/>
          <w:b/>
          <w:color w:val="59595B"/>
          <w:szCs w:val="28"/>
          <w:lang w:val="en-GB" w:eastAsia="zh-CN"/>
        </w:rPr>
      </w:pPr>
      <w:r w:rsidRPr="001D0FE2">
        <w:rPr>
          <w:rFonts w:asciiTheme="minorHAnsi" w:eastAsiaTheme="majorEastAsia" w:hAnsiTheme="minorHAnsi" w:cstheme="minorHAnsi"/>
          <w:b/>
          <w:color w:val="59595B"/>
          <w:szCs w:val="28"/>
          <w:lang w:val="en-GB" w:eastAsia="zh-CN"/>
        </w:rPr>
        <w:t xml:space="preserve">Condensed Consolidated Statement of Income </w:t>
      </w:r>
      <w:r w:rsidRPr="001D0FE2">
        <w:rPr>
          <w:rFonts w:asciiTheme="minorHAnsi" w:eastAsiaTheme="majorEastAsia" w:hAnsiTheme="minorHAnsi" w:cstheme="minorHAnsi"/>
          <w:b/>
          <w:color w:val="59595B"/>
          <w:szCs w:val="28"/>
          <w:lang w:val="en-GB" w:eastAsia="zh-CN"/>
        </w:rPr>
        <w:tab/>
      </w:r>
      <w:r w:rsidRPr="001D0FE2">
        <w:rPr>
          <w:rFonts w:asciiTheme="minorHAnsi" w:eastAsiaTheme="majorEastAsia" w:hAnsiTheme="minorHAnsi" w:cstheme="minorHAnsi"/>
          <w:b/>
          <w:color w:val="59595B"/>
          <w:szCs w:val="28"/>
          <w:u w:val="single"/>
          <w:lang w:val="en-GB" w:eastAsia="zh-CN"/>
        </w:rPr>
        <w:t>in US Dollars</w:t>
      </w:r>
      <w:r w:rsidRPr="001D0FE2">
        <w:rPr>
          <w:rFonts w:asciiTheme="minorHAnsi" w:eastAsiaTheme="majorEastAsia" w:hAnsiTheme="minorHAnsi" w:cstheme="minorHAnsi"/>
          <w:b/>
          <w:color w:val="59595B"/>
          <w:szCs w:val="28"/>
          <w:lang w:val="en-GB" w:eastAsia="zh-CN"/>
        </w:rPr>
        <w:tab/>
      </w:r>
      <w:r w:rsidRPr="001D0FE2">
        <w:rPr>
          <w:rFonts w:asciiTheme="minorHAnsi" w:eastAsiaTheme="majorEastAsia" w:hAnsiTheme="minorHAnsi" w:cstheme="minorHAnsi"/>
          <w:b/>
          <w:color w:val="59595B"/>
          <w:szCs w:val="28"/>
          <w:lang w:val="en-GB" w:eastAsia="zh-CN"/>
        </w:rPr>
        <w:tab/>
      </w:r>
      <w:r w:rsidRPr="001D0FE2">
        <w:rPr>
          <w:rFonts w:asciiTheme="minorHAnsi" w:eastAsiaTheme="majorEastAsia" w:hAnsiTheme="minorHAnsi" w:cstheme="minorHAnsi"/>
          <w:b/>
          <w:color w:val="59595B"/>
          <w:szCs w:val="28"/>
          <w:lang w:val="en-GB" w:eastAsia="zh-CN"/>
        </w:rPr>
        <w:tab/>
      </w:r>
      <w:r w:rsidRPr="001D0FE2">
        <w:rPr>
          <w:rFonts w:asciiTheme="minorHAnsi" w:eastAsiaTheme="majorEastAsia" w:hAnsiTheme="minorHAnsi" w:cstheme="minorHAnsi"/>
          <w:b/>
          <w:color w:val="59595B"/>
          <w:szCs w:val="28"/>
          <w:lang w:val="en-GB" w:eastAsia="zh-CN"/>
        </w:rPr>
        <w:tab/>
      </w:r>
    </w:p>
    <w:p w14:paraId="1F34CC18" w14:textId="14C6F8EA" w:rsidR="00A27C22" w:rsidRDefault="00A27C22" w:rsidP="00A27C22">
      <w:pPr>
        <w:rPr>
          <w:rFonts w:asciiTheme="minorHAnsi" w:hAnsiTheme="minorHAnsi" w:cstheme="minorHAnsi"/>
          <w:lang w:val="en-GB"/>
        </w:rPr>
      </w:pPr>
      <w:r w:rsidRPr="001D0FE2">
        <w:rPr>
          <w:rFonts w:asciiTheme="minorHAnsi" w:hAnsiTheme="minorHAnsi" w:cstheme="minorHAnsi"/>
          <w:lang w:val="en-GB"/>
        </w:rPr>
        <w:t>For the period ended 30 June</w:t>
      </w:r>
    </w:p>
    <w:p w14:paraId="3047F0A4" w14:textId="77777777" w:rsidR="006F4535" w:rsidRPr="001D0FE2" w:rsidRDefault="006F4535" w:rsidP="00A27C22">
      <w:pPr>
        <w:rPr>
          <w:rFonts w:asciiTheme="minorHAnsi" w:hAnsiTheme="minorHAnsi" w:cstheme="minorHAnsi"/>
          <w:lang w:val="en-GB"/>
        </w:rPr>
      </w:pPr>
    </w:p>
    <w:tbl>
      <w:tblPr>
        <w:tblW w:w="9072" w:type="dxa"/>
        <w:tblLook w:val="04A0" w:firstRow="1" w:lastRow="0" w:firstColumn="1" w:lastColumn="0" w:noHBand="0" w:noVBand="1"/>
      </w:tblPr>
      <w:tblGrid>
        <w:gridCol w:w="5312"/>
        <w:gridCol w:w="1880"/>
        <w:gridCol w:w="1880"/>
      </w:tblGrid>
      <w:tr w:rsidR="00A27C22" w:rsidRPr="001D0FE2" w14:paraId="2873E34C" w14:textId="77777777" w:rsidTr="006F4535">
        <w:trPr>
          <w:trHeight w:val="613"/>
        </w:trPr>
        <w:tc>
          <w:tcPr>
            <w:tcW w:w="5312" w:type="dxa"/>
            <w:tcBorders>
              <w:top w:val="nil"/>
              <w:left w:val="nil"/>
              <w:bottom w:val="single" w:sz="8" w:space="0" w:color="BFBFBF"/>
              <w:right w:val="nil"/>
            </w:tcBorders>
            <w:shd w:val="clear" w:color="000000" w:fill="366092"/>
            <w:vAlign w:val="center"/>
            <w:hideMark/>
          </w:tcPr>
          <w:p w14:paraId="0AAB7417"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1880" w:type="dxa"/>
            <w:tcBorders>
              <w:top w:val="nil"/>
              <w:left w:val="nil"/>
              <w:bottom w:val="single" w:sz="8" w:space="0" w:color="BFBFBF"/>
              <w:right w:val="nil"/>
            </w:tcBorders>
            <w:shd w:val="clear" w:color="000000" w:fill="366092"/>
            <w:vAlign w:val="center"/>
            <w:hideMark/>
          </w:tcPr>
          <w:p w14:paraId="6E9144F5"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2020</w:t>
            </w:r>
          </w:p>
        </w:tc>
        <w:tc>
          <w:tcPr>
            <w:tcW w:w="1880" w:type="dxa"/>
            <w:tcBorders>
              <w:top w:val="nil"/>
              <w:left w:val="nil"/>
              <w:bottom w:val="single" w:sz="8" w:space="0" w:color="BFBFBF"/>
              <w:right w:val="nil"/>
            </w:tcBorders>
            <w:shd w:val="clear" w:color="000000" w:fill="366092"/>
            <w:vAlign w:val="center"/>
            <w:hideMark/>
          </w:tcPr>
          <w:p w14:paraId="560F6A75"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2019</w:t>
            </w:r>
          </w:p>
        </w:tc>
      </w:tr>
      <w:tr w:rsidR="00A27C22" w:rsidRPr="001D0FE2" w14:paraId="620566D7" w14:textId="77777777" w:rsidTr="006F4535">
        <w:trPr>
          <w:trHeight w:val="208"/>
        </w:trPr>
        <w:tc>
          <w:tcPr>
            <w:tcW w:w="5312" w:type="dxa"/>
            <w:tcBorders>
              <w:top w:val="nil"/>
              <w:left w:val="single" w:sz="8" w:space="0" w:color="BFBFBF"/>
              <w:bottom w:val="nil"/>
              <w:right w:val="single" w:sz="8" w:space="0" w:color="BFBFBF"/>
            </w:tcBorders>
            <w:shd w:val="clear" w:color="000000" w:fill="FFFFFF"/>
            <w:vAlign w:val="center"/>
            <w:hideMark/>
          </w:tcPr>
          <w:p w14:paraId="00E39775"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nil"/>
              <w:bottom w:val="nil"/>
              <w:right w:val="single" w:sz="8" w:space="0" w:color="BFBFBF"/>
            </w:tcBorders>
            <w:shd w:val="clear" w:color="000000" w:fill="DCE6F1"/>
            <w:noWrap/>
            <w:vAlign w:val="bottom"/>
            <w:hideMark/>
          </w:tcPr>
          <w:p w14:paraId="36360380" w14:textId="77777777" w:rsidR="00A27C22" w:rsidRPr="001D0FE2" w:rsidRDefault="00A27C22" w:rsidP="00B81D69">
            <w:pPr>
              <w:jc w:val="left"/>
              <w:rPr>
                <w:rFonts w:asciiTheme="minorHAnsi" w:hAnsiTheme="minorHAnsi" w:cstheme="minorHAnsi"/>
                <w:color w:val="00B0F0"/>
                <w:sz w:val="20"/>
                <w:szCs w:val="20"/>
                <w:lang w:val="en-GB"/>
              </w:rPr>
            </w:pPr>
            <w:r w:rsidRPr="001D0FE2">
              <w:rPr>
                <w:rFonts w:asciiTheme="minorHAnsi" w:hAnsiTheme="minorHAnsi" w:cstheme="minorHAnsi"/>
                <w:color w:val="00B0F0"/>
                <w:sz w:val="20"/>
                <w:szCs w:val="20"/>
                <w:lang w:val="en-GB"/>
              </w:rPr>
              <w:t> </w:t>
            </w:r>
          </w:p>
        </w:tc>
        <w:tc>
          <w:tcPr>
            <w:tcW w:w="1880" w:type="dxa"/>
            <w:tcBorders>
              <w:top w:val="nil"/>
              <w:left w:val="nil"/>
              <w:bottom w:val="nil"/>
              <w:right w:val="single" w:sz="8" w:space="0" w:color="BFBFBF"/>
            </w:tcBorders>
            <w:shd w:val="clear" w:color="auto" w:fill="auto"/>
            <w:noWrap/>
            <w:vAlign w:val="bottom"/>
            <w:hideMark/>
          </w:tcPr>
          <w:p w14:paraId="51310E7B"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533BC60E" w14:textId="77777777" w:rsidTr="006F4535">
        <w:trPr>
          <w:trHeight w:val="390"/>
        </w:trPr>
        <w:tc>
          <w:tcPr>
            <w:tcW w:w="5312" w:type="dxa"/>
            <w:tcBorders>
              <w:top w:val="nil"/>
              <w:left w:val="single" w:sz="8" w:space="0" w:color="BFBFBF"/>
              <w:bottom w:val="single" w:sz="8" w:space="0" w:color="BFBFBF"/>
              <w:right w:val="single" w:sz="8" w:space="0" w:color="BFBFBF"/>
            </w:tcBorders>
            <w:shd w:val="clear" w:color="000000" w:fill="FFFFFF"/>
            <w:vAlign w:val="center"/>
            <w:hideMark/>
          </w:tcPr>
          <w:p w14:paraId="04471E00"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Revenues</w:t>
            </w:r>
          </w:p>
        </w:tc>
        <w:tc>
          <w:tcPr>
            <w:tcW w:w="1880" w:type="dxa"/>
            <w:tcBorders>
              <w:top w:val="nil"/>
              <w:left w:val="nil"/>
              <w:bottom w:val="single" w:sz="8" w:space="0" w:color="BFBFBF"/>
              <w:right w:val="single" w:sz="8" w:space="0" w:color="BFBFBF"/>
            </w:tcBorders>
            <w:shd w:val="clear" w:color="000000" w:fill="DCE6F1"/>
            <w:noWrap/>
            <w:vAlign w:val="center"/>
            <w:hideMark/>
          </w:tcPr>
          <w:p w14:paraId="37569BF3"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97.827 </w:t>
            </w:r>
          </w:p>
        </w:tc>
        <w:tc>
          <w:tcPr>
            <w:tcW w:w="1880" w:type="dxa"/>
            <w:tcBorders>
              <w:top w:val="nil"/>
              <w:left w:val="nil"/>
              <w:bottom w:val="single" w:sz="8" w:space="0" w:color="BFBFBF"/>
              <w:right w:val="single" w:sz="8" w:space="0" w:color="BFBFBF"/>
            </w:tcBorders>
            <w:shd w:val="clear" w:color="auto" w:fill="auto"/>
            <w:noWrap/>
            <w:vAlign w:val="center"/>
            <w:hideMark/>
          </w:tcPr>
          <w:p w14:paraId="10A98ABA"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88.152 </w:t>
            </w:r>
          </w:p>
        </w:tc>
      </w:tr>
      <w:tr w:rsidR="00A27C22" w:rsidRPr="001D0FE2" w14:paraId="4209EA42" w14:textId="77777777" w:rsidTr="006F4535">
        <w:trPr>
          <w:trHeight w:val="390"/>
        </w:trPr>
        <w:tc>
          <w:tcPr>
            <w:tcW w:w="5312" w:type="dxa"/>
            <w:tcBorders>
              <w:top w:val="nil"/>
              <w:left w:val="single" w:sz="8" w:space="0" w:color="BFBFBF"/>
              <w:bottom w:val="single" w:sz="8" w:space="0" w:color="BFBFBF"/>
              <w:right w:val="single" w:sz="8" w:space="0" w:color="BFBFBF"/>
            </w:tcBorders>
            <w:shd w:val="clear" w:color="000000" w:fill="FFFFFF"/>
            <w:vAlign w:val="center"/>
            <w:hideMark/>
          </w:tcPr>
          <w:p w14:paraId="3729E1AD"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Costs of sales</w:t>
            </w:r>
          </w:p>
        </w:tc>
        <w:tc>
          <w:tcPr>
            <w:tcW w:w="1880" w:type="dxa"/>
            <w:tcBorders>
              <w:top w:val="nil"/>
              <w:left w:val="nil"/>
              <w:bottom w:val="single" w:sz="8" w:space="0" w:color="BFBFBF"/>
              <w:right w:val="single" w:sz="8" w:space="0" w:color="BFBFBF"/>
            </w:tcBorders>
            <w:shd w:val="clear" w:color="000000" w:fill="DCE6F1"/>
            <w:noWrap/>
            <w:vAlign w:val="center"/>
            <w:hideMark/>
          </w:tcPr>
          <w:p w14:paraId="5CC3747A"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(10.885)</w:t>
            </w:r>
          </w:p>
        </w:tc>
        <w:tc>
          <w:tcPr>
            <w:tcW w:w="1880" w:type="dxa"/>
            <w:tcBorders>
              <w:top w:val="nil"/>
              <w:left w:val="nil"/>
              <w:bottom w:val="single" w:sz="8" w:space="0" w:color="BFBFBF"/>
              <w:right w:val="single" w:sz="8" w:space="0" w:color="BFBFBF"/>
            </w:tcBorders>
            <w:shd w:val="clear" w:color="auto" w:fill="auto"/>
            <w:noWrap/>
            <w:vAlign w:val="center"/>
            <w:hideMark/>
          </w:tcPr>
          <w:p w14:paraId="515842DD"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(12.392)</w:t>
            </w:r>
          </w:p>
        </w:tc>
      </w:tr>
      <w:tr w:rsidR="00A27C22" w:rsidRPr="001D0FE2" w14:paraId="26E58515" w14:textId="77777777" w:rsidTr="006F4535">
        <w:trPr>
          <w:trHeight w:val="390"/>
        </w:trPr>
        <w:tc>
          <w:tcPr>
            <w:tcW w:w="5312" w:type="dxa"/>
            <w:tcBorders>
              <w:top w:val="nil"/>
              <w:left w:val="single" w:sz="8" w:space="0" w:color="BFBFBF"/>
              <w:bottom w:val="single" w:sz="8" w:space="0" w:color="BFBFBF"/>
              <w:right w:val="single" w:sz="8" w:space="0" w:color="BFBFBF"/>
            </w:tcBorders>
            <w:shd w:val="clear" w:color="000000" w:fill="FFFFFF"/>
            <w:vAlign w:val="center"/>
            <w:hideMark/>
          </w:tcPr>
          <w:p w14:paraId="116CB4E1"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Gross profit</w:t>
            </w:r>
          </w:p>
        </w:tc>
        <w:tc>
          <w:tcPr>
            <w:tcW w:w="1880" w:type="dxa"/>
            <w:tcBorders>
              <w:top w:val="nil"/>
              <w:left w:val="nil"/>
              <w:bottom w:val="single" w:sz="8" w:space="0" w:color="BFBFBF"/>
              <w:right w:val="single" w:sz="8" w:space="0" w:color="BFBFBF"/>
            </w:tcBorders>
            <w:shd w:val="clear" w:color="000000" w:fill="DCE6F1"/>
            <w:noWrap/>
            <w:vAlign w:val="center"/>
            <w:hideMark/>
          </w:tcPr>
          <w:p w14:paraId="1263D97B"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86.942 </w:t>
            </w:r>
          </w:p>
        </w:tc>
        <w:tc>
          <w:tcPr>
            <w:tcW w:w="1880" w:type="dxa"/>
            <w:tcBorders>
              <w:top w:val="nil"/>
              <w:left w:val="nil"/>
              <w:bottom w:val="single" w:sz="8" w:space="0" w:color="BFBFBF"/>
              <w:right w:val="single" w:sz="8" w:space="0" w:color="BFBFBF"/>
            </w:tcBorders>
            <w:shd w:val="clear" w:color="auto" w:fill="auto"/>
            <w:noWrap/>
            <w:vAlign w:val="center"/>
            <w:hideMark/>
          </w:tcPr>
          <w:p w14:paraId="1B9B10F0"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75.760 </w:t>
            </w:r>
          </w:p>
        </w:tc>
      </w:tr>
      <w:tr w:rsidR="00A27C22" w:rsidRPr="001D0FE2" w14:paraId="699CC9C7" w14:textId="77777777" w:rsidTr="006F4535">
        <w:trPr>
          <w:trHeight w:val="390"/>
        </w:trPr>
        <w:tc>
          <w:tcPr>
            <w:tcW w:w="5312" w:type="dxa"/>
            <w:tcBorders>
              <w:top w:val="nil"/>
              <w:left w:val="single" w:sz="8" w:space="0" w:color="BFBFBF"/>
              <w:bottom w:val="single" w:sz="8" w:space="0" w:color="BFBFBF"/>
              <w:right w:val="single" w:sz="8" w:space="0" w:color="BFBFBF"/>
            </w:tcBorders>
            <w:shd w:val="clear" w:color="000000" w:fill="FFFFFF"/>
            <w:vAlign w:val="center"/>
            <w:hideMark/>
          </w:tcPr>
          <w:p w14:paraId="4E2F2B74"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Other income</w:t>
            </w:r>
          </w:p>
        </w:tc>
        <w:tc>
          <w:tcPr>
            <w:tcW w:w="1880" w:type="dxa"/>
            <w:tcBorders>
              <w:top w:val="nil"/>
              <w:left w:val="nil"/>
              <w:bottom w:val="single" w:sz="8" w:space="0" w:color="BFBFBF"/>
              <w:right w:val="single" w:sz="8" w:space="0" w:color="BFBFBF"/>
            </w:tcBorders>
            <w:shd w:val="clear" w:color="000000" w:fill="DCE6F1"/>
            <w:noWrap/>
            <w:vAlign w:val="center"/>
            <w:hideMark/>
          </w:tcPr>
          <w:p w14:paraId="02A2DD28"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525 </w:t>
            </w:r>
          </w:p>
        </w:tc>
        <w:tc>
          <w:tcPr>
            <w:tcW w:w="1880" w:type="dxa"/>
            <w:tcBorders>
              <w:top w:val="nil"/>
              <w:left w:val="nil"/>
              <w:bottom w:val="single" w:sz="8" w:space="0" w:color="BFBFBF"/>
              <w:right w:val="single" w:sz="8" w:space="0" w:color="BFBFBF"/>
            </w:tcBorders>
            <w:shd w:val="clear" w:color="auto" w:fill="auto"/>
            <w:noWrap/>
            <w:vAlign w:val="center"/>
            <w:hideMark/>
          </w:tcPr>
          <w:p w14:paraId="3D0AFD1B"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167 </w:t>
            </w:r>
          </w:p>
        </w:tc>
      </w:tr>
      <w:tr w:rsidR="00A27C22" w:rsidRPr="001D0FE2" w14:paraId="6DEB4DA2" w14:textId="77777777" w:rsidTr="006F4535">
        <w:trPr>
          <w:trHeight w:val="313"/>
        </w:trPr>
        <w:tc>
          <w:tcPr>
            <w:tcW w:w="5312" w:type="dxa"/>
            <w:tcBorders>
              <w:top w:val="nil"/>
              <w:left w:val="single" w:sz="8" w:space="0" w:color="BFBFBF"/>
              <w:bottom w:val="nil"/>
              <w:right w:val="single" w:sz="8" w:space="0" w:color="BFBFBF"/>
            </w:tcBorders>
            <w:shd w:val="clear" w:color="auto" w:fill="auto"/>
            <w:vAlign w:val="center"/>
            <w:hideMark/>
          </w:tcPr>
          <w:p w14:paraId="3EF5C763"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Research and development</w:t>
            </w:r>
          </w:p>
        </w:tc>
        <w:tc>
          <w:tcPr>
            <w:tcW w:w="1880" w:type="dxa"/>
            <w:tcBorders>
              <w:top w:val="nil"/>
              <w:left w:val="nil"/>
              <w:bottom w:val="nil"/>
              <w:right w:val="single" w:sz="8" w:space="0" w:color="BFBFBF"/>
            </w:tcBorders>
            <w:shd w:val="clear" w:color="000000" w:fill="DCE6F1"/>
            <w:noWrap/>
            <w:vAlign w:val="bottom"/>
            <w:hideMark/>
          </w:tcPr>
          <w:p w14:paraId="75EEF09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(17.658)</w:t>
            </w:r>
          </w:p>
        </w:tc>
        <w:tc>
          <w:tcPr>
            <w:tcW w:w="1880" w:type="dxa"/>
            <w:tcBorders>
              <w:top w:val="nil"/>
              <w:left w:val="nil"/>
              <w:bottom w:val="nil"/>
              <w:right w:val="single" w:sz="8" w:space="0" w:color="BFBFBF"/>
            </w:tcBorders>
            <w:shd w:val="clear" w:color="auto" w:fill="auto"/>
            <w:noWrap/>
            <w:vAlign w:val="bottom"/>
            <w:hideMark/>
          </w:tcPr>
          <w:p w14:paraId="6A919418"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(16.827)</w:t>
            </w:r>
          </w:p>
        </w:tc>
      </w:tr>
      <w:tr w:rsidR="00A27C22" w:rsidRPr="001D0FE2" w14:paraId="57C233D2" w14:textId="77777777" w:rsidTr="006F4535">
        <w:trPr>
          <w:trHeight w:val="313"/>
        </w:trPr>
        <w:tc>
          <w:tcPr>
            <w:tcW w:w="5312" w:type="dxa"/>
            <w:tcBorders>
              <w:top w:val="nil"/>
              <w:left w:val="single" w:sz="8" w:space="0" w:color="BFBFBF"/>
              <w:bottom w:val="nil"/>
              <w:right w:val="single" w:sz="8" w:space="0" w:color="BFBFBF"/>
            </w:tcBorders>
            <w:shd w:val="clear" w:color="auto" w:fill="auto"/>
            <w:vAlign w:val="center"/>
            <w:hideMark/>
          </w:tcPr>
          <w:p w14:paraId="770E35C9"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General and administrative</w:t>
            </w:r>
          </w:p>
        </w:tc>
        <w:tc>
          <w:tcPr>
            <w:tcW w:w="1880" w:type="dxa"/>
            <w:tcBorders>
              <w:top w:val="nil"/>
              <w:left w:val="nil"/>
              <w:bottom w:val="nil"/>
              <w:right w:val="single" w:sz="8" w:space="0" w:color="BFBFBF"/>
            </w:tcBorders>
            <w:shd w:val="clear" w:color="000000" w:fill="DCE6F1"/>
            <w:noWrap/>
            <w:vAlign w:val="bottom"/>
            <w:hideMark/>
          </w:tcPr>
          <w:p w14:paraId="77325C9F"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(9.846)</w:t>
            </w:r>
          </w:p>
        </w:tc>
        <w:tc>
          <w:tcPr>
            <w:tcW w:w="1880" w:type="dxa"/>
            <w:tcBorders>
              <w:top w:val="nil"/>
              <w:left w:val="nil"/>
              <w:bottom w:val="nil"/>
              <w:right w:val="single" w:sz="8" w:space="0" w:color="BFBFBF"/>
            </w:tcBorders>
            <w:shd w:val="clear" w:color="auto" w:fill="auto"/>
            <w:noWrap/>
            <w:vAlign w:val="bottom"/>
            <w:hideMark/>
          </w:tcPr>
          <w:p w14:paraId="621842A9"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(7.739)</w:t>
            </w:r>
          </w:p>
        </w:tc>
      </w:tr>
      <w:tr w:rsidR="00A27C22" w:rsidRPr="001D0FE2" w14:paraId="62ACD0AC" w14:textId="77777777" w:rsidTr="006F4535">
        <w:trPr>
          <w:trHeight w:val="313"/>
        </w:trPr>
        <w:tc>
          <w:tcPr>
            <w:tcW w:w="5312" w:type="dxa"/>
            <w:tcBorders>
              <w:top w:val="nil"/>
              <w:left w:val="single" w:sz="8" w:space="0" w:color="BFBFBF"/>
              <w:bottom w:val="single" w:sz="8" w:space="0" w:color="BFBFBF"/>
              <w:right w:val="single" w:sz="8" w:space="0" w:color="BFBFBF"/>
            </w:tcBorders>
            <w:shd w:val="clear" w:color="auto" w:fill="auto"/>
            <w:vAlign w:val="center"/>
            <w:hideMark/>
          </w:tcPr>
          <w:p w14:paraId="504AE4BE"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Marketing and sales</w:t>
            </w:r>
          </w:p>
        </w:tc>
        <w:tc>
          <w:tcPr>
            <w:tcW w:w="1880" w:type="dxa"/>
            <w:tcBorders>
              <w:top w:val="nil"/>
              <w:left w:val="nil"/>
              <w:bottom w:val="single" w:sz="8" w:space="0" w:color="BFBFBF"/>
              <w:right w:val="single" w:sz="8" w:space="0" w:color="BFBFBF"/>
            </w:tcBorders>
            <w:shd w:val="clear" w:color="000000" w:fill="DCE6F1"/>
            <w:noWrap/>
            <w:vAlign w:val="bottom"/>
            <w:hideMark/>
          </w:tcPr>
          <w:p w14:paraId="6436249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(24.283)</w:t>
            </w:r>
          </w:p>
        </w:tc>
        <w:tc>
          <w:tcPr>
            <w:tcW w:w="1880" w:type="dxa"/>
            <w:tcBorders>
              <w:top w:val="nil"/>
              <w:left w:val="nil"/>
              <w:bottom w:val="single" w:sz="8" w:space="0" w:color="BFBFBF"/>
              <w:right w:val="single" w:sz="8" w:space="0" w:color="BFBFBF"/>
            </w:tcBorders>
            <w:shd w:val="clear" w:color="auto" w:fill="auto"/>
            <w:noWrap/>
            <w:vAlign w:val="bottom"/>
            <w:hideMark/>
          </w:tcPr>
          <w:p w14:paraId="0C2781D7"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(23.500)</w:t>
            </w:r>
          </w:p>
        </w:tc>
      </w:tr>
      <w:tr w:rsidR="00A27C22" w:rsidRPr="001D0FE2" w14:paraId="5512DF31" w14:textId="77777777" w:rsidTr="006F4535">
        <w:trPr>
          <w:trHeight w:val="390"/>
        </w:trPr>
        <w:tc>
          <w:tcPr>
            <w:tcW w:w="5312" w:type="dxa"/>
            <w:tcBorders>
              <w:top w:val="nil"/>
              <w:left w:val="single" w:sz="8" w:space="0" w:color="BFBFBF"/>
              <w:bottom w:val="single" w:sz="8" w:space="0" w:color="BFBFBF"/>
              <w:right w:val="single" w:sz="8" w:space="0" w:color="BFBFBF"/>
            </w:tcBorders>
            <w:shd w:val="clear" w:color="000000" w:fill="FFFFFF"/>
            <w:vAlign w:val="center"/>
            <w:hideMark/>
          </w:tcPr>
          <w:p w14:paraId="1ACE3FD6"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Costs</w:t>
            </w:r>
          </w:p>
        </w:tc>
        <w:tc>
          <w:tcPr>
            <w:tcW w:w="1880" w:type="dxa"/>
            <w:tcBorders>
              <w:top w:val="nil"/>
              <w:left w:val="nil"/>
              <w:bottom w:val="single" w:sz="8" w:space="0" w:color="BFBFBF"/>
              <w:right w:val="single" w:sz="8" w:space="0" w:color="BFBFBF"/>
            </w:tcBorders>
            <w:shd w:val="clear" w:color="000000" w:fill="DCE6F1"/>
            <w:noWrap/>
            <w:vAlign w:val="center"/>
            <w:hideMark/>
          </w:tcPr>
          <w:p w14:paraId="7573B70D"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(51.787)</w:t>
            </w:r>
          </w:p>
        </w:tc>
        <w:tc>
          <w:tcPr>
            <w:tcW w:w="1880" w:type="dxa"/>
            <w:tcBorders>
              <w:top w:val="nil"/>
              <w:left w:val="nil"/>
              <w:bottom w:val="single" w:sz="8" w:space="0" w:color="BFBFBF"/>
              <w:right w:val="single" w:sz="8" w:space="0" w:color="BFBFBF"/>
            </w:tcBorders>
            <w:shd w:val="clear" w:color="auto" w:fill="auto"/>
            <w:noWrap/>
            <w:vAlign w:val="center"/>
            <w:hideMark/>
          </w:tcPr>
          <w:p w14:paraId="73426468"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(48.066)</w:t>
            </w:r>
          </w:p>
        </w:tc>
      </w:tr>
      <w:tr w:rsidR="00A27C22" w:rsidRPr="001D0FE2" w14:paraId="573CE480" w14:textId="77777777" w:rsidTr="006F4535">
        <w:trPr>
          <w:trHeight w:val="390"/>
        </w:trPr>
        <w:tc>
          <w:tcPr>
            <w:tcW w:w="5312" w:type="dxa"/>
            <w:tcBorders>
              <w:top w:val="nil"/>
              <w:left w:val="single" w:sz="8" w:space="0" w:color="BFBFBF"/>
              <w:bottom w:val="single" w:sz="8" w:space="0" w:color="BFBFBF"/>
              <w:right w:val="single" w:sz="8" w:space="0" w:color="BFBFBF"/>
            </w:tcBorders>
            <w:shd w:val="clear" w:color="000000" w:fill="FFFFFF"/>
            <w:vAlign w:val="center"/>
            <w:hideMark/>
          </w:tcPr>
          <w:p w14:paraId="50094CEA"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Operating result</w:t>
            </w:r>
          </w:p>
        </w:tc>
        <w:tc>
          <w:tcPr>
            <w:tcW w:w="1880" w:type="dxa"/>
            <w:tcBorders>
              <w:top w:val="nil"/>
              <w:left w:val="nil"/>
              <w:bottom w:val="single" w:sz="8" w:space="0" w:color="BFBFBF"/>
              <w:right w:val="single" w:sz="8" w:space="0" w:color="BFBFBF"/>
            </w:tcBorders>
            <w:shd w:val="clear" w:color="000000" w:fill="DCE6F1"/>
            <w:noWrap/>
            <w:vAlign w:val="center"/>
            <w:hideMark/>
          </w:tcPr>
          <w:p w14:paraId="0FD89F5A"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35.680 </w:t>
            </w:r>
          </w:p>
        </w:tc>
        <w:tc>
          <w:tcPr>
            <w:tcW w:w="1880" w:type="dxa"/>
            <w:tcBorders>
              <w:top w:val="nil"/>
              <w:left w:val="nil"/>
              <w:bottom w:val="single" w:sz="8" w:space="0" w:color="BFBFBF"/>
              <w:right w:val="single" w:sz="8" w:space="0" w:color="BFBFBF"/>
            </w:tcBorders>
            <w:shd w:val="clear" w:color="auto" w:fill="auto"/>
            <w:noWrap/>
            <w:vAlign w:val="center"/>
            <w:hideMark/>
          </w:tcPr>
          <w:p w14:paraId="0465FA38"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27.861 </w:t>
            </w:r>
          </w:p>
        </w:tc>
      </w:tr>
      <w:tr w:rsidR="00A27C22" w:rsidRPr="001D0FE2" w14:paraId="57C6F5F1" w14:textId="77777777" w:rsidTr="006F4535">
        <w:trPr>
          <w:trHeight w:val="313"/>
        </w:trPr>
        <w:tc>
          <w:tcPr>
            <w:tcW w:w="5312" w:type="dxa"/>
            <w:tcBorders>
              <w:top w:val="nil"/>
              <w:left w:val="single" w:sz="8" w:space="0" w:color="BFBFBF"/>
              <w:bottom w:val="nil"/>
              <w:right w:val="single" w:sz="8" w:space="0" w:color="BFBFBF"/>
            </w:tcBorders>
            <w:shd w:val="clear" w:color="auto" w:fill="auto"/>
            <w:vAlign w:val="center"/>
            <w:hideMark/>
          </w:tcPr>
          <w:p w14:paraId="5616D82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Fair value gain (loss) on revaluation derivatives </w:t>
            </w:r>
          </w:p>
        </w:tc>
        <w:tc>
          <w:tcPr>
            <w:tcW w:w="1880" w:type="dxa"/>
            <w:tcBorders>
              <w:top w:val="nil"/>
              <w:left w:val="nil"/>
              <w:bottom w:val="nil"/>
              <w:right w:val="single" w:sz="8" w:space="0" w:color="BFBFBF"/>
            </w:tcBorders>
            <w:shd w:val="clear" w:color="000000" w:fill="DCE6F1"/>
            <w:noWrap/>
            <w:vAlign w:val="bottom"/>
            <w:hideMark/>
          </w:tcPr>
          <w:p w14:paraId="456ECE85"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93 </w:t>
            </w:r>
          </w:p>
        </w:tc>
        <w:tc>
          <w:tcPr>
            <w:tcW w:w="1880" w:type="dxa"/>
            <w:tcBorders>
              <w:top w:val="nil"/>
              <w:left w:val="nil"/>
              <w:bottom w:val="nil"/>
              <w:right w:val="single" w:sz="8" w:space="0" w:color="BFBFBF"/>
            </w:tcBorders>
            <w:shd w:val="clear" w:color="auto" w:fill="auto"/>
            <w:noWrap/>
            <w:vAlign w:val="bottom"/>
            <w:hideMark/>
          </w:tcPr>
          <w:p w14:paraId="46F59E4E"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(9)</w:t>
            </w:r>
          </w:p>
        </w:tc>
      </w:tr>
      <w:tr w:rsidR="00A27C22" w:rsidRPr="001D0FE2" w14:paraId="26E145DA" w14:textId="77777777" w:rsidTr="006F4535">
        <w:trPr>
          <w:trHeight w:val="313"/>
        </w:trPr>
        <w:tc>
          <w:tcPr>
            <w:tcW w:w="5312" w:type="dxa"/>
            <w:tcBorders>
              <w:top w:val="nil"/>
              <w:left w:val="single" w:sz="8" w:space="0" w:color="BFBFBF"/>
              <w:bottom w:val="nil"/>
              <w:right w:val="single" w:sz="8" w:space="0" w:color="BFBFBF"/>
            </w:tcBorders>
            <w:shd w:val="clear" w:color="auto" w:fill="auto"/>
            <w:vAlign w:val="center"/>
            <w:hideMark/>
          </w:tcPr>
          <w:p w14:paraId="06D61611"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Other financial income</w:t>
            </w:r>
          </w:p>
        </w:tc>
        <w:tc>
          <w:tcPr>
            <w:tcW w:w="1880" w:type="dxa"/>
            <w:tcBorders>
              <w:top w:val="nil"/>
              <w:left w:val="nil"/>
              <w:bottom w:val="nil"/>
              <w:right w:val="single" w:sz="8" w:space="0" w:color="BFBFBF"/>
            </w:tcBorders>
            <w:shd w:val="clear" w:color="000000" w:fill="DCE6F1"/>
            <w:noWrap/>
            <w:vAlign w:val="bottom"/>
            <w:hideMark/>
          </w:tcPr>
          <w:p w14:paraId="5E1932C9"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1.237 </w:t>
            </w:r>
          </w:p>
        </w:tc>
        <w:tc>
          <w:tcPr>
            <w:tcW w:w="1880" w:type="dxa"/>
            <w:tcBorders>
              <w:top w:val="nil"/>
              <w:left w:val="nil"/>
              <w:bottom w:val="nil"/>
              <w:right w:val="single" w:sz="8" w:space="0" w:color="BFBFBF"/>
            </w:tcBorders>
            <w:shd w:val="clear" w:color="auto" w:fill="auto"/>
            <w:noWrap/>
            <w:vAlign w:val="bottom"/>
            <w:hideMark/>
          </w:tcPr>
          <w:p w14:paraId="07BE3419"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572 </w:t>
            </w:r>
          </w:p>
        </w:tc>
      </w:tr>
      <w:tr w:rsidR="00A27C22" w:rsidRPr="001D0FE2" w14:paraId="4363E728" w14:textId="77777777" w:rsidTr="006F4535">
        <w:trPr>
          <w:trHeight w:val="313"/>
        </w:trPr>
        <w:tc>
          <w:tcPr>
            <w:tcW w:w="5312" w:type="dxa"/>
            <w:tcBorders>
              <w:top w:val="nil"/>
              <w:left w:val="single" w:sz="8" w:space="0" w:color="BFBFBF"/>
              <w:bottom w:val="single" w:sz="8" w:space="0" w:color="BFBFBF"/>
              <w:right w:val="single" w:sz="8" w:space="0" w:color="BFBFBF"/>
            </w:tcBorders>
            <w:shd w:val="clear" w:color="auto" w:fill="auto"/>
            <w:vAlign w:val="center"/>
            <w:hideMark/>
          </w:tcPr>
          <w:p w14:paraId="2B417A76"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Other financial expenses </w:t>
            </w:r>
          </w:p>
        </w:tc>
        <w:tc>
          <w:tcPr>
            <w:tcW w:w="1880" w:type="dxa"/>
            <w:tcBorders>
              <w:top w:val="nil"/>
              <w:left w:val="nil"/>
              <w:bottom w:val="single" w:sz="8" w:space="0" w:color="BFBFBF"/>
              <w:right w:val="single" w:sz="8" w:space="0" w:color="BFBFBF"/>
            </w:tcBorders>
            <w:shd w:val="clear" w:color="000000" w:fill="DCE6F1"/>
            <w:noWrap/>
            <w:vAlign w:val="bottom"/>
            <w:hideMark/>
          </w:tcPr>
          <w:p w14:paraId="0A03D889"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(8.252)</w:t>
            </w:r>
          </w:p>
        </w:tc>
        <w:tc>
          <w:tcPr>
            <w:tcW w:w="1880" w:type="dxa"/>
            <w:tcBorders>
              <w:top w:val="nil"/>
              <w:left w:val="nil"/>
              <w:bottom w:val="single" w:sz="8" w:space="0" w:color="BFBFBF"/>
              <w:right w:val="single" w:sz="8" w:space="0" w:color="BFBFBF"/>
            </w:tcBorders>
            <w:shd w:val="clear" w:color="auto" w:fill="auto"/>
            <w:noWrap/>
            <w:vAlign w:val="bottom"/>
            <w:hideMark/>
          </w:tcPr>
          <w:p w14:paraId="5096C72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(7.654)</w:t>
            </w:r>
          </w:p>
        </w:tc>
      </w:tr>
      <w:tr w:rsidR="00A27C22" w:rsidRPr="001D0FE2" w14:paraId="3295AF71" w14:textId="77777777" w:rsidTr="006F4535">
        <w:trPr>
          <w:trHeight w:val="390"/>
        </w:trPr>
        <w:tc>
          <w:tcPr>
            <w:tcW w:w="5312" w:type="dxa"/>
            <w:tcBorders>
              <w:top w:val="nil"/>
              <w:left w:val="single" w:sz="8" w:space="0" w:color="BFBFBF"/>
              <w:bottom w:val="single" w:sz="8" w:space="0" w:color="BFBFBF"/>
              <w:right w:val="single" w:sz="8" w:space="0" w:color="BFBFBF"/>
            </w:tcBorders>
            <w:shd w:val="clear" w:color="000000" w:fill="FFFFFF"/>
            <w:vAlign w:val="center"/>
            <w:hideMark/>
          </w:tcPr>
          <w:p w14:paraId="6AA7D341"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Financial income and expenses</w:t>
            </w:r>
          </w:p>
        </w:tc>
        <w:tc>
          <w:tcPr>
            <w:tcW w:w="1880" w:type="dxa"/>
            <w:tcBorders>
              <w:top w:val="nil"/>
              <w:left w:val="nil"/>
              <w:bottom w:val="single" w:sz="8" w:space="0" w:color="BFBFBF"/>
              <w:right w:val="single" w:sz="8" w:space="0" w:color="BFBFBF"/>
            </w:tcBorders>
            <w:shd w:val="clear" w:color="000000" w:fill="DCE6F1"/>
            <w:noWrap/>
            <w:vAlign w:val="center"/>
            <w:hideMark/>
          </w:tcPr>
          <w:p w14:paraId="436049C4"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(6.922)</w:t>
            </w:r>
          </w:p>
        </w:tc>
        <w:tc>
          <w:tcPr>
            <w:tcW w:w="1880" w:type="dxa"/>
            <w:tcBorders>
              <w:top w:val="nil"/>
              <w:left w:val="nil"/>
              <w:bottom w:val="single" w:sz="8" w:space="0" w:color="BFBFBF"/>
              <w:right w:val="single" w:sz="8" w:space="0" w:color="BFBFBF"/>
            </w:tcBorders>
            <w:shd w:val="clear" w:color="auto" w:fill="auto"/>
            <w:noWrap/>
            <w:vAlign w:val="center"/>
            <w:hideMark/>
          </w:tcPr>
          <w:p w14:paraId="5FFAC648"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(7.091)</w:t>
            </w:r>
          </w:p>
        </w:tc>
      </w:tr>
      <w:tr w:rsidR="00A27C22" w:rsidRPr="001D0FE2" w14:paraId="6E78B8E5" w14:textId="77777777" w:rsidTr="006F4535">
        <w:trPr>
          <w:trHeight w:val="390"/>
        </w:trPr>
        <w:tc>
          <w:tcPr>
            <w:tcW w:w="5312" w:type="dxa"/>
            <w:tcBorders>
              <w:top w:val="nil"/>
              <w:left w:val="single" w:sz="8" w:space="0" w:color="BFBFBF"/>
              <w:bottom w:val="single" w:sz="8" w:space="0" w:color="BFBFBF"/>
              <w:right w:val="single" w:sz="8" w:space="0" w:color="BFBFBF"/>
            </w:tcBorders>
            <w:shd w:val="clear" w:color="auto" w:fill="auto"/>
            <w:vAlign w:val="center"/>
            <w:hideMark/>
          </w:tcPr>
          <w:p w14:paraId="3378627C"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Share of net profits in associates using the equity method</w:t>
            </w:r>
          </w:p>
        </w:tc>
        <w:tc>
          <w:tcPr>
            <w:tcW w:w="1880" w:type="dxa"/>
            <w:tcBorders>
              <w:top w:val="nil"/>
              <w:left w:val="nil"/>
              <w:bottom w:val="single" w:sz="8" w:space="0" w:color="BFBFBF"/>
              <w:right w:val="single" w:sz="8" w:space="0" w:color="BFBFBF"/>
            </w:tcBorders>
            <w:shd w:val="clear" w:color="000000" w:fill="DCE6F1"/>
            <w:noWrap/>
            <w:vAlign w:val="center"/>
            <w:hideMark/>
          </w:tcPr>
          <w:p w14:paraId="2C67001F"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134 </w:t>
            </w:r>
          </w:p>
        </w:tc>
        <w:tc>
          <w:tcPr>
            <w:tcW w:w="1880" w:type="dxa"/>
            <w:tcBorders>
              <w:top w:val="nil"/>
              <w:left w:val="nil"/>
              <w:bottom w:val="single" w:sz="8" w:space="0" w:color="D9D9D9"/>
              <w:right w:val="single" w:sz="8" w:space="0" w:color="BFBFBF"/>
            </w:tcBorders>
            <w:shd w:val="clear" w:color="auto" w:fill="auto"/>
            <w:noWrap/>
            <w:vAlign w:val="center"/>
            <w:hideMark/>
          </w:tcPr>
          <w:p w14:paraId="067C6D46"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338 </w:t>
            </w:r>
          </w:p>
        </w:tc>
      </w:tr>
      <w:tr w:rsidR="00A27C22" w:rsidRPr="001D0FE2" w14:paraId="68D4EE3B" w14:textId="77777777" w:rsidTr="006F4535">
        <w:trPr>
          <w:trHeight w:val="390"/>
        </w:trPr>
        <w:tc>
          <w:tcPr>
            <w:tcW w:w="5312" w:type="dxa"/>
            <w:tcBorders>
              <w:top w:val="nil"/>
              <w:left w:val="single" w:sz="8" w:space="0" w:color="BFBFBF"/>
              <w:bottom w:val="single" w:sz="8" w:space="0" w:color="BFBFBF"/>
              <w:right w:val="single" w:sz="8" w:space="0" w:color="BFBFBF"/>
            </w:tcBorders>
            <w:shd w:val="clear" w:color="000000" w:fill="FFFFFF"/>
            <w:vAlign w:val="center"/>
            <w:hideMark/>
          </w:tcPr>
          <w:p w14:paraId="285A1850"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Result before income tax</w:t>
            </w:r>
          </w:p>
        </w:tc>
        <w:tc>
          <w:tcPr>
            <w:tcW w:w="1880" w:type="dxa"/>
            <w:tcBorders>
              <w:top w:val="nil"/>
              <w:left w:val="nil"/>
              <w:bottom w:val="single" w:sz="8" w:space="0" w:color="BFBFBF"/>
              <w:right w:val="single" w:sz="8" w:space="0" w:color="BFBFBF"/>
            </w:tcBorders>
            <w:shd w:val="clear" w:color="000000" w:fill="DCE6F1"/>
            <w:noWrap/>
            <w:vAlign w:val="center"/>
            <w:hideMark/>
          </w:tcPr>
          <w:p w14:paraId="236376ED"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28.892 </w:t>
            </w:r>
          </w:p>
        </w:tc>
        <w:tc>
          <w:tcPr>
            <w:tcW w:w="1880" w:type="dxa"/>
            <w:tcBorders>
              <w:top w:val="nil"/>
              <w:left w:val="nil"/>
              <w:bottom w:val="single" w:sz="8" w:space="0" w:color="D9D9D9"/>
              <w:right w:val="single" w:sz="8" w:space="0" w:color="BFBFBF"/>
            </w:tcBorders>
            <w:shd w:val="clear" w:color="auto" w:fill="auto"/>
            <w:noWrap/>
            <w:vAlign w:val="center"/>
            <w:hideMark/>
          </w:tcPr>
          <w:p w14:paraId="39D62EFA"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21.108 </w:t>
            </w:r>
          </w:p>
        </w:tc>
      </w:tr>
      <w:tr w:rsidR="00A27C22" w:rsidRPr="001D0FE2" w14:paraId="7CBA7B60" w14:textId="77777777" w:rsidTr="006F4535">
        <w:trPr>
          <w:trHeight w:val="390"/>
        </w:trPr>
        <w:tc>
          <w:tcPr>
            <w:tcW w:w="5312" w:type="dxa"/>
            <w:tcBorders>
              <w:top w:val="nil"/>
              <w:left w:val="single" w:sz="8" w:space="0" w:color="BFBFBF"/>
              <w:bottom w:val="single" w:sz="8" w:space="0" w:color="BFBFBF"/>
              <w:right w:val="single" w:sz="8" w:space="0" w:color="BFBFBF"/>
            </w:tcBorders>
            <w:shd w:val="clear" w:color="000000" w:fill="FFFFFF"/>
            <w:vAlign w:val="center"/>
            <w:hideMark/>
          </w:tcPr>
          <w:p w14:paraId="4BC43D3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Income tax credit (expense)</w:t>
            </w:r>
          </w:p>
        </w:tc>
        <w:tc>
          <w:tcPr>
            <w:tcW w:w="1880" w:type="dxa"/>
            <w:tcBorders>
              <w:top w:val="nil"/>
              <w:left w:val="nil"/>
              <w:bottom w:val="single" w:sz="8" w:space="0" w:color="BFBFBF"/>
              <w:right w:val="single" w:sz="8" w:space="0" w:color="BFBFBF"/>
            </w:tcBorders>
            <w:shd w:val="clear" w:color="000000" w:fill="DCE6F1"/>
            <w:noWrap/>
            <w:vAlign w:val="center"/>
            <w:hideMark/>
          </w:tcPr>
          <w:p w14:paraId="426DB436"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(8.561)</w:t>
            </w:r>
          </w:p>
        </w:tc>
        <w:tc>
          <w:tcPr>
            <w:tcW w:w="1880" w:type="dxa"/>
            <w:tcBorders>
              <w:top w:val="nil"/>
              <w:left w:val="nil"/>
              <w:bottom w:val="single" w:sz="8" w:space="0" w:color="D9D9D9"/>
              <w:right w:val="single" w:sz="8" w:space="0" w:color="BFBFBF"/>
            </w:tcBorders>
            <w:shd w:val="clear" w:color="auto" w:fill="auto"/>
            <w:noWrap/>
            <w:vAlign w:val="center"/>
            <w:hideMark/>
          </w:tcPr>
          <w:p w14:paraId="05A742CE"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(5.732)</w:t>
            </w:r>
          </w:p>
        </w:tc>
      </w:tr>
      <w:tr w:rsidR="00A27C22" w:rsidRPr="001D0FE2" w14:paraId="5B16EA9E" w14:textId="77777777" w:rsidTr="006F4535">
        <w:trPr>
          <w:trHeight w:val="390"/>
        </w:trPr>
        <w:tc>
          <w:tcPr>
            <w:tcW w:w="5312" w:type="dxa"/>
            <w:tcBorders>
              <w:top w:val="nil"/>
              <w:left w:val="single" w:sz="8" w:space="0" w:color="BFBFBF"/>
              <w:bottom w:val="single" w:sz="8" w:space="0" w:color="BFBFBF"/>
              <w:right w:val="single" w:sz="8" w:space="0" w:color="BFBFBF"/>
            </w:tcBorders>
            <w:shd w:val="clear" w:color="000000" w:fill="FFFFFF"/>
            <w:vAlign w:val="center"/>
            <w:hideMark/>
          </w:tcPr>
          <w:p w14:paraId="191C07F7"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Net result for the year</w:t>
            </w:r>
          </w:p>
        </w:tc>
        <w:tc>
          <w:tcPr>
            <w:tcW w:w="1880" w:type="dxa"/>
            <w:tcBorders>
              <w:top w:val="nil"/>
              <w:left w:val="nil"/>
              <w:bottom w:val="single" w:sz="8" w:space="0" w:color="BFBFBF"/>
              <w:right w:val="single" w:sz="8" w:space="0" w:color="BFBFBF"/>
            </w:tcBorders>
            <w:shd w:val="clear" w:color="000000" w:fill="DCE6F1"/>
            <w:noWrap/>
            <w:vAlign w:val="center"/>
            <w:hideMark/>
          </w:tcPr>
          <w:p w14:paraId="636A4C65"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20.331 </w:t>
            </w:r>
          </w:p>
        </w:tc>
        <w:tc>
          <w:tcPr>
            <w:tcW w:w="1880" w:type="dxa"/>
            <w:tcBorders>
              <w:top w:val="nil"/>
              <w:left w:val="nil"/>
              <w:bottom w:val="single" w:sz="8" w:space="0" w:color="D9D9D9"/>
              <w:right w:val="single" w:sz="8" w:space="0" w:color="BFBFBF"/>
            </w:tcBorders>
            <w:shd w:val="clear" w:color="auto" w:fill="auto"/>
            <w:noWrap/>
            <w:vAlign w:val="center"/>
            <w:hideMark/>
          </w:tcPr>
          <w:p w14:paraId="0001AB57"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15.376 </w:t>
            </w:r>
          </w:p>
        </w:tc>
      </w:tr>
      <w:tr w:rsidR="00A27C22" w:rsidRPr="001D0FE2" w14:paraId="6C702A33" w14:textId="77777777" w:rsidTr="006F4535">
        <w:trPr>
          <w:trHeight w:val="390"/>
        </w:trPr>
        <w:tc>
          <w:tcPr>
            <w:tcW w:w="5312" w:type="dxa"/>
            <w:tcBorders>
              <w:top w:val="nil"/>
              <w:left w:val="single" w:sz="8" w:space="0" w:color="BFBFBF"/>
              <w:bottom w:val="nil"/>
              <w:right w:val="single" w:sz="8" w:space="0" w:color="BFBFBF"/>
            </w:tcBorders>
            <w:shd w:val="clear" w:color="000000" w:fill="FFFFFF"/>
            <w:vAlign w:val="center"/>
            <w:hideMark/>
          </w:tcPr>
          <w:p w14:paraId="19338A37"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Attributable to:</w:t>
            </w:r>
          </w:p>
        </w:tc>
        <w:tc>
          <w:tcPr>
            <w:tcW w:w="1880" w:type="dxa"/>
            <w:tcBorders>
              <w:top w:val="nil"/>
              <w:left w:val="nil"/>
              <w:bottom w:val="nil"/>
              <w:right w:val="single" w:sz="8" w:space="0" w:color="BFBFBF"/>
            </w:tcBorders>
            <w:shd w:val="clear" w:color="000000" w:fill="DCE6F1"/>
            <w:noWrap/>
            <w:vAlign w:val="bottom"/>
            <w:hideMark/>
          </w:tcPr>
          <w:p w14:paraId="694A2703"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nil"/>
              <w:bottom w:val="nil"/>
              <w:right w:val="single" w:sz="8" w:space="0" w:color="BFBFBF"/>
            </w:tcBorders>
            <w:shd w:val="clear" w:color="auto" w:fill="auto"/>
            <w:noWrap/>
            <w:vAlign w:val="bottom"/>
            <w:hideMark/>
          </w:tcPr>
          <w:p w14:paraId="5CC77F6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661550E0" w14:textId="77777777" w:rsidTr="006F4535">
        <w:trPr>
          <w:trHeight w:val="390"/>
        </w:trPr>
        <w:tc>
          <w:tcPr>
            <w:tcW w:w="5312" w:type="dxa"/>
            <w:tcBorders>
              <w:top w:val="nil"/>
              <w:left w:val="single" w:sz="8" w:space="0" w:color="BFBFBF"/>
              <w:bottom w:val="single" w:sz="8" w:space="0" w:color="BFBFBF"/>
              <w:right w:val="single" w:sz="8" w:space="0" w:color="BFBFBF"/>
            </w:tcBorders>
            <w:shd w:val="clear" w:color="000000" w:fill="FFFFFF"/>
            <w:vAlign w:val="center"/>
            <w:hideMark/>
          </w:tcPr>
          <w:p w14:paraId="260FC9CF"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Owners of the parent</w:t>
            </w:r>
          </w:p>
        </w:tc>
        <w:tc>
          <w:tcPr>
            <w:tcW w:w="1880" w:type="dxa"/>
            <w:tcBorders>
              <w:top w:val="nil"/>
              <w:left w:val="nil"/>
              <w:bottom w:val="single" w:sz="8" w:space="0" w:color="BFBFBF"/>
              <w:right w:val="single" w:sz="8" w:space="0" w:color="BFBFBF"/>
            </w:tcBorders>
            <w:shd w:val="clear" w:color="000000" w:fill="DCE6F1"/>
            <w:noWrap/>
            <w:vAlign w:val="center"/>
            <w:hideMark/>
          </w:tcPr>
          <w:p w14:paraId="46BDD79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20.331 </w:t>
            </w:r>
          </w:p>
        </w:tc>
        <w:tc>
          <w:tcPr>
            <w:tcW w:w="1880" w:type="dxa"/>
            <w:tcBorders>
              <w:top w:val="nil"/>
              <w:left w:val="nil"/>
              <w:bottom w:val="single" w:sz="8" w:space="0" w:color="BFBFBF"/>
              <w:right w:val="single" w:sz="8" w:space="0" w:color="BFBFBF"/>
            </w:tcBorders>
            <w:shd w:val="clear" w:color="auto" w:fill="auto"/>
            <w:noWrap/>
            <w:vAlign w:val="center"/>
            <w:hideMark/>
          </w:tcPr>
          <w:p w14:paraId="7C04FAC5"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15.376 </w:t>
            </w:r>
          </w:p>
        </w:tc>
      </w:tr>
      <w:tr w:rsidR="00A27C22" w:rsidRPr="001D0FE2" w14:paraId="02B023DD" w14:textId="77777777" w:rsidTr="006F4535">
        <w:trPr>
          <w:trHeight w:val="630"/>
        </w:trPr>
        <w:tc>
          <w:tcPr>
            <w:tcW w:w="5312" w:type="dxa"/>
            <w:tcBorders>
              <w:top w:val="nil"/>
              <w:left w:val="single" w:sz="8" w:space="0" w:color="BFBFBF"/>
              <w:bottom w:val="single" w:sz="8" w:space="0" w:color="BFBFBF"/>
              <w:right w:val="single" w:sz="8" w:space="0" w:color="BFBFBF"/>
            </w:tcBorders>
            <w:shd w:val="clear" w:color="000000" w:fill="FFFFFF"/>
            <w:vAlign w:val="center"/>
            <w:hideMark/>
          </w:tcPr>
          <w:p w14:paraId="5ACC7E36"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Total net result</w:t>
            </w:r>
          </w:p>
        </w:tc>
        <w:tc>
          <w:tcPr>
            <w:tcW w:w="1880" w:type="dxa"/>
            <w:tcBorders>
              <w:top w:val="nil"/>
              <w:left w:val="nil"/>
              <w:bottom w:val="single" w:sz="8" w:space="0" w:color="BFBFBF"/>
              <w:right w:val="single" w:sz="8" w:space="0" w:color="BFBFBF"/>
            </w:tcBorders>
            <w:shd w:val="clear" w:color="000000" w:fill="DCE6F1"/>
            <w:noWrap/>
            <w:vAlign w:val="center"/>
            <w:hideMark/>
          </w:tcPr>
          <w:p w14:paraId="7212B97A"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20.331 </w:t>
            </w:r>
          </w:p>
        </w:tc>
        <w:tc>
          <w:tcPr>
            <w:tcW w:w="1880" w:type="dxa"/>
            <w:tcBorders>
              <w:top w:val="nil"/>
              <w:left w:val="nil"/>
              <w:bottom w:val="single" w:sz="8" w:space="0" w:color="BFBFBF"/>
              <w:right w:val="single" w:sz="8" w:space="0" w:color="BFBFBF"/>
            </w:tcBorders>
            <w:shd w:val="clear" w:color="auto" w:fill="auto"/>
            <w:noWrap/>
            <w:vAlign w:val="center"/>
            <w:hideMark/>
          </w:tcPr>
          <w:p w14:paraId="536271AF"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15.376 </w:t>
            </w:r>
          </w:p>
        </w:tc>
      </w:tr>
      <w:tr w:rsidR="00A27C22" w:rsidRPr="001D0FE2" w14:paraId="15C29683" w14:textId="77777777" w:rsidTr="006F4535">
        <w:trPr>
          <w:trHeight w:val="390"/>
        </w:trPr>
        <w:tc>
          <w:tcPr>
            <w:tcW w:w="5312" w:type="dxa"/>
            <w:tcBorders>
              <w:top w:val="nil"/>
              <w:left w:val="single" w:sz="8" w:space="0" w:color="BFBFBF"/>
              <w:bottom w:val="nil"/>
              <w:right w:val="single" w:sz="8" w:space="0" w:color="BFBFBF"/>
            </w:tcBorders>
            <w:shd w:val="clear" w:color="000000" w:fill="FFFFFF"/>
            <w:vAlign w:val="center"/>
            <w:hideMark/>
          </w:tcPr>
          <w:p w14:paraId="3A5C8E3B"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Basic earnings per share ($) </w:t>
            </w:r>
          </w:p>
        </w:tc>
        <w:tc>
          <w:tcPr>
            <w:tcW w:w="1880" w:type="dxa"/>
            <w:tcBorders>
              <w:top w:val="nil"/>
              <w:left w:val="nil"/>
              <w:bottom w:val="single" w:sz="8" w:space="0" w:color="BFBFBF"/>
              <w:right w:val="single" w:sz="8" w:space="0" w:color="BFBFBF"/>
            </w:tcBorders>
            <w:shd w:val="clear" w:color="000000" w:fill="DCE6F1"/>
            <w:noWrap/>
            <w:vAlign w:val="center"/>
            <w:hideMark/>
          </w:tcPr>
          <w:p w14:paraId="0BC9491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0,032 </w:t>
            </w:r>
          </w:p>
        </w:tc>
        <w:tc>
          <w:tcPr>
            <w:tcW w:w="1880" w:type="dxa"/>
            <w:tcBorders>
              <w:top w:val="nil"/>
              <w:left w:val="nil"/>
              <w:bottom w:val="nil"/>
              <w:right w:val="single" w:sz="8" w:space="0" w:color="BFBFBF"/>
            </w:tcBorders>
            <w:shd w:val="clear" w:color="auto" w:fill="auto"/>
            <w:vAlign w:val="center"/>
            <w:hideMark/>
          </w:tcPr>
          <w:p w14:paraId="44052E00" w14:textId="77777777" w:rsidR="00A27C22" w:rsidRPr="001D0FE2" w:rsidRDefault="00A27C22" w:rsidP="00B81D69">
            <w:pPr>
              <w:jc w:val="righ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0,025 </w:t>
            </w:r>
          </w:p>
        </w:tc>
      </w:tr>
      <w:tr w:rsidR="00A27C22" w:rsidRPr="001D0FE2" w14:paraId="08561E12" w14:textId="77777777" w:rsidTr="006F4535">
        <w:trPr>
          <w:trHeight w:val="390"/>
        </w:trPr>
        <w:tc>
          <w:tcPr>
            <w:tcW w:w="5312"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6514D144" w14:textId="77777777" w:rsidR="00A27C22" w:rsidRPr="001D0FE2" w:rsidRDefault="00A27C22" w:rsidP="00B81D69">
            <w:pPr>
              <w:jc w:val="left"/>
              <w:rPr>
                <w:rFonts w:asciiTheme="minorHAnsi" w:hAnsiTheme="minorHAnsi" w:cstheme="minorHAnsi"/>
                <w:color w:val="808080"/>
                <w:sz w:val="20"/>
                <w:szCs w:val="20"/>
                <w:lang w:val="en-GB"/>
              </w:rPr>
            </w:pPr>
            <w:proofErr w:type="gramStart"/>
            <w:r w:rsidRPr="001D0FE2">
              <w:rPr>
                <w:rFonts w:asciiTheme="minorHAnsi" w:hAnsiTheme="minorHAnsi" w:cstheme="minorHAnsi"/>
                <w:color w:val="808080"/>
                <w:sz w:val="20"/>
                <w:szCs w:val="20"/>
                <w:lang w:val="en-GB"/>
              </w:rPr>
              <w:t>Fully-diluted</w:t>
            </w:r>
            <w:proofErr w:type="gramEnd"/>
            <w:r w:rsidRPr="001D0FE2">
              <w:rPr>
                <w:rFonts w:asciiTheme="minorHAnsi" w:hAnsiTheme="minorHAnsi" w:cstheme="minorHAnsi"/>
                <w:color w:val="808080"/>
                <w:sz w:val="20"/>
                <w:szCs w:val="20"/>
                <w:lang w:val="en-GB"/>
              </w:rPr>
              <w:t xml:space="preserve"> earnings per share ($) </w:t>
            </w:r>
          </w:p>
        </w:tc>
        <w:tc>
          <w:tcPr>
            <w:tcW w:w="1880" w:type="dxa"/>
            <w:tcBorders>
              <w:top w:val="nil"/>
              <w:left w:val="nil"/>
              <w:bottom w:val="single" w:sz="8" w:space="0" w:color="BFBFBF"/>
              <w:right w:val="single" w:sz="8" w:space="0" w:color="BFBFBF"/>
            </w:tcBorders>
            <w:shd w:val="clear" w:color="000000" w:fill="DCE6F1"/>
            <w:noWrap/>
            <w:vAlign w:val="center"/>
            <w:hideMark/>
          </w:tcPr>
          <w:p w14:paraId="6AAD07F3"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0,028 </w:t>
            </w:r>
          </w:p>
        </w:tc>
        <w:tc>
          <w:tcPr>
            <w:tcW w:w="1880" w:type="dxa"/>
            <w:tcBorders>
              <w:top w:val="single" w:sz="8" w:space="0" w:color="BFBFBF"/>
              <w:left w:val="nil"/>
              <w:bottom w:val="single" w:sz="8" w:space="0" w:color="BFBFBF"/>
              <w:right w:val="single" w:sz="8" w:space="0" w:color="BFBFBF"/>
            </w:tcBorders>
            <w:shd w:val="clear" w:color="auto" w:fill="auto"/>
            <w:vAlign w:val="center"/>
            <w:hideMark/>
          </w:tcPr>
          <w:p w14:paraId="0B16E4D9" w14:textId="77777777" w:rsidR="00A27C22" w:rsidRPr="001D0FE2" w:rsidRDefault="00A27C22" w:rsidP="00B81D69">
            <w:pPr>
              <w:jc w:val="righ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0,023 </w:t>
            </w:r>
          </w:p>
        </w:tc>
      </w:tr>
    </w:tbl>
    <w:p w14:paraId="6ACC45B8" w14:textId="77777777" w:rsidR="00A27C22" w:rsidRPr="001D0FE2" w:rsidRDefault="00A27C22" w:rsidP="00A27C22">
      <w:pPr>
        <w:rPr>
          <w:rFonts w:asciiTheme="minorHAnsi" w:eastAsiaTheme="majorEastAsia" w:hAnsiTheme="minorHAnsi" w:cstheme="minorHAnsi"/>
          <w:b/>
          <w:color w:val="59595B"/>
          <w:szCs w:val="28"/>
          <w:lang w:val="en-GB" w:eastAsia="zh-CN"/>
        </w:rPr>
      </w:pPr>
    </w:p>
    <w:p w14:paraId="399B91FD" w14:textId="77777777" w:rsidR="00A27C22" w:rsidRPr="001D0FE2" w:rsidRDefault="00A27C22" w:rsidP="00A27C22">
      <w:pPr>
        <w:rPr>
          <w:rFonts w:asciiTheme="minorHAnsi" w:eastAsiaTheme="majorEastAsia" w:hAnsiTheme="minorHAnsi" w:cstheme="minorHAnsi"/>
          <w:b/>
          <w:color w:val="59595B"/>
          <w:szCs w:val="28"/>
          <w:lang w:val="en-GB" w:eastAsia="zh-CN"/>
        </w:rPr>
      </w:pPr>
    </w:p>
    <w:p w14:paraId="203C715A" w14:textId="77777777" w:rsidR="00A27C22" w:rsidRPr="001D0FE2" w:rsidRDefault="00A27C22" w:rsidP="00A27C22">
      <w:pPr>
        <w:rPr>
          <w:rFonts w:asciiTheme="minorHAnsi" w:eastAsiaTheme="majorEastAsia" w:hAnsiTheme="minorHAnsi" w:cstheme="minorHAnsi"/>
          <w:b/>
          <w:color w:val="59595B"/>
          <w:szCs w:val="28"/>
          <w:lang w:val="en-GB" w:eastAsia="zh-CN"/>
        </w:rPr>
      </w:pPr>
    </w:p>
    <w:p w14:paraId="49D54663" w14:textId="77777777" w:rsidR="00A27C22" w:rsidRPr="001D0FE2" w:rsidRDefault="00A27C22" w:rsidP="00A27C22">
      <w:pPr>
        <w:rPr>
          <w:rFonts w:asciiTheme="minorHAnsi" w:eastAsiaTheme="majorEastAsia" w:hAnsiTheme="minorHAnsi" w:cstheme="minorHAnsi"/>
          <w:b/>
          <w:color w:val="59595B"/>
          <w:szCs w:val="28"/>
          <w:lang w:val="en-GB" w:eastAsia="zh-CN"/>
        </w:rPr>
      </w:pPr>
    </w:p>
    <w:p w14:paraId="15FA22C1" w14:textId="77777777" w:rsidR="00A27C22" w:rsidRPr="001D0FE2" w:rsidRDefault="00A27C22" w:rsidP="00A27C22">
      <w:pPr>
        <w:rPr>
          <w:rFonts w:asciiTheme="minorHAnsi" w:eastAsiaTheme="majorEastAsia" w:hAnsiTheme="minorHAnsi" w:cstheme="minorHAnsi"/>
          <w:b/>
          <w:color w:val="59595B"/>
          <w:szCs w:val="28"/>
          <w:lang w:val="en-GB" w:eastAsia="zh-CN"/>
        </w:rPr>
      </w:pPr>
    </w:p>
    <w:p w14:paraId="3813F0F9" w14:textId="77777777" w:rsidR="00A27C22" w:rsidRPr="001D0FE2" w:rsidRDefault="00A27C22" w:rsidP="00A27C22">
      <w:pPr>
        <w:rPr>
          <w:rFonts w:asciiTheme="minorHAnsi" w:eastAsiaTheme="majorEastAsia" w:hAnsiTheme="minorHAnsi" w:cstheme="minorHAnsi"/>
          <w:b/>
          <w:color w:val="59595B"/>
          <w:szCs w:val="28"/>
          <w:lang w:val="en-GB" w:eastAsia="zh-CN"/>
        </w:rPr>
      </w:pPr>
    </w:p>
    <w:p w14:paraId="70105666" w14:textId="77777777" w:rsidR="00A27C22" w:rsidRPr="001D0FE2" w:rsidRDefault="00A27C22" w:rsidP="00A27C22">
      <w:pPr>
        <w:rPr>
          <w:rFonts w:asciiTheme="minorHAnsi" w:eastAsiaTheme="majorEastAsia" w:hAnsiTheme="minorHAnsi" w:cstheme="minorHAnsi"/>
          <w:b/>
          <w:color w:val="59595B"/>
          <w:szCs w:val="28"/>
          <w:lang w:val="en-GB" w:eastAsia="zh-CN"/>
        </w:rPr>
      </w:pPr>
    </w:p>
    <w:p w14:paraId="3DCF6E02" w14:textId="77777777" w:rsidR="00A27C22" w:rsidRPr="001D0FE2" w:rsidRDefault="00A27C22" w:rsidP="00A27C22">
      <w:pPr>
        <w:rPr>
          <w:rFonts w:asciiTheme="minorHAnsi" w:eastAsiaTheme="majorEastAsia" w:hAnsiTheme="minorHAnsi" w:cstheme="minorHAnsi"/>
          <w:b/>
          <w:color w:val="59595B"/>
          <w:szCs w:val="28"/>
          <w:lang w:val="en-GB" w:eastAsia="zh-CN"/>
        </w:rPr>
      </w:pPr>
    </w:p>
    <w:p w14:paraId="59BC0C61" w14:textId="77777777" w:rsidR="00A27C22" w:rsidRPr="001D0FE2" w:rsidRDefault="00A27C22" w:rsidP="00A27C22">
      <w:pPr>
        <w:rPr>
          <w:rFonts w:asciiTheme="minorHAnsi" w:eastAsiaTheme="majorEastAsia" w:hAnsiTheme="minorHAnsi" w:cstheme="minorHAnsi"/>
          <w:b/>
          <w:color w:val="59595B"/>
          <w:szCs w:val="28"/>
          <w:lang w:val="en-GB" w:eastAsia="zh-CN"/>
        </w:rPr>
      </w:pPr>
    </w:p>
    <w:p w14:paraId="1C4A66A3" w14:textId="478CC48B" w:rsidR="00A27C22" w:rsidRPr="001D0FE2" w:rsidRDefault="00A27C22" w:rsidP="00A27C22">
      <w:pPr>
        <w:rPr>
          <w:rFonts w:asciiTheme="minorHAnsi" w:eastAsiaTheme="majorEastAsia" w:hAnsiTheme="minorHAnsi" w:cstheme="minorHAnsi"/>
          <w:b/>
          <w:color w:val="59595B"/>
          <w:szCs w:val="28"/>
          <w:lang w:val="en-GB" w:eastAsia="zh-CN"/>
        </w:rPr>
      </w:pPr>
      <w:r w:rsidRPr="001D0FE2">
        <w:rPr>
          <w:rFonts w:asciiTheme="minorHAnsi" w:eastAsiaTheme="majorEastAsia" w:hAnsiTheme="minorHAnsi" w:cstheme="minorHAnsi"/>
          <w:b/>
          <w:color w:val="59595B"/>
          <w:szCs w:val="28"/>
          <w:lang w:val="en-GB" w:eastAsia="zh-CN"/>
        </w:rPr>
        <w:t xml:space="preserve">Condensed consolidated Balance Sheet        </w:t>
      </w:r>
      <w:r w:rsidRPr="001D0FE2">
        <w:rPr>
          <w:rFonts w:asciiTheme="minorHAnsi" w:eastAsiaTheme="majorEastAsia" w:hAnsiTheme="minorHAnsi" w:cstheme="minorHAnsi"/>
          <w:b/>
          <w:color w:val="59595B"/>
          <w:szCs w:val="28"/>
          <w:u w:val="single"/>
          <w:lang w:val="en-GB" w:eastAsia="zh-CN"/>
        </w:rPr>
        <w:t>in US Dollars</w:t>
      </w:r>
    </w:p>
    <w:p w14:paraId="6D50405F" w14:textId="77777777" w:rsidR="00A27C22" w:rsidRPr="001D0FE2" w:rsidRDefault="00A27C22" w:rsidP="00A27C22">
      <w:pPr>
        <w:pStyle w:val="NoSpacing"/>
        <w:rPr>
          <w:rFonts w:asciiTheme="minorHAnsi" w:hAnsiTheme="minorHAnsi" w:cstheme="minorHAnsi"/>
          <w:sz w:val="24"/>
          <w:lang w:val="en-GB"/>
        </w:rPr>
      </w:pPr>
      <w:r w:rsidRPr="001D0FE2">
        <w:rPr>
          <w:rFonts w:asciiTheme="minorHAnsi" w:hAnsiTheme="minorHAnsi" w:cstheme="minorHAnsi"/>
          <w:sz w:val="24"/>
          <w:lang w:val="en-GB"/>
        </w:rPr>
        <w:t>As at date shown</w:t>
      </w:r>
    </w:p>
    <w:p w14:paraId="3AC26F74" w14:textId="77777777" w:rsidR="00A27C22" w:rsidRPr="001D0FE2" w:rsidRDefault="00A27C22" w:rsidP="00A27C22">
      <w:pPr>
        <w:pStyle w:val="NoSpacing"/>
        <w:rPr>
          <w:rFonts w:asciiTheme="minorHAnsi" w:hAnsiTheme="minorHAnsi" w:cstheme="minorHAnsi"/>
          <w:sz w:val="24"/>
          <w:lang w:val="en-GB"/>
        </w:rPr>
      </w:pPr>
    </w:p>
    <w:tbl>
      <w:tblPr>
        <w:tblW w:w="9072" w:type="dxa"/>
        <w:tblLook w:val="04A0" w:firstRow="1" w:lastRow="0" w:firstColumn="1" w:lastColumn="0" w:noHBand="0" w:noVBand="1"/>
      </w:tblPr>
      <w:tblGrid>
        <w:gridCol w:w="5312"/>
        <w:gridCol w:w="1880"/>
        <w:gridCol w:w="1880"/>
      </w:tblGrid>
      <w:tr w:rsidR="00A27C22" w:rsidRPr="001D0FE2" w14:paraId="650D7944" w14:textId="77777777" w:rsidTr="00B81D69">
        <w:trPr>
          <w:trHeight w:val="510"/>
        </w:trPr>
        <w:tc>
          <w:tcPr>
            <w:tcW w:w="5312" w:type="dxa"/>
            <w:tcBorders>
              <w:top w:val="nil"/>
              <w:left w:val="nil"/>
              <w:bottom w:val="nil"/>
              <w:right w:val="nil"/>
            </w:tcBorders>
            <w:shd w:val="clear" w:color="000000" w:fill="366092"/>
            <w:vAlign w:val="center"/>
            <w:hideMark/>
          </w:tcPr>
          <w:p w14:paraId="503A8131"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 ‘000</w:t>
            </w:r>
          </w:p>
        </w:tc>
        <w:tc>
          <w:tcPr>
            <w:tcW w:w="1880" w:type="dxa"/>
            <w:tcBorders>
              <w:top w:val="nil"/>
              <w:left w:val="nil"/>
              <w:bottom w:val="nil"/>
              <w:right w:val="nil"/>
            </w:tcBorders>
            <w:shd w:val="clear" w:color="000000" w:fill="366092"/>
            <w:vAlign w:val="center"/>
            <w:hideMark/>
          </w:tcPr>
          <w:p w14:paraId="6F7B1CA6"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30 June</w:t>
            </w:r>
            <w:r w:rsidRPr="001D0FE2">
              <w:rPr>
                <w:rFonts w:asciiTheme="minorHAnsi" w:hAnsiTheme="minorHAnsi" w:cstheme="minorHAnsi"/>
                <w:b/>
                <w:bCs/>
                <w:color w:val="FFFFFF"/>
                <w:sz w:val="20"/>
                <w:szCs w:val="20"/>
                <w:lang w:val="en-GB"/>
              </w:rPr>
              <w:br/>
              <w:t>2020</w:t>
            </w:r>
          </w:p>
        </w:tc>
        <w:tc>
          <w:tcPr>
            <w:tcW w:w="1880" w:type="dxa"/>
            <w:tcBorders>
              <w:top w:val="single" w:sz="8" w:space="0" w:color="BFBFBF"/>
              <w:left w:val="nil"/>
              <w:bottom w:val="single" w:sz="8" w:space="0" w:color="BFBFBF"/>
              <w:right w:val="single" w:sz="8" w:space="0" w:color="BFBFBF"/>
            </w:tcBorders>
            <w:shd w:val="clear" w:color="000000" w:fill="366092"/>
            <w:vAlign w:val="center"/>
            <w:hideMark/>
          </w:tcPr>
          <w:p w14:paraId="61070310"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31 December</w:t>
            </w:r>
            <w:r w:rsidRPr="001D0FE2">
              <w:rPr>
                <w:rFonts w:asciiTheme="minorHAnsi" w:hAnsiTheme="minorHAnsi" w:cstheme="minorHAnsi"/>
                <w:b/>
                <w:bCs/>
                <w:color w:val="FFFFFF"/>
                <w:sz w:val="20"/>
                <w:szCs w:val="20"/>
                <w:lang w:val="en-GB"/>
              </w:rPr>
              <w:br/>
              <w:t>2019</w:t>
            </w:r>
          </w:p>
        </w:tc>
      </w:tr>
      <w:tr w:rsidR="00A27C22" w:rsidRPr="001D0FE2" w14:paraId="44B9EAAA" w14:textId="77777777" w:rsidTr="00B81D69">
        <w:trPr>
          <w:trHeight w:val="240"/>
        </w:trPr>
        <w:tc>
          <w:tcPr>
            <w:tcW w:w="5312" w:type="dxa"/>
            <w:tcBorders>
              <w:top w:val="nil"/>
              <w:left w:val="single" w:sz="8" w:space="0" w:color="D9D9D9"/>
              <w:bottom w:val="nil"/>
              <w:right w:val="single" w:sz="8" w:space="0" w:color="D9D9D9"/>
            </w:tcBorders>
            <w:shd w:val="clear" w:color="000000" w:fill="FFFFFF"/>
            <w:vAlign w:val="center"/>
            <w:hideMark/>
          </w:tcPr>
          <w:p w14:paraId="50F21A97"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nil"/>
              <w:bottom w:val="nil"/>
              <w:right w:val="single" w:sz="8" w:space="0" w:color="BFBFBF"/>
            </w:tcBorders>
            <w:shd w:val="clear" w:color="000000" w:fill="DCE6F1"/>
            <w:vAlign w:val="center"/>
            <w:hideMark/>
          </w:tcPr>
          <w:p w14:paraId="72F2FA7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nil"/>
              <w:bottom w:val="nil"/>
              <w:right w:val="single" w:sz="8" w:space="0" w:color="BFBFBF"/>
            </w:tcBorders>
            <w:shd w:val="clear" w:color="000000" w:fill="FFFFFF"/>
            <w:vAlign w:val="center"/>
            <w:hideMark/>
          </w:tcPr>
          <w:p w14:paraId="6E80228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1DCEE111"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2B6C503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Intangible assets</w:t>
            </w:r>
          </w:p>
        </w:tc>
        <w:tc>
          <w:tcPr>
            <w:tcW w:w="1880" w:type="dxa"/>
            <w:tcBorders>
              <w:top w:val="nil"/>
              <w:left w:val="single" w:sz="8" w:space="0" w:color="BFBFBF"/>
              <w:bottom w:val="nil"/>
              <w:right w:val="single" w:sz="8" w:space="0" w:color="BFBFBF"/>
            </w:tcBorders>
            <w:shd w:val="clear" w:color="000000" w:fill="DCE6F1"/>
            <w:noWrap/>
            <w:vAlign w:val="bottom"/>
            <w:hideMark/>
          </w:tcPr>
          <w:p w14:paraId="754DA990"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86.532 </w:t>
            </w:r>
          </w:p>
        </w:tc>
        <w:tc>
          <w:tcPr>
            <w:tcW w:w="1880" w:type="dxa"/>
            <w:tcBorders>
              <w:top w:val="nil"/>
              <w:left w:val="nil"/>
              <w:bottom w:val="nil"/>
              <w:right w:val="single" w:sz="8" w:space="0" w:color="BFBFBF"/>
            </w:tcBorders>
            <w:shd w:val="clear" w:color="auto" w:fill="auto"/>
            <w:noWrap/>
            <w:vAlign w:val="bottom"/>
            <w:hideMark/>
          </w:tcPr>
          <w:p w14:paraId="3F6EEEE0"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79.405 </w:t>
            </w:r>
          </w:p>
        </w:tc>
      </w:tr>
      <w:tr w:rsidR="00A27C22" w:rsidRPr="001D0FE2" w14:paraId="0FF59EDE"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249D0CE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Property, plant and equipment</w:t>
            </w:r>
          </w:p>
        </w:tc>
        <w:tc>
          <w:tcPr>
            <w:tcW w:w="1880" w:type="dxa"/>
            <w:tcBorders>
              <w:top w:val="nil"/>
              <w:left w:val="single" w:sz="8" w:space="0" w:color="BFBFBF"/>
              <w:bottom w:val="nil"/>
              <w:right w:val="single" w:sz="8" w:space="0" w:color="BFBFBF"/>
            </w:tcBorders>
            <w:shd w:val="clear" w:color="000000" w:fill="DCE6F1"/>
            <w:noWrap/>
            <w:vAlign w:val="bottom"/>
            <w:hideMark/>
          </w:tcPr>
          <w:p w14:paraId="38052847"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9.803 </w:t>
            </w:r>
          </w:p>
        </w:tc>
        <w:tc>
          <w:tcPr>
            <w:tcW w:w="1880" w:type="dxa"/>
            <w:tcBorders>
              <w:top w:val="nil"/>
              <w:left w:val="nil"/>
              <w:bottom w:val="nil"/>
              <w:right w:val="single" w:sz="8" w:space="0" w:color="BFBFBF"/>
            </w:tcBorders>
            <w:shd w:val="clear" w:color="auto" w:fill="auto"/>
            <w:noWrap/>
            <w:vAlign w:val="bottom"/>
            <w:hideMark/>
          </w:tcPr>
          <w:p w14:paraId="38E6F945"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9.591 </w:t>
            </w:r>
          </w:p>
        </w:tc>
      </w:tr>
      <w:tr w:rsidR="00A27C22" w:rsidRPr="001D0FE2" w14:paraId="7F92046A" w14:textId="77777777" w:rsidTr="00B81D69">
        <w:trPr>
          <w:trHeight w:val="315"/>
        </w:trPr>
        <w:tc>
          <w:tcPr>
            <w:tcW w:w="5312" w:type="dxa"/>
            <w:tcBorders>
              <w:top w:val="nil"/>
              <w:left w:val="single" w:sz="8" w:space="0" w:color="D9D9D9"/>
              <w:bottom w:val="nil"/>
              <w:right w:val="single" w:sz="8" w:space="0" w:color="D9D9D9"/>
            </w:tcBorders>
            <w:shd w:val="clear" w:color="auto" w:fill="auto"/>
            <w:vAlign w:val="bottom"/>
            <w:hideMark/>
          </w:tcPr>
          <w:p w14:paraId="5CDC531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Right-of-use assets</w:t>
            </w:r>
          </w:p>
        </w:tc>
        <w:tc>
          <w:tcPr>
            <w:tcW w:w="1880" w:type="dxa"/>
            <w:tcBorders>
              <w:top w:val="nil"/>
              <w:left w:val="single" w:sz="8" w:space="0" w:color="BFBFBF"/>
              <w:bottom w:val="nil"/>
              <w:right w:val="single" w:sz="8" w:space="0" w:color="BFBFBF"/>
            </w:tcBorders>
            <w:shd w:val="clear" w:color="000000" w:fill="DCE6F1"/>
            <w:noWrap/>
            <w:vAlign w:val="bottom"/>
            <w:hideMark/>
          </w:tcPr>
          <w:p w14:paraId="0B6D3650"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5.921 </w:t>
            </w:r>
          </w:p>
        </w:tc>
        <w:tc>
          <w:tcPr>
            <w:tcW w:w="1880" w:type="dxa"/>
            <w:tcBorders>
              <w:top w:val="nil"/>
              <w:left w:val="nil"/>
              <w:bottom w:val="nil"/>
              <w:right w:val="single" w:sz="8" w:space="0" w:color="BFBFBF"/>
            </w:tcBorders>
            <w:shd w:val="clear" w:color="auto" w:fill="auto"/>
            <w:noWrap/>
            <w:vAlign w:val="bottom"/>
            <w:hideMark/>
          </w:tcPr>
          <w:p w14:paraId="77C94611"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6.705 </w:t>
            </w:r>
          </w:p>
        </w:tc>
      </w:tr>
      <w:tr w:rsidR="00A27C22" w:rsidRPr="001D0FE2" w14:paraId="00A2346F"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1FC05BA8"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Deferred tax assets</w:t>
            </w:r>
          </w:p>
        </w:tc>
        <w:tc>
          <w:tcPr>
            <w:tcW w:w="1880" w:type="dxa"/>
            <w:tcBorders>
              <w:top w:val="nil"/>
              <w:left w:val="single" w:sz="8" w:space="0" w:color="BFBFBF"/>
              <w:bottom w:val="nil"/>
              <w:right w:val="single" w:sz="8" w:space="0" w:color="BFBFBF"/>
            </w:tcBorders>
            <w:shd w:val="clear" w:color="000000" w:fill="DCE6F1"/>
            <w:noWrap/>
            <w:vAlign w:val="bottom"/>
            <w:hideMark/>
          </w:tcPr>
          <w:p w14:paraId="31890D5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25.305 </w:t>
            </w:r>
          </w:p>
        </w:tc>
        <w:tc>
          <w:tcPr>
            <w:tcW w:w="1880" w:type="dxa"/>
            <w:tcBorders>
              <w:top w:val="nil"/>
              <w:left w:val="nil"/>
              <w:bottom w:val="nil"/>
              <w:right w:val="single" w:sz="8" w:space="0" w:color="BFBFBF"/>
            </w:tcBorders>
            <w:shd w:val="clear" w:color="auto" w:fill="auto"/>
            <w:noWrap/>
            <w:vAlign w:val="bottom"/>
            <w:hideMark/>
          </w:tcPr>
          <w:p w14:paraId="71D12C6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32.061 </w:t>
            </w:r>
          </w:p>
        </w:tc>
      </w:tr>
      <w:tr w:rsidR="00A27C22" w:rsidRPr="001D0FE2" w14:paraId="2A9CE5D5" w14:textId="77777777" w:rsidTr="00B81D69">
        <w:trPr>
          <w:trHeight w:val="315"/>
        </w:trPr>
        <w:tc>
          <w:tcPr>
            <w:tcW w:w="5312" w:type="dxa"/>
            <w:tcBorders>
              <w:top w:val="nil"/>
              <w:left w:val="single" w:sz="8" w:space="0" w:color="D9D9D9"/>
              <w:bottom w:val="nil"/>
              <w:right w:val="single" w:sz="8" w:space="0" w:color="D9D9D9"/>
            </w:tcBorders>
            <w:shd w:val="clear" w:color="auto" w:fill="auto"/>
            <w:vAlign w:val="bottom"/>
            <w:hideMark/>
          </w:tcPr>
          <w:p w14:paraId="69C229E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Investments accounted for using the equity method</w:t>
            </w:r>
          </w:p>
        </w:tc>
        <w:tc>
          <w:tcPr>
            <w:tcW w:w="1880" w:type="dxa"/>
            <w:tcBorders>
              <w:top w:val="nil"/>
              <w:left w:val="single" w:sz="8" w:space="0" w:color="BFBFBF"/>
              <w:bottom w:val="nil"/>
              <w:right w:val="single" w:sz="8" w:space="0" w:color="BFBFBF"/>
            </w:tcBorders>
            <w:shd w:val="clear" w:color="000000" w:fill="DCE6F1"/>
            <w:noWrap/>
            <w:vAlign w:val="bottom"/>
            <w:hideMark/>
          </w:tcPr>
          <w:p w14:paraId="58CEDA90"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6.293 </w:t>
            </w:r>
          </w:p>
        </w:tc>
        <w:tc>
          <w:tcPr>
            <w:tcW w:w="1880" w:type="dxa"/>
            <w:tcBorders>
              <w:top w:val="nil"/>
              <w:left w:val="nil"/>
              <w:bottom w:val="nil"/>
              <w:right w:val="single" w:sz="8" w:space="0" w:color="BFBFBF"/>
            </w:tcBorders>
            <w:shd w:val="clear" w:color="auto" w:fill="auto"/>
            <w:noWrap/>
            <w:vAlign w:val="bottom"/>
            <w:hideMark/>
          </w:tcPr>
          <w:p w14:paraId="12A3A27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6.177 </w:t>
            </w:r>
          </w:p>
        </w:tc>
      </w:tr>
      <w:tr w:rsidR="00A27C22" w:rsidRPr="001D0FE2" w14:paraId="4E57F736" w14:textId="77777777" w:rsidTr="00B81D69">
        <w:trPr>
          <w:trHeight w:val="315"/>
        </w:trPr>
        <w:tc>
          <w:tcPr>
            <w:tcW w:w="5312" w:type="dxa"/>
            <w:tcBorders>
              <w:top w:val="nil"/>
              <w:left w:val="single" w:sz="8" w:space="0" w:color="D9D9D9"/>
              <w:bottom w:val="nil"/>
              <w:right w:val="single" w:sz="8" w:space="0" w:color="D9D9D9"/>
            </w:tcBorders>
            <w:shd w:val="clear" w:color="auto" w:fill="auto"/>
            <w:vAlign w:val="bottom"/>
            <w:hideMark/>
          </w:tcPr>
          <w:p w14:paraId="6029E91B"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Restricted cash</w:t>
            </w:r>
          </w:p>
        </w:tc>
        <w:tc>
          <w:tcPr>
            <w:tcW w:w="1880" w:type="dxa"/>
            <w:tcBorders>
              <w:top w:val="nil"/>
              <w:left w:val="single" w:sz="8" w:space="0" w:color="BFBFBF"/>
              <w:bottom w:val="nil"/>
              <w:right w:val="single" w:sz="8" w:space="0" w:color="BFBFBF"/>
            </w:tcBorders>
            <w:shd w:val="clear" w:color="000000" w:fill="DCE6F1"/>
            <w:noWrap/>
            <w:vAlign w:val="bottom"/>
            <w:hideMark/>
          </w:tcPr>
          <w:p w14:paraId="42E08AA6"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2.547 </w:t>
            </w:r>
          </w:p>
        </w:tc>
        <w:tc>
          <w:tcPr>
            <w:tcW w:w="1880" w:type="dxa"/>
            <w:tcBorders>
              <w:top w:val="nil"/>
              <w:left w:val="nil"/>
              <w:bottom w:val="nil"/>
              <w:right w:val="single" w:sz="8" w:space="0" w:color="BFBFBF"/>
            </w:tcBorders>
            <w:shd w:val="clear" w:color="auto" w:fill="auto"/>
            <w:noWrap/>
            <w:vAlign w:val="bottom"/>
            <w:hideMark/>
          </w:tcPr>
          <w:p w14:paraId="3B33D3F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2.543 </w:t>
            </w:r>
          </w:p>
        </w:tc>
      </w:tr>
      <w:tr w:rsidR="00A27C22" w:rsidRPr="001D0FE2" w14:paraId="74A57274" w14:textId="77777777" w:rsidTr="00B81D69">
        <w:trPr>
          <w:trHeight w:val="315"/>
        </w:trPr>
        <w:tc>
          <w:tcPr>
            <w:tcW w:w="5312" w:type="dxa"/>
            <w:tcBorders>
              <w:top w:val="nil"/>
              <w:left w:val="single" w:sz="8" w:space="0" w:color="D9D9D9"/>
              <w:bottom w:val="nil"/>
              <w:right w:val="single" w:sz="8" w:space="0" w:color="D9D9D9"/>
            </w:tcBorders>
            <w:shd w:val="clear" w:color="auto" w:fill="auto"/>
            <w:vAlign w:val="bottom"/>
            <w:hideMark/>
          </w:tcPr>
          <w:p w14:paraId="1FB3A0D8"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Non-current assets</w:t>
            </w:r>
          </w:p>
        </w:tc>
        <w:tc>
          <w:tcPr>
            <w:tcW w:w="1880" w:type="dxa"/>
            <w:tcBorders>
              <w:top w:val="nil"/>
              <w:left w:val="single" w:sz="8" w:space="0" w:color="BFBFBF"/>
              <w:bottom w:val="nil"/>
              <w:right w:val="single" w:sz="8" w:space="0" w:color="BFBFBF"/>
            </w:tcBorders>
            <w:shd w:val="clear" w:color="000000" w:fill="DCE6F1"/>
            <w:noWrap/>
            <w:vAlign w:val="bottom"/>
            <w:hideMark/>
          </w:tcPr>
          <w:p w14:paraId="492E4A39"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136.401 </w:t>
            </w:r>
          </w:p>
        </w:tc>
        <w:tc>
          <w:tcPr>
            <w:tcW w:w="1880" w:type="dxa"/>
            <w:tcBorders>
              <w:top w:val="nil"/>
              <w:left w:val="nil"/>
              <w:bottom w:val="nil"/>
              <w:right w:val="single" w:sz="8" w:space="0" w:color="BFBFBF"/>
            </w:tcBorders>
            <w:shd w:val="clear" w:color="auto" w:fill="auto"/>
            <w:noWrap/>
            <w:vAlign w:val="bottom"/>
            <w:hideMark/>
          </w:tcPr>
          <w:p w14:paraId="0FE238B0"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136.482 </w:t>
            </w:r>
          </w:p>
        </w:tc>
      </w:tr>
      <w:tr w:rsidR="00A27C22" w:rsidRPr="001D0FE2" w14:paraId="6AE7BAEC" w14:textId="77777777" w:rsidTr="00B81D69">
        <w:trPr>
          <w:trHeight w:val="240"/>
        </w:trPr>
        <w:tc>
          <w:tcPr>
            <w:tcW w:w="5312" w:type="dxa"/>
            <w:tcBorders>
              <w:top w:val="nil"/>
              <w:left w:val="single" w:sz="8" w:space="0" w:color="D9D9D9"/>
              <w:bottom w:val="nil"/>
              <w:right w:val="single" w:sz="8" w:space="0" w:color="D9D9D9"/>
            </w:tcBorders>
            <w:shd w:val="clear" w:color="auto" w:fill="auto"/>
            <w:vAlign w:val="bottom"/>
            <w:hideMark/>
          </w:tcPr>
          <w:p w14:paraId="0A24C707"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single" w:sz="8" w:space="0" w:color="BFBFBF"/>
              <w:bottom w:val="nil"/>
              <w:right w:val="single" w:sz="8" w:space="0" w:color="BFBFBF"/>
            </w:tcBorders>
            <w:shd w:val="clear" w:color="000000" w:fill="DCE6F1"/>
            <w:noWrap/>
            <w:vAlign w:val="bottom"/>
            <w:hideMark/>
          </w:tcPr>
          <w:p w14:paraId="3FF406D3"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nil"/>
              <w:bottom w:val="nil"/>
              <w:right w:val="single" w:sz="8" w:space="0" w:color="BFBFBF"/>
            </w:tcBorders>
            <w:shd w:val="clear" w:color="auto" w:fill="auto"/>
            <w:noWrap/>
            <w:vAlign w:val="bottom"/>
            <w:hideMark/>
          </w:tcPr>
          <w:p w14:paraId="0FB697B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7CAB233B"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56FACF58"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Inventories</w:t>
            </w:r>
          </w:p>
        </w:tc>
        <w:tc>
          <w:tcPr>
            <w:tcW w:w="1880" w:type="dxa"/>
            <w:tcBorders>
              <w:top w:val="nil"/>
              <w:left w:val="single" w:sz="8" w:space="0" w:color="BFBFBF"/>
              <w:bottom w:val="nil"/>
              <w:right w:val="single" w:sz="8" w:space="0" w:color="BFBFBF"/>
            </w:tcBorders>
            <w:shd w:val="clear" w:color="000000" w:fill="DCE6F1"/>
            <w:noWrap/>
            <w:vAlign w:val="bottom"/>
            <w:hideMark/>
          </w:tcPr>
          <w:p w14:paraId="6EF1341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18.180 </w:t>
            </w:r>
          </w:p>
        </w:tc>
        <w:tc>
          <w:tcPr>
            <w:tcW w:w="1880" w:type="dxa"/>
            <w:tcBorders>
              <w:top w:val="nil"/>
              <w:left w:val="nil"/>
              <w:bottom w:val="nil"/>
              <w:right w:val="single" w:sz="8" w:space="0" w:color="BFBFBF"/>
            </w:tcBorders>
            <w:shd w:val="clear" w:color="auto" w:fill="auto"/>
            <w:noWrap/>
            <w:vAlign w:val="bottom"/>
            <w:hideMark/>
          </w:tcPr>
          <w:p w14:paraId="366931E0"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16.223 </w:t>
            </w:r>
          </w:p>
        </w:tc>
      </w:tr>
      <w:tr w:rsidR="00A27C22" w:rsidRPr="001D0FE2" w14:paraId="32BC9910"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4C738BD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Trade and other receivables</w:t>
            </w:r>
          </w:p>
        </w:tc>
        <w:tc>
          <w:tcPr>
            <w:tcW w:w="1880" w:type="dxa"/>
            <w:tcBorders>
              <w:top w:val="nil"/>
              <w:left w:val="single" w:sz="8" w:space="0" w:color="BFBFBF"/>
              <w:bottom w:val="nil"/>
              <w:right w:val="single" w:sz="8" w:space="0" w:color="BFBFBF"/>
            </w:tcBorders>
            <w:shd w:val="clear" w:color="000000" w:fill="DCE6F1"/>
            <w:noWrap/>
            <w:vAlign w:val="bottom"/>
            <w:hideMark/>
          </w:tcPr>
          <w:p w14:paraId="07C979D3"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29.568 </w:t>
            </w:r>
          </w:p>
        </w:tc>
        <w:tc>
          <w:tcPr>
            <w:tcW w:w="1880" w:type="dxa"/>
            <w:tcBorders>
              <w:top w:val="nil"/>
              <w:left w:val="nil"/>
              <w:bottom w:val="nil"/>
              <w:right w:val="single" w:sz="8" w:space="0" w:color="BFBFBF"/>
            </w:tcBorders>
            <w:shd w:val="clear" w:color="auto" w:fill="auto"/>
            <w:noWrap/>
            <w:vAlign w:val="bottom"/>
            <w:hideMark/>
          </w:tcPr>
          <w:p w14:paraId="575353A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28.861 </w:t>
            </w:r>
          </w:p>
        </w:tc>
      </w:tr>
      <w:tr w:rsidR="00A27C22" w:rsidRPr="001D0FE2" w14:paraId="51D4B015" w14:textId="77777777" w:rsidTr="00B81D69">
        <w:trPr>
          <w:trHeight w:val="315"/>
        </w:trPr>
        <w:tc>
          <w:tcPr>
            <w:tcW w:w="5312" w:type="dxa"/>
            <w:tcBorders>
              <w:top w:val="nil"/>
              <w:left w:val="single" w:sz="8" w:space="0" w:color="D9D9D9"/>
              <w:bottom w:val="nil"/>
              <w:right w:val="single" w:sz="8" w:space="0" w:color="D9D9D9"/>
            </w:tcBorders>
            <w:shd w:val="clear" w:color="auto" w:fill="auto"/>
            <w:vAlign w:val="bottom"/>
            <w:hideMark/>
          </w:tcPr>
          <w:p w14:paraId="0848D687"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Cash and cash equivalents</w:t>
            </w:r>
          </w:p>
        </w:tc>
        <w:tc>
          <w:tcPr>
            <w:tcW w:w="1880" w:type="dxa"/>
            <w:tcBorders>
              <w:top w:val="nil"/>
              <w:left w:val="single" w:sz="8" w:space="0" w:color="BFBFBF"/>
              <w:bottom w:val="nil"/>
              <w:right w:val="single" w:sz="8" w:space="0" w:color="BFBFBF"/>
            </w:tcBorders>
            <w:shd w:val="clear" w:color="000000" w:fill="DCE6F1"/>
            <w:noWrap/>
            <w:vAlign w:val="bottom"/>
            <w:hideMark/>
          </w:tcPr>
          <w:p w14:paraId="6D5AB91B"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171.208 </w:t>
            </w:r>
          </w:p>
        </w:tc>
        <w:tc>
          <w:tcPr>
            <w:tcW w:w="1880" w:type="dxa"/>
            <w:tcBorders>
              <w:top w:val="nil"/>
              <w:left w:val="nil"/>
              <w:bottom w:val="nil"/>
              <w:right w:val="single" w:sz="8" w:space="0" w:color="BFBFBF"/>
            </w:tcBorders>
            <w:shd w:val="clear" w:color="auto" w:fill="auto"/>
            <w:noWrap/>
            <w:vAlign w:val="bottom"/>
            <w:hideMark/>
          </w:tcPr>
          <w:p w14:paraId="4C7C2643"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74.348 </w:t>
            </w:r>
          </w:p>
        </w:tc>
      </w:tr>
      <w:tr w:rsidR="00A27C22" w:rsidRPr="001D0FE2" w14:paraId="75D2B9EB" w14:textId="77777777" w:rsidTr="00B81D69">
        <w:trPr>
          <w:trHeight w:val="315"/>
        </w:trPr>
        <w:tc>
          <w:tcPr>
            <w:tcW w:w="5312" w:type="dxa"/>
            <w:tcBorders>
              <w:top w:val="nil"/>
              <w:left w:val="single" w:sz="8" w:space="0" w:color="D9D9D9"/>
              <w:bottom w:val="nil"/>
              <w:right w:val="single" w:sz="8" w:space="0" w:color="D9D9D9"/>
            </w:tcBorders>
            <w:shd w:val="clear" w:color="auto" w:fill="auto"/>
            <w:vAlign w:val="bottom"/>
            <w:hideMark/>
          </w:tcPr>
          <w:p w14:paraId="6773E400"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Current assets</w:t>
            </w:r>
          </w:p>
        </w:tc>
        <w:tc>
          <w:tcPr>
            <w:tcW w:w="1880" w:type="dxa"/>
            <w:tcBorders>
              <w:top w:val="nil"/>
              <w:left w:val="single" w:sz="8" w:space="0" w:color="BFBFBF"/>
              <w:bottom w:val="nil"/>
              <w:right w:val="single" w:sz="8" w:space="0" w:color="BFBFBF"/>
            </w:tcBorders>
            <w:shd w:val="clear" w:color="000000" w:fill="DCE6F1"/>
            <w:noWrap/>
            <w:vAlign w:val="bottom"/>
            <w:hideMark/>
          </w:tcPr>
          <w:p w14:paraId="63FED40D"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218.956 </w:t>
            </w:r>
          </w:p>
        </w:tc>
        <w:tc>
          <w:tcPr>
            <w:tcW w:w="1880" w:type="dxa"/>
            <w:tcBorders>
              <w:top w:val="nil"/>
              <w:left w:val="nil"/>
              <w:bottom w:val="nil"/>
              <w:right w:val="single" w:sz="8" w:space="0" w:color="BFBFBF"/>
            </w:tcBorders>
            <w:shd w:val="clear" w:color="auto" w:fill="auto"/>
            <w:noWrap/>
            <w:vAlign w:val="bottom"/>
            <w:hideMark/>
          </w:tcPr>
          <w:p w14:paraId="4219E0D2"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119.432 </w:t>
            </w:r>
          </w:p>
        </w:tc>
      </w:tr>
      <w:tr w:rsidR="00A27C22" w:rsidRPr="001D0FE2" w14:paraId="118754CD"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center"/>
            <w:hideMark/>
          </w:tcPr>
          <w:p w14:paraId="30336036"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single" w:sz="8" w:space="0" w:color="BFBFBF"/>
              <w:bottom w:val="nil"/>
              <w:right w:val="single" w:sz="8" w:space="0" w:color="BFBFBF"/>
            </w:tcBorders>
            <w:shd w:val="clear" w:color="000000" w:fill="DCE6F1"/>
            <w:noWrap/>
            <w:vAlign w:val="bottom"/>
            <w:hideMark/>
          </w:tcPr>
          <w:p w14:paraId="3DFECA90"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nil"/>
              <w:bottom w:val="nil"/>
              <w:right w:val="single" w:sz="8" w:space="0" w:color="BFBFBF"/>
            </w:tcBorders>
            <w:shd w:val="clear" w:color="auto" w:fill="auto"/>
            <w:noWrap/>
            <w:vAlign w:val="bottom"/>
            <w:hideMark/>
          </w:tcPr>
          <w:p w14:paraId="72ADD312"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1984CEAB" w14:textId="77777777" w:rsidTr="00B81D69">
        <w:trPr>
          <w:trHeight w:val="313"/>
        </w:trPr>
        <w:tc>
          <w:tcPr>
            <w:tcW w:w="5312"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0FCCE84F"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Total assets</w:t>
            </w:r>
          </w:p>
        </w:tc>
        <w:tc>
          <w:tcPr>
            <w:tcW w:w="1880" w:type="dxa"/>
            <w:tcBorders>
              <w:top w:val="single" w:sz="8" w:space="0" w:color="BFBFBF"/>
              <w:left w:val="nil"/>
              <w:bottom w:val="single" w:sz="8" w:space="0" w:color="BFBFBF"/>
              <w:right w:val="single" w:sz="8" w:space="0" w:color="BFBFBF"/>
            </w:tcBorders>
            <w:shd w:val="clear" w:color="000000" w:fill="DCE6F1"/>
            <w:noWrap/>
            <w:vAlign w:val="center"/>
            <w:hideMark/>
          </w:tcPr>
          <w:p w14:paraId="42F8DC24"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355.357 </w:t>
            </w:r>
          </w:p>
        </w:tc>
        <w:tc>
          <w:tcPr>
            <w:tcW w:w="1880" w:type="dxa"/>
            <w:tcBorders>
              <w:top w:val="single" w:sz="8" w:space="0" w:color="BFBFBF"/>
              <w:left w:val="nil"/>
              <w:bottom w:val="single" w:sz="8" w:space="0" w:color="BFBFBF"/>
              <w:right w:val="single" w:sz="8" w:space="0" w:color="BFBFBF"/>
            </w:tcBorders>
            <w:shd w:val="clear" w:color="auto" w:fill="auto"/>
            <w:noWrap/>
            <w:vAlign w:val="center"/>
            <w:hideMark/>
          </w:tcPr>
          <w:p w14:paraId="602228D1"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255.915 </w:t>
            </w:r>
          </w:p>
        </w:tc>
      </w:tr>
      <w:tr w:rsidR="00A27C22" w:rsidRPr="001D0FE2" w14:paraId="600CF342" w14:textId="77777777" w:rsidTr="00B81D69">
        <w:trPr>
          <w:trHeight w:val="240"/>
        </w:trPr>
        <w:tc>
          <w:tcPr>
            <w:tcW w:w="5312" w:type="dxa"/>
            <w:tcBorders>
              <w:top w:val="nil"/>
              <w:left w:val="single" w:sz="8" w:space="0" w:color="D9D9D9"/>
              <w:bottom w:val="nil"/>
              <w:right w:val="single" w:sz="8" w:space="0" w:color="D9D9D9"/>
            </w:tcBorders>
            <w:shd w:val="clear" w:color="000000" w:fill="FFFFFF"/>
            <w:vAlign w:val="center"/>
            <w:hideMark/>
          </w:tcPr>
          <w:p w14:paraId="16F92973"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w:t>
            </w:r>
          </w:p>
        </w:tc>
        <w:tc>
          <w:tcPr>
            <w:tcW w:w="1880" w:type="dxa"/>
            <w:tcBorders>
              <w:top w:val="nil"/>
              <w:left w:val="single" w:sz="8" w:space="0" w:color="BFBFBF"/>
              <w:bottom w:val="nil"/>
              <w:right w:val="single" w:sz="8" w:space="0" w:color="BFBFBF"/>
            </w:tcBorders>
            <w:shd w:val="clear" w:color="000000" w:fill="DCE6F1"/>
            <w:noWrap/>
            <w:vAlign w:val="bottom"/>
            <w:hideMark/>
          </w:tcPr>
          <w:p w14:paraId="6FB7E483"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nil"/>
              <w:bottom w:val="nil"/>
              <w:right w:val="single" w:sz="8" w:space="0" w:color="BFBFBF"/>
            </w:tcBorders>
            <w:shd w:val="clear" w:color="auto" w:fill="auto"/>
            <w:noWrap/>
            <w:vAlign w:val="bottom"/>
            <w:hideMark/>
          </w:tcPr>
          <w:p w14:paraId="7CC65738"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618A5B6C"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6BDD04D0"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Share capital</w:t>
            </w:r>
          </w:p>
        </w:tc>
        <w:tc>
          <w:tcPr>
            <w:tcW w:w="1880" w:type="dxa"/>
            <w:tcBorders>
              <w:top w:val="nil"/>
              <w:left w:val="single" w:sz="8" w:space="0" w:color="BFBFBF"/>
              <w:bottom w:val="nil"/>
              <w:right w:val="single" w:sz="8" w:space="0" w:color="BFBFBF"/>
            </w:tcBorders>
            <w:shd w:val="clear" w:color="000000" w:fill="DCE6F1"/>
            <w:noWrap/>
            <w:vAlign w:val="bottom"/>
            <w:hideMark/>
          </w:tcPr>
          <w:p w14:paraId="190E979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7.146 </w:t>
            </w:r>
          </w:p>
        </w:tc>
        <w:tc>
          <w:tcPr>
            <w:tcW w:w="1880" w:type="dxa"/>
            <w:tcBorders>
              <w:top w:val="nil"/>
              <w:left w:val="nil"/>
              <w:bottom w:val="nil"/>
              <w:right w:val="single" w:sz="8" w:space="0" w:color="BFBFBF"/>
            </w:tcBorders>
            <w:shd w:val="clear" w:color="auto" w:fill="auto"/>
            <w:noWrap/>
            <w:vAlign w:val="bottom"/>
            <w:hideMark/>
          </w:tcPr>
          <w:p w14:paraId="5FDAA21F"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7.079 </w:t>
            </w:r>
          </w:p>
        </w:tc>
      </w:tr>
      <w:tr w:rsidR="00A27C22" w:rsidRPr="001D0FE2" w14:paraId="59DA975D"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13E2281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Share premium</w:t>
            </w:r>
          </w:p>
        </w:tc>
        <w:tc>
          <w:tcPr>
            <w:tcW w:w="1880" w:type="dxa"/>
            <w:tcBorders>
              <w:top w:val="nil"/>
              <w:left w:val="single" w:sz="8" w:space="0" w:color="BFBFBF"/>
              <w:bottom w:val="nil"/>
              <w:right w:val="single" w:sz="8" w:space="0" w:color="BFBFBF"/>
            </w:tcBorders>
            <w:shd w:val="clear" w:color="000000" w:fill="DCE6F1"/>
            <w:noWrap/>
            <w:vAlign w:val="bottom"/>
            <w:hideMark/>
          </w:tcPr>
          <w:p w14:paraId="662986E5"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443.794 </w:t>
            </w:r>
          </w:p>
        </w:tc>
        <w:tc>
          <w:tcPr>
            <w:tcW w:w="1880" w:type="dxa"/>
            <w:tcBorders>
              <w:top w:val="nil"/>
              <w:left w:val="nil"/>
              <w:bottom w:val="nil"/>
              <w:right w:val="single" w:sz="8" w:space="0" w:color="BFBFBF"/>
            </w:tcBorders>
            <w:shd w:val="clear" w:color="auto" w:fill="auto"/>
            <w:noWrap/>
            <w:vAlign w:val="bottom"/>
            <w:hideMark/>
          </w:tcPr>
          <w:p w14:paraId="6228FF6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439.887 </w:t>
            </w:r>
          </w:p>
        </w:tc>
      </w:tr>
      <w:tr w:rsidR="00A27C22" w:rsidRPr="001D0FE2" w14:paraId="14849183"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31EDA42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Legal reserves</w:t>
            </w:r>
          </w:p>
        </w:tc>
        <w:tc>
          <w:tcPr>
            <w:tcW w:w="1880" w:type="dxa"/>
            <w:tcBorders>
              <w:top w:val="nil"/>
              <w:left w:val="single" w:sz="8" w:space="0" w:color="BFBFBF"/>
              <w:bottom w:val="nil"/>
              <w:right w:val="single" w:sz="8" w:space="0" w:color="BFBFBF"/>
            </w:tcBorders>
            <w:shd w:val="clear" w:color="000000" w:fill="DCE6F1"/>
            <w:noWrap/>
            <w:vAlign w:val="bottom"/>
            <w:hideMark/>
          </w:tcPr>
          <w:p w14:paraId="04C0209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4.268 </w:t>
            </w:r>
          </w:p>
        </w:tc>
        <w:tc>
          <w:tcPr>
            <w:tcW w:w="1880" w:type="dxa"/>
            <w:tcBorders>
              <w:top w:val="nil"/>
              <w:left w:val="nil"/>
              <w:bottom w:val="nil"/>
              <w:right w:val="single" w:sz="8" w:space="0" w:color="BFBFBF"/>
            </w:tcBorders>
            <w:shd w:val="clear" w:color="auto" w:fill="auto"/>
            <w:noWrap/>
            <w:vAlign w:val="bottom"/>
            <w:hideMark/>
          </w:tcPr>
          <w:p w14:paraId="59AE7327"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4.169 </w:t>
            </w:r>
          </w:p>
        </w:tc>
      </w:tr>
      <w:tr w:rsidR="00A27C22" w:rsidRPr="001D0FE2" w14:paraId="75DE0110"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3CCF091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Accumulated deficit</w:t>
            </w:r>
          </w:p>
        </w:tc>
        <w:tc>
          <w:tcPr>
            <w:tcW w:w="1880" w:type="dxa"/>
            <w:tcBorders>
              <w:top w:val="nil"/>
              <w:left w:val="single" w:sz="8" w:space="0" w:color="BFBFBF"/>
              <w:bottom w:val="nil"/>
              <w:right w:val="single" w:sz="8" w:space="0" w:color="BFBFBF"/>
            </w:tcBorders>
            <w:shd w:val="clear" w:color="000000" w:fill="DCE6F1"/>
            <w:noWrap/>
            <w:vAlign w:val="bottom"/>
            <w:hideMark/>
          </w:tcPr>
          <w:p w14:paraId="6D9D4BB0"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(312.255)</w:t>
            </w:r>
          </w:p>
        </w:tc>
        <w:tc>
          <w:tcPr>
            <w:tcW w:w="1880" w:type="dxa"/>
            <w:tcBorders>
              <w:top w:val="nil"/>
              <w:left w:val="nil"/>
              <w:bottom w:val="nil"/>
              <w:right w:val="single" w:sz="8" w:space="0" w:color="BFBFBF"/>
            </w:tcBorders>
            <w:shd w:val="clear" w:color="auto" w:fill="auto"/>
            <w:noWrap/>
            <w:vAlign w:val="bottom"/>
            <w:hideMark/>
          </w:tcPr>
          <w:p w14:paraId="466D9AF2"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(333.749)</w:t>
            </w:r>
          </w:p>
        </w:tc>
      </w:tr>
      <w:tr w:rsidR="00A27C22" w:rsidRPr="001D0FE2" w14:paraId="6CFDC1DF"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60DBCA22"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Shareholders’ equity</w:t>
            </w:r>
          </w:p>
        </w:tc>
        <w:tc>
          <w:tcPr>
            <w:tcW w:w="1880" w:type="dxa"/>
            <w:tcBorders>
              <w:top w:val="nil"/>
              <w:left w:val="single" w:sz="8" w:space="0" w:color="BFBFBF"/>
              <w:bottom w:val="nil"/>
              <w:right w:val="single" w:sz="8" w:space="0" w:color="BFBFBF"/>
            </w:tcBorders>
            <w:shd w:val="clear" w:color="000000" w:fill="DCE6F1"/>
            <w:noWrap/>
            <w:vAlign w:val="bottom"/>
            <w:hideMark/>
          </w:tcPr>
          <w:p w14:paraId="6AE655FD"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142.954 </w:t>
            </w:r>
          </w:p>
        </w:tc>
        <w:tc>
          <w:tcPr>
            <w:tcW w:w="1880" w:type="dxa"/>
            <w:tcBorders>
              <w:top w:val="nil"/>
              <w:left w:val="nil"/>
              <w:bottom w:val="nil"/>
              <w:right w:val="single" w:sz="8" w:space="0" w:color="BFBFBF"/>
            </w:tcBorders>
            <w:shd w:val="clear" w:color="auto" w:fill="auto"/>
            <w:noWrap/>
            <w:vAlign w:val="bottom"/>
            <w:hideMark/>
          </w:tcPr>
          <w:p w14:paraId="217DAA5F"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117.387 </w:t>
            </w:r>
          </w:p>
        </w:tc>
      </w:tr>
      <w:tr w:rsidR="00A27C22" w:rsidRPr="001D0FE2" w14:paraId="7DEE9741" w14:textId="77777777" w:rsidTr="00B81D69">
        <w:trPr>
          <w:trHeight w:val="253"/>
        </w:trPr>
        <w:tc>
          <w:tcPr>
            <w:tcW w:w="5312" w:type="dxa"/>
            <w:tcBorders>
              <w:top w:val="nil"/>
              <w:left w:val="single" w:sz="8" w:space="0" w:color="D9D9D9"/>
              <w:bottom w:val="nil"/>
              <w:right w:val="single" w:sz="8" w:space="0" w:color="D9D9D9"/>
            </w:tcBorders>
            <w:shd w:val="clear" w:color="000000" w:fill="FFFFFF"/>
            <w:vAlign w:val="bottom"/>
            <w:hideMark/>
          </w:tcPr>
          <w:p w14:paraId="5E036D2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single" w:sz="8" w:space="0" w:color="BFBFBF"/>
              <w:bottom w:val="nil"/>
              <w:right w:val="single" w:sz="8" w:space="0" w:color="BFBFBF"/>
            </w:tcBorders>
            <w:shd w:val="clear" w:color="000000" w:fill="DCE6F1"/>
            <w:noWrap/>
            <w:vAlign w:val="bottom"/>
            <w:hideMark/>
          </w:tcPr>
          <w:p w14:paraId="447FC67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nil"/>
              <w:bottom w:val="nil"/>
              <w:right w:val="single" w:sz="8" w:space="0" w:color="BFBFBF"/>
            </w:tcBorders>
            <w:shd w:val="clear" w:color="auto" w:fill="auto"/>
            <w:noWrap/>
            <w:vAlign w:val="bottom"/>
            <w:hideMark/>
          </w:tcPr>
          <w:p w14:paraId="74EE884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2064B415"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452D90E0"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Convertible bonds</w:t>
            </w:r>
          </w:p>
        </w:tc>
        <w:tc>
          <w:tcPr>
            <w:tcW w:w="1880" w:type="dxa"/>
            <w:tcBorders>
              <w:top w:val="nil"/>
              <w:left w:val="single" w:sz="8" w:space="0" w:color="BFBFBF"/>
              <w:bottom w:val="nil"/>
              <w:right w:val="single" w:sz="8" w:space="0" w:color="BFBFBF"/>
            </w:tcBorders>
            <w:shd w:val="clear" w:color="000000" w:fill="DCE6F1"/>
            <w:noWrap/>
            <w:vAlign w:val="bottom"/>
            <w:hideMark/>
          </w:tcPr>
          <w:p w14:paraId="001BA963"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138.082 </w:t>
            </w:r>
          </w:p>
        </w:tc>
        <w:tc>
          <w:tcPr>
            <w:tcW w:w="1880" w:type="dxa"/>
            <w:tcBorders>
              <w:top w:val="nil"/>
              <w:left w:val="nil"/>
              <w:bottom w:val="nil"/>
              <w:right w:val="single" w:sz="8" w:space="0" w:color="BFBFBF"/>
            </w:tcBorders>
            <w:shd w:val="clear" w:color="auto" w:fill="auto"/>
            <w:noWrap/>
            <w:vAlign w:val="bottom"/>
            <w:hideMark/>
          </w:tcPr>
          <w:p w14:paraId="403DDD6F"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   </w:t>
            </w:r>
          </w:p>
        </w:tc>
      </w:tr>
      <w:tr w:rsidR="00A27C22" w:rsidRPr="001D0FE2" w14:paraId="5A2982C9" w14:textId="77777777" w:rsidTr="00B81D69">
        <w:trPr>
          <w:trHeight w:val="315"/>
        </w:trPr>
        <w:tc>
          <w:tcPr>
            <w:tcW w:w="5312" w:type="dxa"/>
            <w:tcBorders>
              <w:top w:val="nil"/>
              <w:left w:val="single" w:sz="8" w:space="0" w:color="D9D9D9"/>
              <w:bottom w:val="nil"/>
              <w:right w:val="single" w:sz="8" w:space="0" w:color="D9D9D9"/>
            </w:tcBorders>
            <w:shd w:val="clear" w:color="auto" w:fill="auto"/>
            <w:vAlign w:val="bottom"/>
            <w:hideMark/>
          </w:tcPr>
          <w:p w14:paraId="525D59C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Lease liabilities</w:t>
            </w:r>
          </w:p>
        </w:tc>
        <w:tc>
          <w:tcPr>
            <w:tcW w:w="1880" w:type="dxa"/>
            <w:tcBorders>
              <w:top w:val="nil"/>
              <w:left w:val="single" w:sz="8" w:space="0" w:color="BFBFBF"/>
              <w:bottom w:val="nil"/>
              <w:right w:val="single" w:sz="8" w:space="0" w:color="BFBFBF"/>
            </w:tcBorders>
            <w:shd w:val="clear" w:color="000000" w:fill="DCE6F1"/>
            <w:noWrap/>
            <w:vAlign w:val="bottom"/>
            <w:hideMark/>
          </w:tcPr>
          <w:p w14:paraId="624AF4F2"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4.632 </w:t>
            </w:r>
          </w:p>
        </w:tc>
        <w:tc>
          <w:tcPr>
            <w:tcW w:w="1880" w:type="dxa"/>
            <w:tcBorders>
              <w:top w:val="nil"/>
              <w:left w:val="nil"/>
              <w:bottom w:val="nil"/>
              <w:right w:val="single" w:sz="8" w:space="0" w:color="BFBFBF"/>
            </w:tcBorders>
            <w:shd w:val="clear" w:color="auto" w:fill="auto"/>
            <w:noWrap/>
            <w:vAlign w:val="bottom"/>
            <w:hideMark/>
          </w:tcPr>
          <w:p w14:paraId="70A3E232"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4.893 </w:t>
            </w:r>
          </w:p>
        </w:tc>
      </w:tr>
      <w:tr w:rsidR="00A27C22" w:rsidRPr="001D0FE2" w14:paraId="11B18B60"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058B4525"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Other financial liabilities</w:t>
            </w:r>
          </w:p>
        </w:tc>
        <w:tc>
          <w:tcPr>
            <w:tcW w:w="1880" w:type="dxa"/>
            <w:tcBorders>
              <w:top w:val="nil"/>
              <w:left w:val="single" w:sz="8" w:space="0" w:color="BFBFBF"/>
              <w:bottom w:val="nil"/>
              <w:right w:val="single" w:sz="8" w:space="0" w:color="BFBFBF"/>
            </w:tcBorders>
            <w:shd w:val="clear" w:color="000000" w:fill="DCE6F1"/>
            <w:noWrap/>
            <w:vAlign w:val="bottom"/>
            <w:hideMark/>
          </w:tcPr>
          <w:p w14:paraId="4AE8540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20.505 </w:t>
            </w:r>
          </w:p>
        </w:tc>
        <w:tc>
          <w:tcPr>
            <w:tcW w:w="1880" w:type="dxa"/>
            <w:tcBorders>
              <w:top w:val="nil"/>
              <w:left w:val="nil"/>
              <w:bottom w:val="nil"/>
              <w:right w:val="single" w:sz="8" w:space="0" w:color="BFBFBF"/>
            </w:tcBorders>
            <w:shd w:val="clear" w:color="auto" w:fill="auto"/>
            <w:noWrap/>
            <w:vAlign w:val="bottom"/>
            <w:hideMark/>
          </w:tcPr>
          <w:p w14:paraId="4DECD4EE"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36.643 </w:t>
            </w:r>
          </w:p>
        </w:tc>
      </w:tr>
      <w:tr w:rsidR="00A27C22" w:rsidRPr="001D0FE2" w14:paraId="77FE0EB0"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633C9E57"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Non-current liabilities</w:t>
            </w:r>
          </w:p>
        </w:tc>
        <w:tc>
          <w:tcPr>
            <w:tcW w:w="1880" w:type="dxa"/>
            <w:tcBorders>
              <w:top w:val="nil"/>
              <w:left w:val="single" w:sz="8" w:space="0" w:color="BFBFBF"/>
              <w:bottom w:val="nil"/>
              <w:right w:val="single" w:sz="8" w:space="0" w:color="BFBFBF"/>
            </w:tcBorders>
            <w:shd w:val="clear" w:color="000000" w:fill="DCE6F1"/>
            <w:noWrap/>
            <w:vAlign w:val="bottom"/>
            <w:hideMark/>
          </w:tcPr>
          <w:p w14:paraId="27935FDA"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163.219 </w:t>
            </w:r>
          </w:p>
        </w:tc>
        <w:tc>
          <w:tcPr>
            <w:tcW w:w="1880" w:type="dxa"/>
            <w:tcBorders>
              <w:top w:val="nil"/>
              <w:left w:val="nil"/>
              <w:bottom w:val="nil"/>
              <w:right w:val="single" w:sz="8" w:space="0" w:color="BFBFBF"/>
            </w:tcBorders>
            <w:shd w:val="clear" w:color="auto" w:fill="auto"/>
            <w:noWrap/>
            <w:vAlign w:val="bottom"/>
            <w:hideMark/>
          </w:tcPr>
          <w:p w14:paraId="5BD0E56B"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24.273 </w:t>
            </w:r>
          </w:p>
        </w:tc>
      </w:tr>
      <w:tr w:rsidR="00A27C22" w:rsidRPr="001D0FE2" w14:paraId="649EAC73" w14:textId="77777777" w:rsidTr="00B81D69">
        <w:trPr>
          <w:trHeight w:val="240"/>
        </w:trPr>
        <w:tc>
          <w:tcPr>
            <w:tcW w:w="5312" w:type="dxa"/>
            <w:tcBorders>
              <w:top w:val="nil"/>
              <w:left w:val="single" w:sz="8" w:space="0" w:color="D9D9D9"/>
              <w:bottom w:val="nil"/>
              <w:right w:val="single" w:sz="8" w:space="0" w:color="D9D9D9"/>
            </w:tcBorders>
            <w:shd w:val="clear" w:color="000000" w:fill="FFFFFF"/>
            <w:vAlign w:val="bottom"/>
            <w:hideMark/>
          </w:tcPr>
          <w:p w14:paraId="6886677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single" w:sz="8" w:space="0" w:color="BFBFBF"/>
              <w:bottom w:val="nil"/>
              <w:right w:val="single" w:sz="8" w:space="0" w:color="BFBFBF"/>
            </w:tcBorders>
            <w:shd w:val="clear" w:color="000000" w:fill="DCE6F1"/>
            <w:noWrap/>
            <w:vAlign w:val="bottom"/>
            <w:hideMark/>
          </w:tcPr>
          <w:p w14:paraId="073BAE2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nil"/>
              <w:bottom w:val="nil"/>
              <w:right w:val="single" w:sz="8" w:space="0" w:color="BFBFBF"/>
            </w:tcBorders>
            <w:shd w:val="clear" w:color="auto" w:fill="auto"/>
            <w:noWrap/>
            <w:vAlign w:val="bottom"/>
            <w:hideMark/>
          </w:tcPr>
          <w:p w14:paraId="1795B071"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44815596"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364AA9F8"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Loans and borrowings</w:t>
            </w:r>
          </w:p>
        </w:tc>
        <w:tc>
          <w:tcPr>
            <w:tcW w:w="1880" w:type="dxa"/>
            <w:tcBorders>
              <w:top w:val="nil"/>
              <w:left w:val="single" w:sz="8" w:space="0" w:color="BFBFBF"/>
              <w:bottom w:val="nil"/>
              <w:right w:val="single" w:sz="8" w:space="0" w:color="BFBFBF"/>
            </w:tcBorders>
            <w:shd w:val="clear" w:color="000000" w:fill="DCE6F1"/>
            <w:noWrap/>
            <w:vAlign w:val="bottom"/>
            <w:hideMark/>
          </w:tcPr>
          <w:p w14:paraId="6967620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   </w:t>
            </w:r>
          </w:p>
        </w:tc>
        <w:tc>
          <w:tcPr>
            <w:tcW w:w="1880" w:type="dxa"/>
            <w:tcBorders>
              <w:top w:val="nil"/>
              <w:left w:val="nil"/>
              <w:bottom w:val="nil"/>
              <w:right w:val="single" w:sz="8" w:space="0" w:color="BFBFBF"/>
            </w:tcBorders>
            <w:shd w:val="clear" w:color="auto" w:fill="auto"/>
            <w:noWrap/>
            <w:vAlign w:val="bottom"/>
            <w:hideMark/>
          </w:tcPr>
          <w:p w14:paraId="3E28F665"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51.125 </w:t>
            </w:r>
          </w:p>
        </w:tc>
      </w:tr>
      <w:tr w:rsidR="00A27C22" w:rsidRPr="001D0FE2" w14:paraId="38E46960"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30BD2D9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Derivative financial liabilities</w:t>
            </w:r>
          </w:p>
        </w:tc>
        <w:tc>
          <w:tcPr>
            <w:tcW w:w="1880" w:type="dxa"/>
            <w:tcBorders>
              <w:top w:val="nil"/>
              <w:left w:val="single" w:sz="8" w:space="0" w:color="BFBFBF"/>
              <w:bottom w:val="nil"/>
              <w:right w:val="single" w:sz="8" w:space="0" w:color="BFBFBF"/>
            </w:tcBorders>
            <w:shd w:val="clear" w:color="000000" w:fill="DCE6F1"/>
            <w:noWrap/>
            <w:vAlign w:val="bottom"/>
            <w:hideMark/>
          </w:tcPr>
          <w:p w14:paraId="648BBCDF"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207 </w:t>
            </w:r>
          </w:p>
        </w:tc>
        <w:tc>
          <w:tcPr>
            <w:tcW w:w="1880" w:type="dxa"/>
            <w:tcBorders>
              <w:top w:val="nil"/>
              <w:left w:val="nil"/>
              <w:bottom w:val="nil"/>
              <w:right w:val="single" w:sz="8" w:space="0" w:color="BFBFBF"/>
            </w:tcBorders>
            <w:shd w:val="clear" w:color="auto" w:fill="auto"/>
            <w:noWrap/>
            <w:vAlign w:val="bottom"/>
            <w:hideMark/>
          </w:tcPr>
          <w:p w14:paraId="5FD992DF"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301 </w:t>
            </w:r>
          </w:p>
        </w:tc>
      </w:tr>
      <w:tr w:rsidR="00A27C22" w:rsidRPr="001D0FE2" w14:paraId="511C354C"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2DAB6516"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Trade and other payables</w:t>
            </w:r>
          </w:p>
        </w:tc>
        <w:tc>
          <w:tcPr>
            <w:tcW w:w="1880" w:type="dxa"/>
            <w:tcBorders>
              <w:top w:val="nil"/>
              <w:left w:val="single" w:sz="8" w:space="0" w:color="BFBFBF"/>
              <w:bottom w:val="nil"/>
              <w:right w:val="single" w:sz="8" w:space="0" w:color="BFBFBF"/>
            </w:tcBorders>
            <w:shd w:val="clear" w:color="000000" w:fill="DCE6F1"/>
            <w:noWrap/>
            <w:vAlign w:val="bottom"/>
            <w:hideMark/>
          </w:tcPr>
          <w:p w14:paraId="2351D556"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47.244 </w:t>
            </w:r>
          </w:p>
        </w:tc>
        <w:tc>
          <w:tcPr>
            <w:tcW w:w="1880" w:type="dxa"/>
            <w:tcBorders>
              <w:top w:val="nil"/>
              <w:left w:val="nil"/>
              <w:bottom w:val="nil"/>
              <w:right w:val="single" w:sz="8" w:space="0" w:color="BFBFBF"/>
            </w:tcBorders>
            <w:shd w:val="clear" w:color="auto" w:fill="auto"/>
            <w:noWrap/>
            <w:vAlign w:val="bottom"/>
            <w:hideMark/>
          </w:tcPr>
          <w:p w14:paraId="1571FDA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40.647 </w:t>
            </w:r>
          </w:p>
        </w:tc>
      </w:tr>
      <w:tr w:rsidR="00A27C22" w:rsidRPr="001D0FE2" w14:paraId="58680FF5" w14:textId="77777777" w:rsidTr="00B81D69">
        <w:trPr>
          <w:trHeight w:val="315"/>
        </w:trPr>
        <w:tc>
          <w:tcPr>
            <w:tcW w:w="5312" w:type="dxa"/>
            <w:tcBorders>
              <w:top w:val="nil"/>
              <w:left w:val="single" w:sz="8" w:space="0" w:color="D9D9D9"/>
              <w:bottom w:val="nil"/>
              <w:right w:val="single" w:sz="8" w:space="0" w:color="D9D9D9"/>
            </w:tcBorders>
            <w:shd w:val="clear" w:color="auto" w:fill="auto"/>
            <w:vAlign w:val="bottom"/>
            <w:hideMark/>
          </w:tcPr>
          <w:p w14:paraId="423591B5"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Lease liabilities</w:t>
            </w:r>
          </w:p>
        </w:tc>
        <w:tc>
          <w:tcPr>
            <w:tcW w:w="1880" w:type="dxa"/>
            <w:tcBorders>
              <w:top w:val="nil"/>
              <w:left w:val="single" w:sz="8" w:space="0" w:color="BFBFBF"/>
              <w:bottom w:val="nil"/>
              <w:right w:val="single" w:sz="8" w:space="0" w:color="BFBFBF"/>
            </w:tcBorders>
            <w:shd w:val="clear" w:color="000000" w:fill="DCE6F1"/>
            <w:noWrap/>
            <w:vAlign w:val="bottom"/>
            <w:hideMark/>
          </w:tcPr>
          <w:p w14:paraId="1C239237"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1.733 </w:t>
            </w:r>
          </w:p>
        </w:tc>
        <w:tc>
          <w:tcPr>
            <w:tcW w:w="1880" w:type="dxa"/>
            <w:tcBorders>
              <w:top w:val="nil"/>
              <w:left w:val="nil"/>
              <w:bottom w:val="nil"/>
              <w:right w:val="single" w:sz="8" w:space="0" w:color="BFBFBF"/>
            </w:tcBorders>
            <w:shd w:val="clear" w:color="auto" w:fill="auto"/>
            <w:noWrap/>
            <w:vAlign w:val="bottom"/>
            <w:hideMark/>
          </w:tcPr>
          <w:p w14:paraId="1BAD0A12"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2.182 </w:t>
            </w:r>
          </w:p>
        </w:tc>
      </w:tr>
      <w:tr w:rsidR="00A27C22" w:rsidRPr="001D0FE2" w14:paraId="4995A314"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2B39056B"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Other financial liabilities</w:t>
            </w:r>
          </w:p>
        </w:tc>
        <w:tc>
          <w:tcPr>
            <w:tcW w:w="1880" w:type="dxa"/>
            <w:tcBorders>
              <w:top w:val="nil"/>
              <w:left w:val="single" w:sz="8" w:space="0" w:color="BFBFBF"/>
              <w:bottom w:val="nil"/>
              <w:right w:val="single" w:sz="8" w:space="0" w:color="BFBFBF"/>
            </w:tcBorders>
            <w:shd w:val="clear" w:color="000000" w:fill="DCE6F1"/>
            <w:noWrap/>
            <w:vAlign w:val="bottom"/>
            <w:hideMark/>
          </w:tcPr>
          <w:p w14:paraId="4591A46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   </w:t>
            </w:r>
          </w:p>
        </w:tc>
        <w:tc>
          <w:tcPr>
            <w:tcW w:w="1880" w:type="dxa"/>
            <w:tcBorders>
              <w:top w:val="nil"/>
              <w:left w:val="nil"/>
              <w:bottom w:val="nil"/>
              <w:right w:val="single" w:sz="8" w:space="0" w:color="BFBFBF"/>
            </w:tcBorders>
            <w:shd w:val="clear" w:color="auto" w:fill="auto"/>
            <w:noWrap/>
            <w:vAlign w:val="bottom"/>
            <w:hideMark/>
          </w:tcPr>
          <w:p w14:paraId="7F5DB92B"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20.000 </w:t>
            </w:r>
          </w:p>
        </w:tc>
      </w:tr>
      <w:tr w:rsidR="00A27C22" w:rsidRPr="001D0FE2" w14:paraId="2D62A5B7" w14:textId="77777777" w:rsidTr="00B81D69">
        <w:trPr>
          <w:trHeight w:val="315"/>
        </w:trPr>
        <w:tc>
          <w:tcPr>
            <w:tcW w:w="5312" w:type="dxa"/>
            <w:tcBorders>
              <w:top w:val="nil"/>
              <w:left w:val="single" w:sz="8" w:space="0" w:color="D9D9D9"/>
              <w:bottom w:val="nil"/>
              <w:right w:val="single" w:sz="8" w:space="0" w:color="D9D9D9"/>
            </w:tcBorders>
            <w:shd w:val="clear" w:color="000000" w:fill="FFFFFF"/>
            <w:vAlign w:val="bottom"/>
            <w:hideMark/>
          </w:tcPr>
          <w:p w14:paraId="0C9E04DE"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Current liabilities</w:t>
            </w:r>
          </w:p>
        </w:tc>
        <w:tc>
          <w:tcPr>
            <w:tcW w:w="1880" w:type="dxa"/>
            <w:tcBorders>
              <w:top w:val="nil"/>
              <w:left w:val="single" w:sz="8" w:space="0" w:color="BFBFBF"/>
              <w:bottom w:val="nil"/>
              <w:right w:val="single" w:sz="8" w:space="0" w:color="BFBFBF"/>
            </w:tcBorders>
            <w:shd w:val="clear" w:color="000000" w:fill="DCE6F1"/>
            <w:noWrap/>
            <w:vAlign w:val="bottom"/>
            <w:hideMark/>
          </w:tcPr>
          <w:p w14:paraId="252D80E2"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49.184 </w:t>
            </w:r>
          </w:p>
        </w:tc>
        <w:tc>
          <w:tcPr>
            <w:tcW w:w="1880" w:type="dxa"/>
            <w:tcBorders>
              <w:top w:val="nil"/>
              <w:left w:val="nil"/>
              <w:bottom w:val="nil"/>
              <w:right w:val="single" w:sz="8" w:space="0" w:color="BFBFBF"/>
            </w:tcBorders>
            <w:shd w:val="clear" w:color="auto" w:fill="auto"/>
            <w:noWrap/>
            <w:vAlign w:val="bottom"/>
            <w:hideMark/>
          </w:tcPr>
          <w:p w14:paraId="5DB61579"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94.484 </w:t>
            </w:r>
          </w:p>
        </w:tc>
      </w:tr>
      <w:tr w:rsidR="00A27C22" w:rsidRPr="001D0FE2" w14:paraId="0F308229" w14:textId="77777777" w:rsidTr="00B81D69">
        <w:trPr>
          <w:trHeight w:val="315"/>
        </w:trPr>
        <w:tc>
          <w:tcPr>
            <w:tcW w:w="5312" w:type="dxa"/>
            <w:tcBorders>
              <w:top w:val="nil"/>
              <w:left w:val="single" w:sz="8" w:space="0" w:color="D9D9D9"/>
              <w:bottom w:val="single" w:sz="8" w:space="0" w:color="BFBFBF"/>
              <w:right w:val="single" w:sz="8" w:space="0" w:color="D9D9D9"/>
            </w:tcBorders>
            <w:shd w:val="clear" w:color="000000" w:fill="FFFFFF"/>
            <w:vAlign w:val="center"/>
            <w:hideMark/>
          </w:tcPr>
          <w:p w14:paraId="3C7C206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single" w:sz="8" w:space="0" w:color="BFBFBF"/>
              <w:bottom w:val="nil"/>
              <w:right w:val="single" w:sz="8" w:space="0" w:color="BFBFBF"/>
            </w:tcBorders>
            <w:shd w:val="clear" w:color="000000" w:fill="DCE6F1"/>
            <w:noWrap/>
            <w:vAlign w:val="bottom"/>
            <w:hideMark/>
          </w:tcPr>
          <w:p w14:paraId="00F37E0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880" w:type="dxa"/>
            <w:tcBorders>
              <w:top w:val="nil"/>
              <w:left w:val="nil"/>
              <w:bottom w:val="nil"/>
              <w:right w:val="single" w:sz="8" w:space="0" w:color="BFBFBF"/>
            </w:tcBorders>
            <w:shd w:val="clear" w:color="auto" w:fill="auto"/>
            <w:noWrap/>
            <w:vAlign w:val="bottom"/>
            <w:hideMark/>
          </w:tcPr>
          <w:p w14:paraId="1836F3B7"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71B6F9D9" w14:textId="77777777" w:rsidTr="00B81D69">
        <w:trPr>
          <w:trHeight w:val="315"/>
        </w:trPr>
        <w:tc>
          <w:tcPr>
            <w:tcW w:w="5312" w:type="dxa"/>
            <w:tcBorders>
              <w:top w:val="nil"/>
              <w:left w:val="single" w:sz="8" w:space="0" w:color="BFBFBF"/>
              <w:bottom w:val="single" w:sz="8" w:space="0" w:color="BFBFBF"/>
              <w:right w:val="single" w:sz="8" w:space="0" w:color="BFBFBF"/>
            </w:tcBorders>
            <w:shd w:val="clear" w:color="000000" w:fill="FFFFFF"/>
            <w:vAlign w:val="center"/>
            <w:hideMark/>
          </w:tcPr>
          <w:p w14:paraId="52FE133B"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Total equity and liabilities</w:t>
            </w:r>
          </w:p>
        </w:tc>
        <w:tc>
          <w:tcPr>
            <w:tcW w:w="1880" w:type="dxa"/>
            <w:tcBorders>
              <w:top w:val="single" w:sz="8" w:space="0" w:color="BFBFBF"/>
              <w:left w:val="nil"/>
              <w:bottom w:val="single" w:sz="8" w:space="0" w:color="BFBFBF"/>
              <w:right w:val="single" w:sz="8" w:space="0" w:color="BFBFBF"/>
            </w:tcBorders>
            <w:shd w:val="clear" w:color="000000" w:fill="DCE6F1"/>
            <w:noWrap/>
            <w:vAlign w:val="center"/>
            <w:hideMark/>
          </w:tcPr>
          <w:p w14:paraId="7834A6B1"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355.357 </w:t>
            </w:r>
          </w:p>
        </w:tc>
        <w:tc>
          <w:tcPr>
            <w:tcW w:w="1880" w:type="dxa"/>
            <w:tcBorders>
              <w:top w:val="single" w:sz="8" w:space="0" w:color="BFBFBF"/>
              <w:left w:val="nil"/>
              <w:bottom w:val="single" w:sz="8" w:space="0" w:color="BFBFBF"/>
              <w:right w:val="single" w:sz="8" w:space="0" w:color="BFBFBF"/>
            </w:tcBorders>
            <w:shd w:val="clear" w:color="auto" w:fill="auto"/>
            <w:noWrap/>
            <w:vAlign w:val="center"/>
            <w:hideMark/>
          </w:tcPr>
          <w:p w14:paraId="16EBDE2C"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255.915 </w:t>
            </w:r>
          </w:p>
        </w:tc>
      </w:tr>
    </w:tbl>
    <w:p w14:paraId="139BFF0F" w14:textId="77777777" w:rsidR="00A27C22" w:rsidRPr="001D0FE2" w:rsidRDefault="00A27C22" w:rsidP="00A27C22">
      <w:pPr>
        <w:pStyle w:val="NoSpacing"/>
        <w:rPr>
          <w:rFonts w:asciiTheme="minorHAnsi" w:hAnsiTheme="minorHAnsi" w:cstheme="minorHAnsi"/>
          <w:sz w:val="24"/>
          <w:lang w:val="en-GB"/>
        </w:rPr>
      </w:pPr>
    </w:p>
    <w:p w14:paraId="6294946D" w14:textId="77777777" w:rsidR="00A27C22" w:rsidRPr="001D0FE2" w:rsidRDefault="00A27C22" w:rsidP="00A27C22">
      <w:pPr>
        <w:pStyle w:val="NoSpacing"/>
        <w:rPr>
          <w:rFonts w:asciiTheme="minorHAnsi" w:hAnsiTheme="minorHAnsi" w:cstheme="minorHAnsi"/>
          <w:color w:val="276E8B" w:themeColor="accent1" w:themeShade="BF"/>
          <w:lang w:val="en-GB"/>
        </w:rPr>
      </w:pPr>
    </w:p>
    <w:p w14:paraId="790EF95A" w14:textId="77777777" w:rsidR="00A27C22" w:rsidRPr="001D0FE2" w:rsidRDefault="00A27C22" w:rsidP="00A27C22">
      <w:pPr>
        <w:pStyle w:val="NoSpacing"/>
        <w:rPr>
          <w:rFonts w:asciiTheme="minorHAnsi" w:hAnsiTheme="minorHAnsi" w:cstheme="minorHAnsi"/>
          <w:color w:val="276E8B" w:themeColor="accent1" w:themeShade="BF"/>
          <w:lang w:val="en-GB"/>
        </w:rPr>
      </w:pPr>
    </w:p>
    <w:p w14:paraId="4E80F724" w14:textId="77777777" w:rsidR="00A27C22" w:rsidRPr="001D0FE2" w:rsidRDefault="00A27C22" w:rsidP="00A27C22">
      <w:pPr>
        <w:pStyle w:val="NoSpacing"/>
        <w:rPr>
          <w:rFonts w:asciiTheme="minorHAnsi" w:hAnsiTheme="minorHAnsi" w:cstheme="minorHAnsi"/>
          <w:color w:val="276E8B" w:themeColor="accent1" w:themeShade="BF"/>
          <w:lang w:val="en-GB"/>
        </w:rPr>
      </w:pPr>
    </w:p>
    <w:p w14:paraId="44960D40" w14:textId="77777777" w:rsidR="00A27C22" w:rsidRPr="001D0FE2" w:rsidRDefault="00A27C22" w:rsidP="00A27C22">
      <w:pPr>
        <w:pStyle w:val="NoSpacing"/>
        <w:rPr>
          <w:rFonts w:asciiTheme="minorHAnsi" w:hAnsiTheme="minorHAnsi" w:cstheme="minorHAnsi"/>
          <w:color w:val="276E8B" w:themeColor="accent1" w:themeShade="BF"/>
          <w:lang w:val="en-GB"/>
        </w:rPr>
      </w:pPr>
      <w:r w:rsidRPr="001D0FE2">
        <w:rPr>
          <w:rFonts w:asciiTheme="minorHAnsi" w:hAnsiTheme="minorHAnsi" w:cstheme="minorHAnsi"/>
          <w:color w:val="276E8B" w:themeColor="accent1" w:themeShade="BF"/>
          <w:lang w:val="en-GB"/>
        </w:rPr>
        <w:tab/>
      </w:r>
    </w:p>
    <w:p w14:paraId="4B871CAD" w14:textId="77777777" w:rsidR="00A27C22" w:rsidRPr="001D0FE2" w:rsidRDefault="00A27C22" w:rsidP="00A27C22">
      <w:pPr>
        <w:rPr>
          <w:rFonts w:asciiTheme="minorHAnsi" w:eastAsiaTheme="majorEastAsia" w:hAnsiTheme="minorHAnsi" w:cstheme="minorHAnsi"/>
          <w:b/>
          <w:color w:val="59595B"/>
          <w:szCs w:val="28"/>
          <w:lang w:val="en-GB" w:eastAsia="zh-CN"/>
        </w:rPr>
      </w:pPr>
      <w:r w:rsidRPr="001D0FE2">
        <w:rPr>
          <w:rFonts w:asciiTheme="minorHAnsi" w:eastAsiaTheme="majorEastAsia" w:hAnsiTheme="minorHAnsi" w:cstheme="minorHAnsi"/>
          <w:b/>
          <w:color w:val="59595B"/>
          <w:szCs w:val="28"/>
          <w:lang w:val="en-GB" w:eastAsia="zh-CN"/>
        </w:rPr>
        <w:lastRenderedPageBreak/>
        <w:t xml:space="preserve">Condensed consolidated Statement of Cash Flows       </w:t>
      </w:r>
      <w:r w:rsidRPr="001D0FE2">
        <w:rPr>
          <w:rFonts w:asciiTheme="minorHAnsi" w:eastAsiaTheme="majorEastAsia" w:hAnsiTheme="minorHAnsi" w:cstheme="minorHAnsi"/>
          <w:b/>
          <w:color w:val="59595B"/>
          <w:szCs w:val="28"/>
          <w:u w:val="single"/>
          <w:lang w:val="en-GB" w:eastAsia="zh-CN"/>
        </w:rPr>
        <w:t xml:space="preserve">in US Dollars </w:t>
      </w:r>
    </w:p>
    <w:p w14:paraId="1963FD2E" w14:textId="77777777" w:rsidR="00A27C22" w:rsidRPr="001D0FE2" w:rsidRDefault="00A27C22" w:rsidP="00A27C22">
      <w:pPr>
        <w:pStyle w:val="NoSpacing"/>
        <w:rPr>
          <w:rFonts w:asciiTheme="minorHAnsi" w:hAnsiTheme="minorHAnsi" w:cstheme="minorHAnsi"/>
          <w:sz w:val="24"/>
          <w:lang w:val="en-GB"/>
        </w:rPr>
      </w:pPr>
      <w:r w:rsidRPr="001D0FE2">
        <w:rPr>
          <w:rFonts w:asciiTheme="minorHAnsi" w:hAnsiTheme="minorHAnsi" w:cstheme="minorHAnsi"/>
          <w:sz w:val="24"/>
          <w:lang w:val="en-GB"/>
        </w:rPr>
        <w:t>For the period ended 30 June</w:t>
      </w:r>
    </w:p>
    <w:p w14:paraId="2BF48981" w14:textId="77777777" w:rsidR="00A27C22" w:rsidRPr="001D0FE2" w:rsidRDefault="00A27C22" w:rsidP="00A27C22">
      <w:pPr>
        <w:pStyle w:val="NoSpacing"/>
        <w:rPr>
          <w:rFonts w:asciiTheme="minorHAnsi" w:hAnsiTheme="minorHAnsi" w:cstheme="minorHAnsi"/>
          <w:sz w:val="24"/>
          <w:lang w:val="en-GB"/>
        </w:rPr>
      </w:pPr>
    </w:p>
    <w:tbl>
      <w:tblPr>
        <w:tblW w:w="9072" w:type="dxa"/>
        <w:tblLook w:val="04A0" w:firstRow="1" w:lastRow="0" w:firstColumn="1" w:lastColumn="0" w:noHBand="0" w:noVBand="1"/>
      </w:tblPr>
      <w:tblGrid>
        <w:gridCol w:w="6376"/>
        <w:gridCol w:w="1348"/>
        <w:gridCol w:w="1348"/>
      </w:tblGrid>
      <w:tr w:rsidR="00A27C22" w:rsidRPr="001D0FE2" w14:paraId="00A978EC" w14:textId="77777777" w:rsidTr="00B81D69">
        <w:trPr>
          <w:trHeight w:val="300"/>
        </w:trPr>
        <w:tc>
          <w:tcPr>
            <w:tcW w:w="6340" w:type="dxa"/>
            <w:vMerge w:val="restart"/>
            <w:tcBorders>
              <w:top w:val="nil"/>
              <w:left w:val="nil"/>
              <w:bottom w:val="nil"/>
              <w:right w:val="nil"/>
            </w:tcBorders>
            <w:shd w:val="clear" w:color="000000" w:fill="366092"/>
            <w:vAlign w:val="center"/>
            <w:hideMark/>
          </w:tcPr>
          <w:p w14:paraId="5F4BF1C1" w14:textId="77777777" w:rsidR="00A27C22" w:rsidRPr="001D0FE2" w:rsidRDefault="00A27C22" w:rsidP="00B81D69">
            <w:pPr>
              <w:jc w:val="left"/>
              <w:rPr>
                <w:rFonts w:asciiTheme="minorHAnsi" w:hAnsiTheme="minorHAnsi" w:cstheme="minorHAnsi"/>
                <w:color w:val="FFFFFF"/>
                <w:sz w:val="16"/>
                <w:szCs w:val="16"/>
                <w:lang w:val="en-GB"/>
              </w:rPr>
            </w:pPr>
            <w:r w:rsidRPr="001D0FE2">
              <w:rPr>
                <w:rFonts w:asciiTheme="minorHAnsi" w:hAnsiTheme="minorHAnsi" w:cstheme="minorHAnsi"/>
                <w:color w:val="FFFFFF"/>
                <w:sz w:val="16"/>
                <w:szCs w:val="16"/>
                <w:lang w:val="en-GB"/>
              </w:rPr>
              <w:t>Amounts in $’000</w:t>
            </w:r>
          </w:p>
        </w:tc>
        <w:tc>
          <w:tcPr>
            <w:tcW w:w="1340" w:type="dxa"/>
            <w:vMerge w:val="restart"/>
            <w:tcBorders>
              <w:top w:val="nil"/>
              <w:left w:val="nil"/>
              <w:bottom w:val="nil"/>
              <w:right w:val="nil"/>
            </w:tcBorders>
            <w:shd w:val="clear" w:color="000000" w:fill="366092"/>
            <w:vAlign w:val="center"/>
            <w:hideMark/>
          </w:tcPr>
          <w:p w14:paraId="7F86556C"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2020</w:t>
            </w:r>
          </w:p>
        </w:tc>
        <w:tc>
          <w:tcPr>
            <w:tcW w:w="1340" w:type="dxa"/>
            <w:vMerge w:val="restart"/>
            <w:tcBorders>
              <w:top w:val="nil"/>
              <w:left w:val="nil"/>
              <w:bottom w:val="nil"/>
              <w:right w:val="nil"/>
            </w:tcBorders>
            <w:shd w:val="clear" w:color="000000" w:fill="366092"/>
            <w:vAlign w:val="center"/>
            <w:hideMark/>
          </w:tcPr>
          <w:p w14:paraId="5F88080B" w14:textId="77777777" w:rsidR="00A27C22" w:rsidRPr="001D0FE2" w:rsidRDefault="00A27C22" w:rsidP="00B81D69">
            <w:pPr>
              <w:jc w:val="righ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HY 2019</w:t>
            </w:r>
          </w:p>
        </w:tc>
      </w:tr>
      <w:tr w:rsidR="00A27C22" w:rsidRPr="001D0FE2" w14:paraId="322223B9" w14:textId="77777777" w:rsidTr="00B81D69">
        <w:trPr>
          <w:trHeight w:val="300"/>
        </w:trPr>
        <w:tc>
          <w:tcPr>
            <w:tcW w:w="6340" w:type="dxa"/>
            <w:vMerge/>
            <w:tcBorders>
              <w:top w:val="nil"/>
              <w:left w:val="nil"/>
              <w:bottom w:val="nil"/>
              <w:right w:val="nil"/>
            </w:tcBorders>
            <w:vAlign w:val="center"/>
            <w:hideMark/>
          </w:tcPr>
          <w:p w14:paraId="0090B0EF" w14:textId="77777777" w:rsidR="00A27C22" w:rsidRPr="001D0FE2" w:rsidRDefault="00A27C22" w:rsidP="00B81D69">
            <w:pPr>
              <w:jc w:val="left"/>
              <w:rPr>
                <w:rFonts w:asciiTheme="minorHAnsi" w:hAnsiTheme="minorHAnsi" w:cstheme="minorHAnsi"/>
                <w:color w:val="FFFFFF"/>
                <w:sz w:val="16"/>
                <w:szCs w:val="16"/>
                <w:lang w:val="en-GB"/>
              </w:rPr>
            </w:pPr>
          </w:p>
        </w:tc>
        <w:tc>
          <w:tcPr>
            <w:tcW w:w="1340" w:type="dxa"/>
            <w:vMerge/>
            <w:tcBorders>
              <w:top w:val="nil"/>
              <w:left w:val="nil"/>
              <w:bottom w:val="nil"/>
              <w:right w:val="nil"/>
            </w:tcBorders>
            <w:vAlign w:val="center"/>
            <w:hideMark/>
          </w:tcPr>
          <w:p w14:paraId="49E060F8" w14:textId="77777777" w:rsidR="00A27C22" w:rsidRPr="001D0FE2" w:rsidRDefault="00A27C22" w:rsidP="00B81D69">
            <w:pPr>
              <w:jc w:val="left"/>
              <w:rPr>
                <w:rFonts w:asciiTheme="minorHAnsi" w:hAnsiTheme="minorHAnsi" w:cstheme="minorHAnsi"/>
                <w:b/>
                <w:bCs/>
                <w:color w:val="FFFFFF"/>
                <w:sz w:val="20"/>
                <w:szCs w:val="20"/>
                <w:lang w:val="en-GB"/>
              </w:rPr>
            </w:pPr>
          </w:p>
        </w:tc>
        <w:tc>
          <w:tcPr>
            <w:tcW w:w="1340" w:type="dxa"/>
            <w:vMerge/>
            <w:tcBorders>
              <w:top w:val="nil"/>
              <w:left w:val="nil"/>
              <w:bottom w:val="nil"/>
              <w:right w:val="nil"/>
            </w:tcBorders>
            <w:vAlign w:val="center"/>
            <w:hideMark/>
          </w:tcPr>
          <w:p w14:paraId="3FF4EC83" w14:textId="77777777" w:rsidR="00A27C22" w:rsidRPr="001D0FE2" w:rsidRDefault="00A27C22" w:rsidP="00B81D69">
            <w:pPr>
              <w:jc w:val="left"/>
              <w:rPr>
                <w:rFonts w:asciiTheme="minorHAnsi" w:hAnsiTheme="minorHAnsi" w:cstheme="minorHAnsi"/>
                <w:b/>
                <w:bCs/>
                <w:color w:val="FFFFFF"/>
                <w:sz w:val="20"/>
                <w:szCs w:val="20"/>
                <w:lang w:val="en-GB"/>
              </w:rPr>
            </w:pPr>
          </w:p>
        </w:tc>
      </w:tr>
      <w:tr w:rsidR="00A27C22" w:rsidRPr="001D0FE2" w14:paraId="78138F74" w14:textId="77777777" w:rsidTr="00B81D69">
        <w:trPr>
          <w:trHeight w:val="238"/>
        </w:trPr>
        <w:tc>
          <w:tcPr>
            <w:tcW w:w="6340" w:type="dxa"/>
            <w:tcBorders>
              <w:top w:val="nil"/>
              <w:left w:val="single" w:sz="8" w:space="0" w:color="BFBFBF"/>
              <w:bottom w:val="single" w:sz="8" w:space="0" w:color="BFBFBF"/>
              <w:right w:val="single" w:sz="8" w:space="0" w:color="BFBFBF"/>
            </w:tcBorders>
            <w:shd w:val="clear" w:color="000000" w:fill="FFFFFF"/>
            <w:vAlign w:val="center"/>
            <w:hideMark/>
          </w:tcPr>
          <w:p w14:paraId="62C14AA5"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Operating result</w:t>
            </w:r>
          </w:p>
        </w:tc>
        <w:tc>
          <w:tcPr>
            <w:tcW w:w="1340" w:type="dxa"/>
            <w:tcBorders>
              <w:top w:val="nil"/>
              <w:left w:val="nil"/>
              <w:bottom w:val="single" w:sz="8" w:space="0" w:color="BFBFBF"/>
              <w:right w:val="single" w:sz="8" w:space="0" w:color="BFBFBF"/>
            </w:tcBorders>
            <w:shd w:val="clear" w:color="000000" w:fill="DCE6F1"/>
            <w:noWrap/>
            <w:vAlign w:val="center"/>
            <w:hideMark/>
          </w:tcPr>
          <w:p w14:paraId="2C597F00"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35.680 </w:t>
            </w:r>
          </w:p>
        </w:tc>
        <w:tc>
          <w:tcPr>
            <w:tcW w:w="1340" w:type="dxa"/>
            <w:tcBorders>
              <w:top w:val="nil"/>
              <w:left w:val="nil"/>
              <w:bottom w:val="single" w:sz="8" w:space="0" w:color="BFBFBF"/>
              <w:right w:val="single" w:sz="8" w:space="0" w:color="BFBFBF"/>
            </w:tcBorders>
            <w:shd w:val="clear" w:color="auto" w:fill="auto"/>
            <w:noWrap/>
            <w:vAlign w:val="center"/>
            <w:hideMark/>
          </w:tcPr>
          <w:p w14:paraId="0069DB6D"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27.861 </w:t>
            </w:r>
          </w:p>
        </w:tc>
      </w:tr>
      <w:tr w:rsidR="00A27C22" w:rsidRPr="001D0FE2" w14:paraId="073830AD"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center"/>
            <w:hideMark/>
          </w:tcPr>
          <w:p w14:paraId="21735173" w14:textId="77777777" w:rsidR="00A27C22" w:rsidRPr="001D0FE2" w:rsidRDefault="00A27C22" w:rsidP="00B81D69">
            <w:pPr>
              <w:jc w:val="left"/>
              <w:rPr>
                <w:rFonts w:asciiTheme="minorHAnsi" w:hAnsiTheme="minorHAnsi" w:cstheme="minorHAnsi"/>
                <w:b/>
                <w:bCs/>
                <w:color w:val="595959"/>
                <w:sz w:val="20"/>
                <w:szCs w:val="20"/>
                <w:lang w:val="en-GB"/>
              </w:rPr>
            </w:pPr>
            <w:r w:rsidRPr="001D0FE2">
              <w:rPr>
                <w:rFonts w:asciiTheme="minorHAnsi" w:hAnsiTheme="minorHAnsi" w:cstheme="minorHAnsi"/>
                <w:b/>
                <w:bCs/>
                <w:color w:val="595959"/>
                <w:sz w:val="20"/>
                <w:szCs w:val="20"/>
                <w:lang w:val="en-GB"/>
              </w:rPr>
              <w:t> </w:t>
            </w:r>
          </w:p>
        </w:tc>
        <w:tc>
          <w:tcPr>
            <w:tcW w:w="1340" w:type="dxa"/>
            <w:tcBorders>
              <w:top w:val="nil"/>
              <w:left w:val="nil"/>
              <w:bottom w:val="nil"/>
              <w:right w:val="single" w:sz="8" w:space="0" w:color="BFBFBF"/>
            </w:tcBorders>
            <w:shd w:val="clear" w:color="000000" w:fill="DCE6F1"/>
            <w:vAlign w:val="center"/>
            <w:hideMark/>
          </w:tcPr>
          <w:p w14:paraId="600877D3" w14:textId="77777777" w:rsidR="00A27C22" w:rsidRPr="001D0FE2" w:rsidRDefault="00A27C22" w:rsidP="00B81D69">
            <w:pPr>
              <w:jc w:val="righ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c>
          <w:tcPr>
            <w:tcW w:w="1340" w:type="dxa"/>
            <w:tcBorders>
              <w:top w:val="nil"/>
              <w:left w:val="nil"/>
              <w:bottom w:val="nil"/>
              <w:right w:val="single" w:sz="8" w:space="0" w:color="BFBFBF"/>
            </w:tcBorders>
            <w:shd w:val="clear" w:color="auto" w:fill="auto"/>
            <w:vAlign w:val="center"/>
            <w:hideMark/>
          </w:tcPr>
          <w:p w14:paraId="3FE9CBB2" w14:textId="77777777" w:rsidR="00A27C22" w:rsidRPr="001D0FE2" w:rsidRDefault="00A27C22" w:rsidP="00B81D69">
            <w:pPr>
              <w:jc w:val="righ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r>
      <w:tr w:rsidR="00A27C22" w:rsidRPr="001D0FE2" w14:paraId="7F32136E"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11B01B7E" w14:textId="77777777" w:rsidR="00A27C22" w:rsidRPr="001D0FE2" w:rsidRDefault="00A27C22" w:rsidP="00B81D69">
            <w:pPr>
              <w:jc w:val="left"/>
              <w:rPr>
                <w:rFonts w:asciiTheme="minorHAnsi" w:hAnsiTheme="minorHAnsi" w:cstheme="minorHAnsi"/>
                <w:b/>
                <w:bCs/>
                <w:i/>
                <w:iCs/>
                <w:color w:val="59595B"/>
                <w:sz w:val="20"/>
                <w:szCs w:val="20"/>
                <w:lang w:val="en-GB"/>
              </w:rPr>
            </w:pPr>
            <w:r w:rsidRPr="001D0FE2">
              <w:rPr>
                <w:rFonts w:asciiTheme="minorHAnsi" w:hAnsiTheme="minorHAnsi" w:cstheme="minorHAnsi"/>
                <w:b/>
                <w:bCs/>
                <w:i/>
                <w:iCs/>
                <w:color w:val="59595B"/>
                <w:sz w:val="20"/>
                <w:szCs w:val="20"/>
                <w:lang w:val="en-GB"/>
              </w:rPr>
              <w:t>Non-cash adjustments:</w:t>
            </w:r>
          </w:p>
        </w:tc>
        <w:tc>
          <w:tcPr>
            <w:tcW w:w="1340" w:type="dxa"/>
            <w:tcBorders>
              <w:top w:val="nil"/>
              <w:left w:val="nil"/>
              <w:bottom w:val="nil"/>
              <w:right w:val="single" w:sz="8" w:space="0" w:color="BFBFBF"/>
            </w:tcBorders>
            <w:shd w:val="clear" w:color="000000" w:fill="DCE6F1"/>
            <w:vAlign w:val="bottom"/>
            <w:hideMark/>
          </w:tcPr>
          <w:p w14:paraId="2C1B5E8E" w14:textId="77777777" w:rsidR="00A27C22" w:rsidRPr="001D0FE2" w:rsidRDefault="00A27C22" w:rsidP="00B81D69">
            <w:pPr>
              <w:jc w:val="righ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340" w:type="dxa"/>
            <w:tcBorders>
              <w:top w:val="nil"/>
              <w:left w:val="nil"/>
              <w:bottom w:val="nil"/>
              <w:right w:val="single" w:sz="8" w:space="0" w:color="BFBFBF"/>
            </w:tcBorders>
            <w:shd w:val="clear" w:color="auto" w:fill="auto"/>
            <w:vAlign w:val="bottom"/>
            <w:hideMark/>
          </w:tcPr>
          <w:p w14:paraId="310746C0" w14:textId="77777777" w:rsidR="00A27C22" w:rsidRPr="001D0FE2" w:rsidRDefault="00A27C22" w:rsidP="00B81D69">
            <w:pPr>
              <w:jc w:val="righ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470AC6C2"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3F206171"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Depreciation, amortisation, impairment</w:t>
            </w:r>
          </w:p>
        </w:tc>
        <w:tc>
          <w:tcPr>
            <w:tcW w:w="1340" w:type="dxa"/>
            <w:tcBorders>
              <w:top w:val="nil"/>
              <w:left w:val="nil"/>
              <w:bottom w:val="nil"/>
              <w:right w:val="single" w:sz="8" w:space="0" w:color="BFBFBF"/>
            </w:tcBorders>
            <w:shd w:val="clear" w:color="000000" w:fill="DCE6F1"/>
            <w:noWrap/>
            <w:vAlign w:val="bottom"/>
            <w:hideMark/>
          </w:tcPr>
          <w:p w14:paraId="5846F6E7"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3.447 </w:t>
            </w:r>
          </w:p>
        </w:tc>
        <w:tc>
          <w:tcPr>
            <w:tcW w:w="1340" w:type="dxa"/>
            <w:tcBorders>
              <w:top w:val="nil"/>
              <w:left w:val="nil"/>
              <w:bottom w:val="nil"/>
              <w:right w:val="single" w:sz="8" w:space="0" w:color="BFBFBF"/>
            </w:tcBorders>
            <w:shd w:val="clear" w:color="auto" w:fill="auto"/>
            <w:noWrap/>
            <w:vAlign w:val="bottom"/>
            <w:hideMark/>
          </w:tcPr>
          <w:p w14:paraId="357AE75E"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3.160 </w:t>
            </w:r>
          </w:p>
        </w:tc>
      </w:tr>
      <w:tr w:rsidR="00A27C22" w:rsidRPr="001D0FE2" w14:paraId="16C9BC9F"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0377D081"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Accrued employee benefits</w:t>
            </w:r>
          </w:p>
        </w:tc>
        <w:tc>
          <w:tcPr>
            <w:tcW w:w="1340" w:type="dxa"/>
            <w:tcBorders>
              <w:top w:val="nil"/>
              <w:left w:val="nil"/>
              <w:bottom w:val="nil"/>
              <w:right w:val="single" w:sz="8" w:space="0" w:color="BFBFBF"/>
            </w:tcBorders>
            <w:shd w:val="clear" w:color="000000" w:fill="DCE6F1"/>
            <w:noWrap/>
            <w:vAlign w:val="bottom"/>
            <w:hideMark/>
          </w:tcPr>
          <w:p w14:paraId="2686980B"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1.536 </w:t>
            </w:r>
          </w:p>
        </w:tc>
        <w:tc>
          <w:tcPr>
            <w:tcW w:w="1340" w:type="dxa"/>
            <w:tcBorders>
              <w:top w:val="nil"/>
              <w:left w:val="nil"/>
              <w:bottom w:val="nil"/>
              <w:right w:val="single" w:sz="8" w:space="0" w:color="BFBFBF"/>
            </w:tcBorders>
            <w:shd w:val="clear" w:color="auto" w:fill="auto"/>
            <w:noWrap/>
            <w:vAlign w:val="bottom"/>
            <w:hideMark/>
          </w:tcPr>
          <w:p w14:paraId="148393C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1.527 </w:t>
            </w:r>
          </w:p>
        </w:tc>
      </w:tr>
      <w:tr w:rsidR="00A27C22" w:rsidRPr="001D0FE2" w14:paraId="579E9846"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5455EC7D"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Release contract liabilities</w:t>
            </w:r>
          </w:p>
        </w:tc>
        <w:tc>
          <w:tcPr>
            <w:tcW w:w="1340" w:type="dxa"/>
            <w:tcBorders>
              <w:top w:val="nil"/>
              <w:left w:val="nil"/>
              <w:bottom w:val="nil"/>
              <w:right w:val="single" w:sz="8" w:space="0" w:color="BFBFBF"/>
            </w:tcBorders>
            <w:shd w:val="clear" w:color="000000" w:fill="DCE6F1"/>
            <w:noWrap/>
            <w:vAlign w:val="bottom"/>
            <w:hideMark/>
          </w:tcPr>
          <w:p w14:paraId="7F5E513F"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   </w:t>
            </w:r>
          </w:p>
        </w:tc>
        <w:tc>
          <w:tcPr>
            <w:tcW w:w="1340" w:type="dxa"/>
            <w:tcBorders>
              <w:top w:val="nil"/>
              <w:left w:val="nil"/>
              <w:bottom w:val="nil"/>
              <w:right w:val="single" w:sz="8" w:space="0" w:color="BFBFBF"/>
            </w:tcBorders>
            <w:shd w:val="clear" w:color="auto" w:fill="auto"/>
            <w:noWrap/>
            <w:vAlign w:val="bottom"/>
            <w:hideMark/>
          </w:tcPr>
          <w:p w14:paraId="605FD5E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(452)</w:t>
            </w:r>
          </w:p>
        </w:tc>
      </w:tr>
      <w:tr w:rsidR="00A27C22" w:rsidRPr="001D0FE2" w14:paraId="0191861C"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7A449197" w14:textId="77777777" w:rsidR="00A27C22" w:rsidRPr="001D0FE2" w:rsidRDefault="00A27C22" w:rsidP="00B81D69">
            <w:pPr>
              <w:jc w:val="left"/>
              <w:rPr>
                <w:rFonts w:asciiTheme="minorHAnsi" w:hAnsiTheme="minorHAnsi" w:cstheme="minorHAnsi"/>
                <w:b/>
                <w:bCs/>
                <w:color w:val="59595B"/>
                <w:sz w:val="20"/>
                <w:szCs w:val="20"/>
                <w:lang w:val="en-GB"/>
              </w:rPr>
            </w:pPr>
            <w:r w:rsidRPr="001D0FE2">
              <w:rPr>
                <w:rFonts w:asciiTheme="minorHAnsi" w:hAnsiTheme="minorHAnsi" w:cstheme="minorHAnsi"/>
                <w:b/>
                <w:bCs/>
                <w:color w:val="59595B"/>
                <w:sz w:val="20"/>
                <w:szCs w:val="20"/>
                <w:lang w:val="en-GB"/>
              </w:rPr>
              <w:t>Operating cash flows before changes in working capital</w:t>
            </w:r>
          </w:p>
        </w:tc>
        <w:tc>
          <w:tcPr>
            <w:tcW w:w="1340" w:type="dxa"/>
            <w:tcBorders>
              <w:top w:val="nil"/>
              <w:left w:val="nil"/>
              <w:bottom w:val="nil"/>
              <w:right w:val="single" w:sz="8" w:space="0" w:color="BFBFBF"/>
            </w:tcBorders>
            <w:shd w:val="clear" w:color="000000" w:fill="DCE6F1"/>
            <w:noWrap/>
            <w:vAlign w:val="bottom"/>
            <w:hideMark/>
          </w:tcPr>
          <w:p w14:paraId="339237BB"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40.663 </w:t>
            </w:r>
          </w:p>
        </w:tc>
        <w:tc>
          <w:tcPr>
            <w:tcW w:w="1340" w:type="dxa"/>
            <w:tcBorders>
              <w:top w:val="nil"/>
              <w:left w:val="nil"/>
              <w:bottom w:val="nil"/>
              <w:right w:val="single" w:sz="8" w:space="0" w:color="BFBFBF"/>
            </w:tcBorders>
            <w:shd w:val="clear" w:color="auto" w:fill="auto"/>
            <w:noWrap/>
            <w:vAlign w:val="bottom"/>
            <w:hideMark/>
          </w:tcPr>
          <w:p w14:paraId="0B70CDBD"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32.096 </w:t>
            </w:r>
          </w:p>
        </w:tc>
      </w:tr>
      <w:tr w:rsidR="00A27C22" w:rsidRPr="001D0FE2" w14:paraId="1A4A38CE"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46D2875C"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 </w:t>
            </w:r>
          </w:p>
        </w:tc>
        <w:tc>
          <w:tcPr>
            <w:tcW w:w="1340" w:type="dxa"/>
            <w:tcBorders>
              <w:top w:val="nil"/>
              <w:left w:val="nil"/>
              <w:bottom w:val="nil"/>
              <w:right w:val="single" w:sz="8" w:space="0" w:color="BFBFBF"/>
            </w:tcBorders>
            <w:shd w:val="clear" w:color="000000" w:fill="DCE6F1"/>
            <w:noWrap/>
            <w:vAlign w:val="bottom"/>
            <w:hideMark/>
          </w:tcPr>
          <w:p w14:paraId="159FAE31"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29EA3D9B"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3CD9B952"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2C71F3FB" w14:textId="77777777" w:rsidR="00A27C22" w:rsidRPr="001D0FE2" w:rsidRDefault="00A27C22" w:rsidP="00B81D69">
            <w:pPr>
              <w:jc w:val="left"/>
              <w:rPr>
                <w:rFonts w:asciiTheme="minorHAnsi" w:hAnsiTheme="minorHAnsi" w:cstheme="minorHAnsi"/>
                <w:b/>
                <w:bCs/>
                <w:i/>
                <w:iCs/>
                <w:color w:val="59595B"/>
                <w:sz w:val="20"/>
                <w:szCs w:val="20"/>
                <w:lang w:val="en-GB"/>
              </w:rPr>
            </w:pPr>
            <w:r w:rsidRPr="001D0FE2">
              <w:rPr>
                <w:rFonts w:asciiTheme="minorHAnsi" w:hAnsiTheme="minorHAnsi" w:cstheme="minorHAnsi"/>
                <w:b/>
                <w:bCs/>
                <w:i/>
                <w:iCs/>
                <w:color w:val="59595B"/>
                <w:sz w:val="20"/>
                <w:szCs w:val="20"/>
                <w:lang w:val="en-GB"/>
              </w:rPr>
              <w:t>Changes in working capital:</w:t>
            </w:r>
          </w:p>
        </w:tc>
        <w:tc>
          <w:tcPr>
            <w:tcW w:w="1340" w:type="dxa"/>
            <w:tcBorders>
              <w:top w:val="nil"/>
              <w:left w:val="nil"/>
              <w:bottom w:val="nil"/>
              <w:right w:val="single" w:sz="8" w:space="0" w:color="BFBFBF"/>
            </w:tcBorders>
            <w:shd w:val="clear" w:color="000000" w:fill="DCE6F1"/>
            <w:noWrap/>
            <w:vAlign w:val="bottom"/>
            <w:hideMark/>
          </w:tcPr>
          <w:p w14:paraId="2AA9A00E"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486DF195"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717D390C"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07A7509D"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Inventories</w:t>
            </w:r>
          </w:p>
        </w:tc>
        <w:tc>
          <w:tcPr>
            <w:tcW w:w="1340" w:type="dxa"/>
            <w:tcBorders>
              <w:top w:val="nil"/>
              <w:left w:val="nil"/>
              <w:bottom w:val="nil"/>
              <w:right w:val="single" w:sz="8" w:space="0" w:color="BFBFBF"/>
            </w:tcBorders>
            <w:shd w:val="clear" w:color="000000" w:fill="DCE6F1"/>
            <w:noWrap/>
            <w:vAlign w:val="bottom"/>
            <w:hideMark/>
          </w:tcPr>
          <w:p w14:paraId="38CC5800"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(1.939)</w:t>
            </w:r>
          </w:p>
        </w:tc>
        <w:tc>
          <w:tcPr>
            <w:tcW w:w="1340" w:type="dxa"/>
            <w:tcBorders>
              <w:top w:val="nil"/>
              <w:left w:val="nil"/>
              <w:bottom w:val="nil"/>
              <w:right w:val="single" w:sz="8" w:space="0" w:color="BFBFBF"/>
            </w:tcBorders>
            <w:shd w:val="clear" w:color="auto" w:fill="auto"/>
            <w:noWrap/>
            <w:vAlign w:val="bottom"/>
            <w:hideMark/>
          </w:tcPr>
          <w:p w14:paraId="1258BDF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5.214 </w:t>
            </w:r>
          </w:p>
        </w:tc>
      </w:tr>
      <w:tr w:rsidR="00A27C22" w:rsidRPr="001D0FE2" w14:paraId="58F9BAB6"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6C026CA8"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Trade and other receivables</w:t>
            </w:r>
          </w:p>
        </w:tc>
        <w:tc>
          <w:tcPr>
            <w:tcW w:w="1340" w:type="dxa"/>
            <w:tcBorders>
              <w:top w:val="nil"/>
              <w:left w:val="nil"/>
              <w:bottom w:val="nil"/>
              <w:right w:val="single" w:sz="8" w:space="0" w:color="BFBFBF"/>
            </w:tcBorders>
            <w:shd w:val="clear" w:color="000000" w:fill="DCE6F1"/>
            <w:noWrap/>
            <w:vAlign w:val="bottom"/>
            <w:hideMark/>
          </w:tcPr>
          <w:p w14:paraId="340F4711"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(717)</w:t>
            </w:r>
          </w:p>
        </w:tc>
        <w:tc>
          <w:tcPr>
            <w:tcW w:w="1340" w:type="dxa"/>
            <w:tcBorders>
              <w:top w:val="nil"/>
              <w:left w:val="nil"/>
              <w:bottom w:val="nil"/>
              <w:right w:val="single" w:sz="8" w:space="0" w:color="BFBFBF"/>
            </w:tcBorders>
            <w:shd w:val="clear" w:color="auto" w:fill="auto"/>
            <w:noWrap/>
            <w:vAlign w:val="bottom"/>
            <w:hideMark/>
          </w:tcPr>
          <w:p w14:paraId="49262F8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(8.346)</w:t>
            </w:r>
          </w:p>
        </w:tc>
      </w:tr>
      <w:tr w:rsidR="00A27C22" w:rsidRPr="001D0FE2" w14:paraId="4E710BA7"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7F7CB733"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Payables and other current liabilities</w:t>
            </w:r>
          </w:p>
        </w:tc>
        <w:tc>
          <w:tcPr>
            <w:tcW w:w="1340" w:type="dxa"/>
            <w:tcBorders>
              <w:top w:val="nil"/>
              <w:left w:val="nil"/>
              <w:bottom w:val="nil"/>
              <w:right w:val="single" w:sz="8" w:space="0" w:color="BFBFBF"/>
            </w:tcBorders>
            <w:shd w:val="clear" w:color="000000" w:fill="DCE6F1"/>
            <w:noWrap/>
            <w:vAlign w:val="bottom"/>
            <w:hideMark/>
          </w:tcPr>
          <w:p w14:paraId="6E8D0C9F"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6.435 </w:t>
            </w:r>
          </w:p>
        </w:tc>
        <w:tc>
          <w:tcPr>
            <w:tcW w:w="1340" w:type="dxa"/>
            <w:tcBorders>
              <w:top w:val="nil"/>
              <w:left w:val="nil"/>
              <w:bottom w:val="nil"/>
              <w:right w:val="single" w:sz="8" w:space="0" w:color="BFBFBF"/>
            </w:tcBorders>
            <w:shd w:val="clear" w:color="auto" w:fill="auto"/>
            <w:noWrap/>
            <w:vAlign w:val="bottom"/>
            <w:hideMark/>
          </w:tcPr>
          <w:p w14:paraId="342A1B96"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192 </w:t>
            </w:r>
          </w:p>
        </w:tc>
      </w:tr>
      <w:tr w:rsidR="00A27C22" w:rsidRPr="001D0FE2" w14:paraId="0E7F817E" w14:textId="77777777" w:rsidTr="00B81D69">
        <w:trPr>
          <w:trHeight w:val="238"/>
        </w:trPr>
        <w:tc>
          <w:tcPr>
            <w:tcW w:w="6340" w:type="dxa"/>
            <w:tcBorders>
              <w:top w:val="nil"/>
              <w:left w:val="single" w:sz="8" w:space="0" w:color="BFBFBF"/>
              <w:bottom w:val="nil"/>
              <w:right w:val="single" w:sz="8" w:space="0" w:color="BFBFBF"/>
            </w:tcBorders>
            <w:shd w:val="clear" w:color="auto" w:fill="auto"/>
            <w:noWrap/>
            <w:vAlign w:val="bottom"/>
            <w:hideMark/>
          </w:tcPr>
          <w:p w14:paraId="61D8EE6A" w14:textId="77777777" w:rsidR="00A27C22" w:rsidRPr="001D0FE2" w:rsidRDefault="00A27C22" w:rsidP="00B81D69">
            <w:pPr>
              <w:jc w:val="left"/>
              <w:rPr>
                <w:rFonts w:asciiTheme="minorHAnsi" w:hAnsiTheme="minorHAnsi" w:cstheme="minorHAnsi"/>
                <w:b/>
                <w:bCs/>
                <w:color w:val="59595B"/>
                <w:sz w:val="20"/>
                <w:szCs w:val="20"/>
                <w:lang w:val="en-GB"/>
              </w:rPr>
            </w:pPr>
            <w:r w:rsidRPr="001D0FE2">
              <w:rPr>
                <w:rFonts w:asciiTheme="minorHAnsi" w:hAnsiTheme="minorHAnsi" w:cstheme="minorHAnsi"/>
                <w:b/>
                <w:bCs/>
                <w:color w:val="59595B"/>
                <w:sz w:val="20"/>
                <w:szCs w:val="20"/>
                <w:lang w:val="en-GB"/>
              </w:rPr>
              <w:t>Total changes in working capital</w:t>
            </w:r>
          </w:p>
        </w:tc>
        <w:tc>
          <w:tcPr>
            <w:tcW w:w="1340" w:type="dxa"/>
            <w:tcBorders>
              <w:top w:val="nil"/>
              <w:left w:val="nil"/>
              <w:bottom w:val="nil"/>
              <w:right w:val="single" w:sz="8" w:space="0" w:color="BFBFBF"/>
            </w:tcBorders>
            <w:shd w:val="clear" w:color="000000" w:fill="DCE6F1"/>
            <w:noWrap/>
            <w:vAlign w:val="bottom"/>
            <w:hideMark/>
          </w:tcPr>
          <w:p w14:paraId="5A3F5629"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3.779 </w:t>
            </w:r>
          </w:p>
        </w:tc>
        <w:tc>
          <w:tcPr>
            <w:tcW w:w="1340" w:type="dxa"/>
            <w:tcBorders>
              <w:top w:val="nil"/>
              <w:left w:val="nil"/>
              <w:bottom w:val="nil"/>
              <w:right w:val="single" w:sz="8" w:space="0" w:color="BFBFBF"/>
            </w:tcBorders>
            <w:shd w:val="clear" w:color="auto" w:fill="auto"/>
            <w:noWrap/>
            <w:vAlign w:val="bottom"/>
            <w:hideMark/>
          </w:tcPr>
          <w:p w14:paraId="4AD95430"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(2.940)</w:t>
            </w:r>
          </w:p>
        </w:tc>
      </w:tr>
      <w:tr w:rsidR="00A27C22" w:rsidRPr="001D0FE2" w14:paraId="39E30CC5" w14:textId="77777777" w:rsidTr="00B81D69">
        <w:trPr>
          <w:trHeight w:val="238"/>
        </w:trPr>
        <w:tc>
          <w:tcPr>
            <w:tcW w:w="6340" w:type="dxa"/>
            <w:tcBorders>
              <w:top w:val="nil"/>
              <w:left w:val="single" w:sz="8" w:space="0" w:color="BFBFBF"/>
              <w:bottom w:val="nil"/>
              <w:right w:val="single" w:sz="8" w:space="0" w:color="BFBFBF"/>
            </w:tcBorders>
            <w:shd w:val="clear" w:color="auto" w:fill="auto"/>
            <w:noWrap/>
            <w:vAlign w:val="bottom"/>
            <w:hideMark/>
          </w:tcPr>
          <w:p w14:paraId="4C978043" w14:textId="77777777" w:rsidR="00A27C22" w:rsidRPr="001D0FE2" w:rsidRDefault="00A27C22" w:rsidP="00B81D69">
            <w:pPr>
              <w:jc w:val="left"/>
              <w:rPr>
                <w:rFonts w:asciiTheme="minorHAnsi" w:hAnsiTheme="minorHAnsi" w:cstheme="minorHAnsi"/>
                <w:b/>
                <w:bCs/>
                <w:color w:val="59595B"/>
                <w:sz w:val="20"/>
                <w:szCs w:val="20"/>
                <w:lang w:val="en-GB"/>
              </w:rPr>
            </w:pPr>
            <w:r w:rsidRPr="001D0FE2">
              <w:rPr>
                <w:rFonts w:asciiTheme="minorHAnsi" w:hAnsiTheme="minorHAnsi" w:cstheme="minorHAnsi"/>
                <w:b/>
                <w:bCs/>
                <w:color w:val="59595B"/>
                <w:sz w:val="20"/>
                <w:szCs w:val="20"/>
                <w:lang w:val="en-GB"/>
              </w:rPr>
              <w:t> </w:t>
            </w:r>
          </w:p>
        </w:tc>
        <w:tc>
          <w:tcPr>
            <w:tcW w:w="1340" w:type="dxa"/>
            <w:tcBorders>
              <w:top w:val="nil"/>
              <w:left w:val="nil"/>
              <w:bottom w:val="nil"/>
              <w:right w:val="single" w:sz="8" w:space="0" w:color="BFBFBF"/>
            </w:tcBorders>
            <w:shd w:val="clear" w:color="000000" w:fill="DCE6F1"/>
            <w:noWrap/>
            <w:vAlign w:val="bottom"/>
            <w:hideMark/>
          </w:tcPr>
          <w:p w14:paraId="6B205AB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5345DAA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13119D47"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566DA6F3"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Changes in non-current assets, liabilities and equity</w:t>
            </w:r>
          </w:p>
        </w:tc>
        <w:tc>
          <w:tcPr>
            <w:tcW w:w="1340" w:type="dxa"/>
            <w:tcBorders>
              <w:top w:val="nil"/>
              <w:left w:val="nil"/>
              <w:bottom w:val="nil"/>
              <w:right w:val="single" w:sz="8" w:space="0" w:color="BFBFBF"/>
            </w:tcBorders>
            <w:shd w:val="clear" w:color="000000" w:fill="DCE6F1"/>
            <w:noWrap/>
            <w:vAlign w:val="bottom"/>
            <w:hideMark/>
          </w:tcPr>
          <w:p w14:paraId="47AA99C2"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(36)</w:t>
            </w:r>
          </w:p>
        </w:tc>
        <w:tc>
          <w:tcPr>
            <w:tcW w:w="1340" w:type="dxa"/>
            <w:tcBorders>
              <w:top w:val="nil"/>
              <w:left w:val="nil"/>
              <w:bottom w:val="nil"/>
              <w:right w:val="single" w:sz="8" w:space="0" w:color="BFBFBF"/>
            </w:tcBorders>
            <w:shd w:val="clear" w:color="auto" w:fill="auto"/>
            <w:noWrap/>
            <w:vAlign w:val="bottom"/>
            <w:hideMark/>
          </w:tcPr>
          <w:p w14:paraId="76D98D60"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(684)</w:t>
            </w:r>
          </w:p>
        </w:tc>
      </w:tr>
      <w:tr w:rsidR="00A27C22" w:rsidRPr="001D0FE2" w14:paraId="215A8D23"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25CB7AF2" w14:textId="77777777" w:rsidR="00A27C22" w:rsidRPr="001D0FE2" w:rsidRDefault="00A27C22" w:rsidP="00B81D69">
            <w:pPr>
              <w:jc w:val="left"/>
              <w:rPr>
                <w:rFonts w:asciiTheme="minorHAnsi" w:hAnsiTheme="minorHAnsi" w:cstheme="minorHAnsi"/>
                <w:b/>
                <w:bCs/>
                <w:color w:val="59595B"/>
                <w:sz w:val="20"/>
                <w:szCs w:val="20"/>
                <w:lang w:val="en-GB"/>
              </w:rPr>
            </w:pPr>
            <w:r w:rsidRPr="001D0FE2">
              <w:rPr>
                <w:rFonts w:asciiTheme="minorHAnsi" w:hAnsiTheme="minorHAnsi" w:cstheme="minorHAnsi"/>
                <w:b/>
                <w:bCs/>
                <w:color w:val="59595B"/>
                <w:sz w:val="20"/>
                <w:szCs w:val="20"/>
                <w:lang w:val="en-GB"/>
              </w:rPr>
              <w:t> </w:t>
            </w:r>
          </w:p>
        </w:tc>
        <w:tc>
          <w:tcPr>
            <w:tcW w:w="1340" w:type="dxa"/>
            <w:tcBorders>
              <w:top w:val="nil"/>
              <w:left w:val="nil"/>
              <w:bottom w:val="nil"/>
              <w:right w:val="single" w:sz="8" w:space="0" w:color="BFBFBF"/>
            </w:tcBorders>
            <w:shd w:val="clear" w:color="000000" w:fill="DCE6F1"/>
            <w:noWrap/>
            <w:vAlign w:val="bottom"/>
            <w:hideMark/>
          </w:tcPr>
          <w:p w14:paraId="0A385AB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2EFC5521"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47A0D6B1"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29E52965" w14:textId="77777777" w:rsidR="00A27C22" w:rsidRPr="001D0FE2" w:rsidRDefault="00A27C22" w:rsidP="00B81D69">
            <w:pPr>
              <w:jc w:val="left"/>
              <w:rPr>
                <w:rFonts w:asciiTheme="minorHAnsi" w:hAnsiTheme="minorHAnsi" w:cstheme="minorHAnsi"/>
                <w:b/>
                <w:bCs/>
                <w:color w:val="59595B"/>
                <w:sz w:val="20"/>
                <w:szCs w:val="20"/>
                <w:lang w:val="en-GB"/>
              </w:rPr>
            </w:pPr>
            <w:r w:rsidRPr="001D0FE2">
              <w:rPr>
                <w:rFonts w:asciiTheme="minorHAnsi" w:hAnsiTheme="minorHAnsi" w:cstheme="minorHAnsi"/>
                <w:b/>
                <w:bCs/>
                <w:color w:val="59595B"/>
                <w:sz w:val="20"/>
                <w:szCs w:val="20"/>
                <w:lang w:val="en-GB"/>
              </w:rPr>
              <w:t>Cash generated from (used in) operations before interest and taxes</w:t>
            </w:r>
          </w:p>
        </w:tc>
        <w:tc>
          <w:tcPr>
            <w:tcW w:w="1340" w:type="dxa"/>
            <w:tcBorders>
              <w:top w:val="nil"/>
              <w:left w:val="nil"/>
              <w:bottom w:val="nil"/>
              <w:right w:val="single" w:sz="8" w:space="0" w:color="BFBFBF"/>
            </w:tcBorders>
            <w:shd w:val="clear" w:color="000000" w:fill="DCE6F1"/>
            <w:noWrap/>
            <w:vAlign w:val="bottom"/>
            <w:hideMark/>
          </w:tcPr>
          <w:p w14:paraId="5771CB93"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44.406 </w:t>
            </w:r>
          </w:p>
        </w:tc>
        <w:tc>
          <w:tcPr>
            <w:tcW w:w="1340" w:type="dxa"/>
            <w:tcBorders>
              <w:top w:val="nil"/>
              <w:left w:val="nil"/>
              <w:bottom w:val="nil"/>
              <w:right w:val="single" w:sz="8" w:space="0" w:color="BFBFBF"/>
            </w:tcBorders>
            <w:shd w:val="clear" w:color="auto" w:fill="auto"/>
            <w:noWrap/>
            <w:vAlign w:val="bottom"/>
            <w:hideMark/>
          </w:tcPr>
          <w:p w14:paraId="439BB5F8"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28.472 </w:t>
            </w:r>
          </w:p>
        </w:tc>
      </w:tr>
      <w:tr w:rsidR="00A27C22" w:rsidRPr="001D0FE2" w14:paraId="6A18AFBB"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005917DA" w14:textId="77777777" w:rsidR="00A27C22" w:rsidRPr="001D0FE2" w:rsidRDefault="00A27C22" w:rsidP="00B81D69">
            <w:pPr>
              <w:jc w:val="left"/>
              <w:rPr>
                <w:rFonts w:asciiTheme="minorHAnsi" w:hAnsiTheme="minorHAnsi" w:cstheme="minorHAnsi"/>
                <w:b/>
                <w:bCs/>
                <w:color w:val="59595B"/>
                <w:sz w:val="20"/>
                <w:szCs w:val="20"/>
                <w:lang w:val="en-GB"/>
              </w:rPr>
            </w:pPr>
            <w:r w:rsidRPr="001D0FE2">
              <w:rPr>
                <w:rFonts w:asciiTheme="minorHAnsi" w:hAnsiTheme="minorHAnsi" w:cstheme="minorHAnsi"/>
                <w:b/>
                <w:bCs/>
                <w:color w:val="59595B"/>
                <w:sz w:val="20"/>
                <w:szCs w:val="20"/>
                <w:lang w:val="en-GB"/>
              </w:rPr>
              <w:t> </w:t>
            </w:r>
          </w:p>
        </w:tc>
        <w:tc>
          <w:tcPr>
            <w:tcW w:w="1340" w:type="dxa"/>
            <w:tcBorders>
              <w:top w:val="nil"/>
              <w:left w:val="nil"/>
              <w:bottom w:val="nil"/>
              <w:right w:val="single" w:sz="8" w:space="0" w:color="BFBFBF"/>
            </w:tcBorders>
            <w:shd w:val="clear" w:color="000000" w:fill="DCE6F1"/>
            <w:noWrap/>
            <w:vAlign w:val="bottom"/>
            <w:hideMark/>
          </w:tcPr>
          <w:p w14:paraId="74F4A79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68CF0C53"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15AA630A"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501A8222"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Income taxes paid</w:t>
            </w:r>
          </w:p>
        </w:tc>
        <w:tc>
          <w:tcPr>
            <w:tcW w:w="1340" w:type="dxa"/>
            <w:tcBorders>
              <w:top w:val="nil"/>
              <w:left w:val="nil"/>
              <w:bottom w:val="nil"/>
              <w:right w:val="single" w:sz="8" w:space="0" w:color="BFBFBF"/>
            </w:tcBorders>
            <w:shd w:val="clear" w:color="000000" w:fill="DCE6F1"/>
            <w:noWrap/>
            <w:vAlign w:val="bottom"/>
            <w:hideMark/>
          </w:tcPr>
          <w:p w14:paraId="23FF2D17"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(55)</w:t>
            </w:r>
          </w:p>
        </w:tc>
        <w:tc>
          <w:tcPr>
            <w:tcW w:w="1340" w:type="dxa"/>
            <w:tcBorders>
              <w:top w:val="nil"/>
              <w:left w:val="nil"/>
              <w:bottom w:val="nil"/>
              <w:right w:val="single" w:sz="8" w:space="0" w:color="BFBFBF"/>
            </w:tcBorders>
            <w:shd w:val="clear" w:color="auto" w:fill="auto"/>
            <w:noWrap/>
            <w:vAlign w:val="bottom"/>
            <w:hideMark/>
          </w:tcPr>
          <w:p w14:paraId="0F71A3E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(707)</w:t>
            </w:r>
          </w:p>
        </w:tc>
      </w:tr>
      <w:tr w:rsidR="00A27C22" w:rsidRPr="001D0FE2" w14:paraId="4A142AE2"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44A622FE"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 </w:t>
            </w:r>
          </w:p>
        </w:tc>
        <w:tc>
          <w:tcPr>
            <w:tcW w:w="1340" w:type="dxa"/>
            <w:tcBorders>
              <w:top w:val="nil"/>
              <w:left w:val="nil"/>
              <w:bottom w:val="single" w:sz="8" w:space="0" w:color="BFBFBF"/>
              <w:right w:val="single" w:sz="8" w:space="0" w:color="BFBFBF"/>
            </w:tcBorders>
            <w:shd w:val="clear" w:color="000000" w:fill="DCE6F1"/>
            <w:noWrap/>
            <w:vAlign w:val="bottom"/>
            <w:hideMark/>
          </w:tcPr>
          <w:p w14:paraId="34993221"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340" w:type="dxa"/>
            <w:tcBorders>
              <w:top w:val="nil"/>
              <w:left w:val="nil"/>
              <w:bottom w:val="single" w:sz="8" w:space="0" w:color="BFBFBF"/>
              <w:right w:val="single" w:sz="8" w:space="0" w:color="BFBFBF"/>
            </w:tcBorders>
            <w:shd w:val="clear" w:color="auto" w:fill="auto"/>
            <w:noWrap/>
            <w:vAlign w:val="bottom"/>
            <w:hideMark/>
          </w:tcPr>
          <w:p w14:paraId="7424FD3E"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750B8136" w14:textId="77777777" w:rsidTr="00B81D69">
        <w:trPr>
          <w:trHeight w:val="238"/>
        </w:trPr>
        <w:tc>
          <w:tcPr>
            <w:tcW w:w="634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02BE0795"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Net cash flows generated from (used in) operating activities</w:t>
            </w:r>
          </w:p>
        </w:tc>
        <w:tc>
          <w:tcPr>
            <w:tcW w:w="1340" w:type="dxa"/>
            <w:tcBorders>
              <w:top w:val="nil"/>
              <w:left w:val="nil"/>
              <w:bottom w:val="single" w:sz="8" w:space="0" w:color="BFBFBF"/>
              <w:right w:val="single" w:sz="8" w:space="0" w:color="BFBFBF"/>
            </w:tcBorders>
            <w:shd w:val="clear" w:color="000000" w:fill="DCE6F1"/>
            <w:noWrap/>
            <w:vAlign w:val="center"/>
            <w:hideMark/>
          </w:tcPr>
          <w:p w14:paraId="4F358CAF"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44.351 </w:t>
            </w:r>
          </w:p>
        </w:tc>
        <w:tc>
          <w:tcPr>
            <w:tcW w:w="1340" w:type="dxa"/>
            <w:tcBorders>
              <w:top w:val="nil"/>
              <w:left w:val="nil"/>
              <w:bottom w:val="single" w:sz="8" w:space="0" w:color="BFBFBF"/>
              <w:right w:val="single" w:sz="8" w:space="0" w:color="BFBFBF"/>
            </w:tcBorders>
            <w:shd w:val="clear" w:color="auto" w:fill="auto"/>
            <w:noWrap/>
            <w:vAlign w:val="center"/>
            <w:hideMark/>
          </w:tcPr>
          <w:p w14:paraId="54630033"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27.765 </w:t>
            </w:r>
          </w:p>
        </w:tc>
      </w:tr>
      <w:tr w:rsidR="00A27C22" w:rsidRPr="001D0FE2" w14:paraId="152E4377" w14:textId="77777777" w:rsidTr="00B81D69">
        <w:trPr>
          <w:trHeight w:val="238"/>
        </w:trPr>
        <w:tc>
          <w:tcPr>
            <w:tcW w:w="6340" w:type="dxa"/>
            <w:tcBorders>
              <w:top w:val="nil"/>
              <w:left w:val="single" w:sz="8" w:space="0" w:color="BFBFBF"/>
              <w:bottom w:val="nil"/>
              <w:right w:val="nil"/>
            </w:tcBorders>
            <w:shd w:val="clear" w:color="auto" w:fill="auto"/>
            <w:vAlign w:val="bottom"/>
            <w:hideMark/>
          </w:tcPr>
          <w:p w14:paraId="5568E8E8" w14:textId="77777777" w:rsidR="00A27C22" w:rsidRPr="001D0FE2" w:rsidRDefault="00A27C22" w:rsidP="00B81D69">
            <w:pPr>
              <w:jc w:val="lef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w:t>
            </w:r>
          </w:p>
        </w:tc>
        <w:tc>
          <w:tcPr>
            <w:tcW w:w="1340" w:type="dxa"/>
            <w:tcBorders>
              <w:top w:val="nil"/>
              <w:left w:val="single" w:sz="8" w:space="0" w:color="BFBFBF"/>
              <w:bottom w:val="nil"/>
              <w:right w:val="single" w:sz="8" w:space="0" w:color="BFBFBF"/>
            </w:tcBorders>
            <w:shd w:val="clear" w:color="000000" w:fill="DCE6F1"/>
            <w:noWrap/>
            <w:vAlign w:val="bottom"/>
            <w:hideMark/>
          </w:tcPr>
          <w:p w14:paraId="34BBE286" w14:textId="77777777" w:rsidR="00A27C22" w:rsidRPr="001D0FE2" w:rsidRDefault="00A27C22" w:rsidP="00B81D69">
            <w:pPr>
              <w:jc w:val="lef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26EE0B25" w14:textId="77777777" w:rsidR="00A27C22" w:rsidRPr="001D0FE2" w:rsidRDefault="00A27C22" w:rsidP="00B81D69">
            <w:pPr>
              <w:jc w:val="lef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w:t>
            </w:r>
          </w:p>
        </w:tc>
      </w:tr>
      <w:tr w:rsidR="00A27C22" w:rsidRPr="001D0FE2" w14:paraId="2B5CA9DC" w14:textId="77777777" w:rsidTr="00B81D69">
        <w:trPr>
          <w:trHeight w:val="238"/>
        </w:trPr>
        <w:tc>
          <w:tcPr>
            <w:tcW w:w="6340" w:type="dxa"/>
            <w:tcBorders>
              <w:top w:val="nil"/>
              <w:left w:val="single" w:sz="8" w:space="0" w:color="BFBFBF"/>
              <w:bottom w:val="nil"/>
              <w:right w:val="nil"/>
            </w:tcBorders>
            <w:shd w:val="clear" w:color="auto" w:fill="auto"/>
            <w:vAlign w:val="bottom"/>
            <w:hideMark/>
          </w:tcPr>
          <w:p w14:paraId="2ADEE879"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Capital expenditure for property, plant and equipment</w:t>
            </w:r>
          </w:p>
        </w:tc>
        <w:tc>
          <w:tcPr>
            <w:tcW w:w="1340" w:type="dxa"/>
            <w:tcBorders>
              <w:top w:val="nil"/>
              <w:left w:val="single" w:sz="8" w:space="0" w:color="BFBFBF"/>
              <w:bottom w:val="nil"/>
              <w:right w:val="single" w:sz="8" w:space="0" w:color="BFBFBF"/>
            </w:tcBorders>
            <w:shd w:val="clear" w:color="000000" w:fill="DCE6F1"/>
            <w:noWrap/>
            <w:vAlign w:val="bottom"/>
            <w:hideMark/>
          </w:tcPr>
          <w:p w14:paraId="4489454B"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(1.143)</w:t>
            </w:r>
          </w:p>
        </w:tc>
        <w:tc>
          <w:tcPr>
            <w:tcW w:w="1340" w:type="dxa"/>
            <w:tcBorders>
              <w:top w:val="nil"/>
              <w:left w:val="nil"/>
              <w:bottom w:val="nil"/>
              <w:right w:val="single" w:sz="8" w:space="0" w:color="BFBFBF"/>
            </w:tcBorders>
            <w:shd w:val="clear" w:color="auto" w:fill="auto"/>
            <w:noWrap/>
            <w:vAlign w:val="bottom"/>
            <w:hideMark/>
          </w:tcPr>
          <w:p w14:paraId="61343831"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(1.375)</w:t>
            </w:r>
          </w:p>
        </w:tc>
      </w:tr>
      <w:tr w:rsidR="00A27C22" w:rsidRPr="001D0FE2" w14:paraId="4AEB6A42" w14:textId="77777777" w:rsidTr="00B81D69">
        <w:trPr>
          <w:trHeight w:val="238"/>
        </w:trPr>
        <w:tc>
          <w:tcPr>
            <w:tcW w:w="6340" w:type="dxa"/>
            <w:tcBorders>
              <w:top w:val="nil"/>
              <w:left w:val="single" w:sz="8" w:space="0" w:color="BFBFBF"/>
              <w:bottom w:val="nil"/>
              <w:right w:val="nil"/>
            </w:tcBorders>
            <w:shd w:val="clear" w:color="auto" w:fill="auto"/>
            <w:vAlign w:val="bottom"/>
            <w:hideMark/>
          </w:tcPr>
          <w:p w14:paraId="1CED32A4"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Investment intangible assets</w:t>
            </w:r>
          </w:p>
        </w:tc>
        <w:tc>
          <w:tcPr>
            <w:tcW w:w="1340" w:type="dxa"/>
            <w:tcBorders>
              <w:top w:val="nil"/>
              <w:left w:val="single" w:sz="8" w:space="0" w:color="BFBFBF"/>
              <w:bottom w:val="nil"/>
              <w:right w:val="single" w:sz="8" w:space="0" w:color="BFBFBF"/>
            </w:tcBorders>
            <w:shd w:val="clear" w:color="000000" w:fill="DCE6F1"/>
            <w:noWrap/>
            <w:vAlign w:val="bottom"/>
            <w:hideMark/>
          </w:tcPr>
          <w:p w14:paraId="52BC8FA0"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(254)</w:t>
            </w:r>
          </w:p>
        </w:tc>
        <w:tc>
          <w:tcPr>
            <w:tcW w:w="1340" w:type="dxa"/>
            <w:tcBorders>
              <w:top w:val="nil"/>
              <w:left w:val="nil"/>
              <w:bottom w:val="nil"/>
              <w:right w:val="single" w:sz="8" w:space="0" w:color="BFBFBF"/>
            </w:tcBorders>
            <w:shd w:val="clear" w:color="auto" w:fill="auto"/>
            <w:noWrap/>
            <w:vAlign w:val="bottom"/>
            <w:hideMark/>
          </w:tcPr>
          <w:p w14:paraId="26DEC2FF"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(589)</w:t>
            </w:r>
          </w:p>
        </w:tc>
      </w:tr>
      <w:tr w:rsidR="00A27C22" w:rsidRPr="001D0FE2" w14:paraId="696DB1A1" w14:textId="77777777" w:rsidTr="00B81D69">
        <w:trPr>
          <w:trHeight w:val="238"/>
        </w:trPr>
        <w:tc>
          <w:tcPr>
            <w:tcW w:w="6340" w:type="dxa"/>
            <w:tcBorders>
              <w:top w:val="nil"/>
              <w:left w:val="single" w:sz="8" w:space="0" w:color="BFBFBF"/>
              <w:bottom w:val="nil"/>
              <w:right w:val="nil"/>
            </w:tcBorders>
            <w:shd w:val="clear" w:color="auto" w:fill="auto"/>
            <w:vAlign w:val="bottom"/>
            <w:hideMark/>
          </w:tcPr>
          <w:p w14:paraId="4458339A"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Investment in associates</w:t>
            </w:r>
          </w:p>
        </w:tc>
        <w:tc>
          <w:tcPr>
            <w:tcW w:w="1340" w:type="dxa"/>
            <w:tcBorders>
              <w:top w:val="nil"/>
              <w:left w:val="single" w:sz="8" w:space="0" w:color="BFBFBF"/>
              <w:bottom w:val="nil"/>
              <w:right w:val="single" w:sz="8" w:space="0" w:color="BFBFBF"/>
            </w:tcBorders>
            <w:shd w:val="clear" w:color="000000" w:fill="DCE6F1"/>
            <w:noWrap/>
            <w:vAlign w:val="bottom"/>
            <w:hideMark/>
          </w:tcPr>
          <w:p w14:paraId="06C07BAE"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(14)</w:t>
            </w:r>
          </w:p>
        </w:tc>
        <w:tc>
          <w:tcPr>
            <w:tcW w:w="1340" w:type="dxa"/>
            <w:tcBorders>
              <w:top w:val="nil"/>
              <w:left w:val="nil"/>
              <w:bottom w:val="nil"/>
              <w:right w:val="single" w:sz="8" w:space="0" w:color="BFBFBF"/>
            </w:tcBorders>
            <w:shd w:val="clear" w:color="auto" w:fill="auto"/>
            <w:noWrap/>
            <w:vAlign w:val="bottom"/>
            <w:hideMark/>
          </w:tcPr>
          <w:p w14:paraId="215588C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(2.832)</w:t>
            </w:r>
          </w:p>
        </w:tc>
      </w:tr>
      <w:tr w:rsidR="00A27C22" w:rsidRPr="001D0FE2" w14:paraId="4763CE16" w14:textId="77777777" w:rsidTr="00B81D69">
        <w:trPr>
          <w:trHeight w:val="238"/>
        </w:trPr>
        <w:tc>
          <w:tcPr>
            <w:tcW w:w="6340" w:type="dxa"/>
            <w:tcBorders>
              <w:top w:val="nil"/>
              <w:left w:val="single" w:sz="8" w:space="0" w:color="BFBFBF"/>
              <w:bottom w:val="nil"/>
              <w:right w:val="nil"/>
            </w:tcBorders>
            <w:shd w:val="clear" w:color="auto" w:fill="auto"/>
            <w:vAlign w:val="bottom"/>
            <w:hideMark/>
          </w:tcPr>
          <w:p w14:paraId="30445E2F"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Acquisition of license</w:t>
            </w:r>
          </w:p>
        </w:tc>
        <w:tc>
          <w:tcPr>
            <w:tcW w:w="1340" w:type="dxa"/>
            <w:tcBorders>
              <w:top w:val="nil"/>
              <w:left w:val="single" w:sz="8" w:space="0" w:color="BFBFBF"/>
              <w:bottom w:val="nil"/>
              <w:right w:val="single" w:sz="8" w:space="0" w:color="BFBFBF"/>
            </w:tcBorders>
            <w:shd w:val="clear" w:color="000000" w:fill="DCE6F1"/>
            <w:noWrap/>
            <w:vAlign w:val="bottom"/>
            <w:hideMark/>
          </w:tcPr>
          <w:p w14:paraId="49DDEBBE"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(8.767)</w:t>
            </w:r>
          </w:p>
        </w:tc>
        <w:tc>
          <w:tcPr>
            <w:tcW w:w="1340" w:type="dxa"/>
            <w:tcBorders>
              <w:top w:val="nil"/>
              <w:left w:val="nil"/>
              <w:bottom w:val="nil"/>
              <w:right w:val="single" w:sz="8" w:space="0" w:color="BFBFBF"/>
            </w:tcBorders>
            <w:shd w:val="clear" w:color="auto" w:fill="auto"/>
            <w:noWrap/>
            <w:vAlign w:val="bottom"/>
            <w:hideMark/>
          </w:tcPr>
          <w:p w14:paraId="61A9BA7A"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   </w:t>
            </w:r>
          </w:p>
        </w:tc>
      </w:tr>
      <w:tr w:rsidR="00A27C22" w:rsidRPr="001D0FE2" w14:paraId="6D39F8D7" w14:textId="77777777" w:rsidTr="00B81D69">
        <w:trPr>
          <w:trHeight w:val="238"/>
        </w:trPr>
        <w:tc>
          <w:tcPr>
            <w:tcW w:w="6340" w:type="dxa"/>
            <w:tcBorders>
              <w:top w:val="nil"/>
              <w:left w:val="single" w:sz="8" w:space="0" w:color="BFBFBF"/>
              <w:bottom w:val="nil"/>
              <w:right w:val="nil"/>
            </w:tcBorders>
            <w:shd w:val="clear" w:color="auto" w:fill="auto"/>
            <w:vAlign w:val="bottom"/>
            <w:hideMark/>
          </w:tcPr>
          <w:p w14:paraId="5AE5EDD1"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 </w:t>
            </w:r>
          </w:p>
        </w:tc>
        <w:tc>
          <w:tcPr>
            <w:tcW w:w="1340" w:type="dxa"/>
            <w:tcBorders>
              <w:top w:val="nil"/>
              <w:left w:val="single" w:sz="8" w:space="0" w:color="BFBFBF"/>
              <w:bottom w:val="single" w:sz="8" w:space="0" w:color="BFBFBF"/>
              <w:right w:val="single" w:sz="8" w:space="0" w:color="BFBFBF"/>
            </w:tcBorders>
            <w:shd w:val="clear" w:color="000000" w:fill="DCE6F1"/>
            <w:noWrap/>
            <w:vAlign w:val="bottom"/>
            <w:hideMark/>
          </w:tcPr>
          <w:p w14:paraId="41E1643C" w14:textId="77777777" w:rsidR="00A27C22" w:rsidRPr="001D0FE2" w:rsidRDefault="00A27C22" w:rsidP="00B81D69">
            <w:pPr>
              <w:jc w:val="lef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7ECF2E8E" w14:textId="77777777" w:rsidR="00A27C22" w:rsidRPr="001D0FE2" w:rsidRDefault="00A27C22" w:rsidP="00B81D69">
            <w:pPr>
              <w:jc w:val="lef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r>
      <w:tr w:rsidR="00A27C22" w:rsidRPr="001D0FE2" w14:paraId="6C23FA59" w14:textId="77777777" w:rsidTr="00B81D69">
        <w:trPr>
          <w:trHeight w:val="238"/>
        </w:trPr>
        <w:tc>
          <w:tcPr>
            <w:tcW w:w="634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640C48AA"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Net cash flows used in investing activities</w:t>
            </w:r>
          </w:p>
        </w:tc>
        <w:tc>
          <w:tcPr>
            <w:tcW w:w="1340" w:type="dxa"/>
            <w:tcBorders>
              <w:top w:val="nil"/>
              <w:left w:val="nil"/>
              <w:bottom w:val="single" w:sz="8" w:space="0" w:color="BFBFBF"/>
              <w:right w:val="single" w:sz="8" w:space="0" w:color="BFBFBF"/>
            </w:tcBorders>
            <w:shd w:val="clear" w:color="000000" w:fill="DCE6F1"/>
            <w:noWrap/>
            <w:vAlign w:val="center"/>
            <w:hideMark/>
          </w:tcPr>
          <w:p w14:paraId="464C85A3"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(10.178)</w:t>
            </w:r>
          </w:p>
        </w:tc>
        <w:tc>
          <w:tcPr>
            <w:tcW w:w="1340" w:type="dxa"/>
            <w:tcBorders>
              <w:top w:val="single" w:sz="8" w:space="0" w:color="BFBFBF"/>
              <w:left w:val="nil"/>
              <w:bottom w:val="single" w:sz="8" w:space="0" w:color="BFBFBF"/>
              <w:right w:val="single" w:sz="8" w:space="0" w:color="BFBFBF"/>
            </w:tcBorders>
            <w:shd w:val="clear" w:color="auto" w:fill="auto"/>
            <w:noWrap/>
            <w:vAlign w:val="center"/>
            <w:hideMark/>
          </w:tcPr>
          <w:p w14:paraId="00AF9CEE"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(4.796)</w:t>
            </w:r>
          </w:p>
        </w:tc>
      </w:tr>
      <w:tr w:rsidR="00A27C22" w:rsidRPr="001D0FE2" w14:paraId="136CB20D" w14:textId="77777777" w:rsidTr="00B81D69">
        <w:trPr>
          <w:trHeight w:val="238"/>
        </w:trPr>
        <w:tc>
          <w:tcPr>
            <w:tcW w:w="6340" w:type="dxa"/>
            <w:tcBorders>
              <w:top w:val="nil"/>
              <w:left w:val="single" w:sz="8" w:space="0" w:color="BFBFBF"/>
              <w:bottom w:val="nil"/>
              <w:right w:val="nil"/>
            </w:tcBorders>
            <w:shd w:val="clear" w:color="auto" w:fill="auto"/>
            <w:vAlign w:val="bottom"/>
            <w:hideMark/>
          </w:tcPr>
          <w:p w14:paraId="3B4828C3" w14:textId="77777777" w:rsidR="00A27C22" w:rsidRPr="001D0FE2" w:rsidRDefault="00A27C22" w:rsidP="00B81D69">
            <w:pPr>
              <w:jc w:val="left"/>
              <w:rPr>
                <w:rFonts w:asciiTheme="minorHAnsi" w:hAnsiTheme="minorHAnsi" w:cstheme="minorHAnsi"/>
                <w:b/>
                <w:bCs/>
                <w:color w:val="FFFFFF"/>
                <w:sz w:val="20"/>
                <w:szCs w:val="20"/>
                <w:lang w:val="en-GB"/>
              </w:rPr>
            </w:pPr>
            <w:r w:rsidRPr="001D0FE2">
              <w:rPr>
                <w:rFonts w:asciiTheme="minorHAnsi" w:hAnsiTheme="minorHAnsi" w:cstheme="minorHAnsi"/>
                <w:b/>
                <w:bCs/>
                <w:color w:val="FFFFFF"/>
                <w:sz w:val="20"/>
                <w:szCs w:val="20"/>
                <w:lang w:val="en-GB"/>
              </w:rPr>
              <w:t> </w:t>
            </w:r>
          </w:p>
        </w:tc>
        <w:tc>
          <w:tcPr>
            <w:tcW w:w="1340" w:type="dxa"/>
            <w:tcBorders>
              <w:top w:val="nil"/>
              <w:left w:val="single" w:sz="8" w:space="0" w:color="BFBFBF"/>
              <w:bottom w:val="nil"/>
              <w:right w:val="single" w:sz="8" w:space="0" w:color="BFBFBF"/>
            </w:tcBorders>
            <w:shd w:val="clear" w:color="000000" w:fill="DCE6F1"/>
            <w:noWrap/>
            <w:vAlign w:val="bottom"/>
            <w:hideMark/>
          </w:tcPr>
          <w:p w14:paraId="5A508C97" w14:textId="77777777" w:rsidR="00A27C22" w:rsidRPr="001D0FE2" w:rsidRDefault="00A27C22" w:rsidP="00B81D69">
            <w:pPr>
              <w:jc w:val="lef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5F2E6F32" w14:textId="77777777" w:rsidR="00A27C22" w:rsidRPr="001D0FE2" w:rsidRDefault="00A27C22" w:rsidP="00B81D69">
            <w:pPr>
              <w:jc w:val="lef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r>
      <w:tr w:rsidR="00A27C22" w:rsidRPr="001D0FE2" w14:paraId="1C886634"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4BF74AE1"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Repayment on loans and borrowings</w:t>
            </w:r>
          </w:p>
        </w:tc>
        <w:tc>
          <w:tcPr>
            <w:tcW w:w="1340" w:type="dxa"/>
            <w:tcBorders>
              <w:top w:val="nil"/>
              <w:left w:val="nil"/>
              <w:bottom w:val="nil"/>
              <w:right w:val="single" w:sz="8" w:space="0" w:color="BFBFBF"/>
            </w:tcBorders>
            <w:shd w:val="clear" w:color="000000" w:fill="DCE6F1"/>
            <w:noWrap/>
            <w:vAlign w:val="bottom"/>
            <w:hideMark/>
          </w:tcPr>
          <w:p w14:paraId="69006F61"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(55.117)</w:t>
            </w:r>
          </w:p>
        </w:tc>
        <w:tc>
          <w:tcPr>
            <w:tcW w:w="1340" w:type="dxa"/>
            <w:tcBorders>
              <w:top w:val="nil"/>
              <w:left w:val="nil"/>
              <w:bottom w:val="nil"/>
              <w:right w:val="single" w:sz="8" w:space="0" w:color="BFBFBF"/>
            </w:tcBorders>
            <w:shd w:val="clear" w:color="auto" w:fill="auto"/>
            <w:noWrap/>
            <w:vAlign w:val="bottom"/>
            <w:hideMark/>
          </w:tcPr>
          <w:p w14:paraId="50BDCDAE"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(17.569)</w:t>
            </w:r>
          </w:p>
        </w:tc>
      </w:tr>
      <w:tr w:rsidR="00A27C22" w:rsidRPr="001D0FE2" w14:paraId="5A20890C"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37C59223"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Proceeds of issued convertible bonds</w:t>
            </w:r>
          </w:p>
        </w:tc>
        <w:tc>
          <w:tcPr>
            <w:tcW w:w="1340" w:type="dxa"/>
            <w:tcBorders>
              <w:top w:val="nil"/>
              <w:left w:val="nil"/>
              <w:bottom w:val="nil"/>
              <w:right w:val="single" w:sz="8" w:space="0" w:color="BFBFBF"/>
            </w:tcBorders>
            <w:shd w:val="clear" w:color="000000" w:fill="DCE6F1"/>
            <w:noWrap/>
            <w:vAlign w:val="bottom"/>
            <w:hideMark/>
          </w:tcPr>
          <w:p w14:paraId="318419D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135.470 </w:t>
            </w:r>
          </w:p>
        </w:tc>
        <w:tc>
          <w:tcPr>
            <w:tcW w:w="1340" w:type="dxa"/>
            <w:tcBorders>
              <w:top w:val="nil"/>
              <w:left w:val="nil"/>
              <w:bottom w:val="nil"/>
              <w:right w:val="single" w:sz="8" w:space="0" w:color="BFBFBF"/>
            </w:tcBorders>
            <w:shd w:val="clear" w:color="auto" w:fill="auto"/>
            <w:noWrap/>
            <w:vAlign w:val="bottom"/>
            <w:hideMark/>
          </w:tcPr>
          <w:p w14:paraId="33E10243"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   </w:t>
            </w:r>
          </w:p>
        </w:tc>
      </w:tr>
      <w:tr w:rsidR="00A27C22" w:rsidRPr="001D0FE2" w14:paraId="342CB632"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2D3680DB"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Payment on contingent consideration</w:t>
            </w:r>
          </w:p>
        </w:tc>
        <w:tc>
          <w:tcPr>
            <w:tcW w:w="1340" w:type="dxa"/>
            <w:tcBorders>
              <w:top w:val="nil"/>
              <w:left w:val="nil"/>
              <w:bottom w:val="nil"/>
              <w:right w:val="single" w:sz="8" w:space="0" w:color="BFBFBF"/>
            </w:tcBorders>
            <w:shd w:val="clear" w:color="000000" w:fill="DCE6F1"/>
            <w:noWrap/>
            <w:vAlign w:val="bottom"/>
            <w:hideMark/>
          </w:tcPr>
          <w:p w14:paraId="1EFA0FD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(20.025)</w:t>
            </w:r>
          </w:p>
        </w:tc>
        <w:tc>
          <w:tcPr>
            <w:tcW w:w="1340" w:type="dxa"/>
            <w:tcBorders>
              <w:top w:val="nil"/>
              <w:left w:val="nil"/>
              <w:bottom w:val="nil"/>
              <w:right w:val="single" w:sz="8" w:space="0" w:color="BFBFBF"/>
            </w:tcBorders>
            <w:shd w:val="clear" w:color="auto" w:fill="auto"/>
            <w:noWrap/>
            <w:vAlign w:val="bottom"/>
            <w:hideMark/>
          </w:tcPr>
          <w:p w14:paraId="7A3DE951"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(19.947)</w:t>
            </w:r>
          </w:p>
        </w:tc>
      </w:tr>
      <w:tr w:rsidR="00A27C22" w:rsidRPr="001D0FE2" w14:paraId="5EFA3C91"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32567A0D"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Interests on loans and leases</w:t>
            </w:r>
          </w:p>
        </w:tc>
        <w:tc>
          <w:tcPr>
            <w:tcW w:w="1340" w:type="dxa"/>
            <w:tcBorders>
              <w:top w:val="nil"/>
              <w:left w:val="nil"/>
              <w:bottom w:val="nil"/>
              <w:right w:val="single" w:sz="8" w:space="0" w:color="BFBFBF"/>
            </w:tcBorders>
            <w:shd w:val="clear" w:color="000000" w:fill="DCE6F1"/>
            <w:noWrap/>
            <w:vAlign w:val="bottom"/>
            <w:hideMark/>
          </w:tcPr>
          <w:p w14:paraId="3A950F0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(795)</w:t>
            </w:r>
          </w:p>
        </w:tc>
        <w:tc>
          <w:tcPr>
            <w:tcW w:w="1340" w:type="dxa"/>
            <w:tcBorders>
              <w:top w:val="nil"/>
              <w:left w:val="nil"/>
              <w:bottom w:val="nil"/>
              <w:right w:val="single" w:sz="8" w:space="0" w:color="BFBFBF"/>
            </w:tcBorders>
            <w:shd w:val="clear" w:color="auto" w:fill="auto"/>
            <w:noWrap/>
            <w:vAlign w:val="bottom"/>
            <w:hideMark/>
          </w:tcPr>
          <w:p w14:paraId="036F46C2"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(5.463)</w:t>
            </w:r>
          </w:p>
        </w:tc>
      </w:tr>
      <w:tr w:rsidR="00A27C22" w:rsidRPr="001D0FE2" w14:paraId="2840A456"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40F27A71"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Payment of lease liabilities</w:t>
            </w:r>
          </w:p>
        </w:tc>
        <w:tc>
          <w:tcPr>
            <w:tcW w:w="1340" w:type="dxa"/>
            <w:tcBorders>
              <w:top w:val="nil"/>
              <w:left w:val="nil"/>
              <w:bottom w:val="nil"/>
              <w:right w:val="single" w:sz="8" w:space="0" w:color="BFBFBF"/>
            </w:tcBorders>
            <w:shd w:val="clear" w:color="000000" w:fill="DCE6F1"/>
            <w:noWrap/>
            <w:vAlign w:val="bottom"/>
            <w:hideMark/>
          </w:tcPr>
          <w:p w14:paraId="31500CE1"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(1.548)</w:t>
            </w:r>
          </w:p>
        </w:tc>
        <w:tc>
          <w:tcPr>
            <w:tcW w:w="1340" w:type="dxa"/>
            <w:tcBorders>
              <w:top w:val="nil"/>
              <w:left w:val="nil"/>
              <w:bottom w:val="nil"/>
              <w:right w:val="single" w:sz="8" w:space="0" w:color="BFBFBF"/>
            </w:tcBorders>
            <w:shd w:val="clear" w:color="auto" w:fill="auto"/>
            <w:noWrap/>
            <w:vAlign w:val="bottom"/>
            <w:hideMark/>
          </w:tcPr>
          <w:p w14:paraId="670AE6AF"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(700)</w:t>
            </w:r>
          </w:p>
        </w:tc>
      </w:tr>
      <w:tr w:rsidR="00A27C22" w:rsidRPr="001D0FE2" w14:paraId="52CA8BB4"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52ED4C23"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Interest received</w:t>
            </w:r>
          </w:p>
        </w:tc>
        <w:tc>
          <w:tcPr>
            <w:tcW w:w="1340" w:type="dxa"/>
            <w:tcBorders>
              <w:top w:val="nil"/>
              <w:left w:val="nil"/>
              <w:bottom w:val="nil"/>
              <w:right w:val="single" w:sz="8" w:space="0" w:color="BFBFBF"/>
            </w:tcBorders>
            <w:shd w:val="clear" w:color="000000" w:fill="DCE6F1"/>
            <w:noWrap/>
            <w:vAlign w:val="bottom"/>
            <w:hideMark/>
          </w:tcPr>
          <w:p w14:paraId="748EACD5"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529 </w:t>
            </w:r>
          </w:p>
        </w:tc>
        <w:tc>
          <w:tcPr>
            <w:tcW w:w="1340" w:type="dxa"/>
            <w:tcBorders>
              <w:top w:val="nil"/>
              <w:left w:val="nil"/>
              <w:bottom w:val="nil"/>
              <w:right w:val="single" w:sz="8" w:space="0" w:color="BFBFBF"/>
            </w:tcBorders>
            <w:shd w:val="clear" w:color="auto" w:fill="auto"/>
            <w:noWrap/>
            <w:vAlign w:val="bottom"/>
            <w:hideMark/>
          </w:tcPr>
          <w:p w14:paraId="20896A95"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538 </w:t>
            </w:r>
          </w:p>
        </w:tc>
      </w:tr>
      <w:tr w:rsidR="00A27C22" w:rsidRPr="001D0FE2" w14:paraId="77839192"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3F5E4D5C"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Proceeds of equity and warrants</w:t>
            </w:r>
          </w:p>
        </w:tc>
        <w:tc>
          <w:tcPr>
            <w:tcW w:w="1340" w:type="dxa"/>
            <w:tcBorders>
              <w:top w:val="nil"/>
              <w:left w:val="nil"/>
              <w:bottom w:val="nil"/>
              <w:right w:val="single" w:sz="8" w:space="0" w:color="BFBFBF"/>
            </w:tcBorders>
            <w:shd w:val="clear" w:color="000000" w:fill="DCE6F1"/>
            <w:noWrap/>
            <w:vAlign w:val="bottom"/>
            <w:hideMark/>
          </w:tcPr>
          <w:p w14:paraId="1FCA9B8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2.116 </w:t>
            </w:r>
          </w:p>
        </w:tc>
        <w:tc>
          <w:tcPr>
            <w:tcW w:w="1340" w:type="dxa"/>
            <w:tcBorders>
              <w:top w:val="nil"/>
              <w:left w:val="nil"/>
              <w:bottom w:val="nil"/>
              <w:right w:val="single" w:sz="8" w:space="0" w:color="BFBFBF"/>
            </w:tcBorders>
            <w:shd w:val="clear" w:color="auto" w:fill="auto"/>
            <w:noWrap/>
            <w:vAlign w:val="bottom"/>
            <w:hideMark/>
          </w:tcPr>
          <w:p w14:paraId="3ABCC94E"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1.122 </w:t>
            </w:r>
          </w:p>
        </w:tc>
      </w:tr>
      <w:tr w:rsidR="00A27C22" w:rsidRPr="001D0FE2" w14:paraId="061F0D07" w14:textId="77777777" w:rsidTr="00B81D69">
        <w:trPr>
          <w:trHeight w:val="238"/>
        </w:trPr>
        <w:tc>
          <w:tcPr>
            <w:tcW w:w="6340" w:type="dxa"/>
            <w:tcBorders>
              <w:top w:val="nil"/>
              <w:left w:val="single" w:sz="8" w:space="0" w:color="BFBFBF"/>
              <w:bottom w:val="nil"/>
              <w:right w:val="nil"/>
            </w:tcBorders>
            <w:shd w:val="clear" w:color="auto" w:fill="auto"/>
            <w:vAlign w:val="bottom"/>
            <w:hideMark/>
          </w:tcPr>
          <w:p w14:paraId="0D747EE2"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 </w:t>
            </w:r>
          </w:p>
        </w:tc>
        <w:tc>
          <w:tcPr>
            <w:tcW w:w="1340" w:type="dxa"/>
            <w:tcBorders>
              <w:top w:val="nil"/>
              <w:left w:val="single" w:sz="8" w:space="0" w:color="BFBFBF"/>
              <w:bottom w:val="nil"/>
              <w:right w:val="single" w:sz="8" w:space="0" w:color="BFBFBF"/>
            </w:tcBorders>
            <w:shd w:val="clear" w:color="000000" w:fill="DCE6F1"/>
            <w:noWrap/>
            <w:vAlign w:val="bottom"/>
            <w:hideMark/>
          </w:tcPr>
          <w:p w14:paraId="49346CDB" w14:textId="77777777" w:rsidR="00A27C22" w:rsidRPr="001D0FE2" w:rsidRDefault="00A27C22" w:rsidP="00B81D69">
            <w:pPr>
              <w:jc w:val="lef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7B40F5B5" w14:textId="77777777" w:rsidR="00A27C22" w:rsidRPr="001D0FE2" w:rsidRDefault="00A27C22" w:rsidP="00B81D69">
            <w:pPr>
              <w:jc w:val="left"/>
              <w:rPr>
                <w:rFonts w:asciiTheme="minorHAnsi" w:hAnsiTheme="minorHAnsi" w:cstheme="minorHAnsi"/>
                <w:color w:val="0070C0"/>
                <w:sz w:val="20"/>
                <w:szCs w:val="20"/>
                <w:lang w:val="en-GB"/>
              </w:rPr>
            </w:pPr>
            <w:r w:rsidRPr="001D0FE2">
              <w:rPr>
                <w:rFonts w:asciiTheme="minorHAnsi" w:hAnsiTheme="minorHAnsi" w:cstheme="minorHAnsi"/>
                <w:color w:val="0070C0"/>
                <w:sz w:val="20"/>
                <w:szCs w:val="20"/>
                <w:lang w:val="en-GB"/>
              </w:rPr>
              <w:t> </w:t>
            </w:r>
          </w:p>
        </w:tc>
      </w:tr>
      <w:tr w:rsidR="00A27C22" w:rsidRPr="001D0FE2" w14:paraId="574D51C4" w14:textId="77777777" w:rsidTr="00B81D69">
        <w:trPr>
          <w:trHeight w:val="238"/>
        </w:trPr>
        <w:tc>
          <w:tcPr>
            <w:tcW w:w="634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70438B26"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Net cash flows generated from (used in) financing activities</w:t>
            </w:r>
          </w:p>
        </w:tc>
        <w:tc>
          <w:tcPr>
            <w:tcW w:w="1340" w:type="dxa"/>
            <w:tcBorders>
              <w:top w:val="single" w:sz="8" w:space="0" w:color="BFBFBF"/>
              <w:left w:val="nil"/>
              <w:bottom w:val="single" w:sz="8" w:space="0" w:color="BFBFBF"/>
              <w:right w:val="single" w:sz="8" w:space="0" w:color="BFBFBF"/>
            </w:tcBorders>
            <w:shd w:val="clear" w:color="000000" w:fill="DCE6F1"/>
            <w:noWrap/>
            <w:vAlign w:val="center"/>
            <w:hideMark/>
          </w:tcPr>
          <w:p w14:paraId="6A3E2730"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60.630 </w:t>
            </w:r>
          </w:p>
        </w:tc>
        <w:tc>
          <w:tcPr>
            <w:tcW w:w="1340" w:type="dxa"/>
            <w:tcBorders>
              <w:top w:val="single" w:sz="8" w:space="0" w:color="BFBFBF"/>
              <w:left w:val="nil"/>
              <w:bottom w:val="single" w:sz="8" w:space="0" w:color="BFBFBF"/>
              <w:right w:val="single" w:sz="8" w:space="0" w:color="BFBFBF"/>
            </w:tcBorders>
            <w:shd w:val="clear" w:color="auto" w:fill="auto"/>
            <w:noWrap/>
            <w:vAlign w:val="center"/>
            <w:hideMark/>
          </w:tcPr>
          <w:p w14:paraId="6D725C56"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(42.020)</w:t>
            </w:r>
          </w:p>
        </w:tc>
      </w:tr>
      <w:tr w:rsidR="00A27C22" w:rsidRPr="001D0FE2" w14:paraId="2CBBBD9D"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4C46B63A"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 </w:t>
            </w:r>
          </w:p>
        </w:tc>
        <w:tc>
          <w:tcPr>
            <w:tcW w:w="1340" w:type="dxa"/>
            <w:tcBorders>
              <w:top w:val="nil"/>
              <w:left w:val="nil"/>
              <w:bottom w:val="nil"/>
              <w:right w:val="single" w:sz="8" w:space="0" w:color="BFBFBF"/>
            </w:tcBorders>
            <w:shd w:val="clear" w:color="000000" w:fill="DCE6F1"/>
            <w:noWrap/>
            <w:vAlign w:val="bottom"/>
            <w:hideMark/>
          </w:tcPr>
          <w:p w14:paraId="4FC9A9B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068162E6"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06B318B4"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39660262" w14:textId="77777777" w:rsidR="00A27C22" w:rsidRPr="001D0FE2" w:rsidRDefault="00A27C22" w:rsidP="00B81D69">
            <w:pPr>
              <w:jc w:val="left"/>
              <w:rPr>
                <w:rFonts w:asciiTheme="minorHAnsi" w:hAnsiTheme="minorHAnsi" w:cstheme="minorHAnsi"/>
                <w:b/>
                <w:bCs/>
                <w:color w:val="59595B"/>
                <w:sz w:val="20"/>
                <w:szCs w:val="20"/>
                <w:lang w:val="en-GB"/>
              </w:rPr>
            </w:pPr>
            <w:r w:rsidRPr="001D0FE2">
              <w:rPr>
                <w:rFonts w:asciiTheme="minorHAnsi" w:hAnsiTheme="minorHAnsi" w:cstheme="minorHAnsi"/>
                <w:b/>
                <w:bCs/>
                <w:color w:val="59595B"/>
                <w:sz w:val="20"/>
                <w:szCs w:val="20"/>
                <w:lang w:val="en-GB"/>
              </w:rPr>
              <w:t>Increase (decrease) of cash</w:t>
            </w:r>
          </w:p>
        </w:tc>
        <w:tc>
          <w:tcPr>
            <w:tcW w:w="1340" w:type="dxa"/>
            <w:tcBorders>
              <w:top w:val="nil"/>
              <w:left w:val="nil"/>
              <w:bottom w:val="nil"/>
              <w:right w:val="single" w:sz="8" w:space="0" w:color="BFBFBF"/>
            </w:tcBorders>
            <w:shd w:val="clear" w:color="000000" w:fill="DCE6F1"/>
            <w:noWrap/>
            <w:vAlign w:val="bottom"/>
            <w:hideMark/>
          </w:tcPr>
          <w:p w14:paraId="197634FB"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94.803 </w:t>
            </w:r>
          </w:p>
        </w:tc>
        <w:tc>
          <w:tcPr>
            <w:tcW w:w="1340" w:type="dxa"/>
            <w:tcBorders>
              <w:top w:val="nil"/>
              <w:left w:val="nil"/>
              <w:bottom w:val="nil"/>
              <w:right w:val="single" w:sz="8" w:space="0" w:color="BFBFBF"/>
            </w:tcBorders>
            <w:shd w:val="clear" w:color="auto" w:fill="auto"/>
            <w:noWrap/>
            <w:vAlign w:val="bottom"/>
            <w:hideMark/>
          </w:tcPr>
          <w:p w14:paraId="66DB50AE" w14:textId="77777777" w:rsidR="00A27C22" w:rsidRPr="001D0FE2" w:rsidRDefault="00A27C22" w:rsidP="00B81D69">
            <w:pPr>
              <w:jc w:val="left"/>
              <w:rPr>
                <w:rFonts w:asciiTheme="minorHAnsi" w:hAnsiTheme="minorHAnsi" w:cstheme="minorHAnsi"/>
                <w:b/>
                <w:bCs/>
                <w:color w:val="808080"/>
                <w:sz w:val="20"/>
                <w:szCs w:val="20"/>
                <w:lang w:val="en-GB"/>
              </w:rPr>
            </w:pPr>
            <w:r w:rsidRPr="001D0FE2">
              <w:rPr>
                <w:rFonts w:asciiTheme="minorHAnsi" w:hAnsiTheme="minorHAnsi" w:cstheme="minorHAnsi"/>
                <w:b/>
                <w:bCs/>
                <w:color w:val="808080"/>
                <w:sz w:val="20"/>
                <w:szCs w:val="20"/>
                <w:lang w:val="en-GB"/>
              </w:rPr>
              <w:t xml:space="preserve">         (19.051)</w:t>
            </w:r>
          </w:p>
        </w:tc>
      </w:tr>
      <w:tr w:rsidR="00A27C22" w:rsidRPr="001D0FE2" w14:paraId="0A3B9079"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1FC75DAD"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Exchange rate effects</w:t>
            </w:r>
          </w:p>
        </w:tc>
        <w:tc>
          <w:tcPr>
            <w:tcW w:w="1340" w:type="dxa"/>
            <w:tcBorders>
              <w:top w:val="nil"/>
              <w:left w:val="nil"/>
              <w:bottom w:val="nil"/>
              <w:right w:val="single" w:sz="8" w:space="0" w:color="BFBFBF"/>
            </w:tcBorders>
            <w:shd w:val="clear" w:color="000000" w:fill="DCE6F1"/>
            <w:noWrap/>
            <w:vAlign w:val="bottom"/>
            <w:hideMark/>
          </w:tcPr>
          <w:p w14:paraId="3E6176BC"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2.061 </w:t>
            </w:r>
          </w:p>
        </w:tc>
        <w:tc>
          <w:tcPr>
            <w:tcW w:w="1340" w:type="dxa"/>
            <w:tcBorders>
              <w:top w:val="nil"/>
              <w:left w:val="nil"/>
              <w:bottom w:val="nil"/>
              <w:right w:val="single" w:sz="8" w:space="0" w:color="BFBFBF"/>
            </w:tcBorders>
            <w:shd w:val="clear" w:color="auto" w:fill="auto"/>
            <w:noWrap/>
            <w:vAlign w:val="bottom"/>
            <w:hideMark/>
          </w:tcPr>
          <w:p w14:paraId="3C14EFAD"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123 </w:t>
            </w:r>
          </w:p>
        </w:tc>
      </w:tr>
      <w:tr w:rsidR="00A27C22" w:rsidRPr="001D0FE2" w14:paraId="548B1D13"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2A223685"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Cash and cash equivalents at 1 January</w:t>
            </w:r>
          </w:p>
        </w:tc>
        <w:tc>
          <w:tcPr>
            <w:tcW w:w="1340" w:type="dxa"/>
            <w:tcBorders>
              <w:top w:val="nil"/>
              <w:left w:val="nil"/>
              <w:bottom w:val="nil"/>
              <w:right w:val="single" w:sz="8" w:space="0" w:color="BFBFBF"/>
            </w:tcBorders>
            <w:shd w:val="clear" w:color="000000" w:fill="DCE6F1"/>
            <w:noWrap/>
            <w:vAlign w:val="bottom"/>
            <w:hideMark/>
          </w:tcPr>
          <w:p w14:paraId="7D924782"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76.891 </w:t>
            </w:r>
          </w:p>
        </w:tc>
        <w:tc>
          <w:tcPr>
            <w:tcW w:w="1340" w:type="dxa"/>
            <w:tcBorders>
              <w:top w:val="nil"/>
              <w:left w:val="nil"/>
              <w:bottom w:val="nil"/>
              <w:right w:val="single" w:sz="8" w:space="0" w:color="BFBFBF"/>
            </w:tcBorders>
            <w:shd w:val="clear" w:color="auto" w:fill="auto"/>
            <w:noWrap/>
            <w:vAlign w:val="bottom"/>
            <w:hideMark/>
          </w:tcPr>
          <w:p w14:paraId="6FCE3318"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xml:space="preserve">            93.245 </w:t>
            </w:r>
          </w:p>
        </w:tc>
      </w:tr>
      <w:tr w:rsidR="00A27C22" w:rsidRPr="001D0FE2" w14:paraId="3AADAAA0" w14:textId="77777777" w:rsidTr="00B81D69">
        <w:trPr>
          <w:trHeight w:val="238"/>
        </w:trPr>
        <w:tc>
          <w:tcPr>
            <w:tcW w:w="6340" w:type="dxa"/>
            <w:tcBorders>
              <w:top w:val="nil"/>
              <w:left w:val="single" w:sz="8" w:space="0" w:color="BFBFBF"/>
              <w:bottom w:val="nil"/>
              <w:right w:val="single" w:sz="8" w:space="0" w:color="BFBFBF"/>
            </w:tcBorders>
            <w:shd w:val="clear" w:color="auto" w:fill="auto"/>
            <w:vAlign w:val="bottom"/>
            <w:hideMark/>
          </w:tcPr>
          <w:p w14:paraId="77E73764" w14:textId="77777777" w:rsidR="00A27C22" w:rsidRPr="001D0FE2" w:rsidRDefault="00A27C22" w:rsidP="00B81D69">
            <w:pPr>
              <w:jc w:val="left"/>
              <w:rPr>
                <w:rFonts w:asciiTheme="minorHAnsi" w:hAnsiTheme="minorHAnsi" w:cstheme="minorHAnsi"/>
                <w:color w:val="59595B"/>
                <w:sz w:val="20"/>
                <w:szCs w:val="20"/>
                <w:lang w:val="en-GB"/>
              </w:rPr>
            </w:pPr>
            <w:r w:rsidRPr="001D0FE2">
              <w:rPr>
                <w:rFonts w:asciiTheme="minorHAnsi" w:hAnsiTheme="minorHAnsi" w:cstheme="minorHAnsi"/>
                <w:color w:val="59595B"/>
                <w:sz w:val="20"/>
                <w:szCs w:val="20"/>
                <w:lang w:val="en-GB"/>
              </w:rPr>
              <w:t> </w:t>
            </w:r>
          </w:p>
        </w:tc>
        <w:tc>
          <w:tcPr>
            <w:tcW w:w="1340" w:type="dxa"/>
            <w:tcBorders>
              <w:top w:val="nil"/>
              <w:left w:val="nil"/>
              <w:bottom w:val="nil"/>
              <w:right w:val="single" w:sz="8" w:space="0" w:color="BFBFBF"/>
            </w:tcBorders>
            <w:shd w:val="clear" w:color="000000" w:fill="DCE6F1"/>
            <w:noWrap/>
            <w:vAlign w:val="bottom"/>
            <w:hideMark/>
          </w:tcPr>
          <w:p w14:paraId="7C450131"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c>
          <w:tcPr>
            <w:tcW w:w="1340" w:type="dxa"/>
            <w:tcBorders>
              <w:top w:val="nil"/>
              <w:left w:val="nil"/>
              <w:bottom w:val="nil"/>
              <w:right w:val="single" w:sz="8" w:space="0" w:color="BFBFBF"/>
            </w:tcBorders>
            <w:shd w:val="clear" w:color="auto" w:fill="auto"/>
            <w:noWrap/>
            <w:vAlign w:val="bottom"/>
            <w:hideMark/>
          </w:tcPr>
          <w:p w14:paraId="7E4BBD64" w14:textId="77777777" w:rsidR="00A27C22" w:rsidRPr="001D0FE2" w:rsidRDefault="00A27C22" w:rsidP="00B81D69">
            <w:pPr>
              <w:jc w:val="left"/>
              <w:rPr>
                <w:rFonts w:asciiTheme="minorHAnsi" w:hAnsiTheme="minorHAnsi" w:cstheme="minorHAnsi"/>
                <w:color w:val="808080"/>
                <w:sz w:val="20"/>
                <w:szCs w:val="20"/>
                <w:lang w:val="en-GB"/>
              </w:rPr>
            </w:pPr>
            <w:r w:rsidRPr="001D0FE2">
              <w:rPr>
                <w:rFonts w:asciiTheme="minorHAnsi" w:hAnsiTheme="minorHAnsi" w:cstheme="minorHAnsi"/>
                <w:color w:val="808080"/>
                <w:sz w:val="20"/>
                <w:szCs w:val="20"/>
                <w:lang w:val="en-GB"/>
              </w:rPr>
              <w:t> </w:t>
            </w:r>
          </w:p>
        </w:tc>
      </w:tr>
      <w:tr w:rsidR="00A27C22" w:rsidRPr="001D0FE2" w14:paraId="60B7B006" w14:textId="77777777" w:rsidTr="00B81D69">
        <w:trPr>
          <w:trHeight w:val="238"/>
        </w:trPr>
        <w:tc>
          <w:tcPr>
            <w:tcW w:w="634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33779B5C"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Total cash and cash equivalents at 30 June</w:t>
            </w:r>
          </w:p>
        </w:tc>
        <w:tc>
          <w:tcPr>
            <w:tcW w:w="1340" w:type="dxa"/>
            <w:tcBorders>
              <w:top w:val="single" w:sz="8" w:space="0" w:color="BFBFBF"/>
              <w:left w:val="nil"/>
              <w:bottom w:val="single" w:sz="8" w:space="0" w:color="BFBFBF"/>
              <w:right w:val="single" w:sz="8" w:space="0" w:color="BFBFBF"/>
            </w:tcBorders>
            <w:shd w:val="clear" w:color="000000" w:fill="DCE6F1"/>
            <w:noWrap/>
            <w:vAlign w:val="center"/>
            <w:hideMark/>
          </w:tcPr>
          <w:p w14:paraId="0E8FED18"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173.755 </w:t>
            </w:r>
          </w:p>
        </w:tc>
        <w:tc>
          <w:tcPr>
            <w:tcW w:w="1340" w:type="dxa"/>
            <w:tcBorders>
              <w:top w:val="single" w:sz="8" w:space="0" w:color="BFBFBF"/>
              <w:left w:val="nil"/>
              <w:bottom w:val="single" w:sz="8" w:space="0" w:color="BFBFBF"/>
              <w:right w:val="single" w:sz="8" w:space="0" w:color="BFBFBF"/>
            </w:tcBorders>
            <w:shd w:val="clear" w:color="auto" w:fill="auto"/>
            <w:noWrap/>
            <w:vAlign w:val="center"/>
            <w:hideMark/>
          </w:tcPr>
          <w:p w14:paraId="42876EEF" w14:textId="77777777" w:rsidR="00A27C22" w:rsidRPr="001D0FE2" w:rsidRDefault="00A27C22" w:rsidP="00B81D69">
            <w:pPr>
              <w:jc w:val="left"/>
              <w:rPr>
                <w:rFonts w:asciiTheme="minorHAnsi" w:hAnsiTheme="minorHAnsi" w:cstheme="minorHAnsi"/>
                <w:b/>
                <w:bCs/>
                <w:color w:val="366092"/>
                <w:sz w:val="20"/>
                <w:szCs w:val="20"/>
                <w:lang w:val="en-GB"/>
              </w:rPr>
            </w:pPr>
            <w:r w:rsidRPr="001D0FE2">
              <w:rPr>
                <w:rFonts w:asciiTheme="minorHAnsi" w:hAnsiTheme="minorHAnsi" w:cstheme="minorHAnsi"/>
                <w:b/>
                <w:bCs/>
                <w:color w:val="366092"/>
                <w:sz w:val="20"/>
                <w:szCs w:val="20"/>
                <w:lang w:val="en-GB"/>
              </w:rPr>
              <w:t xml:space="preserve">            74.317 </w:t>
            </w:r>
          </w:p>
        </w:tc>
      </w:tr>
    </w:tbl>
    <w:p w14:paraId="56D7FFEF" w14:textId="5FB5B126" w:rsidR="00A27C22" w:rsidRPr="001D0FE2" w:rsidRDefault="00A27C22" w:rsidP="00A27C22">
      <w:pPr>
        <w:jc w:val="left"/>
        <w:rPr>
          <w:rFonts w:asciiTheme="minorHAnsi" w:hAnsiTheme="minorHAnsi" w:cstheme="minorHAnsi"/>
          <w:lang w:val="en-GB"/>
        </w:rPr>
      </w:pPr>
    </w:p>
    <w:p w14:paraId="5859ECCC" w14:textId="3351B3D0" w:rsidR="00173597" w:rsidRPr="001D0FE2" w:rsidRDefault="00173597" w:rsidP="00173597">
      <w:pPr>
        <w:jc w:val="center"/>
        <w:rPr>
          <w:rFonts w:asciiTheme="minorHAnsi" w:hAnsiTheme="minorHAnsi" w:cstheme="minorHAnsi"/>
          <w:color w:val="59595B"/>
          <w:sz w:val="22"/>
          <w:szCs w:val="22"/>
          <w:lang w:val="en-GB"/>
        </w:rPr>
      </w:pPr>
      <w:r w:rsidRPr="001D0FE2">
        <w:rPr>
          <w:rFonts w:asciiTheme="minorHAnsi" w:hAnsiTheme="minorHAnsi" w:cstheme="minorHAnsi"/>
          <w:color w:val="59595B"/>
          <w:sz w:val="22"/>
          <w:szCs w:val="22"/>
          <w:lang w:val="en-GB"/>
        </w:rPr>
        <w:t>--Ends--</w:t>
      </w:r>
    </w:p>
    <w:p w14:paraId="0DB31550" w14:textId="5E4FF0E5" w:rsidR="004154CE" w:rsidRPr="001D0FE2" w:rsidRDefault="004154CE">
      <w:pPr>
        <w:jc w:val="left"/>
        <w:rPr>
          <w:rFonts w:asciiTheme="minorHAnsi" w:hAnsiTheme="minorHAnsi" w:cstheme="minorHAnsi"/>
          <w:b/>
          <w:bCs/>
          <w:color w:val="FF0000"/>
          <w:szCs w:val="22"/>
          <w:lang w:val="en-GB"/>
        </w:rPr>
      </w:pPr>
    </w:p>
    <w:sectPr w:rsidR="004154CE" w:rsidRPr="001D0FE2" w:rsidSect="001B1CF3">
      <w:headerReference w:type="even" r:id="rId14"/>
      <w:headerReference w:type="default" r:id="rId15"/>
      <w:footerReference w:type="even" r:id="rId16"/>
      <w:footerReference w:type="default" r:id="rId17"/>
      <w:headerReference w:type="first" r:id="rId18"/>
      <w:footerReference w:type="first" r:id="rId19"/>
      <w:pgSz w:w="11907" w:h="16840" w:code="9"/>
      <w:pgMar w:top="1276"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76C2F" w14:textId="77777777" w:rsidR="00A67679" w:rsidRDefault="00A67679">
      <w:r>
        <w:separator/>
      </w:r>
    </w:p>
  </w:endnote>
  <w:endnote w:type="continuationSeparator" w:id="0">
    <w:p w14:paraId="617C8188" w14:textId="77777777" w:rsidR="00A67679" w:rsidRDefault="00A67679">
      <w:r>
        <w:continuationSeparator/>
      </w:r>
    </w:p>
  </w:endnote>
  <w:endnote w:type="continuationNotice" w:id="1">
    <w:p w14:paraId="1B086DA1" w14:textId="77777777" w:rsidR="00A67679" w:rsidRDefault="00A67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5635" w14:textId="77777777" w:rsidR="00320026" w:rsidRDefault="00320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06945"/>
      <w:docPartObj>
        <w:docPartGallery w:val="Page Numbers (Bottom of Page)"/>
        <w:docPartUnique/>
      </w:docPartObj>
    </w:sdtPr>
    <w:sdtEndPr>
      <w:rPr>
        <w:rFonts w:asciiTheme="minorHAnsi" w:hAnsiTheme="minorHAnsi"/>
        <w:noProof/>
        <w:color w:val="59595B"/>
        <w:sz w:val="20"/>
      </w:rPr>
    </w:sdtEndPr>
    <w:sdtContent>
      <w:p w14:paraId="5B5B471A" w14:textId="6C71AA59" w:rsidR="00320026" w:rsidRPr="008C2FCA" w:rsidRDefault="00320026">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Pr>
            <w:rFonts w:asciiTheme="minorHAnsi" w:hAnsiTheme="minorHAnsi"/>
            <w:noProof/>
            <w:color w:val="59595B"/>
            <w:sz w:val="20"/>
          </w:rPr>
          <w:t>1</w:t>
        </w:r>
        <w:r w:rsidRPr="008C2FCA">
          <w:rPr>
            <w:rFonts w:asciiTheme="minorHAnsi" w:hAnsiTheme="minorHAnsi"/>
            <w:noProof/>
            <w:color w:val="59595B"/>
            <w:sz w:val="20"/>
          </w:rPr>
          <w:fldChar w:fldCharType="end"/>
        </w:r>
      </w:p>
    </w:sdtContent>
  </w:sdt>
  <w:p w14:paraId="57C3A69B" w14:textId="77777777" w:rsidR="00320026" w:rsidRDefault="00320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8B64" w14:textId="77777777" w:rsidR="00320026" w:rsidRDefault="00320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941D4" w14:textId="77777777" w:rsidR="00A67679" w:rsidRDefault="00A67679">
      <w:r>
        <w:separator/>
      </w:r>
    </w:p>
  </w:footnote>
  <w:footnote w:type="continuationSeparator" w:id="0">
    <w:p w14:paraId="39186D81" w14:textId="77777777" w:rsidR="00A67679" w:rsidRDefault="00A67679">
      <w:r>
        <w:continuationSeparator/>
      </w:r>
    </w:p>
  </w:footnote>
  <w:footnote w:type="continuationNotice" w:id="1">
    <w:p w14:paraId="69567876" w14:textId="77777777" w:rsidR="00A67679" w:rsidRDefault="00A67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7AA9" w14:textId="77777777" w:rsidR="00320026" w:rsidRDefault="00320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0496" w14:textId="6016FEEE" w:rsidR="00320026" w:rsidRPr="00022C90" w:rsidRDefault="00320026" w:rsidP="00022C90">
    <w:pPr>
      <w:pStyle w:val="NormalWeb"/>
      <w:spacing w:afterLines="120" w:after="288"/>
      <w:ind w:right="2506"/>
      <w:rPr>
        <w:rFonts w:asciiTheme="minorHAnsi" w:hAnsiTheme="minorHAnsi" w:cstheme="minorHAnsi"/>
        <w:b/>
        <w:color w:val="FF0000"/>
        <w:sz w:val="28"/>
        <w:szCs w:val="32"/>
        <w:lang w:val="en-GB"/>
      </w:rPr>
    </w:pPr>
    <w:r w:rsidRPr="00CB6F0A">
      <w:rPr>
        <w:rFonts w:asciiTheme="minorHAnsi" w:hAnsiTheme="minorHAnsi" w:cstheme="minorHAnsi"/>
        <w:noProof/>
        <w:lang w:val="en-US" w:eastAsia="ko-KR"/>
      </w:rPr>
      <w:drawing>
        <wp:anchor distT="0" distB="0" distL="114300" distR="114300" simplePos="0" relativeHeight="251657216" behindDoc="1" locked="0" layoutInCell="1" allowOverlap="1" wp14:anchorId="02B994C8" wp14:editId="248D6139">
          <wp:simplePos x="0" y="0"/>
          <wp:positionH relativeFrom="margin">
            <wp:align>right</wp:align>
          </wp:positionH>
          <wp:positionV relativeFrom="paragraph">
            <wp:posOffset>8890</wp:posOffset>
          </wp:positionV>
          <wp:extent cx="1477645" cy="371475"/>
          <wp:effectExtent l="0" t="0" r="8255" b="9525"/>
          <wp:wrapTight wrapText="bothSides">
            <wp:wrapPolygon edited="0">
              <wp:start x="0" y="0"/>
              <wp:lineTo x="0" y="21046"/>
              <wp:lineTo x="21442" y="21046"/>
              <wp:lineTo x="2144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BDE8" w14:textId="77777777" w:rsidR="00320026" w:rsidRDefault="00320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B7"/>
    <w:multiLevelType w:val="hybridMultilevel"/>
    <w:tmpl w:val="EFCAC7E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40D44"/>
    <w:multiLevelType w:val="hybridMultilevel"/>
    <w:tmpl w:val="52C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D3902"/>
    <w:multiLevelType w:val="hybridMultilevel"/>
    <w:tmpl w:val="16700B7C"/>
    <w:lvl w:ilvl="0" w:tplc="DAD0140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C39D8"/>
    <w:multiLevelType w:val="hybridMultilevel"/>
    <w:tmpl w:val="EEF261DC"/>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D2FFE"/>
    <w:multiLevelType w:val="multilevel"/>
    <w:tmpl w:val="AF5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A6313"/>
    <w:multiLevelType w:val="hybridMultilevel"/>
    <w:tmpl w:val="CAE8E008"/>
    <w:lvl w:ilvl="0" w:tplc="0B6A4EAE">
      <w:start w:val="31"/>
      <w:numFmt w:val="bullet"/>
      <w:lvlText w:val="-"/>
      <w:lvlJc w:val="left"/>
      <w:pPr>
        <w:ind w:left="720" w:hanging="360"/>
      </w:pPr>
      <w:rPr>
        <w:rFonts w:ascii="Calibri Light" w:eastAsia="SimSun" w:hAnsi="Calibri Light" w:cs="Calibri Light" w:hint="default"/>
        <w:b w:val="0"/>
        <w:color w:val="59595B"/>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D9B3667"/>
    <w:multiLevelType w:val="hybridMultilevel"/>
    <w:tmpl w:val="A01CE0CC"/>
    <w:lvl w:ilvl="0" w:tplc="073E51A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92393"/>
    <w:multiLevelType w:val="hybridMultilevel"/>
    <w:tmpl w:val="59FEE0E6"/>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303FD5"/>
    <w:multiLevelType w:val="hybridMultilevel"/>
    <w:tmpl w:val="26841F58"/>
    <w:lvl w:ilvl="0" w:tplc="0192A3CA">
      <w:numFmt w:val="bullet"/>
      <w:lvlText w:val="•"/>
      <w:lvlJc w:val="left"/>
      <w:pPr>
        <w:ind w:left="720" w:hanging="360"/>
      </w:pPr>
      <w:rPr>
        <w:rFonts w:ascii="Cambria" w:hAnsi="Cambria"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516DB"/>
    <w:multiLevelType w:val="hybridMultilevel"/>
    <w:tmpl w:val="1DE66A1C"/>
    <w:lvl w:ilvl="0" w:tplc="8B1AC8DC">
      <w:start w:val="30"/>
      <w:numFmt w:val="bullet"/>
      <w:lvlText w:val=""/>
      <w:lvlJc w:val="left"/>
      <w:pPr>
        <w:ind w:left="720" w:hanging="360"/>
      </w:pPr>
      <w:rPr>
        <w:rFonts w:ascii="Symbol" w:eastAsia="Times New Roma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AA14E71"/>
    <w:multiLevelType w:val="hybridMultilevel"/>
    <w:tmpl w:val="A85A0742"/>
    <w:lvl w:ilvl="0" w:tplc="CBE0EA1E">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02D7C"/>
    <w:multiLevelType w:val="hybridMultilevel"/>
    <w:tmpl w:val="2F88DE4A"/>
    <w:lvl w:ilvl="0" w:tplc="7F0ECAF2">
      <w:start w:val="1"/>
      <w:numFmt w:val="bullet"/>
      <w:lvlText w:val=""/>
      <w:lvlJc w:val="left"/>
      <w:pPr>
        <w:ind w:left="25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A2060"/>
    <w:multiLevelType w:val="multilevel"/>
    <w:tmpl w:val="7770A1EE"/>
    <w:lvl w:ilvl="0">
      <w:start w:val="880"/>
      <w:numFmt w:val="decimal"/>
      <w:lvlText w:val="%1"/>
      <w:lvlJc w:val="left"/>
      <w:pPr>
        <w:ind w:left="1020" w:hanging="1020"/>
      </w:pPr>
      <w:rPr>
        <w:rFonts w:hint="default"/>
      </w:rPr>
    </w:lvl>
    <w:lvl w:ilvl="1">
      <w:numFmt w:val="decimalZero"/>
      <w:lvlText w:val="%1.%2.0"/>
      <w:lvlJc w:val="left"/>
      <w:pPr>
        <w:ind w:left="1224" w:hanging="1020"/>
      </w:pPr>
      <w:rPr>
        <w:rFonts w:hint="default"/>
      </w:rPr>
    </w:lvl>
    <w:lvl w:ilvl="2">
      <w:start w:val="1"/>
      <w:numFmt w:val="decimalZero"/>
      <w:lvlText w:val="%1.%2.%3"/>
      <w:lvlJc w:val="left"/>
      <w:pPr>
        <w:ind w:left="1428" w:hanging="1020"/>
      </w:pPr>
      <w:rPr>
        <w:rFonts w:hint="default"/>
      </w:rPr>
    </w:lvl>
    <w:lvl w:ilvl="3">
      <w:start w:val="1"/>
      <w:numFmt w:val="decimal"/>
      <w:lvlText w:val="%1.%2.%3.%4"/>
      <w:lvlJc w:val="left"/>
      <w:pPr>
        <w:ind w:left="1632" w:hanging="1020"/>
      </w:pPr>
      <w:rPr>
        <w:rFonts w:hint="default"/>
      </w:rPr>
    </w:lvl>
    <w:lvl w:ilvl="4">
      <w:start w:val="1"/>
      <w:numFmt w:val="decimal"/>
      <w:lvlText w:val="%1.%2.%3.%4.%5"/>
      <w:lvlJc w:val="left"/>
      <w:pPr>
        <w:ind w:left="1896" w:hanging="1080"/>
      </w:pPr>
      <w:rPr>
        <w:rFonts w:hint="default"/>
      </w:rPr>
    </w:lvl>
    <w:lvl w:ilvl="5">
      <w:start w:val="1"/>
      <w:numFmt w:val="decimal"/>
      <w:lvlText w:val="%1.%2.%3.%4.%5.%6"/>
      <w:lvlJc w:val="left"/>
      <w:pPr>
        <w:ind w:left="2100" w:hanging="1080"/>
      </w:pPr>
      <w:rPr>
        <w:rFonts w:hint="default"/>
      </w:rPr>
    </w:lvl>
    <w:lvl w:ilvl="6">
      <w:start w:val="1"/>
      <w:numFmt w:val="decimal"/>
      <w:lvlText w:val="%1.%2.%3.%4.%5.%6.%7"/>
      <w:lvlJc w:val="left"/>
      <w:pPr>
        <w:ind w:left="2664" w:hanging="1440"/>
      </w:pPr>
      <w:rPr>
        <w:rFonts w:hint="default"/>
      </w:rPr>
    </w:lvl>
    <w:lvl w:ilvl="7">
      <w:start w:val="1"/>
      <w:numFmt w:val="decimal"/>
      <w:lvlText w:val="%1.%2.%3.%4.%5.%6.%7.%8"/>
      <w:lvlJc w:val="left"/>
      <w:pPr>
        <w:ind w:left="2868" w:hanging="1440"/>
      </w:pPr>
      <w:rPr>
        <w:rFonts w:hint="default"/>
      </w:rPr>
    </w:lvl>
    <w:lvl w:ilvl="8">
      <w:start w:val="1"/>
      <w:numFmt w:val="decimal"/>
      <w:lvlText w:val="%1.%2.%3.%4.%5.%6.%7.%8.%9"/>
      <w:lvlJc w:val="left"/>
      <w:pPr>
        <w:ind w:left="3432" w:hanging="1800"/>
      </w:pPr>
      <w:rPr>
        <w:rFonts w:hint="default"/>
      </w:rPr>
    </w:lvl>
  </w:abstractNum>
  <w:abstractNum w:abstractNumId="13" w15:restartNumberingAfterBreak="0">
    <w:nsid w:val="2FBB5F52"/>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A135D"/>
    <w:multiLevelType w:val="hybridMultilevel"/>
    <w:tmpl w:val="ABE4D97E"/>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985E6B"/>
    <w:multiLevelType w:val="hybridMultilevel"/>
    <w:tmpl w:val="FDD6C794"/>
    <w:lvl w:ilvl="0" w:tplc="CBE0EA1E">
      <w:start w:val="1"/>
      <w:numFmt w:val="bullet"/>
      <w:lvlText w:val=""/>
      <w:lvlJc w:val="left"/>
      <w:pPr>
        <w:ind w:left="1260" w:hanging="360"/>
      </w:pPr>
      <w:rPr>
        <w:rFonts w:ascii="Symbol" w:hAnsi="Symbol" w:hint="default"/>
        <w:color w:val="00679B"/>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6" w15:restartNumberingAfterBreak="0">
    <w:nsid w:val="33394052"/>
    <w:multiLevelType w:val="hybridMultilevel"/>
    <w:tmpl w:val="A5182AFA"/>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7" w15:restartNumberingAfterBreak="0">
    <w:nsid w:val="3396307B"/>
    <w:multiLevelType w:val="hybridMultilevel"/>
    <w:tmpl w:val="45286F80"/>
    <w:lvl w:ilvl="0" w:tplc="497C67DA">
      <w:start w:val="1"/>
      <w:numFmt w:val="bullet"/>
      <w:lvlText w:val=""/>
      <w:lvlJc w:val="left"/>
      <w:pPr>
        <w:ind w:left="25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24301"/>
    <w:multiLevelType w:val="hybridMultilevel"/>
    <w:tmpl w:val="A52AE1DA"/>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B73AD7"/>
    <w:multiLevelType w:val="hybridMultilevel"/>
    <w:tmpl w:val="258A8512"/>
    <w:lvl w:ilvl="0" w:tplc="2000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14477"/>
    <w:multiLevelType w:val="hybridMultilevel"/>
    <w:tmpl w:val="B5504716"/>
    <w:lvl w:ilvl="0" w:tplc="317259DE">
      <w:start w:val="1"/>
      <w:numFmt w:val="bullet"/>
      <w:lvlText w:val="·"/>
      <w:lvlJc w:val="left"/>
      <w:pPr>
        <w:ind w:left="1260" w:hanging="360"/>
      </w:pPr>
      <w:rPr>
        <w:rFonts w:ascii="Symbol" w:hAnsi="Symbol" w:hint="default"/>
        <w:color w:val="00679B"/>
        <w:sz w:val="24"/>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21" w15:restartNumberingAfterBreak="0">
    <w:nsid w:val="432F1CC7"/>
    <w:multiLevelType w:val="hybridMultilevel"/>
    <w:tmpl w:val="6786F3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5B276E2"/>
    <w:multiLevelType w:val="hybridMultilevel"/>
    <w:tmpl w:val="1396DD38"/>
    <w:lvl w:ilvl="0" w:tplc="B4BC0EAA">
      <w:numFmt w:val="bullet"/>
      <w:lvlText w:val=""/>
      <w:lvlJc w:val="left"/>
      <w:pPr>
        <w:ind w:left="720" w:hanging="360"/>
      </w:pPr>
      <w:rPr>
        <w:rFonts w:ascii="Symbol" w:eastAsia="Times New Roma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E0E3D36"/>
    <w:multiLevelType w:val="hybridMultilevel"/>
    <w:tmpl w:val="CFE2C640"/>
    <w:lvl w:ilvl="0" w:tplc="C7D4C674">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56C164C9"/>
    <w:multiLevelType w:val="hybridMultilevel"/>
    <w:tmpl w:val="83F854CA"/>
    <w:lvl w:ilvl="0" w:tplc="317259DE">
      <w:start w:val="1"/>
      <w:numFmt w:val="bullet"/>
      <w:lvlText w:val="·"/>
      <w:lvlJc w:val="left"/>
      <w:pPr>
        <w:ind w:left="720" w:hanging="360"/>
      </w:pPr>
      <w:rPr>
        <w:rFonts w:ascii="Symbol" w:hAnsi="Symbol" w:hint="default"/>
        <w:color w:val="00679B"/>
        <w:sz w:val="24"/>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5174B"/>
    <w:multiLevelType w:val="hybridMultilevel"/>
    <w:tmpl w:val="FDA2D290"/>
    <w:lvl w:ilvl="0" w:tplc="C0226576">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9F5505B"/>
    <w:multiLevelType w:val="hybridMultilevel"/>
    <w:tmpl w:val="1760089C"/>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28" w15:restartNumberingAfterBreak="0">
    <w:nsid w:val="5B116853"/>
    <w:multiLevelType w:val="hybridMultilevel"/>
    <w:tmpl w:val="73945AE8"/>
    <w:lvl w:ilvl="0" w:tplc="5B042E80">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5D96046B"/>
    <w:multiLevelType w:val="hybridMultilevel"/>
    <w:tmpl w:val="08F86DA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D32717"/>
    <w:multiLevelType w:val="hybridMultilevel"/>
    <w:tmpl w:val="A47EDE40"/>
    <w:lvl w:ilvl="0" w:tplc="1E8A1E6E">
      <w:numFmt w:val="bullet"/>
      <w:lvlText w:val=""/>
      <w:lvlJc w:val="left"/>
      <w:pPr>
        <w:ind w:left="720" w:hanging="360"/>
      </w:pPr>
      <w:rPr>
        <w:rFonts w:ascii="Symbol" w:eastAsia="Times New Roma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30A31FE"/>
    <w:multiLevelType w:val="hybridMultilevel"/>
    <w:tmpl w:val="EEF261DC"/>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AC61AA"/>
    <w:multiLevelType w:val="hybridMultilevel"/>
    <w:tmpl w:val="847E3628"/>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7654CE5"/>
    <w:multiLevelType w:val="hybridMultilevel"/>
    <w:tmpl w:val="7F6CEA92"/>
    <w:lvl w:ilvl="0" w:tplc="0EE26268">
      <w:numFmt w:val="bullet"/>
      <w:lvlText w:val="•"/>
      <w:lvlJc w:val="left"/>
      <w:pPr>
        <w:ind w:left="720" w:hanging="360"/>
      </w:pPr>
      <w:rPr>
        <w:rFonts w:ascii="Cambria" w:hAnsi="Cambria" w:cs="Times New Roman"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A71E9"/>
    <w:multiLevelType w:val="hybridMultilevel"/>
    <w:tmpl w:val="A81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9705C"/>
    <w:multiLevelType w:val="hybridMultilevel"/>
    <w:tmpl w:val="0B66AAF6"/>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8933F6"/>
    <w:multiLevelType w:val="hybridMultilevel"/>
    <w:tmpl w:val="48241650"/>
    <w:lvl w:ilvl="0" w:tplc="BBF8A4CA">
      <w:start w:val="19"/>
      <w:numFmt w:val="bullet"/>
      <w:lvlText w:val="-"/>
      <w:lvlJc w:val="left"/>
      <w:pPr>
        <w:ind w:left="720" w:hanging="360"/>
      </w:pPr>
      <w:rPr>
        <w:rFonts w:ascii="Calibri Light" w:eastAsia="Times New Roman"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2DF1978"/>
    <w:multiLevelType w:val="hybridMultilevel"/>
    <w:tmpl w:val="A9A21874"/>
    <w:lvl w:ilvl="0" w:tplc="2EB8C194">
      <w:start w:val="1"/>
      <w:numFmt w:val="bullet"/>
      <w:lvlText w:val="‐"/>
      <w:lvlJc w:val="left"/>
      <w:pPr>
        <w:ind w:left="180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F1446"/>
    <w:multiLevelType w:val="hybridMultilevel"/>
    <w:tmpl w:val="F5AC8A76"/>
    <w:lvl w:ilvl="0" w:tplc="317259DE">
      <w:start w:val="1"/>
      <w:numFmt w:val="bullet"/>
      <w:lvlText w:val="·"/>
      <w:lvlJc w:val="left"/>
      <w:pPr>
        <w:ind w:left="1080" w:hanging="360"/>
      </w:pPr>
      <w:rPr>
        <w:rFonts w:ascii="Symbol" w:hAnsi="Symbol" w:hint="default"/>
        <w:color w:val="00679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924073"/>
    <w:multiLevelType w:val="hybridMultilevel"/>
    <w:tmpl w:val="693A3B2C"/>
    <w:lvl w:ilvl="0" w:tplc="CBE0EA1E">
      <w:start w:val="1"/>
      <w:numFmt w:val="bullet"/>
      <w:lvlText w:val=""/>
      <w:lvlJc w:val="left"/>
      <w:pPr>
        <w:ind w:left="1260" w:hanging="360"/>
      </w:pPr>
      <w:rPr>
        <w:rFonts w:ascii="Symbol" w:hAnsi="Symbol" w:hint="default"/>
        <w:color w:val="00679B"/>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41" w15:restartNumberingAfterBreak="0">
    <w:nsid w:val="7E526CA7"/>
    <w:multiLevelType w:val="hybridMultilevel"/>
    <w:tmpl w:val="3BE2DBC6"/>
    <w:lvl w:ilvl="0" w:tplc="2EB8C194">
      <w:start w:val="1"/>
      <w:numFmt w:val="bullet"/>
      <w:lvlText w:val="‐"/>
      <w:lvlJc w:val="left"/>
      <w:pPr>
        <w:ind w:left="1800" w:hanging="360"/>
      </w:pPr>
      <w:rPr>
        <w:rFonts w:ascii="Calibri Light" w:hAnsi="Calibri Light" w:hint="default"/>
      </w:rPr>
    </w:lvl>
    <w:lvl w:ilvl="1" w:tplc="AE0A3508">
      <w:start w:val="1"/>
      <w:numFmt w:val="bullet"/>
      <w:lvlText w:val="‐"/>
      <w:lvlJc w:val="left"/>
      <w:pPr>
        <w:ind w:left="1440" w:hanging="360"/>
      </w:pPr>
      <w:rPr>
        <w:rFonts w:ascii="Calibri Light" w:hAnsi="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31"/>
  </w:num>
  <w:num w:numId="4">
    <w:abstractNumId w:val="16"/>
  </w:num>
  <w:num w:numId="5">
    <w:abstractNumId w:val="24"/>
  </w:num>
  <w:num w:numId="6">
    <w:abstractNumId w:val="37"/>
  </w:num>
  <w:num w:numId="7">
    <w:abstractNumId w:val="14"/>
  </w:num>
  <w:num w:numId="8">
    <w:abstractNumId w:val="5"/>
  </w:num>
  <w:num w:numId="9">
    <w:abstractNumId w:val="20"/>
  </w:num>
  <w:num w:numId="10">
    <w:abstractNumId w:val="1"/>
  </w:num>
  <w:num w:numId="11">
    <w:abstractNumId w:val="25"/>
  </w:num>
  <w:num w:numId="12">
    <w:abstractNumId w:val="35"/>
  </w:num>
  <w:num w:numId="13">
    <w:abstractNumId w:val="13"/>
  </w:num>
  <w:num w:numId="14">
    <w:abstractNumId w:val="29"/>
  </w:num>
  <w:num w:numId="15">
    <w:abstractNumId w:val="10"/>
  </w:num>
  <w:num w:numId="16">
    <w:abstractNumId w:val="2"/>
  </w:num>
  <w:num w:numId="17">
    <w:abstractNumId w:val="0"/>
  </w:num>
  <w:num w:numId="18">
    <w:abstractNumId w:val="4"/>
  </w:num>
  <w:num w:numId="19">
    <w:abstractNumId w:val="8"/>
  </w:num>
  <w:num w:numId="20">
    <w:abstractNumId w:val="34"/>
  </w:num>
  <w:num w:numId="21">
    <w:abstractNumId w:val="28"/>
  </w:num>
  <w:num w:numId="22">
    <w:abstractNumId w:val="23"/>
  </w:num>
  <w:num w:numId="23">
    <w:abstractNumId w:val="26"/>
  </w:num>
  <w:num w:numId="24">
    <w:abstractNumId w:val="17"/>
  </w:num>
  <w:num w:numId="25">
    <w:abstractNumId w:val="38"/>
  </w:num>
  <w:num w:numId="26">
    <w:abstractNumId w:val="41"/>
  </w:num>
  <w:num w:numId="27">
    <w:abstractNumId w:val="11"/>
  </w:num>
  <w:num w:numId="28">
    <w:abstractNumId w:val="30"/>
  </w:num>
  <w:num w:numId="29">
    <w:abstractNumId w:val="22"/>
  </w:num>
  <w:num w:numId="30">
    <w:abstractNumId w:val="9"/>
  </w:num>
  <w:num w:numId="31">
    <w:abstractNumId w:val="3"/>
  </w:num>
  <w:num w:numId="32">
    <w:abstractNumId w:val="32"/>
  </w:num>
  <w:num w:numId="33">
    <w:abstractNumId w:val="19"/>
  </w:num>
  <w:num w:numId="34">
    <w:abstractNumId w:val="27"/>
  </w:num>
  <w:num w:numId="35">
    <w:abstractNumId w:val="36"/>
  </w:num>
  <w:num w:numId="36">
    <w:abstractNumId w:val="6"/>
  </w:num>
  <w:num w:numId="37">
    <w:abstractNumId w:val="21"/>
  </w:num>
  <w:num w:numId="38">
    <w:abstractNumId w:val="18"/>
  </w:num>
  <w:num w:numId="39">
    <w:abstractNumId w:val="7"/>
  </w:num>
  <w:num w:numId="40">
    <w:abstractNumId w:val="15"/>
  </w:num>
  <w:num w:numId="41">
    <w:abstractNumId w:val="40"/>
  </w:num>
  <w:num w:numId="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7E"/>
    <w:rsid w:val="00000324"/>
    <w:rsid w:val="00000B54"/>
    <w:rsid w:val="00000EF0"/>
    <w:rsid w:val="00001727"/>
    <w:rsid w:val="0000198D"/>
    <w:rsid w:val="000020C1"/>
    <w:rsid w:val="0000288E"/>
    <w:rsid w:val="0000411D"/>
    <w:rsid w:val="00004FA4"/>
    <w:rsid w:val="0000518D"/>
    <w:rsid w:val="00005415"/>
    <w:rsid w:val="000061B6"/>
    <w:rsid w:val="000100F3"/>
    <w:rsid w:val="00010434"/>
    <w:rsid w:val="00010664"/>
    <w:rsid w:val="00010CAD"/>
    <w:rsid w:val="000114E3"/>
    <w:rsid w:val="00011B5D"/>
    <w:rsid w:val="00014197"/>
    <w:rsid w:val="00014D70"/>
    <w:rsid w:val="000151BE"/>
    <w:rsid w:val="000157FD"/>
    <w:rsid w:val="000159F1"/>
    <w:rsid w:val="00016250"/>
    <w:rsid w:val="000164FE"/>
    <w:rsid w:val="00016506"/>
    <w:rsid w:val="00016E20"/>
    <w:rsid w:val="00017243"/>
    <w:rsid w:val="00020666"/>
    <w:rsid w:val="00020BA3"/>
    <w:rsid w:val="00020C90"/>
    <w:rsid w:val="00021299"/>
    <w:rsid w:val="00022C90"/>
    <w:rsid w:val="00022CAE"/>
    <w:rsid w:val="00022E64"/>
    <w:rsid w:val="00022F63"/>
    <w:rsid w:val="000231AC"/>
    <w:rsid w:val="00023636"/>
    <w:rsid w:val="00023657"/>
    <w:rsid w:val="0002369E"/>
    <w:rsid w:val="00023D00"/>
    <w:rsid w:val="00023EF2"/>
    <w:rsid w:val="00024B7A"/>
    <w:rsid w:val="00027B5D"/>
    <w:rsid w:val="00027DD2"/>
    <w:rsid w:val="0003055D"/>
    <w:rsid w:val="0003084C"/>
    <w:rsid w:val="00030DD1"/>
    <w:rsid w:val="0003120C"/>
    <w:rsid w:val="000312DE"/>
    <w:rsid w:val="000313D6"/>
    <w:rsid w:val="00031A45"/>
    <w:rsid w:val="00031BA0"/>
    <w:rsid w:val="00031ED9"/>
    <w:rsid w:val="000339EC"/>
    <w:rsid w:val="00033A93"/>
    <w:rsid w:val="00033B6F"/>
    <w:rsid w:val="000347CF"/>
    <w:rsid w:val="00034A24"/>
    <w:rsid w:val="00034A76"/>
    <w:rsid w:val="00034C5D"/>
    <w:rsid w:val="00034F8C"/>
    <w:rsid w:val="00035153"/>
    <w:rsid w:val="00035BDF"/>
    <w:rsid w:val="000361AB"/>
    <w:rsid w:val="00037C72"/>
    <w:rsid w:val="0004052C"/>
    <w:rsid w:val="00041484"/>
    <w:rsid w:val="0004173B"/>
    <w:rsid w:val="000422B9"/>
    <w:rsid w:val="0004365F"/>
    <w:rsid w:val="00043D95"/>
    <w:rsid w:val="00043F66"/>
    <w:rsid w:val="00044D06"/>
    <w:rsid w:val="00044EC5"/>
    <w:rsid w:val="0004526B"/>
    <w:rsid w:val="000457DF"/>
    <w:rsid w:val="00046217"/>
    <w:rsid w:val="00046AD8"/>
    <w:rsid w:val="00046F4A"/>
    <w:rsid w:val="00047513"/>
    <w:rsid w:val="000475B2"/>
    <w:rsid w:val="0005010B"/>
    <w:rsid w:val="00050A73"/>
    <w:rsid w:val="00050F47"/>
    <w:rsid w:val="0005115D"/>
    <w:rsid w:val="000513BE"/>
    <w:rsid w:val="000515E9"/>
    <w:rsid w:val="00051A48"/>
    <w:rsid w:val="00051BCB"/>
    <w:rsid w:val="00051E47"/>
    <w:rsid w:val="00052672"/>
    <w:rsid w:val="000526E7"/>
    <w:rsid w:val="00053A56"/>
    <w:rsid w:val="00053B25"/>
    <w:rsid w:val="00053B5B"/>
    <w:rsid w:val="00054C86"/>
    <w:rsid w:val="00054D5B"/>
    <w:rsid w:val="00055598"/>
    <w:rsid w:val="00056155"/>
    <w:rsid w:val="00056EB0"/>
    <w:rsid w:val="00057ED8"/>
    <w:rsid w:val="00057F18"/>
    <w:rsid w:val="000613EA"/>
    <w:rsid w:val="00061864"/>
    <w:rsid w:val="00062E3A"/>
    <w:rsid w:val="0006349D"/>
    <w:rsid w:val="00063697"/>
    <w:rsid w:val="000637BC"/>
    <w:rsid w:val="0006386F"/>
    <w:rsid w:val="00063A83"/>
    <w:rsid w:val="00064603"/>
    <w:rsid w:val="00064D2B"/>
    <w:rsid w:val="00065334"/>
    <w:rsid w:val="000660F4"/>
    <w:rsid w:val="00066382"/>
    <w:rsid w:val="000666B5"/>
    <w:rsid w:val="00066948"/>
    <w:rsid w:val="00066EF5"/>
    <w:rsid w:val="00067A1D"/>
    <w:rsid w:val="000700EB"/>
    <w:rsid w:val="00070217"/>
    <w:rsid w:val="000704F3"/>
    <w:rsid w:val="00070720"/>
    <w:rsid w:val="00070CF6"/>
    <w:rsid w:val="00070FFD"/>
    <w:rsid w:val="00071435"/>
    <w:rsid w:val="00071449"/>
    <w:rsid w:val="00071FE2"/>
    <w:rsid w:val="00073502"/>
    <w:rsid w:val="0007363B"/>
    <w:rsid w:val="000742FD"/>
    <w:rsid w:val="00074335"/>
    <w:rsid w:val="00075251"/>
    <w:rsid w:val="0007530B"/>
    <w:rsid w:val="00075E86"/>
    <w:rsid w:val="00076F36"/>
    <w:rsid w:val="000772D1"/>
    <w:rsid w:val="000779B1"/>
    <w:rsid w:val="0008040F"/>
    <w:rsid w:val="00080580"/>
    <w:rsid w:val="00080EE1"/>
    <w:rsid w:val="000813CC"/>
    <w:rsid w:val="00081AA2"/>
    <w:rsid w:val="00081D0A"/>
    <w:rsid w:val="00081F53"/>
    <w:rsid w:val="00083B40"/>
    <w:rsid w:val="00083C90"/>
    <w:rsid w:val="00083F25"/>
    <w:rsid w:val="0008426D"/>
    <w:rsid w:val="000843A4"/>
    <w:rsid w:val="0008471C"/>
    <w:rsid w:val="000848C7"/>
    <w:rsid w:val="000849F5"/>
    <w:rsid w:val="00084C87"/>
    <w:rsid w:val="00084FF0"/>
    <w:rsid w:val="000854EE"/>
    <w:rsid w:val="00085775"/>
    <w:rsid w:val="00085A4A"/>
    <w:rsid w:val="0008625C"/>
    <w:rsid w:val="000863B0"/>
    <w:rsid w:val="000864AD"/>
    <w:rsid w:val="000866DA"/>
    <w:rsid w:val="00087073"/>
    <w:rsid w:val="00087140"/>
    <w:rsid w:val="000872E0"/>
    <w:rsid w:val="00087A55"/>
    <w:rsid w:val="00090843"/>
    <w:rsid w:val="00092901"/>
    <w:rsid w:val="00092A24"/>
    <w:rsid w:val="00094386"/>
    <w:rsid w:val="00094AB6"/>
    <w:rsid w:val="00094C60"/>
    <w:rsid w:val="00094D3D"/>
    <w:rsid w:val="000950BA"/>
    <w:rsid w:val="00095311"/>
    <w:rsid w:val="00095E2D"/>
    <w:rsid w:val="0009668B"/>
    <w:rsid w:val="00096831"/>
    <w:rsid w:val="000970EF"/>
    <w:rsid w:val="00097BA9"/>
    <w:rsid w:val="00097FDE"/>
    <w:rsid w:val="000A0338"/>
    <w:rsid w:val="000A15DC"/>
    <w:rsid w:val="000A1A52"/>
    <w:rsid w:val="000A1BD4"/>
    <w:rsid w:val="000A1C77"/>
    <w:rsid w:val="000A1D96"/>
    <w:rsid w:val="000A1EB4"/>
    <w:rsid w:val="000A3217"/>
    <w:rsid w:val="000A347E"/>
    <w:rsid w:val="000A39F7"/>
    <w:rsid w:val="000A3C24"/>
    <w:rsid w:val="000A400A"/>
    <w:rsid w:val="000A4D1B"/>
    <w:rsid w:val="000A509D"/>
    <w:rsid w:val="000A573C"/>
    <w:rsid w:val="000A5AA1"/>
    <w:rsid w:val="000A6365"/>
    <w:rsid w:val="000A6745"/>
    <w:rsid w:val="000A7142"/>
    <w:rsid w:val="000A7E76"/>
    <w:rsid w:val="000B0516"/>
    <w:rsid w:val="000B07F8"/>
    <w:rsid w:val="000B0AA7"/>
    <w:rsid w:val="000B0E40"/>
    <w:rsid w:val="000B10A0"/>
    <w:rsid w:val="000B1107"/>
    <w:rsid w:val="000B16B6"/>
    <w:rsid w:val="000B16BF"/>
    <w:rsid w:val="000B22F3"/>
    <w:rsid w:val="000B2A13"/>
    <w:rsid w:val="000B304F"/>
    <w:rsid w:val="000B361E"/>
    <w:rsid w:val="000B4087"/>
    <w:rsid w:val="000B421B"/>
    <w:rsid w:val="000B42A9"/>
    <w:rsid w:val="000B4342"/>
    <w:rsid w:val="000B43EB"/>
    <w:rsid w:val="000B556C"/>
    <w:rsid w:val="000B58FD"/>
    <w:rsid w:val="000B5B66"/>
    <w:rsid w:val="000B5C9F"/>
    <w:rsid w:val="000B5E31"/>
    <w:rsid w:val="000B614C"/>
    <w:rsid w:val="000B6892"/>
    <w:rsid w:val="000B6C1A"/>
    <w:rsid w:val="000B6DD1"/>
    <w:rsid w:val="000B7146"/>
    <w:rsid w:val="000B7341"/>
    <w:rsid w:val="000B7CE6"/>
    <w:rsid w:val="000B7F4C"/>
    <w:rsid w:val="000C034F"/>
    <w:rsid w:val="000C05D4"/>
    <w:rsid w:val="000C0628"/>
    <w:rsid w:val="000C080C"/>
    <w:rsid w:val="000C1CCA"/>
    <w:rsid w:val="000C2CA8"/>
    <w:rsid w:val="000C2F12"/>
    <w:rsid w:val="000C33F2"/>
    <w:rsid w:val="000C34CD"/>
    <w:rsid w:val="000C403F"/>
    <w:rsid w:val="000C4694"/>
    <w:rsid w:val="000C5111"/>
    <w:rsid w:val="000C65CA"/>
    <w:rsid w:val="000C79FD"/>
    <w:rsid w:val="000C7B73"/>
    <w:rsid w:val="000D0314"/>
    <w:rsid w:val="000D0A13"/>
    <w:rsid w:val="000D1A6E"/>
    <w:rsid w:val="000D1B1B"/>
    <w:rsid w:val="000D1BE1"/>
    <w:rsid w:val="000D2D49"/>
    <w:rsid w:val="000D3131"/>
    <w:rsid w:val="000D3265"/>
    <w:rsid w:val="000D409F"/>
    <w:rsid w:val="000D40D3"/>
    <w:rsid w:val="000D4243"/>
    <w:rsid w:val="000D4651"/>
    <w:rsid w:val="000D4828"/>
    <w:rsid w:val="000D53B2"/>
    <w:rsid w:val="000D5917"/>
    <w:rsid w:val="000D623E"/>
    <w:rsid w:val="000D6436"/>
    <w:rsid w:val="000D66A0"/>
    <w:rsid w:val="000D776B"/>
    <w:rsid w:val="000D7980"/>
    <w:rsid w:val="000D7B20"/>
    <w:rsid w:val="000E0548"/>
    <w:rsid w:val="000E1A1C"/>
    <w:rsid w:val="000E1C16"/>
    <w:rsid w:val="000E21D2"/>
    <w:rsid w:val="000E29F0"/>
    <w:rsid w:val="000E2E61"/>
    <w:rsid w:val="000E363E"/>
    <w:rsid w:val="000E3872"/>
    <w:rsid w:val="000E38A4"/>
    <w:rsid w:val="000E4012"/>
    <w:rsid w:val="000E4B21"/>
    <w:rsid w:val="000E4C0D"/>
    <w:rsid w:val="000E5411"/>
    <w:rsid w:val="000E599B"/>
    <w:rsid w:val="000E736D"/>
    <w:rsid w:val="000F0582"/>
    <w:rsid w:val="000F0C52"/>
    <w:rsid w:val="000F0C79"/>
    <w:rsid w:val="000F1E34"/>
    <w:rsid w:val="000F1F2A"/>
    <w:rsid w:val="000F1F6B"/>
    <w:rsid w:val="000F3279"/>
    <w:rsid w:val="000F3B8E"/>
    <w:rsid w:val="000F46E7"/>
    <w:rsid w:val="000F47BD"/>
    <w:rsid w:val="000F4995"/>
    <w:rsid w:val="000F576B"/>
    <w:rsid w:val="000F5D37"/>
    <w:rsid w:val="000F7664"/>
    <w:rsid w:val="000F78D1"/>
    <w:rsid w:val="00100C46"/>
    <w:rsid w:val="00101A76"/>
    <w:rsid w:val="00101CA6"/>
    <w:rsid w:val="00101CA8"/>
    <w:rsid w:val="00101D47"/>
    <w:rsid w:val="00102779"/>
    <w:rsid w:val="00103250"/>
    <w:rsid w:val="00103478"/>
    <w:rsid w:val="00103A16"/>
    <w:rsid w:val="00103C03"/>
    <w:rsid w:val="00104241"/>
    <w:rsid w:val="00104F59"/>
    <w:rsid w:val="0010506D"/>
    <w:rsid w:val="00105467"/>
    <w:rsid w:val="00105B6A"/>
    <w:rsid w:val="00106751"/>
    <w:rsid w:val="00106776"/>
    <w:rsid w:val="00106A8D"/>
    <w:rsid w:val="00106BC5"/>
    <w:rsid w:val="00106D57"/>
    <w:rsid w:val="00107367"/>
    <w:rsid w:val="00107940"/>
    <w:rsid w:val="00110A88"/>
    <w:rsid w:val="00111043"/>
    <w:rsid w:val="001110C3"/>
    <w:rsid w:val="0011178B"/>
    <w:rsid w:val="00111CC6"/>
    <w:rsid w:val="0011236D"/>
    <w:rsid w:val="00112A31"/>
    <w:rsid w:val="0011370E"/>
    <w:rsid w:val="001137DA"/>
    <w:rsid w:val="00114417"/>
    <w:rsid w:val="001155FB"/>
    <w:rsid w:val="00115B5F"/>
    <w:rsid w:val="001163CC"/>
    <w:rsid w:val="001163F5"/>
    <w:rsid w:val="00116C59"/>
    <w:rsid w:val="00116D29"/>
    <w:rsid w:val="00116E9A"/>
    <w:rsid w:val="00116FB2"/>
    <w:rsid w:val="001176DA"/>
    <w:rsid w:val="00117C10"/>
    <w:rsid w:val="00117DFA"/>
    <w:rsid w:val="00117E4A"/>
    <w:rsid w:val="001200D6"/>
    <w:rsid w:val="00120958"/>
    <w:rsid w:val="0012141C"/>
    <w:rsid w:val="001216AD"/>
    <w:rsid w:val="00121A5B"/>
    <w:rsid w:val="00121C92"/>
    <w:rsid w:val="00121F19"/>
    <w:rsid w:val="00122366"/>
    <w:rsid w:val="00122380"/>
    <w:rsid w:val="0012298E"/>
    <w:rsid w:val="00123354"/>
    <w:rsid w:val="001235ED"/>
    <w:rsid w:val="00123F15"/>
    <w:rsid w:val="00124103"/>
    <w:rsid w:val="00124F9B"/>
    <w:rsid w:val="0012517B"/>
    <w:rsid w:val="00126621"/>
    <w:rsid w:val="0012719D"/>
    <w:rsid w:val="0013005C"/>
    <w:rsid w:val="00130358"/>
    <w:rsid w:val="00130626"/>
    <w:rsid w:val="00130751"/>
    <w:rsid w:val="00130F06"/>
    <w:rsid w:val="00130F25"/>
    <w:rsid w:val="00131106"/>
    <w:rsid w:val="00131A7B"/>
    <w:rsid w:val="001322F2"/>
    <w:rsid w:val="00132F80"/>
    <w:rsid w:val="001332F9"/>
    <w:rsid w:val="00133749"/>
    <w:rsid w:val="00133900"/>
    <w:rsid w:val="00133C95"/>
    <w:rsid w:val="001344AC"/>
    <w:rsid w:val="001344B1"/>
    <w:rsid w:val="001345C2"/>
    <w:rsid w:val="00135B0C"/>
    <w:rsid w:val="00135D2D"/>
    <w:rsid w:val="00135F4D"/>
    <w:rsid w:val="00136601"/>
    <w:rsid w:val="00136A61"/>
    <w:rsid w:val="00136F4D"/>
    <w:rsid w:val="00137B21"/>
    <w:rsid w:val="00140194"/>
    <w:rsid w:val="001405ED"/>
    <w:rsid w:val="001411F2"/>
    <w:rsid w:val="00141834"/>
    <w:rsid w:val="00141F3F"/>
    <w:rsid w:val="0014244F"/>
    <w:rsid w:val="00142B2A"/>
    <w:rsid w:val="00142FD1"/>
    <w:rsid w:val="001434DF"/>
    <w:rsid w:val="0014395C"/>
    <w:rsid w:val="00144021"/>
    <w:rsid w:val="001445EE"/>
    <w:rsid w:val="001461AA"/>
    <w:rsid w:val="001466B6"/>
    <w:rsid w:val="00146937"/>
    <w:rsid w:val="00147884"/>
    <w:rsid w:val="00147925"/>
    <w:rsid w:val="001479E7"/>
    <w:rsid w:val="00147A1A"/>
    <w:rsid w:val="00150010"/>
    <w:rsid w:val="0015042C"/>
    <w:rsid w:val="00151355"/>
    <w:rsid w:val="00151F2D"/>
    <w:rsid w:val="001520CE"/>
    <w:rsid w:val="00152840"/>
    <w:rsid w:val="00152978"/>
    <w:rsid w:val="00152DA6"/>
    <w:rsid w:val="001535C2"/>
    <w:rsid w:val="00153EBE"/>
    <w:rsid w:val="00154D68"/>
    <w:rsid w:val="0015505C"/>
    <w:rsid w:val="00155189"/>
    <w:rsid w:val="001553DF"/>
    <w:rsid w:val="00155886"/>
    <w:rsid w:val="00155924"/>
    <w:rsid w:val="00155BB2"/>
    <w:rsid w:val="00156B94"/>
    <w:rsid w:val="00160523"/>
    <w:rsid w:val="00160E88"/>
    <w:rsid w:val="00161016"/>
    <w:rsid w:val="00161537"/>
    <w:rsid w:val="00161735"/>
    <w:rsid w:val="00161790"/>
    <w:rsid w:val="001617AF"/>
    <w:rsid w:val="00161DF3"/>
    <w:rsid w:val="00162678"/>
    <w:rsid w:val="00162799"/>
    <w:rsid w:val="00164F12"/>
    <w:rsid w:val="00164FB2"/>
    <w:rsid w:val="00165069"/>
    <w:rsid w:val="001651AA"/>
    <w:rsid w:val="00165CCF"/>
    <w:rsid w:val="00166BC6"/>
    <w:rsid w:val="00166BE6"/>
    <w:rsid w:val="00166BE7"/>
    <w:rsid w:val="0016790A"/>
    <w:rsid w:val="00170128"/>
    <w:rsid w:val="00170220"/>
    <w:rsid w:val="0017065E"/>
    <w:rsid w:val="00170D02"/>
    <w:rsid w:val="0017101E"/>
    <w:rsid w:val="00171652"/>
    <w:rsid w:val="00171A48"/>
    <w:rsid w:val="00172374"/>
    <w:rsid w:val="00172597"/>
    <w:rsid w:val="0017277B"/>
    <w:rsid w:val="00172AFF"/>
    <w:rsid w:val="00172BAC"/>
    <w:rsid w:val="00173597"/>
    <w:rsid w:val="0017362E"/>
    <w:rsid w:val="00174B0D"/>
    <w:rsid w:val="00175FFD"/>
    <w:rsid w:val="001760BF"/>
    <w:rsid w:val="00176152"/>
    <w:rsid w:val="00176179"/>
    <w:rsid w:val="00176180"/>
    <w:rsid w:val="0017650C"/>
    <w:rsid w:val="0017658B"/>
    <w:rsid w:val="0017667B"/>
    <w:rsid w:val="00176911"/>
    <w:rsid w:val="00176AFE"/>
    <w:rsid w:val="00176E2E"/>
    <w:rsid w:val="00176F84"/>
    <w:rsid w:val="00177CAC"/>
    <w:rsid w:val="00177D64"/>
    <w:rsid w:val="00180016"/>
    <w:rsid w:val="001802D0"/>
    <w:rsid w:val="001806FB"/>
    <w:rsid w:val="00180CE2"/>
    <w:rsid w:val="001816FA"/>
    <w:rsid w:val="001818C1"/>
    <w:rsid w:val="00181F68"/>
    <w:rsid w:val="0018264B"/>
    <w:rsid w:val="00182E53"/>
    <w:rsid w:val="00182E55"/>
    <w:rsid w:val="00183454"/>
    <w:rsid w:val="00183694"/>
    <w:rsid w:val="001837C8"/>
    <w:rsid w:val="00184018"/>
    <w:rsid w:val="00184336"/>
    <w:rsid w:val="00184B19"/>
    <w:rsid w:val="0018502A"/>
    <w:rsid w:val="00185678"/>
    <w:rsid w:val="00185D27"/>
    <w:rsid w:val="00186503"/>
    <w:rsid w:val="00186B18"/>
    <w:rsid w:val="001874D3"/>
    <w:rsid w:val="001878B1"/>
    <w:rsid w:val="00191276"/>
    <w:rsid w:val="001913E3"/>
    <w:rsid w:val="0019184F"/>
    <w:rsid w:val="001923BA"/>
    <w:rsid w:val="00192470"/>
    <w:rsid w:val="00192753"/>
    <w:rsid w:val="00192DAB"/>
    <w:rsid w:val="001931C6"/>
    <w:rsid w:val="00193510"/>
    <w:rsid w:val="001941F0"/>
    <w:rsid w:val="001953E2"/>
    <w:rsid w:val="00195FF7"/>
    <w:rsid w:val="001965C7"/>
    <w:rsid w:val="00196879"/>
    <w:rsid w:val="001969A3"/>
    <w:rsid w:val="00197212"/>
    <w:rsid w:val="001975CE"/>
    <w:rsid w:val="001A0169"/>
    <w:rsid w:val="001A09F3"/>
    <w:rsid w:val="001A165C"/>
    <w:rsid w:val="001A167F"/>
    <w:rsid w:val="001A1B45"/>
    <w:rsid w:val="001A1D1D"/>
    <w:rsid w:val="001A1DC4"/>
    <w:rsid w:val="001A22ED"/>
    <w:rsid w:val="001A2588"/>
    <w:rsid w:val="001A31DA"/>
    <w:rsid w:val="001A3209"/>
    <w:rsid w:val="001A364C"/>
    <w:rsid w:val="001A38D5"/>
    <w:rsid w:val="001A3C84"/>
    <w:rsid w:val="001A3E9A"/>
    <w:rsid w:val="001A3EB4"/>
    <w:rsid w:val="001A5802"/>
    <w:rsid w:val="001A5BB8"/>
    <w:rsid w:val="001A602F"/>
    <w:rsid w:val="001A6968"/>
    <w:rsid w:val="001A7205"/>
    <w:rsid w:val="001A7457"/>
    <w:rsid w:val="001A7677"/>
    <w:rsid w:val="001A7BA1"/>
    <w:rsid w:val="001A7BD9"/>
    <w:rsid w:val="001A7BEA"/>
    <w:rsid w:val="001B04B4"/>
    <w:rsid w:val="001B0532"/>
    <w:rsid w:val="001B09E0"/>
    <w:rsid w:val="001B1697"/>
    <w:rsid w:val="001B1BD5"/>
    <w:rsid w:val="001B1CF3"/>
    <w:rsid w:val="001B20C7"/>
    <w:rsid w:val="001B22D4"/>
    <w:rsid w:val="001B2842"/>
    <w:rsid w:val="001B288F"/>
    <w:rsid w:val="001B2AF2"/>
    <w:rsid w:val="001B3223"/>
    <w:rsid w:val="001B32EE"/>
    <w:rsid w:val="001B37D3"/>
    <w:rsid w:val="001B41EA"/>
    <w:rsid w:val="001B5BC5"/>
    <w:rsid w:val="001B5D4D"/>
    <w:rsid w:val="001B5D56"/>
    <w:rsid w:val="001B66ED"/>
    <w:rsid w:val="001B7949"/>
    <w:rsid w:val="001B7FC1"/>
    <w:rsid w:val="001C15AE"/>
    <w:rsid w:val="001C166E"/>
    <w:rsid w:val="001C1B21"/>
    <w:rsid w:val="001C1E5F"/>
    <w:rsid w:val="001C2627"/>
    <w:rsid w:val="001C27D3"/>
    <w:rsid w:val="001C2E31"/>
    <w:rsid w:val="001C38A9"/>
    <w:rsid w:val="001C38DB"/>
    <w:rsid w:val="001C473E"/>
    <w:rsid w:val="001C4FF0"/>
    <w:rsid w:val="001C50DD"/>
    <w:rsid w:val="001C5132"/>
    <w:rsid w:val="001C52C7"/>
    <w:rsid w:val="001C605C"/>
    <w:rsid w:val="001C6120"/>
    <w:rsid w:val="001C6266"/>
    <w:rsid w:val="001C693F"/>
    <w:rsid w:val="001C6B99"/>
    <w:rsid w:val="001C6E5C"/>
    <w:rsid w:val="001C7A75"/>
    <w:rsid w:val="001D0468"/>
    <w:rsid w:val="001D0717"/>
    <w:rsid w:val="001D0A4F"/>
    <w:rsid w:val="001D0FE2"/>
    <w:rsid w:val="001D1A37"/>
    <w:rsid w:val="001D2637"/>
    <w:rsid w:val="001D279D"/>
    <w:rsid w:val="001D2F07"/>
    <w:rsid w:val="001D30D2"/>
    <w:rsid w:val="001D36BA"/>
    <w:rsid w:val="001D4287"/>
    <w:rsid w:val="001D4754"/>
    <w:rsid w:val="001D4CE4"/>
    <w:rsid w:val="001D4F3E"/>
    <w:rsid w:val="001D518E"/>
    <w:rsid w:val="001D5953"/>
    <w:rsid w:val="001D5BBC"/>
    <w:rsid w:val="001D6A1B"/>
    <w:rsid w:val="001D78AD"/>
    <w:rsid w:val="001D7B36"/>
    <w:rsid w:val="001D7DCB"/>
    <w:rsid w:val="001E0185"/>
    <w:rsid w:val="001E0294"/>
    <w:rsid w:val="001E0B8C"/>
    <w:rsid w:val="001E0F12"/>
    <w:rsid w:val="001E152B"/>
    <w:rsid w:val="001E161F"/>
    <w:rsid w:val="001E179D"/>
    <w:rsid w:val="001E1CBD"/>
    <w:rsid w:val="001E1D65"/>
    <w:rsid w:val="001E285A"/>
    <w:rsid w:val="001E2D21"/>
    <w:rsid w:val="001E2E41"/>
    <w:rsid w:val="001E3082"/>
    <w:rsid w:val="001E327A"/>
    <w:rsid w:val="001E32D8"/>
    <w:rsid w:val="001E3B4F"/>
    <w:rsid w:val="001E3FB6"/>
    <w:rsid w:val="001E440F"/>
    <w:rsid w:val="001E4AC9"/>
    <w:rsid w:val="001E4DFC"/>
    <w:rsid w:val="001E4E89"/>
    <w:rsid w:val="001E4F73"/>
    <w:rsid w:val="001E56E4"/>
    <w:rsid w:val="001E6C27"/>
    <w:rsid w:val="001E7712"/>
    <w:rsid w:val="001E772F"/>
    <w:rsid w:val="001E7BF4"/>
    <w:rsid w:val="001E7E14"/>
    <w:rsid w:val="001F0411"/>
    <w:rsid w:val="001F0670"/>
    <w:rsid w:val="001F12E7"/>
    <w:rsid w:val="001F154C"/>
    <w:rsid w:val="001F18E5"/>
    <w:rsid w:val="001F1AF0"/>
    <w:rsid w:val="001F1B78"/>
    <w:rsid w:val="001F1E19"/>
    <w:rsid w:val="001F31B2"/>
    <w:rsid w:val="001F3816"/>
    <w:rsid w:val="001F3BED"/>
    <w:rsid w:val="001F3F3F"/>
    <w:rsid w:val="001F410F"/>
    <w:rsid w:val="001F4494"/>
    <w:rsid w:val="001F49FC"/>
    <w:rsid w:val="001F4A8A"/>
    <w:rsid w:val="001F4DB5"/>
    <w:rsid w:val="001F55DA"/>
    <w:rsid w:val="001F5AFB"/>
    <w:rsid w:val="001F5EA1"/>
    <w:rsid w:val="001F75CF"/>
    <w:rsid w:val="001F7F2C"/>
    <w:rsid w:val="00200C28"/>
    <w:rsid w:val="00201A32"/>
    <w:rsid w:val="00202298"/>
    <w:rsid w:val="00202925"/>
    <w:rsid w:val="00202BC5"/>
    <w:rsid w:val="00202E24"/>
    <w:rsid w:val="002034CC"/>
    <w:rsid w:val="00203CEE"/>
    <w:rsid w:val="00204160"/>
    <w:rsid w:val="0020463C"/>
    <w:rsid w:val="0020470F"/>
    <w:rsid w:val="0020472F"/>
    <w:rsid w:val="002053FC"/>
    <w:rsid w:val="00205FFC"/>
    <w:rsid w:val="00206083"/>
    <w:rsid w:val="00206138"/>
    <w:rsid w:val="00206302"/>
    <w:rsid w:val="002064E1"/>
    <w:rsid w:val="00206F48"/>
    <w:rsid w:val="00206FDA"/>
    <w:rsid w:val="002075BE"/>
    <w:rsid w:val="00207C89"/>
    <w:rsid w:val="00207D1B"/>
    <w:rsid w:val="0021084E"/>
    <w:rsid w:val="00210993"/>
    <w:rsid w:val="002112F1"/>
    <w:rsid w:val="002114AC"/>
    <w:rsid w:val="00212097"/>
    <w:rsid w:val="00212529"/>
    <w:rsid w:val="00212B23"/>
    <w:rsid w:val="00213379"/>
    <w:rsid w:val="0021440D"/>
    <w:rsid w:val="00214D70"/>
    <w:rsid w:val="00214FEC"/>
    <w:rsid w:val="00215057"/>
    <w:rsid w:val="002158F9"/>
    <w:rsid w:val="00215B13"/>
    <w:rsid w:val="00215B2D"/>
    <w:rsid w:val="0021648D"/>
    <w:rsid w:val="002166DF"/>
    <w:rsid w:val="00216A53"/>
    <w:rsid w:val="002205B8"/>
    <w:rsid w:val="0022134F"/>
    <w:rsid w:val="0022152D"/>
    <w:rsid w:val="00221AE4"/>
    <w:rsid w:val="00221D9A"/>
    <w:rsid w:val="00221DF4"/>
    <w:rsid w:val="0022292A"/>
    <w:rsid w:val="00222956"/>
    <w:rsid w:val="00222997"/>
    <w:rsid w:val="00222AAE"/>
    <w:rsid w:val="00222AC7"/>
    <w:rsid w:val="0022360E"/>
    <w:rsid w:val="00223C89"/>
    <w:rsid w:val="00223D2C"/>
    <w:rsid w:val="0022407B"/>
    <w:rsid w:val="002246E6"/>
    <w:rsid w:val="00224986"/>
    <w:rsid w:val="00224B96"/>
    <w:rsid w:val="0022542F"/>
    <w:rsid w:val="002259F8"/>
    <w:rsid w:val="00225B8C"/>
    <w:rsid w:val="002261A4"/>
    <w:rsid w:val="00226207"/>
    <w:rsid w:val="002264EB"/>
    <w:rsid w:val="002266AE"/>
    <w:rsid w:val="002267CF"/>
    <w:rsid w:val="00227E53"/>
    <w:rsid w:val="0023045A"/>
    <w:rsid w:val="0023071F"/>
    <w:rsid w:val="0023093A"/>
    <w:rsid w:val="00230E17"/>
    <w:rsid w:val="00230F40"/>
    <w:rsid w:val="00230F64"/>
    <w:rsid w:val="002310EE"/>
    <w:rsid w:val="0023116B"/>
    <w:rsid w:val="0023147F"/>
    <w:rsid w:val="00231A16"/>
    <w:rsid w:val="00232C22"/>
    <w:rsid w:val="00233844"/>
    <w:rsid w:val="002342FC"/>
    <w:rsid w:val="00234307"/>
    <w:rsid w:val="002343BB"/>
    <w:rsid w:val="002345A2"/>
    <w:rsid w:val="00234E4C"/>
    <w:rsid w:val="00235634"/>
    <w:rsid w:val="00235BFB"/>
    <w:rsid w:val="00235C01"/>
    <w:rsid w:val="00235C4C"/>
    <w:rsid w:val="00235DF5"/>
    <w:rsid w:val="00236C54"/>
    <w:rsid w:val="002379FD"/>
    <w:rsid w:val="00237B51"/>
    <w:rsid w:val="00237D09"/>
    <w:rsid w:val="002407F7"/>
    <w:rsid w:val="00240FFB"/>
    <w:rsid w:val="002421C8"/>
    <w:rsid w:val="002427B5"/>
    <w:rsid w:val="00242DA0"/>
    <w:rsid w:val="00242E1E"/>
    <w:rsid w:val="00243283"/>
    <w:rsid w:val="002434B4"/>
    <w:rsid w:val="00243706"/>
    <w:rsid w:val="00243859"/>
    <w:rsid w:val="002439EE"/>
    <w:rsid w:val="00244C4C"/>
    <w:rsid w:val="00245062"/>
    <w:rsid w:val="0024553D"/>
    <w:rsid w:val="002458D0"/>
    <w:rsid w:val="00245B80"/>
    <w:rsid w:val="00245E56"/>
    <w:rsid w:val="0024620D"/>
    <w:rsid w:val="0024642B"/>
    <w:rsid w:val="00246581"/>
    <w:rsid w:val="00246B84"/>
    <w:rsid w:val="00246C74"/>
    <w:rsid w:val="002478F8"/>
    <w:rsid w:val="00247DF6"/>
    <w:rsid w:val="00250509"/>
    <w:rsid w:val="002505C2"/>
    <w:rsid w:val="00250E2C"/>
    <w:rsid w:val="0025114F"/>
    <w:rsid w:val="00251766"/>
    <w:rsid w:val="00251D49"/>
    <w:rsid w:val="002523AF"/>
    <w:rsid w:val="002528FD"/>
    <w:rsid w:val="0025324D"/>
    <w:rsid w:val="00253518"/>
    <w:rsid w:val="00253E5D"/>
    <w:rsid w:val="002544D5"/>
    <w:rsid w:val="0025524C"/>
    <w:rsid w:val="0025527D"/>
    <w:rsid w:val="00256BDC"/>
    <w:rsid w:val="00256EB9"/>
    <w:rsid w:val="0025798F"/>
    <w:rsid w:val="00257CDA"/>
    <w:rsid w:val="0026030D"/>
    <w:rsid w:val="00260955"/>
    <w:rsid w:val="00260DBE"/>
    <w:rsid w:val="00260FBD"/>
    <w:rsid w:val="0026105A"/>
    <w:rsid w:val="002610DB"/>
    <w:rsid w:val="00262A0C"/>
    <w:rsid w:val="00262ACF"/>
    <w:rsid w:val="00262FB2"/>
    <w:rsid w:val="0026484A"/>
    <w:rsid w:val="00264E38"/>
    <w:rsid w:val="00264E55"/>
    <w:rsid w:val="0026510A"/>
    <w:rsid w:val="00265302"/>
    <w:rsid w:val="00265CA8"/>
    <w:rsid w:val="00265D23"/>
    <w:rsid w:val="002660DE"/>
    <w:rsid w:val="00266535"/>
    <w:rsid w:val="0026657E"/>
    <w:rsid w:val="00266C4B"/>
    <w:rsid w:val="0026706A"/>
    <w:rsid w:val="00267273"/>
    <w:rsid w:val="002673A2"/>
    <w:rsid w:val="00267515"/>
    <w:rsid w:val="002679D6"/>
    <w:rsid w:val="00267A2C"/>
    <w:rsid w:val="00267B03"/>
    <w:rsid w:val="00267FF2"/>
    <w:rsid w:val="002715C7"/>
    <w:rsid w:val="0027214C"/>
    <w:rsid w:val="002722F7"/>
    <w:rsid w:val="00272BD6"/>
    <w:rsid w:val="00273111"/>
    <w:rsid w:val="00273D88"/>
    <w:rsid w:val="00273DAD"/>
    <w:rsid w:val="002743B1"/>
    <w:rsid w:val="002745D6"/>
    <w:rsid w:val="00274640"/>
    <w:rsid w:val="00274B09"/>
    <w:rsid w:val="00274CA8"/>
    <w:rsid w:val="00274F7C"/>
    <w:rsid w:val="002751D8"/>
    <w:rsid w:val="00275BAE"/>
    <w:rsid w:val="0027611F"/>
    <w:rsid w:val="002761D9"/>
    <w:rsid w:val="002761F7"/>
    <w:rsid w:val="00276DE2"/>
    <w:rsid w:val="00277337"/>
    <w:rsid w:val="0027773A"/>
    <w:rsid w:val="00277815"/>
    <w:rsid w:val="002779D9"/>
    <w:rsid w:val="00280231"/>
    <w:rsid w:val="00280420"/>
    <w:rsid w:val="00280A87"/>
    <w:rsid w:val="00281308"/>
    <w:rsid w:val="002814DB"/>
    <w:rsid w:val="00282250"/>
    <w:rsid w:val="00282564"/>
    <w:rsid w:val="002825EC"/>
    <w:rsid w:val="00282AAE"/>
    <w:rsid w:val="00282DB8"/>
    <w:rsid w:val="00283D35"/>
    <w:rsid w:val="00284901"/>
    <w:rsid w:val="00285230"/>
    <w:rsid w:val="00286312"/>
    <w:rsid w:val="002865AA"/>
    <w:rsid w:val="002865F9"/>
    <w:rsid w:val="002877B8"/>
    <w:rsid w:val="00287A9E"/>
    <w:rsid w:val="002900BE"/>
    <w:rsid w:val="002907F6"/>
    <w:rsid w:val="0029090B"/>
    <w:rsid w:val="00290AD6"/>
    <w:rsid w:val="00291416"/>
    <w:rsid w:val="00291B6A"/>
    <w:rsid w:val="00293128"/>
    <w:rsid w:val="002938F5"/>
    <w:rsid w:val="002939FA"/>
    <w:rsid w:val="00293D22"/>
    <w:rsid w:val="002941B8"/>
    <w:rsid w:val="0029428D"/>
    <w:rsid w:val="002944C3"/>
    <w:rsid w:val="00294562"/>
    <w:rsid w:val="002945E9"/>
    <w:rsid w:val="00294618"/>
    <w:rsid w:val="00294A3F"/>
    <w:rsid w:val="002952D4"/>
    <w:rsid w:val="0029557F"/>
    <w:rsid w:val="00295B86"/>
    <w:rsid w:val="00295C14"/>
    <w:rsid w:val="002963B8"/>
    <w:rsid w:val="002965C5"/>
    <w:rsid w:val="002965C7"/>
    <w:rsid w:val="00296C98"/>
    <w:rsid w:val="00296CC9"/>
    <w:rsid w:val="002978AA"/>
    <w:rsid w:val="002978C9"/>
    <w:rsid w:val="00297C4C"/>
    <w:rsid w:val="002A04B0"/>
    <w:rsid w:val="002A06DD"/>
    <w:rsid w:val="002A07EC"/>
    <w:rsid w:val="002A0874"/>
    <w:rsid w:val="002A1D7A"/>
    <w:rsid w:val="002A28EE"/>
    <w:rsid w:val="002A2C0E"/>
    <w:rsid w:val="002A307C"/>
    <w:rsid w:val="002A30F2"/>
    <w:rsid w:val="002A3A1C"/>
    <w:rsid w:val="002A42C7"/>
    <w:rsid w:val="002A4512"/>
    <w:rsid w:val="002A50D8"/>
    <w:rsid w:val="002A51CA"/>
    <w:rsid w:val="002A5606"/>
    <w:rsid w:val="002A5645"/>
    <w:rsid w:val="002A5950"/>
    <w:rsid w:val="002A5DA3"/>
    <w:rsid w:val="002A6D33"/>
    <w:rsid w:val="002A707A"/>
    <w:rsid w:val="002A77B5"/>
    <w:rsid w:val="002A78ED"/>
    <w:rsid w:val="002B06ED"/>
    <w:rsid w:val="002B087D"/>
    <w:rsid w:val="002B0C39"/>
    <w:rsid w:val="002B0F3F"/>
    <w:rsid w:val="002B11D4"/>
    <w:rsid w:val="002B1530"/>
    <w:rsid w:val="002B187A"/>
    <w:rsid w:val="002B1E73"/>
    <w:rsid w:val="002B1E80"/>
    <w:rsid w:val="002B25D2"/>
    <w:rsid w:val="002B2DBE"/>
    <w:rsid w:val="002B3D43"/>
    <w:rsid w:val="002B4F0D"/>
    <w:rsid w:val="002B6809"/>
    <w:rsid w:val="002B7448"/>
    <w:rsid w:val="002B7B03"/>
    <w:rsid w:val="002B7B53"/>
    <w:rsid w:val="002B7C98"/>
    <w:rsid w:val="002C0A61"/>
    <w:rsid w:val="002C0FC0"/>
    <w:rsid w:val="002C1788"/>
    <w:rsid w:val="002C1D70"/>
    <w:rsid w:val="002C1DDA"/>
    <w:rsid w:val="002C23BA"/>
    <w:rsid w:val="002C3BB1"/>
    <w:rsid w:val="002C3BCE"/>
    <w:rsid w:val="002C3D70"/>
    <w:rsid w:val="002C4180"/>
    <w:rsid w:val="002C44A1"/>
    <w:rsid w:val="002C4695"/>
    <w:rsid w:val="002C48B9"/>
    <w:rsid w:val="002C5BC6"/>
    <w:rsid w:val="002C5DAB"/>
    <w:rsid w:val="002C7464"/>
    <w:rsid w:val="002C7E1C"/>
    <w:rsid w:val="002D0322"/>
    <w:rsid w:val="002D0496"/>
    <w:rsid w:val="002D11F0"/>
    <w:rsid w:val="002D1FF6"/>
    <w:rsid w:val="002D20E4"/>
    <w:rsid w:val="002D24C8"/>
    <w:rsid w:val="002D24F6"/>
    <w:rsid w:val="002D2779"/>
    <w:rsid w:val="002D2994"/>
    <w:rsid w:val="002D2A58"/>
    <w:rsid w:val="002D32DE"/>
    <w:rsid w:val="002D398E"/>
    <w:rsid w:val="002D3A0A"/>
    <w:rsid w:val="002D3A4E"/>
    <w:rsid w:val="002D3B32"/>
    <w:rsid w:val="002D3CA5"/>
    <w:rsid w:val="002D4750"/>
    <w:rsid w:val="002D4CBF"/>
    <w:rsid w:val="002D532E"/>
    <w:rsid w:val="002D5779"/>
    <w:rsid w:val="002D6138"/>
    <w:rsid w:val="002D67FF"/>
    <w:rsid w:val="002D6844"/>
    <w:rsid w:val="002D6FD3"/>
    <w:rsid w:val="002D706F"/>
    <w:rsid w:val="002D7CC0"/>
    <w:rsid w:val="002D7FAF"/>
    <w:rsid w:val="002E021F"/>
    <w:rsid w:val="002E110D"/>
    <w:rsid w:val="002E1A4F"/>
    <w:rsid w:val="002E1AB4"/>
    <w:rsid w:val="002E1E29"/>
    <w:rsid w:val="002E2300"/>
    <w:rsid w:val="002E2A75"/>
    <w:rsid w:val="002E2E3F"/>
    <w:rsid w:val="002E388D"/>
    <w:rsid w:val="002E3BE7"/>
    <w:rsid w:val="002E3F2C"/>
    <w:rsid w:val="002E4239"/>
    <w:rsid w:val="002E428A"/>
    <w:rsid w:val="002E44AA"/>
    <w:rsid w:val="002E465A"/>
    <w:rsid w:val="002E55C7"/>
    <w:rsid w:val="002E55F3"/>
    <w:rsid w:val="002E5A3B"/>
    <w:rsid w:val="002E5CDE"/>
    <w:rsid w:val="002E5CE0"/>
    <w:rsid w:val="002E6368"/>
    <w:rsid w:val="002E6A3E"/>
    <w:rsid w:val="002F099F"/>
    <w:rsid w:val="002F112E"/>
    <w:rsid w:val="002F136E"/>
    <w:rsid w:val="002F16B7"/>
    <w:rsid w:val="002F1D0A"/>
    <w:rsid w:val="002F286C"/>
    <w:rsid w:val="002F3445"/>
    <w:rsid w:val="002F35B3"/>
    <w:rsid w:val="002F36D6"/>
    <w:rsid w:val="002F37A1"/>
    <w:rsid w:val="002F3B1B"/>
    <w:rsid w:val="002F4008"/>
    <w:rsid w:val="002F405A"/>
    <w:rsid w:val="002F419E"/>
    <w:rsid w:val="002F4674"/>
    <w:rsid w:val="002F4F26"/>
    <w:rsid w:val="002F5012"/>
    <w:rsid w:val="002F5C76"/>
    <w:rsid w:val="002F5DA7"/>
    <w:rsid w:val="002F5DAE"/>
    <w:rsid w:val="002F5DB7"/>
    <w:rsid w:val="002F61E5"/>
    <w:rsid w:val="002F6619"/>
    <w:rsid w:val="002F663D"/>
    <w:rsid w:val="002F6882"/>
    <w:rsid w:val="002F6AB9"/>
    <w:rsid w:val="00300080"/>
    <w:rsid w:val="003001DE"/>
    <w:rsid w:val="0030052E"/>
    <w:rsid w:val="0030060E"/>
    <w:rsid w:val="0030106D"/>
    <w:rsid w:val="00301169"/>
    <w:rsid w:val="003013B8"/>
    <w:rsid w:val="003015A5"/>
    <w:rsid w:val="003015A6"/>
    <w:rsid w:val="00301D2E"/>
    <w:rsid w:val="0030229C"/>
    <w:rsid w:val="00302D26"/>
    <w:rsid w:val="003032B9"/>
    <w:rsid w:val="00303F22"/>
    <w:rsid w:val="00305F4D"/>
    <w:rsid w:val="00306B60"/>
    <w:rsid w:val="00306F02"/>
    <w:rsid w:val="00307B90"/>
    <w:rsid w:val="00310789"/>
    <w:rsid w:val="00310B31"/>
    <w:rsid w:val="00310BED"/>
    <w:rsid w:val="00310E00"/>
    <w:rsid w:val="00311024"/>
    <w:rsid w:val="003124B4"/>
    <w:rsid w:val="003124CE"/>
    <w:rsid w:val="003129AE"/>
    <w:rsid w:val="0031399D"/>
    <w:rsid w:val="00313A52"/>
    <w:rsid w:val="00313FED"/>
    <w:rsid w:val="003141C4"/>
    <w:rsid w:val="0031466B"/>
    <w:rsid w:val="00314BDB"/>
    <w:rsid w:val="003150B5"/>
    <w:rsid w:val="003155E6"/>
    <w:rsid w:val="00315F15"/>
    <w:rsid w:val="003171DD"/>
    <w:rsid w:val="00317522"/>
    <w:rsid w:val="00317BC4"/>
    <w:rsid w:val="00320026"/>
    <w:rsid w:val="0032008B"/>
    <w:rsid w:val="0032051E"/>
    <w:rsid w:val="0032063A"/>
    <w:rsid w:val="00321274"/>
    <w:rsid w:val="00321289"/>
    <w:rsid w:val="003214BB"/>
    <w:rsid w:val="00321B9B"/>
    <w:rsid w:val="00321BAE"/>
    <w:rsid w:val="00321D35"/>
    <w:rsid w:val="00322801"/>
    <w:rsid w:val="003229AD"/>
    <w:rsid w:val="00322CB3"/>
    <w:rsid w:val="00322DF3"/>
    <w:rsid w:val="00323108"/>
    <w:rsid w:val="00323E03"/>
    <w:rsid w:val="00324ABE"/>
    <w:rsid w:val="00324E9B"/>
    <w:rsid w:val="003262C7"/>
    <w:rsid w:val="0032693A"/>
    <w:rsid w:val="00326E9F"/>
    <w:rsid w:val="00327787"/>
    <w:rsid w:val="00327991"/>
    <w:rsid w:val="00327BCB"/>
    <w:rsid w:val="00330484"/>
    <w:rsid w:val="00330898"/>
    <w:rsid w:val="00330F97"/>
    <w:rsid w:val="003312B8"/>
    <w:rsid w:val="003314D9"/>
    <w:rsid w:val="00331C01"/>
    <w:rsid w:val="00331C4B"/>
    <w:rsid w:val="00331CC5"/>
    <w:rsid w:val="00332AF4"/>
    <w:rsid w:val="00333287"/>
    <w:rsid w:val="0033353F"/>
    <w:rsid w:val="003339BF"/>
    <w:rsid w:val="003340B0"/>
    <w:rsid w:val="003342CB"/>
    <w:rsid w:val="00334384"/>
    <w:rsid w:val="003344F6"/>
    <w:rsid w:val="0033493D"/>
    <w:rsid w:val="0033544A"/>
    <w:rsid w:val="003359E0"/>
    <w:rsid w:val="00335DE4"/>
    <w:rsid w:val="003364B0"/>
    <w:rsid w:val="00336DD6"/>
    <w:rsid w:val="003401DD"/>
    <w:rsid w:val="003403AE"/>
    <w:rsid w:val="00340700"/>
    <w:rsid w:val="00340820"/>
    <w:rsid w:val="0034085A"/>
    <w:rsid w:val="00340B0D"/>
    <w:rsid w:val="0034135C"/>
    <w:rsid w:val="00341B1A"/>
    <w:rsid w:val="003421AE"/>
    <w:rsid w:val="003426AC"/>
    <w:rsid w:val="00342EAE"/>
    <w:rsid w:val="0034388D"/>
    <w:rsid w:val="00343BB6"/>
    <w:rsid w:val="00344596"/>
    <w:rsid w:val="00344898"/>
    <w:rsid w:val="00344AC3"/>
    <w:rsid w:val="00344ED8"/>
    <w:rsid w:val="003451F3"/>
    <w:rsid w:val="003455DF"/>
    <w:rsid w:val="003459EF"/>
    <w:rsid w:val="00345D9D"/>
    <w:rsid w:val="003461D6"/>
    <w:rsid w:val="00346729"/>
    <w:rsid w:val="00346AD4"/>
    <w:rsid w:val="00346EE7"/>
    <w:rsid w:val="00347989"/>
    <w:rsid w:val="003509A2"/>
    <w:rsid w:val="00350FAA"/>
    <w:rsid w:val="00351A13"/>
    <w:rsid w:val="00351E6F"/>
    <w:rsid w:val="00351EC3"/>
    <w:rsid w:val="00351F6E"/>
    <w:rsid w:val="003521CC"/>
    <w:rsid w:val="00352437"/>
    <w:rsid w:val="00352664"/>
    <w:rsid w:val="0035319F"/>
    <w:rsid w:val="003531EE"/>
    <w:rsid w:val="0035448F"/>
    <w:rsid w:val="00355695"/>
    <w:rsid w:val="0035645A"/>
    <w:rsid w:val="00356C62"/>
    <w:rsid w:val="00356E6E"/>
    <w:rsid w:val="00356E8D"/>
    <w:rsid w:val="00357F5F"/>
    <w:rsid w:val="00360485"/>
    <w:rsid w:val="00361576"/>
    <w:rsid w:val="0036169F"/>
    <w:rsid w:val="00362BBB"/>
    <w:rsid w:val="00363B9B"/>
    <w:rsid w:val="00363F52"/>
    <w:rsid w:val="00364162"/>
    <w:rsid w:val="0036446E"/>
    <w:rsid w:val="003644E9"/>
    <w:rsid w:val="00364931"/>
    <w:rsid w:val="003653FE"/>
    <w:rsid w:val="003659E1"/>
    <w:rsid w:val="00365D01"/>
    <w:rsid w:val="003660A3"/>
    <w:rsid w:val="0036640F"/>
    <w:rsid w:val="0036722F"/>
    <w:rsid w:val="00367575"/>
    <w:rsid w:val="0036783E"/>
    <w:rsid w:val="0036790E"/>
    <w:rsid w:val="0037075B"/>
    <w:rsid w:val="00370E49"/>
    <w:rsid w:val="00371311"/>
    <w:rsid w:val="003719EC"/>
    <w:rsid w:val="00371B26"/>
    <w:rsid w:val="00372333"/>
    <w:rsid w:val="00372450"/>
    <w:rsid w:val="0037264D"/>
    <w:rsid w:val="00372657"/>
    <w:rsid w:val="00372788"/>
    <w:rsid w:val="00372A78"/>
    <w:rsid w:val="00372AAC"/>
    <w:rsid w:val="00372AB0"/>
    <w:rsid w:val="00372E89"/>
    <w:rsid w:val="003735E2"/>
    <w:rsid w:val="003736AC"/>
    <w:rsid w:val="0037395F"/>
    <w:rsid w:val="00373C08"/>
    <w:rsid w:val="00373F5E"/>
    <w:rsid w:val="00373FDC"/>
    <w:rsid w:val="0037455C"/>
    <w:rsid w:val="00374996"/>
    <w:rsid w:val="00375903"/>
    <w:rsid w:val="00376101"/>
    <w:rsid w:val="0037665F"/>
    <w:rsid w:val="00376AAB"/>
    <w:rsid w:val="00377228"/>
    <w:rsid w:val="00377690"/>
    <w:rsid w:val="003818DD"/>
    <w:rsid w:val="0038236C"/>
    <w:rsid w:val="0038263E"/>
    <w:rsid w:val="003826A5"/>
    <w:rsid w:val="00382BA2"/>
    <w:rsid w:val="003830F1"/>
    <w:rsid w:val="003839EF"/>
    <w:rsid w:val="00383EAA"/>
    <w:rsid w:val="0038407A"/>
    <w:rsid w:val="0038465B"/>
    <w:rsid w:val="0038479B"/>
    <w:rsid w:val="003847B6"/>
    <w:rsid w:val="00384BB9"/>
    <w:rsid w:val="0038607B"/>
    <w:rsid w:val="0038796E"/>
    <w:rsid w:val="0039094D"/>
    <w:rsid w:val="0039172F"/>
    <w:rsid w:val="00391E5C"/>
    <w:rsid w:val="00391E73"/>
    <w:rsid w:val="00392317"/>
    <w:rsid w:val="00392E9C"/>
    <w:rsid w:val="0039416E"/>
    <w:rsid w:val="0039436A"/>
    <w:rsid w:val="00394499"/>
    <w:rsid w:val="003944E4"/>
    <w:rsid w:val="00395A6C"/>
    <w:rsid w:val="00395D30"/>
    <w:rsid w:val="0039633B"/>
    <w:rsid w:val="00396AE3"/>
    <w:rsid w:val="00396B67"/>
    <w:rsid w:val="00397620"/>
    <w:rsid w:val="003976C9"/>
    <w:rsid w:val="00397857"/>
    <w:rsid w:val="003A00CF"/>
    <w:rsid w:val="003A0260"/>
    <w:rsid w:val="003A02A6"/>
    <w:rsid w:val="003A0616"/>
    <w:rsid w:val="003A197B"/>
    <w:rsid w:val="003A1B35"/>
    <w:rsid w:val="003A1E67"/>
    <w:rsid w:val="003A2970"/>
    <w:rsid w:val="003A2A86"/>
    <w:rsid w:val="003A2C6E"/>
    <w:rsid w:val="003A2E97"/>
    <w:rsid w:val="003A3540"/>
    <w:rsid w:val="003A3638"/>
    <w:rsid w:val="003A3C83"/>
    <w:rsid w:val="003A547B"/>
    <w:rsid w:val="003A59D5"/>
    <w:rsid w:val="003A6986"/>
    <w:rsid w:val="003A760F"/>
    <w:rsid w:val="003A798F"/>
    <w:rsid w:val="003A7B93"/>
    <w:rsid w:val="003A7F31"/>
    <w:rsid w:val="003A7F41"/>
    <w:rsid w:val="003B0C4F"/>
    <w:rsid w:val="003B0D5A"/>
    <w:rsid w:val="003B0D81"/>
    <w:rsid w:val="003B21FE"/>
    <w:rsid w:val="003B2215"/>
    <w:rsid w:val="003B2574"/>
    <w:rsid w:val="003B2710"/>
    <w:rsid w:val="003B278E"/>
    <w:rsid w:val="003B2F5E"/>
    <w:rsid w:val="003B3065"/>
    <w:rsid w:val="003B38B5"/>
    <w:rsid w:val="003B55F7"/>
    <w:rsid w:val="003B58B6"/>
    <w:rsid w:val="003B5E80"/>
    <w:rsid w:val="003B666C"/>
    <w:rsid w:val="003B7060"/>
    <w:rsid w:val="003B7418"/>
    <w:rsid w:val="003B7619"/>
    <w:rsid w:val="003C0290"/>
    <w:rsid w:val="003C0532"/>
    <w:rsid w:val="003C0A12"/>
    <w:rsid w:val="003C1C7E"/>
    <w:rsid w:val="003C2596"/>
    <w:rsid w:val="003C28B2"/>
    <w:rsid w:val="003C29F7"/>
    <w:rsid w:val="003C2EC1"/>
    <w:rsid w:val="003C315A"/>
    <w:rsid w:val="003C378C"/>
    <w:rsid w:val="003C3CB1"/>
    <w:rsid w:val="003C4477"/>
    <w:rsid w:val="003C46A3"/>
    <w:rsid w:val="003C4819"/>
    <w:rsid w:val="003C491F"/>
    <w:rsid w:val="003C4A8E"/>
    <w:rsid w:val="003C4AA6"/>
    <w:rsid w:val="003C5ABA"/>
    <w:rsid w:val="003C600F"/>
    <w:rsid w:val="003C690E"/>
    <w:rsid w:val="003C6B2F"/>
    <w:rsid w:val="003D0119"/>
    <w:rsid w:val="003D0D5E"/>
    <w:rsid w:val="003D1E04"/>
    <w:rsid w:val="003D33AE"/>
    <w:rsid w:val="003D3B96"/>
    <w:rsid w:val="003D4182"/>
    <w:rsid w:val="003D457A"/>
    <w:rsid w:val="003D4BB7"/>
    <w:rsid w:val="003D4C88"/>
    <w:rsid w:val="003D5FF8"/>
    <w:rsid w:val="003D6588"/>
    <w:rsid w:val="003D6B8A"/>
    <w:rsid w:val="003D6D2A"/>
    <w:rsid w:val="003D6D2D"/>
    <w:rsid w:val="003D7C20"/>
    <w:rsid w:val="003D7CF5"/>
    <w:rsid w:val="003D7D14"/>
    <w:rsid w:val="003E0431"/>
    <w:rsid w:val="003E1C00"/>
    <w:rsid w:val="003E2040"/>
    <w:rsid w:val="003E21A7"/>
    <w:rsid w:val="003E2583"/>
    <w:rsid w:val="003E25FE"/>
    <w:rsid w:val="003E280F"/>
    <w:rsid w:val="003E3075"/>
    <w:rsid w:val="003E3152"/>
    <w:rsid w:val="003E3235"/>
    <w:rsid w:val="003E3342"/>
    <w:rsid w:val="003E4729"/>
    <w:rsid w:val="003E4F5C"/>
    <w:rsid w:val="003E5534"/>
    <w:rsid w:val="003E5D92"/>
    <w:rsid w:val="003E636F"/>
    <w:rsid w:val="003E66BC"/>
    <w:rsid w:val="003E6E9E"/>
    <w:rsid w:val="003E7279"/>
    <w:rsid w:val="003E7A79"/>
    <w:rsid w:val="003F136E"/>
    <w:rsid w:val="003F13B5"/>
    <w:rsid w:val="003F13FF"/>
    <w:rsid w:val="003F35BE"/>
    <w:rsid w:val="003F3C15"/>
    <w:rsid w:val="003F3FDE"/>
    <w:rsid w:val="003F454F"/>
    <w:rsid w:val="003F45A3"/>
    <w:rsid w:val="003F4862"/>
    <w:rsid w:val="003F4A79"/>
    <w:rsid w:val="003F4B65"/>
    <w:rsid w:val="003F4D31"/>
    <w:rsid w:val="003F4D92"/>
    <w:rsid w:val="003F59C7"/>
    <w:rsid w:val="003F5BE0"/>
    <w:rsid w:val="003F5FAB"/>
    <w:rsid w:val="003F5FB4"/>
    <w:rsid w:val="003F61F8"/>
    <w:rsid w:val="003F6774"/>
    <w:rsid w:val="003F6A15"/>
    <w:rsid w:val="003F6DD3"/>
    <w:rsid w:val="003F7046"/>
    <w:rsid w:val="003F77F4"/>
    <w:rsid w:val="003F78DA"/>
    <w:rsid w:val="0040025A"/>
    <w:rsid w:val="00400E34"/>
    <w:rsid w:val="00400E94"/>
    <w:rsid w:val="0040276D"/>
    <w:rsid w:val="0040314C"/>
    <w:rsid w:val="004037B9"/>
    <w:rsid w:val="004038DD"/>
    <w:rsid w:val="00403D57"/>
    <w:rsid w:val="00405110"/>
    <w:rsid w:val="0040736B"/>
    <w:rsid w:val="0040764F"/>
    <w:rsid w:val="00407B64"/>
    <w:rsid w:val="00410799"/>
    <w:rsid w:val="00410ACC"/>
    <w:rsid w:val="00410C00"/>
    <w:rsid w:val="00410C2B"/>
    <w:rsid w:val="00411919"/>
    <w:rsid w:val="004119A4"/>
    <w:rsid w:val="00411DFA"/>
    <w:rsid w:val="00412651"/>
    <w:rsid w:val="00413C0E"/>
    <w:rsid w:val="00414229"/>
    <w:rsid w:val="004148AD"/>
    <w:rsid w:val="004151B1"/>
    <w:rsid w:val="004154CE"/>
    <w:rsid w:val="00415C47"/>
    <w:rsid w:val="00415FD6"/>
    <w:rsid w:val="00416AC3"/>
    <w:rsid w:val="00416D9B"/>
    <w:rsid w:val="00416FD8"/>
    <w:rsid w:val="0041726F"/>
    <w:rsid w:val="0041748C"/>
    <w:rsid w:val="00417B45"/>
    <w:rsid w:val="00417C4B"/>
    <w:rsid w:val="00417EC0"/>
    <w:rsid w:val="00417FBC"/>
    <w:rsid w:val="004200D3"/>
    <w:rsid w:val="0042027C"/>
    <w:rsid w:val="004204DA"/>
    <w:rsid w:val="00420C1E"/>
    <w:rsid w:val="00420F05"/>
    <w:rsid w:val="00421722"/>
    <w:rsid w:val="00422953"/>
    <w:rsid w:val="0042297E"/>
    <w:rsid w:val="004230A0"/>
    <w:rsid w:val="0042318E"/>
    <w:rsid w:val="0042394F"/>
    <w:rsid w:val="004239E9"/>
    <w:rsid w:val="00424060"/>
    <w:rsid w:val="00424BDE"/>
    <w:rsid w:val="00424CDC"/>
    <w:rsid w:val="004252AA"/>
    <w:rsid w:val="00425F20"/>
    <w:rsid w:val="004261BF"/>
    <w:rsid w:val="00430133"/>
    <w:rsid w:val="004301DB"/>
    <w:rsid w:val="0043051C"/>
    <w:rsid w:val="00430E46"/>
    <w:rsid w:val="00432242"/>
    <w:rsid w:val="00432897"/>
    <w:rsid w:val="00432ED3"/>
    <w:rsid w:val="00433C93"/>
    <w:rsid w:val="00434319"/>
    <w:rsid w:val="00434FB7"/>
    <w:rsid w:val="0043516A"/>
    <w:rsid w:val="0043533F"/>
    <w:rsid w:val="004358A2"/>
    <w:rsid w:val="00435A49"/>
    <w:rsid w:val="00435B2B"/>
    <w:rsid w:val="004369E9"/>
    <w:rsid w:val="0044017F"/>
    <w:rsid w:val="004404A3"/>
    <w:rsid w:val="00440D74"/>
    <w:rsid w:val="00440E9B"/>
    <w:rsid w:val="00440FF2"/>
    <w:rsid w:val="00441B21"/>
    <w:rsid w:val="0044237D"/>
    <w:rsid w:val="0044289E"/>
    <w:rsid w:val="00442981"/>
    <w:rsid w:val="00442E05"/>
    <w:rsid w:val="00442E08"/>
    <w:rsid w:val="004433E5"/>
    <w:rsid w:val="0044372A"/>
    <w:rsid w:val="00443E94"/>
    <w:rsid w:val="00443EB4"/>
    <w:rsid w:val="00443FE3"/>
    <w:rsid w:val="00443FF5"/>
    <w:rsid w:val="0044444E"/>
    <w:rsid w:val="00445345"/>
    <w:rsid w:val="0044553A"/>
    <w:rsid w:val="00446718"/>
    <w:rsid w:val="00446E89"/>
    <w:rsid w:val="00447989"/>
    <w:rsid w:val="00447D07"/>
    <w:rsid w:val="004501C3"/>
    <w:rsid w:val="004506EF"/>
    <w:rsid w:val="00450FBF"/>
    <w:rsid w:val="00451A72"/>
    <w:rsid w:val="004527E3"/>
    <w:rsid w:val="00452EA7"/>
    <w:rsid w:val="00453BD9"/>
    <w:rsid w:val="00453E97"/>
    <w:rsid w:val="00454404"/>
    <w:rsid w:val="00454417"/>
    <w:rsid w:val="0045486D"/>
    <w:rsid w:val="00454A94"/>
    <w:rsid w:val="00455017"/>
    <w:rsid w:val="0045507F"/>
    <w:rsid w:val="00455373"/>
    <w:rsid w:val="0045586B"/>
    <w:rsid w:val="004558C5"/>
    <w:rsid w:val="00455D03"/>
    <w:rsid w:val="00455DD1"/>
    <w:rsid w:val="0045667C"/>
    <w:rsid w:val="00456A31"/>
    <w:rsid w:val="00456C63"/>
    <w:rsid w:val="00456C8B"/>
    <w:rsid w:val="00457B06"/>
    <w:rsid w:val="00457D03"/>
    <w:rsid w:val="004601FA"/>
    <w:rsid w:val="00460618"/>
    <w:rsid w:val="004611F9"/>
    <w:rsid w:val="0046140B"/>
    <w:rsid w:val="00461697"/>
    <w:rsid w:val="004619D8"/>
    <w:rsid w:val="004622A3"/>
    <w:rsid w:val="00462FE1"/>
    <w:rsid w:val="004634DB"/>
    <w:rsid w:val="00463668"/>
    <w:rsid w:val="00463AE1"/>
    <w:rsid w:val="00463C1C"/>
    <w:rsid w:val="0046462C"/>
    <w:rsid w:val="0046464F"/>
    <w:rsid w:val="00464E41"/>
    <w:rsid w:val="0046535A"/>
    <w:rsid w:val="00465698"/>
    <w:rsid w:val="00465765"/>
    <w:rsid w:val="0046748A"/>
    <w:rsid w:val="004678E6"/>
    <w:rsid w:val="004678F2"/>
    <w:rsid w:val="00467C2F"/>
    <w:rsid w:val="00470528"/>
    <w:rsid w:val="00470893"/>
    <w:rsid w:val="00470BAF"/>
    <w:rsid w:val="00470E58"/>
    <w:rsid w:val="0047123E"/>
    <w:rsid w:val="00471418"/>
    <w:rsid w:val="004714F3"/>
    <w:rsid w:val="00471A0E"/>
    <w:rsid w:val="00471DBF"/>
    <w:rsid w:val="00472493"/>
    <w:rsid w:val="00472ACA"/>
    <w:rsid w:val="004734CB"/>
    <w:rsid w:val="004740AE"/>
    <w:rsid w:val="00474AB0"/>
    <w:rsid w:val="00475A71"/>
    <w:rsid w:val="00476085"/>
    <w:rsid w:val="004766AE"/>
    <w:rsid w:val="004769BD"/>
    <w:rsid w:val="00476C15"/>
    <w:rsid w:val="00476C3B"/>
    <w:rsid w:val="00476F6E"/>
    <w:rsid w:val="0047711D"/>
    <w:rsid w:val="00477C4C"/>
    <w:rsid w:val="00480048"/>
    <w:rsid w:val="004806FE"/>
    <w:rsid w:val="00480FC2"/>
    <w:rsid w:val="00481D37"/>
    <w:rsid w:val="00482157"/>
    <w:rsid w:val="004821CA"/>
    <w:rsid w:val="004826FD"/>
    <w:rsid w:val="004828FD"/>
    <w:rsid w:val="00482BA6"/>
    <w:rsid w:val="00482D24"/>
    <w:rsid w:val="00482EC7"/>
    <w:rsid w:val="00482F47"/>
    <w:rsid w:val="00483437"/>
    <w:rsid w:val="00483521"/>
    <w:rsid w:val="00483AFC"/>
    <w:rsid w:val="00483FC3"/>
    <w:rsid w:val="00484074"/>
    <w:rsid w:val="00485421"/>
    <w:rsid w:val="004856AE"/>
    <w:rsid w:val="004858CD"/>
    <w:rsid w:val="0048596C"/>
    <w:rsid w:val="004861DB"/>
    <w:rsid w:val="004864C1"/>
    <w:rsid w:val="00486544"/>
    <w:rsid w:val="00487382"/>
    <w:rsid w:val="00487BE8"/>
    <w:rsid w:val="004902E4"/>
    <w:rsid w:val="00490568"/>
    <w:rsid w:val="0049081B"/>
    <w:rsid w:val="00490A15"/>
    <w:rsid w:val="00491A32"/>
    <w:rsid w:val="00491AFB"/>
    <w:rsid w:val="00491F32"/>
    <w:rsid w:val="00491F75"/>
    <w:rsid w:val="00492605"/>
    <w:rsid w:val="00492AE5"/>
    <w:rsid w:val="00492F6B"/>
    <w:rsid w:val="004934C7"/>
    <w:rsid w:val="00493933"/>
    <w:rsid w:val="00493CDC"/>
    <w:rsid w:val="00493D09"/>
    <w:rsid w:val="004955D7"/>
    <w:rsid w:val="00496796"/>
    <w:rsid w:val="0049736C"/>
    <w:rsid w:val="0049736D"/>
    <w:rsid w:val="00497712"/>
    <w:rsid w:val="004A12C0"/>
    <w:rsid w:val="004A1F14"/>
    <w:rsid w:val="004A20BE"/>
    <w:rsid w:val="004A248E"/>
    <w:rsid w:val="004A2AD8"/>
    <w:rsid w:val="004A31C0"/>
    <w:rsid w:val="004A3552"/>
    <w:rsid w:val="004A3843"/>
    <w:rsid w:val="004A3D26"/>
    <w:rsid w:val="004A55F9"/>
    <w:rsid w:val="004A5883"/>
    <w:rsid w:val="004A5A48"/>
    <w:rsid w:val="004A5F7E"/>
    <w:rsid w:val="004A7273"/>
    <w:rsid w:val="004A7543"/>
    <w:rsid w:val="004A78F7"/>
    <w:rsid w:val="004A7C07"/>
    <w:rsid w:val="004A7F0C"/>
    <w:rsid w:val="004A7F74"/>
    <w:rsid w:val="004B0AB8"/>
    <w:rsid w:val="004B0DB5"/>
    <w:rsid w:val="004B0F04"/>
    <w:rsid w:val="004B1675"/>
    <w:rsid w:val="004B178C"/>
    <w:rsid w:val="004B252A"/>
    <w:rsid w:val="004B26DC"/>
    <w:rsid w:val="004B2AD2"/>
    <w:rsid w:val="004B31D3"/>
    <w:rsid w:val="004B33F6"/>
    <w:rsid w:val="004B3E22"/>
    <w:rsid w:val="004B40BE"/>
    <w:rsid w:val="004B44E0"/>
    <w:rsid w:val="004B459B"/>
    <w:rsid w:val="004B4C86"/>
    <w:rsid w:val="004B546B"/>
    <w:rsid w:val="004B5526"/>
    <w:rsid w:val="004B6090"/>
    <w:rsid w:val="004B65CF"/>
    <w:rsid w:val="004B67F4"/>
    <w:rsid w:val="004B69EF"/>
    <w:rsid w:val="004B6B1C"/>
    <w:rsid w:val="004B702C"/>
    <w:rsid w:val="004B77FB"/>
    <w:rsid w:val="004B7EE1"/>
    <w:rsid w:val="004C060B"/>
    <w:rsid w:val="004C081C"/>
    <w:rsid w:val="004C138D"/>
    <w:rsid w:val="004C20C8"/>
    <w:rsid w:val="004C221B"/>
    <w:rsid w:val="004C2815"/>
    <w:rsid w:val="004C2ADF"/>
    <w:rsid w:val="004C376A"/>
    <w:rsid w:val="004C3AA3"/>
    <w:rsid w:val="004C3FA5"/>
    <w:rsid w:val="004C442C"/>
    <w:rsid w:val="004C4468"/>
    <w:rsid w:val="004C4DC8"/>
    <w:rsid w:val="004C4EF9"/>
    <w:rsid w:val="004C56D2"/>
    <w:rsid w:val="004C6321"/>
    <w:rsid w:val="004C66C6"/>
    <w:rsid w:val="004C66F9"/>
    <w:rsid w:val="004C7080"/>
    <w:rsid w:val="004D0A36"/>
    <w:rsid w:val="004D0BA6"/>
    <w:rsid w:val="004D128A"/>
    <w:rsid w:val="004D14B3"/>
    <w:rsid w:val="004D18C0"/>
    <w:rsid w:val="004D1E44"/>
    <w:rsid w:val="004D26BD"/>
    <w:rsid w:val="004D2CE4"/>
    <w:rsid w:val="004D2DA8"/>
    <w:rsid w:val="004D3200"/>
    <w:rsid w:val="004D3940"/>
    <w:rsid w:val="004D3CBE"/>
    <w:rsid w:val="004D448B"/>
    <w:rsid w:val="004D4940"/>
    <w:rsid w:val="004D4986"/>
    <w:rsid w:val="004D4DD5"/>
    <w:rsid w:val="004D5408"/>
    <w:rsid w:val="004D54AD"/>
    <w:rsid w:val="004D59D2"/>
    <w:rsid w:val="004D5ECE"/>
    <w:rsid w:val="004D61BF"/>
    <w:rsid w:val="004D6370"/>
    <w:rsid w:val="004D66C5"/>
    <w:rsid w:val="004D6861"/>
    <w:rsid w:val="004D6D13"/>
    <w:rsid w:val="004D6D26"/>
    <w:rsid w:val="004E023E"/>
    <w:rsid w:val="004E0AF4"/>
    <w:rsid w:val="004E181E"/>
    <w:rsid w:val="004E28E7"/>
    <w:rsid w:val="004E2F5B"/>
    <w:rsid w:val="004E3066"/>
    <w:rsid w:val="004E4473"/>
    <w:rsid w:val="004E51A2"/>
    <w:rsid w:val="004E58E9"/>
    <w:rsid w:val="004E58F7"/>
    <w:rsid w:val="004E5937"/>
    <w:rsid w:val="004E5BF4"/>
    <w:rsid w:val="004E6090"/>
    <w:rsid w:val="004E6A16"/>
    <w:rsid w:val="004E7A16"/>
    <w:rsid w:val="004F0006"/>
    <w:rsid w:val="004F056B"/>
    <w:rsid w:val="004F0DE2"/>
    <w:rsid w:val="004F0E6E"/>
    <w:rsid w:val="004F1098"/>
    <w:rsid w:val="004F1BCE"/>
    <w:rsid w:val="004F1DDD"/>
    <w:rsid w:val="004F2534"/>
    <w:rsid w:val="004F3D65"/>
    <w:rsid w:val="004F4273"/>
    <w:rsid w:val="004F4483"/>
    <w:rsid w:val="004F4F2B"/>
    <w:rsid w:val="004F50DD"/>
    <w:rsid w:val="004F6238"/>
    <w:rsid w:val="004F6385"/>
    <w:rsid w:val="004F6858"/>
    <w:rsid w:val="004F7BE1"/>
    <w:rsid w:val="004F7C93"/>
    <w:rsid w:val="00500825"/>
    <w:rsid w:val="00500E64"/>
    <w:rsid w:val="00501443"/>
    <w:rsid w:val="00501543"/>
    <w:rsid w:val="0050160B"/>
    <w:rsid w:val="005020DF"/>
    <w:rsid w:val="0050283F"/>
    <w:rsid w:val="00503DBC"/>
    <w:rsid w:val="00503E19"/>
    <w:rsid w:val="00503F5A"/>
    <w:rsid w:val="00504247"/>
    <w:rsid w:val="0050487F"/>
    <w:rsid w:val="00504EFB"/>
    <w:rsid w:val="00504F0B"/>
    <w:rsid w:val="00505FC0"/>
    <w:rsid w:val="00505FF4"/>
    <w:rsid w:val="005060DE"/>
    <w:rsid w:val="0050624D"/>
    <w:rsid w:val="0050732D"/>
    <w:rsid w:val="00507581"/>
    <w:rsid w:val="005106D5"/>
    <w:rsid w:val="0051164F"/>
    <w:rsid w:val="0051186C"/>
    <w:rsid w:val="0051195C"/>
    <w:rsid w:val="005128A0"/>
    <w:rsid w:val="00512A1C"/>
    <w:rsid w:val="00512F45"/>
    <w:rsid w:val="00513216"/>
    <w:rsid w:val="005132A9"/>
    <w:rsid w:val="00513A74"/>
    <w:rsid w:val="00513F4D"/>
    <w:rsid w:val="0051422C"/>
    <w:rsid w:val="00515B9E"/>
    <w:rsid w:val="00516099"/>
    <w:rsid w:val="00516D71"/>
    <w:rsid w:val="00517D0B"/>
    <w:rsid w:val="0052035B"/>
    <w:rsid w:val="005206D5"/>
    <w:rsid w:val="00520770"/>
    <w:rsid w:val="00521133"/>
    <w:rsid w:val="005216CB"/>
    <w:rsid w:val="00521A07"/>
    <w:rsid w:val="00521EFD"/>
    <w:rsid w:val="0052229F"/>
    <w:rsid w:val="005222E5"/>
    <w:rsid w:val="005233CE"/>
    <w:rsid w:val="00523DCA"/>
    <w:rsid w:val="005246CA"/>
    <w:rsid w:val="00524B9A"/>
    <w:rsid w:val="00524E0B"/>
    <w:rsid w:val="00525E7C"/>
    <w:rsid w:val="005263F5"/>
    <w:rsid w:val="00526D32"/>
    <w:rsid w:val="0052705E"/>
    <w:rsid w:val="00527A75"/>
    <w:rsid w:val="00527C3A"/>
    <w:rsid w:val="00527DD6"/>
    <w:rsid w:val="00530041"/>
    <w:rsid w:val="005303AD"/>
    <w:rsid w:val="00530D3A"/>
    <w:rsid w:val="00530F6B"/>
    <w:rsid w:val="005312C3"/>
    <w:rsid w:val="00531D5D"/>
    <w:rsid w:val="005320A6"/>
    <w:rsid w:val="0053274B"/>
    <w:rsid w:val="00532957"/>
    <w:rsid w:val="005333D0"/>
    <w:rsid w:val="0053373E"/>
    <w:rsid w:val="00533A90"/>
    <w:rsid w:val="00533BDF"/>
    <w:rsid w:val="00534166"/>
    <w:rsid w:val="005346E8"/>
    <w:rsid w:val="00535408"/>
    <w:rsid w:val="005363A1"/>
    <w:rsid w:val="005363C3"/>
    <w:rsid w:val="00536873"/>
    <w:rsid w:val="00536AF3"/>
    <w:rsid w:val="00536EA5"/>
    <w:rsid w:val="005370A3"/>
    <w:rsid w:val="00537F58"/>
    <w:rsid w:val="00540888"/>
    <w:rsid w:val="005408F8"/>
    <w:rsid w:val="00540ABD"/>
    <w:rsid w:val="00540B7B"/>
    <w:rsid w:val="00540C98"/>
    <w:rsid w:val="00540EB9"/>
    <w:rsid w:val="00541079"/>
    <w:rsid w:val="005412B3"/>
    <w:rsid w:val="005415D6"/>
    <w:rsid w:val="005420E7"/>
    <w:rsid w:val="005422D4"/>
    <w:rsid w:val="00542374"/>
    <w:rsid w:val="0054286D"/>
    <w:rsid w:val="00542F3F"/>
    <w:rsid w:val="0054361B"/>
    <w:rsid w:val="0054382D"/>
    <w:rsid w:val="005439F3"/>
    <w:rsid w:val="00543D94"/>
    <w:rsid w:val="0054483D"/>
    <w:rsid w:val="00544F83"/>
    <w:rsid w:val="00545061"/>
    <w:rsid w:val="0054586F"/>
    <w:rsid w:val="00545BBB"/>
    <w:rsid w:val="00546453"/>
    <w:rsid w:val="005465A9"/>
    <w:rsid w:val="00546D2C"/>
    <w:rsid w:val="00547251"/>
    <w:rsid w:val="00547ACA"/>
    <w:rsid w:val="00547DB4"/>
    <w:rsid w:val="00547ED0"/>
    <w:rsid w:val="005502FB"/>
    <w:rsid w:val="00550503"/>
    <w:rsid w:val="0055072E"/>
    <w:rsid w:val="00550962"/>
    <w:rsid w:val="0055097B"/>
    <w:rsid w:val="00550F54"/>
    <w:rsid w:val="00550F62"/>
    <w:rsid w:val="0055180C"/>
    <w:rsid w:val="00552361"/>
    <w:rsid w:val="00552509"/>
    <w:rsid w:val="0055285C"/>
    <w:rsid w:val="00552FAC"/>
    <w:rsid w:val="00553AB6"/>
    <w:rsid w:val="00553F2F"/>
    <w:rsid w:val="005540C9"/>
    <w:rsid w:val="00554B21"/>
    <w:rsid w:val="00555079"/>
    <w:rsid w:val="00555902"/>
    <w:rsid w:val="00555B26"/>
    <w:rsid w:val="00555B97"/>
    <w:rsid w:val="0055612C"/>
    <w:rsid w:val="00557191"/>
    <w:rsid w:val="00557829"/>
    <w:rsid w:val="00557C4C"/>
    <w:rsid w:val="0056026E"/>
    <w:rsid w:val="00560919"/>
    <w:rsid w:val="005620FC"/>
    <w:rsid w:val="0056423C"/>
    <w:rsid w:val="00564B49"/>
    <w:rsid w:val="00564D09"/>
    <w:rsid w:val="005652A3"/>
    <w:rsid w:val="00565420"/>
    <w:rsid w:val="0056563E"/>
    <w:rsid w:val="00565BAD"/>
    <w:rsid w:val="00566134"/>
    <w:rsid w:val="005663CC"/>
    <w:rsid w:val="00567E9E"/>
    <w:rsid w:val="00570A5F"/>
    <w:rsid w:val="005712C1"/>
    <w:rsid w:val="0057159E"/>
    <w:rsid w:val="0057186C"/>
    <w:rsid w:val="00571BC5"/>
    <w:rsid w:val="00571CC6"/>
    <w:rsid w:val="00571D66"/>
    <w:rsid w:val="005722F4"/>
    <w:rsid w:val="00572401"/>
    <w:rsid w:val="0057365E"/>
    <w:rsid w:val="005739C8"/>
    <w:rsid w:val="005743B5"/>
    <w:rsid w:val="00574A11"/>
    <w:rsid w:val="0057552B"/>
    <w:rsid w:val="005759E5"/>
    <w:rsid w:val="005763D4"/>
    <w:rsid w:val="0057686C"/>
    <w:rsid w:val="00577E30"/>
    <w:rsid w:val="00580A85"/>
    <w:rsid w:val="00580DCB"/>
    <w:rsid w:val="00581036"/>
    <w:rsid w:val="0058112C"/>
    <w:rsid w:val="005816BC"/>
    <w:rsid w:val="005818FA"/>
    <w:rsid w:val="00581E78"/>
    <w:rsid w:val="00581EF7"/>
    <w:rsid w:val="005827EE"/>
    <w:rsid w:val="00582A96"/>
    <w:rsid w:val="005836DB"/>
    <w:rsid w:val="00583726"/>
    <w:rsid w:val="00584888"/>
    <w:rsid w:val="00584A54"/>
    <w:rsid w:val="00584DA9"/>
    <w:rsid w:val="0058582F"/>
    <w:rsid w:val="00585CF9"/>
    <w:rsid w:val="00586573"/>
    <w:rsid w:val="005865C0"/>
    <w:rsid w:val="00586777"/>
    <w:rsid w:val="00587103"/>
    <w:rsid w:val="005874B5"/>
    <w:rsid w:val="0058761B"/>
    <w:rsid w:val="00590979"/>
    <w:rsid w:val="00590986"/>
    <w:rsid w:val="00591352"/>
    <w:rsid w:val="00591F41"/>
    <w:rsid w:val="00592213"/>
    <w:rsid w:val="00592AFE"/>
    <w:rsid w:val="005931E9"/>
    <w:rsid w:val="00593CC5"/>
    <w:rsid w:val="00593DDD"/>
    <w:rsid w:val="005943F8"/>
    <w:rsid w:val="0059460A"/>
    <w:rsid w:val="005946EF"/>
    <w:rsid w:val="00594B66"/>
    <w:rsid w:val="00594BEF"/>
    <w:rsid w:val="0059549F"/>
    <w:rsid w:val="00595D63"/>
    <w:rsid w:val="005965F3"/>
    <w:rsid w:val="00596819"/>
    <w:rsid w:val="00596B80"/>
    <w:rsid w:val="00596BBC"/>
    <w:rsid w:val="005974EB"/>
    <w:rsid w:val="0059771C"/>
    <w:rsid w:val="005A0243"/>
    <w:rsid w:val="005A1980"/>
    <w:rsid w:val="005A1ECB"/>
    <w:rsid w:val="005A269E"/>
    <w:rsid w:val="005A46B2"/>
    <w:rsid w:val="005A4791"/>
    <w:rsid w:val="005A4900"/>
    <w:rsid w:val="005A4B4C"/>
    <w:rsid w:val="005A54DB"/>
    <w:rsid w:val="005A593B"/>
    <w:rsid w:val="005A61D8"/>
    <w:rsid w:val="005A6444"/>
    <w:rsid w:val="005A646E"/>
    <w:rsid w:val="005A6954"/>
    <w:rsid w:val="005A6CA6"/>
    <w:rsid w:val="005A7055"/>
    <w:rsid w:val="005A72B1"/>
    <w:rsid w:val="005A7795"/>
    <w:rsid w:val="005B020F"/>
    <w:rsid w:val="005B0C03"/>
    <w:rsid w:val="005B1124"/>
    <w:rsid w:val="005B15D2"/>
    <w:rsid w:val="005B177D"/>
    <w:rsid w:val="005B228E"/>
    <w:rsid w:val="005B25EF"/>
    <w:rsid w:val="005B2E0C"/>
    <w:rsid w:val="005B2E6D"/>
    <w:rsid w:val="005B3227"/>
    <w:rsid w:val="005B342D"/>
    <w:rsid w:val="005B4D36"/>
    <w:rsid w:val="005B5928"/>
    <w:rsid w:val="005B62CD"/>
    <w:rsid w:val="005B6975"/>
    <w:rsid w:val="005B7730"/>
    <w:rsid w:val="005B77BE"/>
    <w:rsid w:val="005B7C7F"/>
    <w:rsid w:val="005B7DC1"/>
    <w:rsid w:val="005C04B7"/>
    <w:rsid w:val="005C0796"/>
    <w:rsid w:val="005C1C93"/>
    <w:rsid w:val="005C2504"/>
    <w:rsid w:val="005C37F8"/>
    <w:rsid w:val="005C3AE7"/>
    <w:rsid w:val="005C3DC7"/>
    <w:rsid w:val="005C489D"/>
    <w:rsid w:val="005C494C"/>
    <w:rsid w:val="005C54ED"/>
    <w:rsid w:val="005C58D8"/>
    <w:rsid w:val="005C5D57"/>
    <w:rsid w:val="005C6A3C"/>
    <w:rsid w:val="005D0F57"/>
    <w:rsid w:val="005D0FE6"/>
    <w:rsid w:val="005D1377"/>
    <w:rsid w:val="005D1757"/>
    <w:rsid w:val="005D3804"/>
    <w:rsid w:val="005D3877"/>
    <w:rsid w:val="005D3C54"/>
    <w:rsid w:val="005D4124"/>
    <w:rsid w:val="005D4FBC"/>
    <w:rsid w:val="005D5125"/>
    <w:rsid w:val="005D5554"/>
    <w:rsid w:val="005D5B44"/>
    <w:rsid w:val="005D5C54"/>
    <w:rsid w:val="005D654D"/>
    <w:rsid w:val="005D686E"/>
    <w:rsid w:val="005D7635"/>
    <w:rsid w:val="005D76FF"/>
    <w:rsid w:val="005D78AE"/>
    <w:rsid w:val="005D7EDD"/>
    <w:rsid w:val="005E01E3"/>
    <w:rsid w:val="005E02B7"/>
    <w:rsid w:val="005E056E"/>
    <w:rsid w:val="005E0930"/>
    <w:rsid w:val="005E0C0F"/>
    <w:rsid w:val="005E1056"/>
    <w:rsid w:val="005E10B3"/>
    <w:rsid w:val="005E11C1"/>
    <w:rsid w:val="005E1EC7"/>
    <w:rsid w:val="005E2394"/>
    <w:rsid w:val="005E270E"/>
    <w:rsid w:val="005E2953"/>
    <w:rsid w:val="005E358F"/>
    <w:rsid w:val="005E3FC7"/>
    <w:rsid w:val="005E40BF"/>
    <w:rsid w:val="005E5645"/>
    <w:rsid w:val="005E5FED"/>
    <w:rsid w:val="005E7559"/>
    <w:rsid w:val="005F0323"/>
    <w:rsid w:val="005F0B79"/>
    <w:rsid w:val="005F0D51"/>
    <w:rsid w:val="005F1023"/>
    <w:rsid w:val="005F1840"/>
    <w:rsid w:val="005F1B2B"/>
    <w:rsid w:val="005F1E9B"/>
    <w:rsid w:val="005F2404"/>
    <w:rsid w:val="005F27A2"/>
    <w:rsid w:val="005F32B9"/>
    <w:rsid w:val="005F33DE"/>
    <w:rsid w:val="005F4607"/>
    <w:rsid w:val="005F4AD6"/>
    <w:rsid w:val="005F50C8"/>
    <w:rsid w:val="005F533A"/>
    <w:rsid w:val="005F5567"/>
    <w:rsid w:val="005F6222"/>
    <w:rsid w:val="005F6458"/>
    <w:rsid w:val="005F7472"/>
    <w:rsid w:val="005F7507"/>
    <w:rsid w:val="005F774F"/>
    <w:rsid w:val="006006B6"/>
    <w:rsid w:val="00600EC4"/>
    <w:rsid w:val="0060131B"/>
    <w:rsid w:val="0060185E"/>
    <w:rsid w:val="00602917"/>
    <w:rsid w:val="00602BBA"/>
    <w:rsid w:val="00603285"/>
    <w:rsid w:val="00603969"/>
    <w:rsid w:val="006046D7"/>
    <w:rsid w:val="0060479D"/>
    <w:rsid w:val="00604D3A"/>
    <w:rsid w:val="00604DCF"/>
    <w:rsid w:val="00604DF3"/>
    <w:rsid w:val="00604F92"/>
    <w:rsid w:val="006051ED"/>
    <w:rsid w:val="00605377"/>
    <w:rsid w:val="006053C4"/>
    <w:rsid w:val="0060568E"/>
    <w:rsid w:val="00605875"/>
    <w:rsid w:val="00605F1B"/>
    <w:rsid w:val="00605FF9"/>
    <w:rsid w:val="00606402"/>
    <w:rsid w:val="00606945"/>
    <w:rsid w:val="00606AE3"/>
    <w:rsid w:val="006078FA"/>
    <w:rsid w:val="00610928"/>
    <w:rsid w:val="00610F9C"/>
    <w:rsid w:val="00611156"/>
    <w:rsid w:val="00611215"/>
    <w:rsid w:val="006112F6"/>
    <w:rsid w:val="006114AC"/>
    <w:rsid w:val="00611923"/>
    <w:rsid w:val="0061219D"/>
    <w:rsid w:val="006125BB"/>
    <w:rsid w:val="00612A06"/>
    <w:rsid w:val="006131DC"/>
    <w:rsid w:val="00613209"/>
    <w:rsid w:val="00613356"/>
    <w:rsid w:val="0061351B"/>
    <w:rsid w:val="00613D5D"/>
    <w:rsid w:val="00613F55"/>
    <w:rsid w:val="00614136"/>
    <w:rsid w:val="0061426E"/>
    <w:rsid w:val="0061642B"/>
    <w:rsid w:val="0061646E"/>
    <w:rsid w:val="006166DB"/>
    <w:rsid w:val="006174B3"/>
    <w:rsid w:val="006178DF"/>
    <w:rsid w:val="00617977"/>
    <w:rsid w:val="006203B4"/>
    <w:rsid w:val="006203EB"/>
    <w:rsid w:val="006206ED"/>
    <w:rsid w:val="006209F3"/>
    <w:rsid w:val="006214CE"/>
    <w:rsid w:val="00621B1A"/>
    <w:rsid w:val="006228FF"/>
    <w:rsid w:val="00622A8B"/>
    <w:rsid w:val="0062375C"/>
    <w:rsid w:val="006239DB"/>
    <w:rsid w:val="00623AEA"/>
    <w:rsid w:val="006243B7"/>
    <w:rsid w:val="00624CE7"/>
    <w:rsid w:val="00624E3F"/>
    <w:rsid w:val="00624EF5"/>
    <w:rsid w:val="00625775"/>
    <w:rsid w:val="0062645C"/>
    <w:rsid w:val="0062666B"/>
    <w:rsid w:val="00627557"/>
    <w:rsid w:val="0062761A"/>
    <w:rsid w:val="006277B2"/>
    <w:rsid w:val="006279D2"/>
    <w:rsid w:val="00630470"/>
    <w:rsid w:val="006306DE"/>
    <w:rsid w:val="006309B9"/>
    <w:rsid w:val="00630A82"/>
    <w:rsid w:val="00630C01"/>
    <w:rsid w:val="0063164D"/>
    <w:rsid w:val="00631743"/>
    <w:rsid w:val="006322AE"/>
    <w:rsid w:val="00632347"/>
    <w:rsid w:val="00632A16"/>
    <w:rsid w:val="00633317"/>
    <w:rsid w:val="0063375C"/>
    <w:rsid w:val="00634F25"/>
    <w:rsid w:val="00635362"/>
    <w:rsid w:val="00635CD8"/>
    <w:rsid w:val="0063632D"/>
    <w:rsid w:val="00636509"/>
    <w:rsid w:val="00636EEB"/>
    <w:rsid w:val="006375C5"/>
    <w:rsid w:val="006400CF"/>
    <w:rsid w:val="006402D4"/>
    <w:rsid w:val="00640FC5"/>
    <w:rsid w:val="00641D76"/>
    <w:rsid w:val="006427CA"/>
    <w:rsid w:val="00642BF0"/>
    <w:rsid w:val="006432F3"/>
    <w:rsid w:val="006435E0"/>
    <w:rsid w:val="0064419D"/>
    <w:rsid w:val="006446EE"/>
    <w:rsid w:val="00644845"/>
    <w:rsid w:val="00644B0A"/>
    <w:rsid w:val="0064595C"/>
    <w:rsid w:val="00645C5A"/>
    <w:rsid w:val="00645E83"/>
    <w:rsid w:val="006464A3"/>
    <w:rsid w:val="006465B1"/>
    <w:rsid w:val="006477DF"/>
    <w:rsid w:val="00647936"/>
    <w:rsid w:val="006500C2"/>
    <w:rsid w:val="0065019C"/>
    <w:rsid w:val="00650B41"/>
    <w:rsid w:val="00650D5C"/>
    <w:rsid w:val="006515FB"/>
    <w:rsid w:val="00651811"/>
    <w:rsid w:val="006530D9"/>
    <w:rsid w:val="0065316F"/>
    <w:rsid w:val="0065325C"/>
    <w:rsid w:val="00653388"/>
    <w:rsid w:val="00653562"/>
    <w:rsid w:val="0065368E"/>
    <w:rsid w:val="0065413A"/>
    <w:rsid w:val="006544B1"/>
    <w:rsid w:val="0065457D"/>
    <w:rsid w:val="0065497F"/>
    <w:rsid w:val="006552BE"/>
    <w:rsid w:val="00655469"/>
    <w:rsid w:val="00656102"/>
    <w:rsid w:val="00656516"/>
    <w:rsid w:val="006565EC"/>
    <w:rsid w:val="006566CF"/>
    <w:rsid w:val="006568BF"/>
    <w:rsid w:val="00656D04"/>
    <w:rsid w:val="00656D0D"/>
    <w:rsid w:val="0065736A"/>
    <w:rsid w:val="0065799E"/>
    <w:rsid w:val="00657C6E"/>
    <w:rsid w:val="00660034"/>
    <w:rsid w:val="00660562"/>
    <w:rsid w:val="00660C7A"/>
    <w:rsid w:val="00660D2E"/>
    <w:rsid w:val="00661A1B"/>
    <w:rsid w:val="00662745"/>
    <w:rsid w:val="00662838"/>
    <w:rsid w:val="00662FEF"/>
    <w:rsid w:val="00663635"/>
    <w:rsid w:val="00663A1A"/>
    <w:rsid w:val="00664247"/>
    <w:rsid w:val="0066448F"/>
    <w:rsid w:val="00664DAE"/>
    <w:rsid w:val="0066524B"/>
    <w:rsid w:val="006658F2"/>
    <w:rsid w:val="00665DFF"/>
    <w:rsid w:val="0066614D"/>
    <w:rsid w:val="0066621B"/>
    <w:rsid w:val="0066628A"/>
    <w:rsid w:val="00666E5C"/>
    <w:rsid w:val="00666F5C"/>
    <w:rsid w:val="00667175"/>
    <w:rsid w:val="006674CD"/>
    <w:rsid w:val="00667B2C"/>
    <w:rsid w:val="00667BBB"/>
    <w:rsid w:val="00667EDE"/>
    <w:rsid w:val="00667F9F"/>
    <w:rsid w:val="00670B9E"/>
    <w:rsid w:val="00670C70"/>
    <w:rsid w:val="00670FA6"/>
    <w:rsid w:val="00671BAC"/>
    <w:rsid w:val="006720B5"/>
    <w:rsid w:val="006723A8"/>
    <w:rsid w:val="006727F8"/>
    <w:rsid w:val="00672ED6"/>
    <w:rsid w:val="00673274"/>
    <w:rsid w:val="00673516"/>
    <w:rsid w:val="00673614"/>
    <w:rsid w:val="00673C3F"/>
    <w:rsid w:val="006743E4"/>
    <w:rsid w:val="006747E9"/>
    <w:rsid w:val="00674A73"/>
    <w:rsid w:val="00674CC4"/>
    <w:rsid w:val="00674EB2"/>
    <w:rsid w:val="006759D7"/>
    <w:rsid w:val="006760C8"/>
    <w:rsid w:val="00676169"/>
    <w:rsid w:val="0067644C"/>
    <w:rsid w:val="006764C9"/>
    <w:rsid w:val="00680116"/>
    <w:rsid w:val="006801C3"/>
    <w:rsid w:val="00680E90"/>
    <w:rsid w:val="00681F46"/>
    <w:rsid w:val="00682B10"/>
    <w:rsid w:val="00682B96"/>
    <w:rsid w:val="0068303B"/>
    <w:rsid w:val="006841D2"/>
    <w:rsid w:val="00684C8E"/>
    <w:rsid w:val="00684DA3"/>
    <w:rsid w:val="006856E4"/>
    <w:rsid w:val="00685952"/>
    <w:rsid w:val="006859CA"/>
    <w:rsid w:val="00685C5D"/>
    <w:rsid w:val="006864B0"/>
    <w:rsid w:val="006871A3"/>
    <w:rsid w:val="00687D49"/>
    <w:rsid w:val="00687DEE"/>
    <w:rsid w:val="00687FFB"/>
    <w:rsid w:val="00692034"/>
    <w:rsid w:val="0069205A"/>
    <w:rsid w:val="006922D4"/>
    <w:rsid w:val="006932E3"/>
    <w:rsid w:val="00694634"/>
    <w:rsid w:val="00694A79"/>
    <w:rsid w:val="00694D8E"/>
    <w:rsid w:val="00695300"/>
    <w:rsid w:val="00695BB4"/>
    <w:rsid w:val="00695C46"/>
    <w:rsid w:val="00695DEC"/>
    <w:rsid w:val="00695FAD"/>
    <w:rsid w:val="0069691E"/>
    <w:rsid w:val="00696A11"/>
    <w:rsid w:val="00697051"/>
    <w:rsid w:val="0069751E"/>
    <w:rsid w:val="006977C4"/>
    <w:rsid w:val="006978B4"/>
    <w:rsid w:val="00697D02"/>
    <w:rsid w:val="006A0148"/>
    <w:rsid w:val="006A0486"/>
    <w:rsid w:val="006A089A"/>
    <w:rsid w:val="006A0C1D"/>
    <w:rsid w:val="006A18AC"/>
    <w:rsid w:val="006A1A89"/>
    <w:rsid w:val="006A2722"/>
    <w:rsid w:val="006A289B"/>
    <w:rsid w:val="006A310C"/>
    <w:rsid w:val="006A3268"/>
    <w:rsid w:val="006A3AD8"/>
    <w:rsid w:val="006A4793"/>
    <w:rsid w:val="006A5433"/>
    <w:rsid w:val="006A5AD1"/>
    <w:rsid w:val="006A5DB7"/>
    <w:rsid w:val="006A7560"/>
    <w:rsid w:val="006A790B"/>
    <w:rsid w:val="006A7EEB"/>
    <w:rsid w:val="006B05FB"/>
    <w:rsid w:val="006B0B35"/>
    <w:rsid w:val="006B0EBD"/>
    <w:rsid w:val="006B13EA"/>
    <w:rsid w:val="006B1794"/>
    <w:rsid w:val="006B3056"/>
    <w:rsid w:val="006B3321"/>
    <w:rsid w:val="006B3866"/>
    <w:rsid w:val="006B3E3B"/>
    <w:rsid w:val="006B5025"/>
    <w:rsid w:val="006B538F"/>
    <w:rsid w:val="006B5614"/>
    <w:rsid w:val="006B59AC"/>
    <w:rsid w:val="006B5F09"/>
    <w:rsid w:val="006B6DB5"/>
    <w:rsid w:val="006B6E5D"/>
    <w:rsid w:val="006B6EEF"/>
    <w:rsid w:val="006B7ABE"/>
    <w:rsid w:val="006C0047"/>
    <w:rsid w:val="006C0C35"/>
    <w:rsid w:val="006C10FD"/>
    <w:rsid w:val="006C11F1"/>
    <w:rsid w:val="006C26E2"/>
    <w:rsid w:val="006C2A85"/>
    <w:rsid w:val="006C2B63"/>
    <w:rsid w:val="006C4045"/>
    <w:rsid w:val="006C416F"/>
    <w:rsid w:val="006C4FED"/>
    <w:rsid w:val="006C5315"/>
    <w:rsid w:val="006C5828"/>
    <w:rsid w:val="006C5875"/>
    <w:rsid w:val="006C636D"/>
    <w:rsid w:val="006C67AC"/>
    <w:rsid w:val="006C7333"/>
    <w:rsid w:val="006C7AA3"/>
    <w:rsid w:val="006C7BF6"/>
    <w:rsid w:val="006D029C"/>
    <w:rsid w:val="006D04A8"/>
    <w:rsid w:val="006D0520"/>
    <w:rsid w:val="006D08D6"/>
    <w:rsid w:val="006D0E50"/>
    <w:rsid w:val="006D1288"/>
    <w:rsid w:val="006D2119"/>
    <w:rsid w:val="006D2356"/>
    <w:rsid w:val="006D28A5"/>
    <w:rsid w:val="006D3425"/>
    <w:rsid w:val="006D34D5"/>
    <w:rsid w:val="006D4343"/>
    <w:rsid w:val="006D531A"/>
    <w:rsid w:val="006D58AE"/>
    <w:rsid w:val="006D6B64"/>
    <w:rsid w:val="006D7197"/>
    <w:rsid w:val="006D7B6B"/>
    <w:rsid w:val="006D7BCA"/>
    <w:rsid w:val="006E0511"/>
    <w:rsid w:val="006E1FF8"/>
    <w:rsid w:val="006E2010"/>
    <w:rsid w:val="006E2B72"/>
    <w:rsid w:val="006E2FA8"/>
    <w:rsid w:val="006E2FE4"/>
    <w:rsid w:val="006E4B5D"/>
    <w:rsid w:val="006E4EE3"/>
    <w:rsid w:val="006E4F55"/>
    <w:rsid w:val="006E5CFD"/>
    <w:rsid w:val="006E67DE"/>
    <w:rsid w:val="006E6D60"/>
    <w:rsid w:val="006E6DC9"/>
    <w:rsid w:val="006E6E03"/>
    <w:rsid w:val="006E7B39"/>
    <w:rsid w:val="006E7CBD"/>
    <w:rsid w:val="006F0390"/>
    <w:rsid w:val="006F0C1E"/>
    <w:rsid w:val="006F116D"/>
    <w:rsid w:val="006F11E8"/>
    <w:rsid w:val="006F166D"/>
    <w:rsid w:val="006F188C"/>
    <w:rsid w:val="006F1A4A"/>
    <w:rsid w:val="006F1C5F"/>
    <w:rsid w:val="006F2B7E"/>
    <w:rsid w:val="006F2E1A"/>
    <w:rsid w:val="006F3AAE"/>
    <w:rsid w:val="006F3DB6"/>
    <w:rsid w:val="006F3FD5"/>
    <w:rsid w:val="006F443A"/>
    <w:rsid w:val="006F4535"/>
    <w:rsid w:val="006F48A6"/>
    <w:rsid w:val="006F563B"/>
    <w:rsid w:val="006F5938"/>
    <w:rsid w:val="006F5C94"/>
    <w:rsid w:val="006F608A"/>
    <w:rsid w:val="006F622D"/>
    <w:rsid w:val="006F6362"/>
    <w:rsid w:val="006F64D1"/>
    <w:rsid w:val="006F664E"/>
    <w:rsid w:val="006F6D2C"/>
    <w:rsid w:val="006F70BE"/>
    <w:rsid w:val="006F720A"/>
    <w:rsid w:val="006F74C7"/>
    <w:rsid w:val="006F7574"/>
    <w:rsid w:val="006F7CA1"/>
    <w:rsid w:val="006F7D84"/>
    <w:rsid w:val="007003BD"/>
    <w:rsid w:val="007003D9"/>
    <w:rsid w:val="007007F6"/>
    <w:rsid w:val="00700FA0"/>
    <w:rsid w:val="00700FBE"/>
    <w:rsid w:val="007014AC"/>
    <w:rsid w:val="00701787"/>
    <w:rsid w:val="00701CD4"/>
    <w:rsid w:val="00701D60"/>
    <w:rsid w:val="00701E1F"/>
    <w:rsid w:val="007025BE"/>
    <w:rsid w:val="00702A0C"/>
    <w:rsid w:val="0070357C"/>
    <w:rsid w:val="00703B6D"/>
    <w:rsid w:val="00704CF7"/>
    <w:rsid w:val="00704D48"/>
    <w:rsid w:val="0070544B"/>
    <w:rsid w:val="00705858"/>
    <w:rsid w:val="00706CCB"/>
    <w:rsid w:val="00707557"/>
    <w:rsid w:val="00707578"/>
    <w:rsid w:val="0070758E"/>
    <w:rsid w:val="00707651"/>
    <w:rsid w:val="00707BAB"/>
    <w:rsid w:val="00710177"/>
    <w:rsid w:val="00710292"/>
    <w:rsid w:val="00710422"/>
    <w:rsid w:val="00710559"/>
    <w:rsid w:val="00710A2C"/>
    <w:rsid w:val="007116C6"/>
    <w:rsid w:val="0071173C"/>
    <w:rsid w:val="00711817"/>
    <w:rsid w:val="00711B0E"/>
    <w:rsid w:val="00712EA1"/>
    <w:rsid w:val="00713E8A"/>
    <w:rsid w:val="00713F5C"/>
    <w:rsid w:val="00714608"/>
    <w:rsid w:val="00714BB4"/>
    <w:rsid w:val="00714C10"/>
    <w:rsid w:val="00714DED"/>
    <w:rsid w:val="00714DF9"/>
    <w:rsid w:val="00715073"/>
    <w:rsid w:val="007157F6"/>
    <w:rsid w:val="00715B1E"/>
    <w:rsid w:val="00715D23"/>
    <w:rsid w:val="00715EBE"/>
    <w:rsid w:val="00715EDF"/>
    <w:rsid w:val="00716C15"/>
    <w:rsid w:val="00720BDC"/>
    <w:rsid w:val="00721AB1"/>
    <w:rsid w:val="00721EE1"/>
    <w:rsid w:val="00722D04"/>
    <w:rsid w:val="00723568"/>
    <w:rsid w:val="007237D0"/>
    <w:rsid w:val="0072395E"/>
    <w:rsid w:val="00723AB7"/>
    <w:rsid w:val="00723E7D"/>
    <w:rsid w:val="00723F18"/>
    <w:rsid w:val="0072482D"/>
    <w:rsid w:val="00724E63"/>
    <w:rsid w:val="00725E15"/>
    <w:rsid w:val="00726372"/>
    <w:rsid w:val="0072686C"/>
    <w:rsid w:val="00727638"/>
    <w:rsid w:val="007304A3"/>
    <w:rsid w:val="007313A1"/>
    <w:rsid w:val="00731807"/>
    <w:rsid w:val="0073185F"/>
    <w:rsid w:val="00731949"/>
    <w:rsid w:val="00731B77"/>
    <w:rsid w:val="00732030"/>
    <w:rsid w:val="007329B4"/>
    <w:rsid w:val="00732A88"/>
    <w:rsid w:val="00732D9A"/>
    <w:rsid w:val="00732F0D"/>
    <w:rsid w:val="007333D2"/>
    <w:rsid w:val="00733C81"/>
    <w:rsid w:val="00733DC6"/>
    <w:rsid w:val="00734538"/>
    <w:rsid w:val="00734892"/>
    <w:rsid w:val="00734B4D"/>
    <w:rsid w:val="00734CEF"/>
    <w:rsid w:val="007350E5"/>
    <w:rsid w:val="0073565C"/>
    <w:rsid w:val="00735663"/>
    <w:rsid w:val="007357A9"/>
    <w:rsid w:val="00737049"/>
    <w:rsid w:val="007371B4"/>
    <w:rsid w:val="00737720"/>
    <w:rsid w:val="0073796D"/>
    <w:rsid w:val="0074213C"/>
    <w:rsid w:val="00742714"/>
    <w:rsid w:val="00742D56"/>
    <w:rsid w:val="007434F4"/>
    <w:rsid w:val="00743BAB"/>
    <w:rsid w:val="00743F5B"/>
    <w:rsid w:val="0074457F"/>
    <w:rsid w:val="00744650"/>
    <w:rsid w:val="00744708"/>
    <w:rsid w:val="00744B29"/>
    <w:rsid w:val="00744D40"/>
    <w:rsid w:val="00744E41"/>
    <w:rsid w:val="00745021"/>
    <w:rsid w:val="007455F0"/>
    <w:rsid w:val="00745862"/>
    <w:rsid w:val="00745BDF"/>
    <w:rsid w:val="0074648B"/>
    <w:rsid w:val="0074670A"/>
    <w:rsid w:val="00746AD9"/>
    <w:rsid w:val="00746CD7"/>
    <w:rsid w:val="00746F6F"/>
    <w:rsid w:val="00747615"/>
    <w:rsid w:val="00747765"/>
    <w:rsid w:val="00750DB7"/>
    <w:rsid w:val="00750F25"/>
    <w:rsid w:val="007510AE"/>
    <w:rsid w:val="00751643"/>
    <w:rsid w:val="00754069"/>
    <w:rsid w:val="007549BE"/>
    <w:rsid w:val="00754BFC"/>
    <w:rsid w:val="00754CFB"/>
    <w:rsid w:val="00754F50"/>
    <w:rsid w:val="007551E4"/>
    <w:rsid w:val="00755825"/>
    <w:rsid w:val="007558AB"/>
    <w:rsid w:val="007570D8"/>
    <w:rsid w:val="00757A79"/>
    <w:rsid w:val="00760741"/>
    <w:rsid w:val="007607C1"/>
    <w:rsid w:val="00760A70"/>
    <w:rsid w:val="00762007"/>
    <w:rsid w:val="00762B72"/>
    <w:rsid w:val="007634AA"/>
    <w:rsid w:val="00764B04"/>
    <w:rsid w:val="00764CB5"/>
    <w:rsid w:val="00765D7A"/>
    <w:rsid w:val="00766086"/>
    <w:rsid w:val="0076649A"/>
    <w:rsid w:val="007667AB"/>
    <w:rsid w:val="00766BD4"/>
    <w:rsid w:val="00766D9A"/>
    <w:rsid w:val="00767342"/>
    <w:rsid w:val="00767362"/>
    <w:rsid w:val="00767CBB"/>
    <w:rsid w:val="00767D7E"/>
    <w:rsid w:val="00767FC2"/>
    <w:rsid w:val="00770374"/>
    <w:rsid w:val="0077050D"/>
    <w:rsid w:val="00770782"/>
    <w:rsid w:val="00770CBD"/>
    <w:rsid w:val="007723A2"/>
    <w:rsid w:val="007728E0"/>
    <w:rsid w:val="00772E8D"/>
    <w:rsid w:val="007737F8"/>
    <w:rsid w:val="00773CFE"/>
    <w:rsid w:val="00774BC1"/>
    <w:rsid w:val="00774E72"/>
    <w:rsid w:val="007761C8"/>
    <w:rsid w:val="0077688A"/>
    <w:rsid w:val="007768FF"/>
    <w:rsid w:val="00776C18"/>
    <w:rsid w:val="00776E7D"/>
    <w:rsid w:val="00776F10"/>
    <w:rsid w:val="00777543"/>
    <w:rsid w:val="0078001E"/>
    <w:rsid w:val="00780077"/>
    <w:rsid w:val="00780FB7"/>
    <w:rsid w:val="00781C5B"/>
    <w:rsid w:val="00781E54"/>
    <w:rsid w:val="00783078"/>
    <w:rsid w:val="0078388F"/>
    <w:rsid w:val="00783A03"/>
    <w:rsid w:val="00783F16"/>
    <w:rsid w:val="007845FD"/>
    <w:rsid w:val="0078519A"/>
    <w:rsid w:val="00786A67"/>
    <w:rsid w:val="00786ADC"/>
    <w:rsid w:val="007878A0"/>
    <w:rsid w:val="007878EB"/>
    <w:rsid w:val="00787B18"/>
    <w:rsid w:val="00787C66"/>
    <w:rsid w:val="00787EF5"/>
    <w:rsid w:val="007909B9"/>
    <w:rsid w:val="00790FD8"/>
    <w:rsid w:val="007923DE"/>
    <w:rsid w:val="00792D83"/>
    <w:rsid w:val="007937CB"/>
    <w:rsid w:val="00793B02"/>
    <w:rsid w:val="0079459E"/>
    <w:rsid w:val="00794613"/>
    <w:rsid w:val="00794759"/>
    <w:rsid w:val="00794BFD"/>
    <w:rsid w:val="0079635D"/>
    <w:rsid w:val="00796837"/>
    <w:rsid w:val="00796918"/>
    <w:rsid w:val="00796A7B"/>
    <w:rsid w:val="00796DA0"/>
    <w:rsid w:val="00797A08"/>
    <w:rsid w:val="00797DA9"/>
    <w:rsid w:val="00797F21"/>
    <w:rsid w:val="007A044C"/>
    <w:rsid w:val="007A044F"/>
    <w:rsid w:val="007A0952"/>
    <w:rsid w:val="007A0BD2"/>
    <w:rsid w:val="007A1754"/>
    <w:rsid w:val="007A21C2"/>
    <w:rsid w:val="007A233A"/>
    <w:rsid w:val="007A3060"/>
    <w:rsid w:val="007A332A"/>
    <w:rsid w:val="007A3942"/>
    <w:rsid w:val="007A4627"/>
    <w:rsid w:val="007A4B97"/>
    <w:rsid w:val="007A55B0"/>
    <w:rsid w:val="007A5A78"/>
    <w:rsid w:val="007A6435"/>
    <w:rsid w:val="007A661F"/>
    <w:rsid w:val="007A700F"/>
    <w:rsid w:val="007A7A7D"/>
    <w:rsid w:val="007B16C2"/>
    <w:rsid w:val="007B1D1C"/>
    <w:rsid w:val="007B22EE"/>
    <w:rsid w:val="007B26E6"/>
    <w:rsid w:val="007B2CF0"/>
    <w:rsid w:val="007B376C"/>
    <w:rsid w:val="007B429C"/>
    <w:rsid w:val="007B42B5"/>
    <w:rsid w:val="007B5C28"/>
    <w:rsid w:val="007B60DD"/>
    <w:rsid w:val="007B66D2"/>
    <w:rsid w:val="007B7042"/>
    <w:rsid w:val="007B74FE"/>
    <w:rsid w:val="007B7CF9"/>
    <w:rsid w:val="007B7E0B"/>
    <w:rsid w:val="007C00E3"/>
    <w:rsid w:val="007C03F5"/>
    <w:rsid w:val="007C1A47"/>
    <w:rsid w:val="007C1CE9"/>
    <w:rsid w:val="007C3361"/>
    <w:rsid w:val="007C34F7"/>
    <w:rsid w:val="007C3AAE"/>
    <w:rsid w:val="007C4509"/>
    <w:rsid w:val="007C52E3"/>
    <w:rsid w:val="007C5A12"/>
    <w:rsid w:val="007C5D86"/>
    <w:rsid w:val="007C661D"/>
    <w:rsid w:val="007C6D2A"/>
    <w:rsid w:val="007C7D90"/>
    <w:rsid w:val="007D0A83"/>
    <w:rsid w:val="007D173D"/>
    <w:rsid w:val="007D190F"/>
    <w:rsid w:val="007D1CC7"/>
    <w:rsid w:val="007D359C"/>
    <w:rsid w:val="007D391A"/>
    <w:rsid w:val="007D3CB8"/>
    <w:rsid w:val="007D3CE6"/>
    <w:rsid w:val="007D4AD0"/>
    <w:rsid w:val="007D4C56"/>
    <w:rsid w:val="007D4FA3"/>
    <w:rsid w:val="007D52F2"/>
    <w:rsid w:val="007D5A41"/>
    <w:rsid w:val="007D6553"/>
    <w:rsid w:val="007D7839"/>
    <w:rsid w:val="007D796F"/>
    <w:rsid w:val="007D7B97"/>
    <w:rsid w:val="007E0EE9"/>
    <w:rsid w:val="007E19B3"/>
    <w:rsid w:val="007E1BF7"/>
    <w:rsid w:val="007E1CDD"/>
    <w:rsid w:val="007E221C"/>
    <w:rsid w:val="007E2813"/>
    <w:rsid w:val="007E2D68"/>
    <w:rsid w:val="007E2EAA"/>
    <w:rsid w:val="007E5780"/>
    <w:rsid w:val="007E61DD"/>
    <w:rsid w:val="007E69DC"/>
    <w:rsid w:val="007E75F8"/>
    <w:rsid w:val="007F0229"/>
    <w:rsid w:val="007F0688"/>
    <w:rsid w:val="007F0FB2"/>
    <w:rsid w:val="007F1939"/>
    <w:rsid w:val="007F19E7"/>
    <w:rsid w:val="007F2037"/>
    <w:rsid w:val="007F2092"/>
    <w:rsid w:val="007F4415"/>
    <w:rsid w:val="007F5364"/>
    <w:rsid w:val="007F5ACA"/>
    <w:rsid w:val="007F5BD6"/>
    <w:rsid w:val="007F5BE8"/>
    <w:rsid w:val="007F5FBA"/>
    <w:rsid w:val="007F6AEA"/>
    <w:rsid w:val="007F6BEE"/>
    <w:rsid w:val="007F72A7"/>
    <w:rsid w:val="007F78BF"/>
    <w:rsid w:val="007F7DDB"/>
    <w:rsid w:val="0080092B"/>
    <w:rsid w:val="00800A7A"/>
    <w:rsid w:val="00800BDB"/>
    <w:rsid w:val="00801784"/>
    <w:rsid w:val="00801897"/>
    <w:rsid w:val="008018AA"/>
    <w:rsid w:val="00801A84"/>
    <w:rsid w:val="00801FFF"/>
    <w:rsid w:val="0080287F"/>
    <w:rsid w:val="00802CCB"/>
    <w:rsid w:val="00802ED9"/>
    <w:rsid w:val="0080502A"/>
    <w:rsid w:val="00805482"/>
    <w:rsid w:val="00806094"/>
    <w:rsid w:val="00806B7A"/>
    <w:rsid w:val="00806F8E"/>
    <w:rsid w:val="00807708"/>
    <w:rsid w:val="00807DE8"/>
    <w:rsid w:val="00810C6D"/>
    <w:rsid w:val="0081149C"/>
    <w:rsid w:val="00811AC4"/>
    <w:rsid w:val="00811CEC"/>
    <w:rsid w:val="00811E6E"/>
    <w:rsid w:val="00812013"/>
    <w:rsid w:val="008128A7"/>
    <w:rsid w:val="008128BD"/>
    <w:rsid w:val="00812ED7"/>
    <w:rsid w:val="008142C9"/>
    <w:rsid w:val="00814326"/>
    <w:rsid w:val="008159F9"/>
    <w:rsid w:val="00815A3F"/>
    <w:rsid w:val="00815EB0"/>
    <w:rsid w:val="00815FA7"/>
    <w:rsid w:val="008162EA"/>
    <w:rsid w:val="0081677A"/>
    <w:rsid w:val="00816888"/>
    <w:rsid w:val="008169BA"/>
    <w:rsid w:val="00816C59"/>
    <w:rsid w:val="00816EB2"/>
    <w:rsid w:val="00817360"/>
    <w:rsid w:val="0081776E"/>
    <w:rsid w:val="008179A6"/>
    <w:rsid w:val="00817BC8"/>
    <w:rsid w:val="00820152"/>
    <w:rsid w:val="008215DE"/>
    <w:rsid w:val="00821689"/>
    <w:rsid w:val="008216A7"/>
    <w:rsid w:val="008219CC"/>
    <w:rsid w:val="00821C69"/>
    <w:rsid w:val="00823035"/>
    <w:rsid w:val="00823C51"/>
    <w:rsid w:val="00823D28"/>
    <w:rsid w:val="00824342"/>
    <w:rsid w:val="008248D5"/>
    <w:rsid w:val="00824962"/>
    <w:rsid w:val="008249F6"/>
    <w:rsid w:val="00825E9C"/>
    <w:rsid w:val="0082659C"/>
    <w:rsid w:val="00827A9B"/>
    <w:rsid w:val="008307CE"/>
    <w:rsid w:val="00830C05"/>
    <w:rsid w:val="00830EB5"/>
    <w:rsid w:val="008313E1"/>
    <w:rsid w:val="00831E8E"/>
    <w:rsid w:val="0083296E"/>
    <w:rsid w:val="008339A4"/>
    <w:rsid w:val="00833B6E"/>
    <w:rsid w:val="00834191"/>
    <w:rsid w:val="008342F6"/>
    <w:rsid w:val="008355A7"/>
    <w:rsid w:val="008358D1"/>
    <w:rsid w:val="00835B7A"/>
    <w:rsid w:val="00835BC6"/>
    <w:rsid w:val="00835D84"/>
    <w:rsid w:val="00835F40"/>
    <w:rsid w:val="00836C94"/>
    <w:rsid w:val="00836F14"/>
    <w:rsid w:val="00837AF6"/>
    <w:rsid w:val="00837B62"/>
    <w:rsid w:val="00840E30"/>
    <w:rsid w:val="00840EC5"/>
    <w:rsid w:val="008426A4"/>
    <w:rsid w:val="00842C72"/>
    <w:rsid w:val="00843379"/>
    <w:rsid w:val="00843EDD"/>
    <w:rsid w:val="008440E0"/>
    <w:rsid w:val="00844C83"/>
    <w:rsid w:val="00844E98"/>
    <w:rsid w:val="00845041"/>
    <w:rsid w:val="00845255"/>
    <w:rsid w:val="00845E11"/>
    <w:rsid w:val="00846193"/>
    <w:rsid w:val="008466DB"/>
    <w:rsid w:val="00846870"/>
    <w:rsid w:val="00846CD3"/>
    <w:rsid w:val="00847963"/>
    <w:rsid w:val="00847BFD"/>
    <w:rsid w:val="00847D63"/>
    <w:rsid w:val="0085053D"/>
    <w:rsid w:val="008516BF"/>
    <w:rsid w:val="0085173F"/>
    <w:rsid w:val="00851BAC"/>
    <w:rsid w:val="0085234D"/>
    <w:rsid w:val="0085261F"/>
    <w:rsid w:val="00852B20"/>
    <w:rsid w:val="00852C44"/>
    <w:rsid w:val="00852D1D"/>
    <w:rsid w:val="00853E94"/>
    <w:rsid w:val="00854D9D"/>
    <w:rsid w:val="0085553B"/>
    <w:rsid w:val="00855613"/>
    <w:rsid w:val="00855E6E"/>
    <w:rsid w:val="0085619F"/>
    <w:rsid w:val="0085628F"/>
    <w:rsid w:val="008566BC"/>
    <w:rsid w:val="008569B2"/>
    <w:rsid w:val="00856C2D"/>
    <w:rsid w:val="00856FFF"/>
    <w:rsid w:val="008573CC"/>
    <w:rsid w:val="008611B8"/>
    <w:rsid w:val="008611DC"/>
    <w:rsid w:val="00861CA5"/>
    <w:rsid w:val="0086294C"/>
    <w:rsid w:val="00863A17"/>
    <w:rsid w:val="00864B3C"/>
    <w:rsid w:val="00865683"/>
    <w:rsid w:val="008673DC"/>
    <w:rsid w:val="00867590"/>
    <w:rsid w:val="00867641"/>
    <w:rsid w:val="00870627"/>
    <w:rsid w:val="00871733"/>
    <w:rsid w:val="008718C0"/>
    <w:rsid w:val="00871BF6"/>
    <w:rsid w:val="00871DF5"/>
    <w:rsid w:val="00872158"/>
    <w:rsid w:val="0087321A"/>
    <w:rsid w:val="008736E3"/>
    <w:rsid w:val="00873A3D"/>
    <w:rsid w:val="008749B8"/>
    <w:rsid w:val="00874CE4"/>
    <w:rsid w:val="00875300"/>
    <w:rsid w:val="00875724"/>
    <w:rsid w:val="008763F6"/>
    <w:rsid w:val="00876A83"/>
    <w:rsid w:val="00876E46"/>
    <w:rsid w:val="008776FD"/>
    <w:rsid w:val="00877D8D"/>
    <w:rsid w:val="00880DCF"/>
    <w:rsid w:val="00880EB5"/>
    <w:rsid w:val="00881A49"/>
    <w:rsid w:val="00882D7E"/>
    <w:rsid w:val="008832C4"/>
    <w:rsid w:val="008837E9"/>
    <w:rsid w:val="00883DFD"/>
    <w:rsid w:val="008844D8"/>
    <w:rsid w:val="00884648"/>
    <w:rsid w:val="0088489C"/>
    <w:rsid w:val="00884C51"/>
    <w:rsid w:val="00884DB1"/>
    <w:rsid w:val="00884F80"/>
    <w:rsid w:val="00885723"/>
    <w:rsid w:val="00885909"/>
    <w:rsid w:val="00885A3C"/>
    <w:rsid w:val="00885A77"/>
    <w:rsid w:val="00886BD2"/>
    <w:rsid w:val="00886F26"/>
    <w:rsid w:val="008870A2"/>
    <w:rsid w:val="00887491"/>
    <w:rsid w:val="0088762D"/>
    <w:rsid w:val="00891E08"/>
    <w:rsid w:val="00891E41"/>
    <w:rsid w:val="00891FDF"/>
    <w:rsid w:val="0089245D"/>
    <w:rsid w:val="00893783"/>
    <w:rsid w:val="00893FB8"/>
    <w:rsid w:val="008942B6"/>
    <w:rsid w:val="00894429"/>
    <w:rsid w:val="008945E7"/>
    <w:rsid w:val="008947B9"/>
    <w:rsid w:val="00894DCD"/>
    <w:rsid w:val="0089532B"/>
    <w:rsid w:val="008957F1"/>
    <w:rsid w:val="008959F7"/>
    <w:rsid w:val="00895A95"/>
    <w:rsid w:val="00896675"/>
    <w:rsid w:val="008968E3"/>
    <w:rsid w:val="00896CE9"/>
    <w:rsid w:val="00897735"/>
    <w:rsid w:val="00897898"/>
    <w:rsid w:val="00897951"/>
    <w:rsid w:val="00897E4E"/>
    <w:rsid w:val="008A0A7A"/>
    <w:rsid w:val="008A141A"/>
    <w:rsid w:val="008A144D"/>
    <w:rsid w:val="008A1457"/>
    <w:rsid w:val="008A18D5"/>
    <w:rsid w:val="008A2339"/>
    <w:rsid w:val="008A240D"/>
    <w:rsid w:val="008A27FC"/>
    <w:rsid w:val="008A3516"/>
    <w:rsid w:val="008A3BA3"/>
    <w:rsid w:val="008A3D61"/>
    <w:rsid w:val="008A45A4"/>
    <w:rsid w:val="008A49C2"/>
    <w:rsid w:val="008A4B36"/>
    <w:rsid w:val="008A4F2D"/>
    <w:rsid w:val="008A501A"/>
    <w:rsid w:val="008A5074"/>
    <w:rsid w:val="008A5AE0"/>
    <w:rsid w:val="008A5BAF"/>
    <w:rsid w:val="008A691E"/>
    <w:rsid w:val="008A695E"/>
    <w:rsid w:val="008A6AF9"/>
    <w:rsid w:val="008A715B"/>
    <w:rsid w:val="008A75AF"/>
    <w:rsid w:val="008A76FA"/>
    <w:rsid w:val="008A7736"/>
    <w:rsid w:val="008A7F20"/>
    <w:rsid w:val="008B0355"/>
    <w:rsid w:val="008B0B11"/>
    <w:rsid w:val="008B0EBE"/>
    <w:rsid w:val="008B15B0"/>
    <w:rsid w:val="008B15B4"/>
    <w:rsid w:val="008B1C95"/>
    <w:rsid w:val="008B20F7"/>
    <w:rsid w:val="008B2336"/>
    <w:rsid w:val="008B244C"/>
    <w:rsid w:val="008B31C6"/>
    <w:rsid w:val="008B45FA"/>
    <w:rsid w:val="008B4711"/>
    <w:rsid w:val="008B4F2E"/>
    <w:rsid w:val="008B5146"/>
    <w:rsid w:val="008B514C"/>
    <w:rsid w:val="008B5163"/>
    <w:rsid w:val="008B522C"/>
    <w:rsid w:val="008B5883"/>
    <w:rsid w:val="008B5CD2"/>
    <w:rsid w:val="008B609D"/>
    <w:rsid w:val="008B778A"/>
    <w:rsid w:val="008B7E83"/>
    <w:rsid w:val="008C0123"/>
    <w:rsid w:val="008C0343"/>
    <w:rsid w:val="008C067C"/>
    <w:rsid w:val="008C164C"/>
    <w:rsid w:val="008C19AE"/>
    <w:rsid w:val="008C1C61"/>
    <w:rsid w:val="008C22D7"/>
    <w:rsid w:val="008C2FCA"/>
    <w:rsid w:val="008C3527"/>
    <w:rsid w:val="008C3A76"/>
    <w:rsid w:val="008C3A97"/>
    <w:rsid w:val="008C4DFA"/>
    <w:rsid w:val="008C4F1E"/>
    <w:rsid w:val="008C4F4B"/>
    <w:rsid w:val="008C594F"/>
    <w:rsid w:val="008C5A1C"/>
    <w:rsid w:val="008C5B94"/>
    <w:rsid w:val="008C6117"/>
    <w:rsid w:val="008C6333"/>
    <w:rsid w:val="008C6ADE"/>
    <w:rsid w:val="008C7258"/>
    <w:rsid w:val="008C733B"/>
    <w:rsid w:val="008C740A"/>
    <w:rsid w:val="008C7818"/>
    <w:rsid w:val="008C79D6"/>
    <w:rsid w:val="008C7B5F"/>
    <w:rsid w:val="008C7D1E"/>
    <w:rsid w:val="008D0684"/>
    <w:rsid w:val="008D0A55"/>
    <w:rsid w:val="008D0D37"/>
    <w:rsid w:val="008D1482"/>
    <w:rsid w:val="008D153C"/>
    <w:rsid w:val="008D1806"/>
    <w:rsid w:val="008D1B44"/>
    <w:rsid w:val="008D1BB9"/>
    <w:rsid w:val="008D292C"/>
    <w:rsid w:val="008D2D82"/>
    <w:rsid w:val="008D37D1"/>
    <w:rsid w:val="008D4AE4"/>
    <w:rsid w:val="008D4F9F"/>
    <w:rsid w:val="008D55C0"/>
    <w:rsid w:val="008D58C7"/>
    <w:rsid w:val="008D6B89"/>
    <w:rsid w:val="008D719F"/>
    <w:rsid w:val="008D73DE"/>
    <w:rsid w:val="008D75C5"/>
    <w:rsid w:val="008D76EF"/>
    <w:rsid w:val="008D78E8"/>
    <w:rsid w:val="008D7B86"/>
    <w:rsid w:val="008D7B8A"/>
    <w:rsid w:val="008D7C8F"/>
    <w:rsid w:val="008E03E1"/>
    <w:rsid w:val="008E083D"/>
    <w:rsid w:val="008E0E8F"/>
    <w:rsid w:val="008E15F6"/>
    <w:rsid w:val="008E16F0"/>
    <w:rsid w:val="008E1ACE"/>
    <w:rsid w:val="008E202E"/>
    <w:rsid w:val="008E3100"/>
    <w:rsid w:val="008E40D4"/>
    <w:rsid w:val="008E42D9"/>
    <w:rsid w:val="008E481E"/>
    <w:rsid w:val="008E4845"/>
    <w:rsid w:val="008E48D7"/>
    <w:rsid w:val="008E563A"/>
    <w:rsid w:val="008E59C1"/>
    <w:rsid w:val="008E6250"/>
    <w:rsid w:val="008E718F"/>
    <w:rsid w:val="008E7F2B"/>
    <w:rsid w:val="008F029D"/>
    <w:rsid w:val="008F0475"/>
    <w:rsid w:val="008F0EC0"/>
    <w:rsid w:val="008F1B75"/>
    <w:rsid w:val="008F1F4A"/>
    <w:rsid w:val="008F29FA"/>
    <w:rsid w:val="008F2B65"/>
    <w:rsid w:val="008F2C11"/>
    <w:rsid w:val="008F2FDE"/>
    <w:rsid w:val="008F3034"/>
    <w:rsid w:val="008F40C1"/>
    <w:rsid w:val="008F4736"/>
    <w:rsid w:val="008F49BC"/>
    <w:rsid w:val="008F4A44"/>
    <w:rsid w:val="008F5164"/>
    <w:rsid w:val="008F5702"/>
    <w:rsid w:val="008F5785"/>
    <w:rsid w:val="008F57BA"/>
    <w:rsid w:val="008F59C8"/>
    <w:rsid w:val="008F6117"/>
    <w:rsid w:val="008F63E5"/>
    <w:rsid w:val="008F6491"/>
    <w:rsid w:val="008F6895"/>
    <w:rsid w:val="008F6B3A"/>
    <w:rsid w:val="008F6F43"/>
    <w:rsid w:val="008F711A"/>
    <w:rsid w:val="008F7640"/>
    <w:rsid w:val="00900068"/>
    <w:rsid w:val="00900764"/>
    <w:rsid w:val="009007C9"/>
    <w:rsid w:val="00900BCA"/>
    <w:rsid w:val="009018C3"/>
    <w:rsid w:val="00901AC6"/>
    <w:rsid w:val="00901D53"/>
    <w:rsid w:val="00901EBD"/>
    <w:rsid w:val="00901EFF"/>
    <w:rsid w:val="00902085"/>
    <w:rsid w:val="0090220F"/>
    <w:rsid w:val="00902602"/>
    <w:rsid w:val="00902654"/>
    <w:rsid w:val="00902C05"/>
    <w:rsid w:val="00902CB2"/>
    <w:rsid w:val="00903157"/>
    <w:rsid w:val="00903E3D"/>
    <w:rsid w:val="00903F1A"/>
    <w:rsid w:val="009055BB"/>
    <w:rsid w:val="009060E4"/>
    <w:rsid w:val="00907211"/>
    <w:rsid w:val="0090743C"/>
    <w:rsid w:val="00907B8B"/>
    <w:rsid w:val="00910271"/>
    <w:rsid w:val="0091039D"/>
    <w:rsid w:val="00911457"/>
    <w:rsid w:val="00911C67"/>
    <w:rsid w:val="009124CB"/>
    <w:rsid w:val="0091292D"/>
    <w:rsid w:val="00912C3E"/>
    <w:rsid w:val="00912C43"/>
    <w:rsid w:val="009136FF"/>
    <w:rsid w:val="009138D1"/>
    <w:rsid w:val="00913D46"/>
    <w:rsid w:val="009144E4"/>
    <w:rsid w:val="00914571"/>
    <w:rsid w:val="00914C54"/>
    <w:rsid w:val="00914D5F"/>
    <w:rsid w:val="00914D66"/>
    <w:rsid w:val="0091576B"/>
    <w:rsid w:val="00915EFC"/>
    <w:rsid w:val="009160D1"/>
    <w:rsid w:val="009162EC"/>
    <w:rsid w:val="00916B2F"/>
    <w:rsid w:val="009171F1"/>
    <w:rsid w:val="009172A5"/>
    <w:rsid w:val="00917B2E"/>
    <w:rsid w:val="009200D8"/>
    <w:rsid w:val="009201C8"/>
    <w:rsid w:val="009208F6"/>
    <w:rsid w:val="00921A19"/>
    <w:rsid w:val="00921EBA"/>
    <w:rsid w:val="00921EFF"/>
    <w:rsid w:val="009224E6"/>
    <w:rsid w:val="00922677"/>
    <w:rsid w:val="009227EE"/>
    <w:rsid w:val="009228B6"/>
    <w:rsid w:val="00923EFB"/>
    <w:rsid w:val="009245CA"/>
    <w:rsid w:val="00924B14"/>
    <w:rsid w:val="00924D8A"/>
    <w:rsid w:val="00925405"/>
    <w:rsid w:val="009261B0"/>
    <w:rsid w:val="0092621C"/>
    <w:rsid w:val="009266B7"/>
    <w:rsid w:val="00926769"/>
    <w:rsid w:val="00926E54"/>
    <w:rsid w:val="00927210"/>
    <w:rsid w:val="00927CB0"/>
    <w:rsid w:val="00927D5A"/>
    <w:rsid w:val="00930021"/>
    <w:rsid w:val="00930373"/>
    <w:rsid w:val="009305F2"/>
    <w:rsid w:val="00931367"/>
    <w:rsid w:val="009315C5"/>
    <w:rsid w:val="009317EA"/>
    <w:rsid w:val="009319C7"/>
    <w:rsid w:val="009319E5"/>
    <w:rsid w:val="00931AB9"/>
    <w:rsid w:val="00931D6C"/>
    <w:rsid w:val="00932598"/>
    <w:rsid w:val="009327CF"/>
    <w:rsid w:val="00932BEA"/>
    <w:rsid w:val="00932DF2"/>
    <w:rsid w:val="0093384B"/>
    <w:rsid w:val="00933950"/>
    <w:rsid w:val="00933EDA"/>
    <w:rsid w:val="009342EF"/>
    <w:rsid w:val="0093457C"/>
    <w:rsid w:val="00934D1F"/>
    <w:rsid w:val="00934F7B"/>
    <w:rsid w:val="009357DA"/>
    <w:rsid w:val="00935909"/>
    <w:rsid w:val="009360CE"/>
    <w:rsid w:val="00936746"/>
    <w:rsid w:val="0093692A"/>
    <w:rsid w:val="00936AEE"/>
    <w:rsid w:val="0093720B"/>
    <w:rsid w:val="00937396"/>
    <w:rsid w:val="0093743D"/>
    <w:rsid w:val="0093788D"/>
    <w:rsid w:val="00937B7C"/>
    <w:rsid w:val="0094049E"/>
    <w:rsid w:val="00940776"/>
    <w:rsid w:val="00940E72"/>
    <w:rsid w:val="0094191A"/>
    <w:rsid w:val="00941E1D"/>
    <w:rsid w:val="009428C5"/>
    <w:rsid w:val="009428D4"/>
    <w:rsid w:val="00942A96"/>
    <w:rsid w:val="00942AD9"/>
    <w:rsid w:val="00942D52"/>
    <w:rsid w:val="00942F76"/>
    <w:rsid w:val="00943460"/>
    <w:rsid w:val="00943535"/>
    <w:rsid w:val="00943F19"/>
    <w:rsid w:val="009441D3"/>
    <w:rsid w:val="0094445A"/>
    <w:rsid w:val="009445EB"/>
    <w:rsid w:val="00944909"/>
    <w:rsid w:val="0094649B"/>
    <w:rsid w:val="0094685D"/>
    <w:rsid w:val="00946BD1"/>
    <w:rsid w:val="00947251"/>
    <w:rsid w:val="00947A6D"/>
    <w:rsid w:val="00947F99"/>
    <w:rsid w:val="0095019D"/>
    <w:rsid w:val="009502F9"/>
    <w:rsid w:val="00950C1E"/>
    <w:rsid w:val="009513F2"/>
    <w:rsid w:val="009526D2"/>
    <w:rsid w:val="00953493"/>
    <w:rsid w:val="00953A91"/>
    <w:rsid w:val="00953C95"/>
    <w:rsid w:val="00953E45"/>
    <w:rsid w:val="00954253"/>
    <w:rsid w:val="009555D0"/>
    <w:rsid w:val="009572C4"/>
    <w:rsid w:val="009573D1"/>
    <w:rsid w:val="00957717"/>
    <w:rsid w:val="009577B9"/>
    <w:rsid w:val="009577DB"/>
    <w:rsid w:val="009606C5"/>
    <w:rsid w:val="0096083E"/>
    <w:rsid w:val="00960A4C"/>
    <w:rsid w:val="00960BC7"/>
    <w:rsid w:val="00961442"/>
    <w:rsid w:val="00961D38"/>
    <w:rsid w:val="00962E4C"/>
    <w:rsid w:val="00962E69"/>
    <w:rsid w:val="00963154"/>
    <w:rsid w:val="00963206"/>
    <w:rsid w:val="0096327E"/>
    <w:rsid w:val="009647E8"/>
    <w:rsid w:val="00965214"/>
    <w:rsid w:val="00965515"/>
    <w:rsid w:val="009657BD"/>
    <w:rsid w:val="00965AA9"/>
    <w:rsid w:val="0096651A"/>
    <w:rsid w:val="009666E7"/>
    <w:rsid w:val="00966B95"/>
    <w:rsid w:val="00966F3D"/>
    <w:rsid w:val="009677A2"/>
    <w:rsid w:val="0096784E"/>
    <w:rsid w:val="00967D94"/>
    <w:rsid w:val="00967F74"/>
    <w:rsid w:val="00971711"/>
    <w:rsid w:val="0097181A"/>
    <w:rsid w:val="00971CB7"/>
    <w:rsid w:val="00971DFD"/>
    <w:rsid w:val="00971E84"/>
    <w:rsid w:val="009724D6"/>
    <w:rsid w:val="009737E9"/>
    <w:rsid w:val="0097395E"/>
    <w:rsid w:val="009741E3"/>
    <w:rsid w:val="0097421C"/>
    <w:rsid w:val="00974727"/>
    <w:rsid w:val="00974736"/>
    <w:rsid w:val="009751D5"/>
    <w:rsid w:val="00975B31"/>
    <w:rsid w:val="00975FFD"/>
    <w:rsid w:val="00976E9D"/>
    <w:rsid w:val="009804B6"/>
    <w:rsid w:val="009804C4"/>
    <w:rsid w:val="00980F5B"/>
    <w:rsid w:val="00980FB0"/>
    <w:rsid w:val="00981570"/>
    <w:rsid w:val="00981A8B"/>
    <w:rsid w:val="00981B9A"/>
    <w:rsid w:val="00982222"/>
    <w:rsid w:val="00982D38"/>
    <w:rsid w:val="0098332A"/>
    <w:rsid w:val="00983C30"/>
    <w:rsid w:val="00984013"/>
    <w:rsid w:val="009846A4"/>
    <w:rsid w:val="00984A49"/>
    <w:rsid w:val="00984ABF"/>
    <w:rsid w:val="00984D9C"/>
    <w:rsid w:val="0098544F"/>
    <w:rsid w:val="009857CC"/>
    <w:rsid w:val="00986126"/>
    <w:rsid w:val="009875AD"/>
    <w:rsid w:val="00987655"/>
    <w:rsid w:val="00987A88"/>
    <w:rsid w:val="0099018B"/>
    <w:rsid w:val="00990447"/>
    <w:rsid w:val="00990E0B"/>
    <w:rsid w:val="00991642"/>
    <w:rsid w:val="009918CE"/>
    <w:rsid w:val="00991FC8"/>
    <w:rsid w:val="009922D8"/>
    <w:rsid w:val="009923CB"/>
    <w:rsid w:val="009934D9"/>
    <w:rsid w:val="0099380A"/>
    <w:rsid w:val="00993C17"/>
    <w:rsid w:val="009940D1"/>
    <w:rsid w:val="009944EA"/>
    <w:rsid w:val="00994AC4"/>
    <w:rsid w:val="00994E18"/>
    <w:rsid w:val="00995660"/>
    <w:rsid w:val="00995EA3"/>
    <w:rsid w:val="00996685"/>
    <w:rsid w:val="0099691F"/>
    <w:rsid w:val="0099707C"/>
    <w:rsid w:val="00997312"/>
    <w:rsid w:val="0099786F"/>
    <w:rsid w:val="009A0304"/>
    <w:rsid w:val="009A0423"/>
    <w:rsid w:val="009A06B3"/>
    <w:rsid w:val="009A06B5"/>
    <w:rsid w:val="009A0786"/>
    <w:rsid w:val="009A0801"/>
    <w:rsid w:val="009A0929"/>
    <w:rsid w:val="009A0CC5"/>
    <w:rsid w:val="009A1405"/>
    <w:rsid w:val="009A1D1B"/>
    <w:rsid w:val="009A202E"/>
    <w:rsid w:val="009A22A9"/>
    <w:rsid w:val="009A383F"/>
    <w:rsid w:val="009A42AA"/>
    <w:rsid w:val="009A47B3"/>
    <w:rsid w:val="009A485F"/>
    <w:rsid w:val="009A4952"/>
    <w:rsid w:val="009A5595"/>
    <w:rsid w:val="009A58C0"/>
    <w:rsid w:val="009A58DF"/>
    <w:rsid w:val="009A5CED"/>
    <w:rsid w:val="009A5ED2"/>
    <w:rsid w:val="009A6B3E"/>
    <w:rsid w:val="009A6C52"/>
    <w:rsid w:val="009B0948"/>
    <w:rsid w:val="009B1C9A"/>
    <w:rsid w:val="009B1D34"/>
    <w:rsid w:val="009B28D9"/>
    <w:rsid w:val="009B2BB1"/>
    <w:rsid w:val="009B2E22"/>
    <w:rsid w:val="009B2F49"/>
    <w:rsid w:val="009B347F"/>
    <w:rsid w:val="009B3648"/>
    <w:rsid w:val="009B39DD"/>
    <w:rsid w:val="009B3A81"/>
    <w:rsid w:val="009B40DA"/>
    <w:rsid w:val="009B4C75"/>
    <w:rsid w:val="009B4E58"/>
    <w:rsid w:val="009B5BFD"/>
    <w:rsid w:val="009B5F4C"/>
    <w:rsid w:val="009B77F0"/>
    <w:rsid w:val="009B7853"/>
    <w:rsid w:val="009C0100"/>
    <w:rsid w:val="009C08CB"/>
    <w:rsid w:val="009C0951"/>
    <w:rsid w:val="009C0BE2"/>
    <w:rsid w:val="009C1131"/>
    <w:rsid w:val="009C1C62"/>
    <w:rsid w:val="009C202E"/>
    <w:rsid w:val="009C2FFF"/>
    <w:rsid w:val="009C3186"/>
    <w:rsid w:val="009C3C76"/>
    <w:rsid w:val="009C40F3"/>
    <w:rsid w:val="009C4E44"/>
    <w:rsid w:val="009C4F05"/>
    <w:rsid w:val="009C4F23"/>
    <w:rsid w:val="009C537D"/>
    <w:rsid w:val="009C54B2"/>
    <w:rsid w:val="009C5AC3"/>
    <w:rsid w:val="009C65C1"/>
    <w:rsid w:val="009C6BCA"/>
    <w:rsid w:val="009C71A2"/>
    <w:rsid w:val="009C74DE"/>
    <w:rsid w:val="009C7CBA"/>
    <w:rsid w:val="009D0133"/>
    <w:rsid w:val="009D019F"/>
    <w:rsid w:val="009D05EA"/>
    <w:rsid w:val="009D093A"/>
    <w:rsid w:val="009D0C93"/>
    <w:rsid w:val="009D1126"/>
    <w:rsid w:val="009D1ADE"/>
    <w:rsid w:val="009D1C39"/>
    <w:rsid w:val="009D2798"/>
    <w:rsid w:val="009D2ECA"/>
    <w:rsid w:val="009D3FCA"/>
    <w:rsid w:val="009D4425"/>
    <w:rsid w:val="009D4824"/>
    <w:rsid w:val="009D4892"/>
    <w:rsid w:val="009D4B61"/>
    <w:rsid w:val="009D4BE7"/>
    <w:rsid w:val="009D64EC"/>
    <w:rsid w:val="009D64F6"/>
    <w:rsid w:val="009D6C3B"/>
    <w:rsid w:val="009D73EE"/>
    <w:rsid w:val="009E02C0"/>
    <w:rsid w:val="009E0604"/>
    <w:rsid w:val="009E18AA"/>
    <w:rsid w:val="009E1B6A"/>
    <w:rsid w:val="009E1BFF"/>
    <w:rsid w:val="009E1C77"/>
    <w:rsid w:val="009E207B"/>
    <w:rsid w:val="009E299D"/>
    <w:rsid w:val="009E30B6"/>
    <w:rsid w:val="009E359C"/>
    <w:rsid w:val="009E39F6"/>
    <w:rsid w:val="009E3AA3"/>
    <w:rsid w:val="009E4EC3"/>
    <w:rsid w:val="009E513F"/>
    <w:rsid w:val="009E551E"/>
    <w:rsid w:val="009E5AFE"/>
    <w:rsid w:val="009E6D23"/>
    <w:rsid w:val="009F026C"/>
    <w:rsid w:val="009F0396"/>
    <w:rsid w:val="009F0868"/>
    <w:rsid w:val="009F1817"/>
    <w:rsid w:val="009F1C92"/>
    <w:rsid w:val="009F1CAA"/>
    <w:rsid w:val="009F1CD7"/>
    <w:rsid w:val="009F2D77"/>
    <w:rsid w:val="009F40A3"/>
    <w:rsid w:val="009F4AFF"/>
    <w:rsid w:val="009F4B53"/>
    <w:rsid w:val="009F4F2D"/>
    <w:rsid w:val="009F4FEB"/>
    <w:rsid w:val="009F5AFD"/>
    <w:rsid w:val="009F5FAE"/>
    <w:rsid w:val="009F6FD1"/>
    <w:rsid w:val="009F79B3"/>
    <w:rsid w:val="009F7E80"/>
    <w:rsid w:val="00A0014C"/>
    <w:rsid w:val="00A00731"/>
    <w:rsid w:val="00A00739"/>
    <w:rsid w:val="00A00F79"/>
    <w:rsid w:val="00A0107E"/>
    <w:rsid w:val="00A015D6"/>
    <w:rsid w:val="00A017DE"/>
    <w:rsid w:val="00A01BDC"/>
    <w:rsid w:val="00A01CED"/>
    <w:rsid w:val="00A0304F"/>
    <w:rsid w:val="00A03125"/>
    <w:rsid w:val="00A0352D"/>
    <w:rsid w:val="00A03A39"/>
    <w:rsid w:val="00A03CB2"/>
    <w:rsid w:val="00A051A0"/>
    <w:rsid w:val="00A05223"/>
    <w:rsid w:val="00A0572C"/>
    <w:rsid w:val="00A06587"/>
    <w:rsid w:val="00A066B6"/>
    <w:rsid w:val="00A06C67"/>
    <w:rsid w:val="00A072A0"/>
    <w:rsid w:val="00A0756B"/>
    <w:rsid w:val="00A10A8E"/>
    <w:rsid w:val="00A10B02"/>
    <w:rsid w:val="00A10E27"/>
    <w:rsid w:val="00A11497"/>
    <w:rsid w:val="00A11D15"/>
    <w:rsid w:val="00A125C6"/>
    <w:rsid w:val="00A12A72"/>
    <w:rsid w:val="00A12A98"/>
    <w:rsid w:val="00A12C0D"/>
    <w:rsid w:val="00A12D9A"/>
    <w:rsid w:val="00A13534"/>
    <w:rsid w:val="00A13E9D"/>
    <w:rsid w:val="00A14398"/>
    <w:rsid w:val="00A1443C"/>
    <w:rsid w:val="00A148BF"/>
    <w:rsid w:val="00A14978"/>
    <w:rsid w:val="00A14DDA"/>
    <w:rsid w:val="00A15105"/>
    <w:rsid w:val="00A15175"/>
    <w:rsid w:val="00A154ED"/>
    <w:rsid w:val="00A1563D"/>
    <w:rsid w:val="00A15A5B"/>
    <w:rsid w:val="00A1675D"/>
    <w:rsid w:val="00A16CD6"/>
    <w:rsid w:val="00A16D61"/>
    <w:rsid w:val="00A171BB"/>
    <w:rsid w:val="00A17813"/>
    <w:rsid w:val="00A1786A"/>
    <w:rsid w:val="00A17913"/>
    <w:rsid w:val="00A17E14"/>
    <w:rsid w:val="00A17F2D"/>
    <w:rsid w:val="00A203B4"/>
    <w:rsid w:val="00A207D5"/>
    <w:rsid w:val="00A20824"/>
    <w:rsid w:val="00A20E09"/>
    <w:rsid w:val="00A21132"/>
    <w:rsid w:val="00A214C8"/>
    <w:rsid w:val="00A21A29"/>
    <w:rsid w:val="00A21ACB"/>
    <w:rsid w:val="00A221FF"/>
    <w:rsid w:val="00A22542"/>
    <w:rsid w:val="00A228B4"/>
    <w:rsid w:val="00A22BE8"/>
    <w:rsid w:val="00A234CB"/>
    <w:rsid w:val="00A2398F"/>
    <w:rsid w:val="00A24D70"/>
    <w:rsid w:val="00A25A52"/>
    <w:rsid w:val="00A265A1"/>
    <w:rsid w:val="00A26B6E"/>
    <w:rsid w:val="00A26DD4"/>
    <w:rsid w:val="00A2704C"/>
    <w:rsid w:val="00A27087"/>
    <w:rsid w:val="00A27C22"/>
    <w:rsid w:val="00A27C96"/>
    <w:rsid w:val="00A308A8"/>
    <w:rsid w:val="00A30DCC"/>
    <w:rsid w:val="00A31503"/>
    <w:rsid w:val="00A320C5"/>
    <w:rsid w:val="00A32317"/>
    <w:rsid w:val="00A32563"/>
    <w:rsid w:val="00A32905"/>
    <w:rsid w:val="00A329C1"/>
    <w:rsid w:val="00A32EA2"/>
    <w:rsid w:val="00A32EEF"/>
    <w:rsid w:val="00A33729"/>
    <w:rsid w:val="00A34041"/>
    <w:rsid w:val="00A341D0"/>
    <w:rsid w:val="00A346D3"/>
    <w:rsid w:val="00A3481E"/>
    <w:rsid w:val="00A34888"/>
    <w:rsid w:val="00A34F0B"/>
    <w:rsid w:val="00A36A73"/>
    <w:rsid w:val="00A36ECA"/>
    <w:rsid w:val="00A40329"/>
    <w:rsid w:val="00A414A0"/>
    <w:rsid w:val="00A41C18"/>
    <w:rsid w:val="00A41D73"/>
    <w:rsid w:val="00A4237A"/>
    <w:rsid w:val="00A4270F"/>
    <w:rsid w:val="00A429BB"/>
    <w:rsid w:val="00A42BFB"/>
    <w:rsid w:val="00A42DB8"/>
    <w:rsid w:val="00A42E9C"/>
    <w:rsid w:val="00A4322D"/>
    <w:rsid w:val="00A435AC"/>
    <w:rsid w:val="00A43B40"/>
    <w:rsid w:val="00A44CFF"/>
    <w:rsid w:val="00A45444"/>
    <w:rsid w:val="00A45657"/>
    <w:rsid w:val="00A456B0"/>
    <w:rsid w:val="00A45DA6"/>
    <w:rsid w:val="00A46168"/>
    <w:rsid w:val="00A4648B"/>
    <w:rsid w:val="00A46628"/>
    <w:rsid w:val="00A47077"/>
    <w:rsid w:val="00A475E7"/>
    <w:rsid w:val="00A47E58"/>
    <w:rsid w:val="00A50074"/>
    <w:rsid w:val="00A5089C"/>
    <w:rsid w:val="00A51B2E"/>
    <w:rsid w:val="00A520C9"/>
    <w:rsid w:val="00A520DB"/>
    <w:rsid w:val="00A531D0"/>
    <w:rsid w:val="00A5368F"/>
    <w:rsid w:val="00A5372E"/>
    <w:rsid w:val="00A53E82"/>
    <w:rsid w:val="00A54531"/>
    <w:rsid w:val="00A545E9"/>
    <w:rsid w:val="00A54755"/>
    <w:rsid w:val="00A54C04"/>
    <w:rsid w:val="00A54C82"/>
    <w:rsid w:val="00A54D3A"/>
    <w:rsid w:val="00A5597F"/>
    <w:rsid w:val="00A55F88"/>
    <w:rsid w:val="00A5654F"/>
    <w:rsid w:val="00A56EB4"/>
    <w:rsid w:val="00A572BA"/>
    <w:rsid w:val="00A57308"/>
    <w:rsid w:val="00A573D3"/>
    <w:rsid w:val="00A57523"/>
    <w:rsid w:val="00A577C0"/>
    <w:rsid w:val="00A5796B"/>
    <w:rsid w:val="00A57A11"/>
    <w:rsid w:val="00A57EE2"/>
    <w:rsid w:val="00A60C1C"/>
    <w:rsid w:val="00A614E1"/>
    <w:rsid w:val="00A61FCF"/>
    <w:rsid w:val="00A6212A"/>
    <w:rsid w:val="00A62376"/>
    <w:rsid w:val="00A62561"/>
    <w:rsid w:val="00A62907"/>
    <w:rsid w:val="00A62F0D"/>
    <w:rsid w:val="00A62FAB"/>
    <w:rsid w:val="00A633B9"/>
    <w:rsid w:val="00A6352E"/>
    <w:rsid w:val="00A6364E"/>
    <w:rsid w:val="00A6372B"/>
    <w:rsid w:val="00A63DF1"/>
    <w:rsid w:val="00A649A5"/>
    <w:rsid w:val="00A64B1F"/>
    <w:rsid w:val="00A64B3F"/>
    <w:rsid w:val="00A64EA8"/>
    <w:rsid w:val="00A655A1"/>
    <w:rsid w:val="00A66072"/>
    <w:rsid w:val="00A667FD"/>
    <w:rsid w:val="00A67679"/>
    <w:rsid w:val="00A67CED"/>
    <w:rsid w:val="00A70214"/>
    <w:rsid w:val="00A70830"/>
    <w:rsid w:val="00A70C45"/>
    <w:rsid w:val="00A70E89"/>
    <w:rsid w:val="00A713CE"/>
    <w:rsid w:val="00A71489"/>
    <w:rsid w:val="00A71640"/>
    <w:rsid w:val="00A71A1C"/>
    <w:rsid w:val="00A721FA"/>
    <w:rsid w:val="00A72AC6"/>
    <w:rsid w:val="00A72CE8"/>
    <w:rsid w:val="00A72F90"/>
    <w:rsid w:val="00A7304C"/>
    <w:rsid w:val="00A7369A"/>
    <w:rsid w:val="00A737CB"/>
    <w:rsid w:val="00A73B01"/>
    <w:rsid w:val="00A73F78"/>
    <w:rsid w:val="00A74198"/>
    <w:rsid w:val="00A74BC8"/>
    <w:rsid w:val="00A74D3B"/>
    <w:rsid w:val="00A74ED1"/>
    <w:rsid w:val="00A75A3F"/>
    <w:rsid w:val="00A75C8C"/>
    <w:rsid w:val="00A76729"/>
    <w:rsid w:val="00A76B54"/>
    <w:rsid w:val="00A76EA1"/>
    <w:rsid w:val="00A7725F"/>
    <w:rsid w:val="00A77615"/>
    <w:rsid w:val="00A80250"/>
    <w:rsid w:val="00A81842"/>
    <w:rsid w:val="00A81DA2"/>
    <w:rsid w:val="00A82FEF"/>
    <w:rsid w:val="00A831BF"/>
    <w:rsid w:val="00A8324F"/>
    <w:rsid w:val="00A83739"/>
    <w:rsid w:val="00A83EB8"/>
    <w:rsid w:val="00A842D5"/>
    <w:rsid w:val="00A845B2"/>
    <w:rsid w:val="00A84934"/>
    <w:rsid w:val="00A84AF7"/>
    <w:rsid w:val="00A84BE4"/>
    <w:rsid w:val="00A85376"/>
    <w:rsid w:val="00A85A46"/>
    <w:rsid w:val="00A86001"/>
    <w:rsid w:val="00A86476"/>
    <w:rsid w:val="00A86557"/>
    <w:rsid w:val="00A865D2"/>
    <w:rsid w:val="00A8677F"/>
    <w:rsid w:val="00A867D1"/>
    <w:rsid w:val="00A87681"/>
    <w:rsid w:val="00A8770C"/>
    <w:rsid w:val="00A878CE"/>
    <w:rsid w:val="00A87C86"/>
    <w:rsid w:val="00A87F01"/>
    <w:rsid w:val="00A90617"/>
    <w:rsid w:val="00A90D45"/>
    <w:rsid w:val="00A90FB3"/>
    <w:rsid w:val="00A90FC6"/>
    <w:rsid w:val="00A91FA5"/>
    <w:rsid w:val="00A922D9"/>
    <w:rsid w:val="00A92555"/>
    <w:rsid w:val="00A925CA"/>
    <w:rsid w:val="00A9287A"/>
    <w:rsid w:val="00A932F8"/>
    <w:rsid w:val="00A94058"/>
    <w:rsid w:val="00A946DF"/>
    <w:rsid w:val="00A94BFB"/>
    <w:rsid w:val="00A954D1"/>
    <w:rsid w:val="00A959DE"/>
    <w:rsid w:val="00A95B8F"/>
    <w:rsid w:val="00A95CAD"/>
    <w:rsid w:val="00A96199"/>
    <w:rsid w:val="00A9653B"/>
    <w:rsid w:val="00A96ADC"/>
    <w:rsid w:val="00A970EF"/>
    <w:rsid w:val="00A97D4D"/>
    <w:rsid w:val="00AA0201"/>
    <w:rsid w:val="00AA0BF5"/>
    <w:rsid w:val="00AA10A7"/>
    <w:rsid w:val="00AA1508"/>
    <w:rsid w:val="00AA2D1B"/>
    <w:rsid w:val="00AA2D6D"/>
    <w:rsid w:val="00AA3318"/>
    <w:rsid w:val="00AA3327"/>
    <w:rsid w:val="00AA34F5"/>
    <w:rsid w:val="00AA3505"/>
    <w:rsid w:val="00AA4AB5"/>
    <w:rsid w:val="00AA57F1"/>
    <w:rsid w:val="00AA5ADB"/>
    <w:rsid w:val="00AA5DED"/>
    <w:rsid w:val="00AA63D9"/>
    <w:rsid w:val="00AA650D"/>
    <w:rsid w:val="00AA6E98"/>
    <w:rsid w:val="00AA6F51"/>
    <w:rsid w:val="00AA77B9"/>
    <w:rsid w:val="00AA7856"/>
    <w:rsid w:val="00AB0E98"/>
    <w:rsid w:val="00AB16D1"/>
    <w:rsid w:val="00AB2A08"/>
    <w:rsid w:val="00AB2CE2"/>
    <w:rsid w:val="00AB3840"/>
    <w:rsid w:val="00AB4271"/>
    <w:rsid w:val="00AB42AA"/>
    <w:rsid w:val="00AB42F2"/>
    <w:rsid w:val="00AB42F4"/>
    <w:rsid w:val="00AB4784"/>
    <w:rsid w:val="00AB505F"/>
    <w:rsid w:val="00AB5164"/>
    <w:rsid w:val="00AB5387"/>
    <w:rsid w:val="00AB5DEB"/>
    <w:rsid w:val="00AB624A"/>
    <w:rsid w:val="00AB6B1E"/>
    <w:rsid w:val="00AB6D1E"/>
    <w:rsid w:val="00AB6E93"/>
    <w:rsid w:val="00AB70C8"/>
    <w:rsid w:val="00AB72F6"/>
    <w:rsid w:val="00AB73D8"/>
    <w:rsid w:val="00AC020B"/>
    <w:rsid w:val="00AC0390"/>
    <w:rsid w:val="00AC0605"/>
    <w:rsid w:val="00AC06C1"/>
    <w:rsid w:val="00AC0AE0"/>
    <w:rsid w:val="00AC0F35"/>
    <w:rsid w:val="00AC1603"/>
    <w:rsid w:val="00AC18EA"/>
    <w:rsid w:val="00AC2375"/>
    <w:rsid w:val="00AC26F4"/>
    <w:rsid w:val="00AC2C06"/>
    <w:rsid w:val="00AC2F80"/>
    <w:rsid w:val="00AC3AAD"/>
    <w:rsid w:val="00AC3EE9"/>
    <w:rsid w:val="00AC41BA"/>
    <w:rsid w:val="00AC4956"/>
    <w:rsid w:val="00AC51C5"/>
    <w:rsid w:val="00AC51D9"/>
    <w:rsid w:val="00AC54CA"/>
    <w:rsid w:val="00AC55DA"/>
    <w:rsid w:val="00AC59E2"/>
    <w:rsid w:val="00AC5C92"/>
    <w:rsid w:val="00AC5DB4"/>
    <w:rsid w:val="00AC6073"/>
    <w:rsid w:val="00AC69BE"/>
    <w:rsid w:val="00AC6DCD"/>
    <w:rsid w:val="00AC71E6"/>
    <w:rsid w:val="00AC7A3A"/>
    <w:rsid w:val="00AC7D6E"/>
    <w:rsid w:val="00AC7F35"/>
    <w:rsid w:val="00AD0623"/>
    <w:rsid w:val="00AD07D2"/>
    <w:rsid w:val="00AD1381"/>
    <w:rsid w:val="00AD1560"/>
    <w:rsid w:val="00AD174A"/>
    <w:rsid w:val="00AD1D17"/>
    <w:rsid w:val="00AD2691"/>
    <w:rsid w:val="00AD3036"/>
    <w:rsid w:val="00AD362E"/>
    <w:rsid w:val="00AD438D"/>
    <w:rsid w:val="00AD4A4C"/>
    <w:rsid w:val="00AD4F33"/>
    <w:rsid w:val="00AD503E"/>
    <w:rsid w:val="00AD5D99"/>
    <w:rsid w:val="00AD6129"/>
    <w:rsid w:val="00AD65AB"/>
    <w:rsid w:val="00AD68A7"/>
    <w:rsid w:val="00AD6E22"/>
    <w:rsid w:val="00AD6FD2"/>
    <w:rsid w:val="00AD794C"/>
    <w:rsid w:val="00AD7F5C"/>
    <w:rsid w:val="00AE02AA"/>
    <w:rsid w:val="00AE0E9D"/>
    <w:rsid w:val="00AE0EDA"/>
    <w:rsid w:val="00AE1161"/>
    <w:rsid w:val="00AE1411"/>
    <w:rsid w:val="00AE1CE5"/>
    <w:rsid w:val="00AE2093"/>
    <w:rsid w:val="00AE2227"/>
    <w:rsid w:val="00AE38D4"/>
    <w:rsid w:val="00AE4065"/>
    <w:rsid w:val="00AE43B1"/>
    <w:rsid w:val="00AE494A"/>
    <w:rsid w:val="00AE4DA8"/>
    <w:rsid w:val="00AE50B0"/>
    <w:rsid w:val="00AE5CB5"/>
    <w:rsid w:val="00AE5E04"/>
    <w:rsid w:val="00AE5E0D"/>
    <w:rsid w:val="00AE693C"/>
    <w:rsid w:val="00AE7E35"/>
    <w:rsid w:val="00AE7F28"/>
    <w:rsid w:val="00AF0159"/>
    <w:rsid w:val="00AF12FD"/>
    <w:rsid w:val="00AF14D6"/>
    <w:rsid w:val="00AF1FCF"/>
    <w:rsid w:val="00AF2479"/>
    <w:rsid w:val="00AF270A"/>
    <w:rsid w:val="00AF3F01"/>
    <w:rsid w:val="00AF4EDC"/>
    <w:rsid w:val="00AF50D6"/>
    <w:rsid w:val="00AF51FC"/>
    <w:rsid w:val="00AF5E25"/>
    <w:rsid w:val="00AF6BA9"/>
    <w:rsid w:val="00AF6E5D"/>
    <w:rsid w:val="00AF70F6"/>
    <w:rsid w:val="00AF711C"/>
    <w:rsid w:val="00AF783C"/>
    <w:rsid w:val="00AF7F9D"/>
    <w:rsid w:val="00B000B8"/>
    <w:rsid w:val="00B002E4"/>
    <w:rsid w:val="00B024B6"/>
    <w:rsid w:val="00B028B6"/>
    <w:rsid w:val="00B03110"/>
    <w:rsid w:val="00B03707"/>
    <w:rsid w:val="00B03968"/>
    <w:rsid w:val="00B03BEC"/>
    <w:rsid w:val="00B04B5A"/>
    <w:rsid w:val="00B0544B"/>
    <w:rsid w:val="00B05527"/>
    <w:rsid w:val="00B05B13"/>
    <w:rsid w:val="00B0618D"/>
    <w:rsid w:val="00B0637E"/>
    <w:rsid w:val="00B06AC3"/>
    <w:rsid w:val="00B07332"/>
    <w:rsid w:val="00B0776E"/>
    <w:rsid w:val="00B078BB"/>
    <w:rsid w:val="00B07DEC"/>
    <w:rsid w:val="00B07FA5"/>
    <w:rsid w:val="00B10072"/>
    <w:rsid w:val="00B11581"/>
    <w:rsid w:val="00B115A8"/>
    <w:rsid w:val="00B116FA"/>
    <w:rsid w:val="00B118E6"/>
    <w:rsid w:val="00B13758"/>
    <w:rsid w:val="00B13E34"/>
    <w:rsid w:val="00B1435B"/>
    <w:rsid w:val="00B14C72"/>
    <w:rsid w:val="00B14E83"/>
    <w:rsid w:val="00B14EED"/>
    <w:rsid w:val="00B15018"/>
    <w:rsid w:val="00B15517"/>
    <w:rsid w:val="00B15936"/>
    <w:rsid w:val="00B159AE"/>
    <w:rsid w:val="00B15D4C"/>
    <w:rsid w:val="00B16EFB"/>
    <w:rsid w:val="00B17570"/>
    <w:rsid w:val="00B20CE7"/>
    <w:rsid w:val="00B20DE8"/>
    <w:rsid w:val="00B20F62"/>
    <w:rsid w:val="00B22094"/>
    <w:rsid w:val="00B22DE2"/>
    <w:rsid w:val="00B22E81"/>
    <w:rsid w:val="00B2356C"/>
    <w:rsid w:val="00B2382A"/>
    <w:rsid w:val="00B23A6F"/>
    <w:rsid w:val="00B23A89"/>
    <w:rsid w:val="00B23C83"/>
    <w:rsid w:val="00B23F60"/>
    <w:rsid w:val="00B23F66"/>
    <w:rsid w:val="00B24B9C"/>
    <w:rsid w:val="00B24C14"/>
    <w:rsid w:val="00B24CF3"/>
    <w:rsid w:val="00B254A2"/>
    <w:rsid w:val="00B25C96"/>
    <w:rsid w:val="00B25F61"/>
    <w:rsid w:val="00B26323"/>
    <w:rsid w:val="00B268FA"/>
    <w:rsid w:val="00B26EE6"/>
    <w:rsid w:val="00B26F9D"/>
    <w:rsid w:val="00B2725D"/>
    <w:rsid w:val="00B27A34"/>
    <w:rsid w:val="00B307CC"/>
    <w:rsid w:val="00B3232C"/>
    <w:rsid w:val="00B32736"/>
    <w:rsid w:val="00B327E0"/>
    <w:rsid w:val="00B327FD"/>
    <w:rsid w:val="00B32B95"/>
    <w:rsid w:val="00B32BDA"/>
    <w:rsid w:val="00B32C95"/>
    <w:rsid w:val="00B33DD4"/>
    <w:rsid w:val="00B33E45"/>
    <w:rsid w:val="00B3431F"/>
    <w:rsid w:val="00B345BE"/>
    <w:rsid w:val="00B34A00"/>
    <w:rsid w:val="00B34F52"/>
    <w:rsid w:val="00B35CAB"/>
    <w:rsid w:val="00B361F5"/>
    <w:rsid w:val="00B36632"/>
    <w:rsid w:val="00B37363"/>
    <w:rsid w:val="00B37828"/>
    <w:rsid w:val="00B378A5"/>
    <w:rsid w:val="00B41635"/>
    <w:rsid w:val="00B41C16"/>
    <w:rsid w:val="00B41F02"/>
    <w:rsid w:val="00B4205B"/>
    <w:rsid w:val="00B42115"/>
    <w:rsid w:val="00B42C35"/>
    <w:rsid w:val="00B431EC"/>
    <w:rsid w:val="00B43D2A"/>
    <w:rsid w:val="00B43F83"/>
    <w:rsid w:val="00B4403E"/>
    <w:rsid w:val="00B4441A"/>
    <w:rsid w:val="00B446AF"/>
    <w:rsid w:val="00B448DF"/>
    <w:rsid w:val="00B4505D"/>
    <w:rsid w:val="00B453A2"/>
    <w:rsid w:val="00B45B33"/>
    <w:rsid w:val="00B45F98"/>
    <w:rsid w:val="00B46D98"/>
    <w:rsid w:val="00B47097"/>
    <w:rsid w:val="00B47BAC"/>
    <w:rsid w:val="00B50095"/>
    <w:rsid w:val="00B5015F"/>
    <w:rsid w:val="00B502F9"/>
    <w:rsid w:val="00B50C35"/>
    <w:rsid w:val="00B50CF1"/>
    <w:rsid w:val="00B50D2D"/>
    <w:rsid w:val="00B50D85"/>
    <w:rsid w:val="00B51619"/>
    <w:rsid w:val="00B525AC"/>
    <w:rsid w:val="00B53836"/>
    <w:rsid w:val="00B5394F"/>
    <w:rsid w:val="00B53A10"/>
    <w:rsid w:val="00B53E73"/>
    <w:rsid w:val="00B5425F"/>
    <w:rsid w:val="00B544F1"/>
    <w:rsid w:val="00B55075"/>
    <w:rsid w:val="00B55478"/>
    <w:rsid w:val="00B5570E"/>
    <w:rsid w:val="00B55A4C"/>
    <w:rsid w:val="00B5637B"/>
    <w:rsid w:val="00B56AD1"/>
    <w:rsid w:val="00B56E21"/>
    <w:rsid w:val="00B575E5"/>
    <w:rsid w:val="00B606C7"/>
    <w:rsid w:val="00B61091"/>
    <w:rsid w:val="00B6342C"/>
    <w:rsid w:val="00B6398A"/>
    <w:rsid w:val="00B63B62"/>
    <w:rsid w:val="00B63EDF"/>
    <w:rsid w:val="00B63F98"/>
    <w:rsid w:val="00B64BCF"/>
    <w:rsid w:val="00B6533B"/>
    <w:rsid w:val="00B65CEE"/>
    <w:rsid w:val="00B66D49"/>
    <w:rsid w:val="00B66EF2"/>
    <w:rsid w:val="00B67890"/>
    <w:rsid w:val="00B7047D"/>
    <w:rsid w:val="00B70C04"/>
    <w:rsid w:val="00B7124B"/>
    <w:rsid w:val="00B71808"/>
    <w:rsid w:val="00B71E7E"/>
    <w:rsid w:val="00B72CF1"/>
    <w:rsid w:val="00B7361C"/>
    <w:rsid w:val="00B74115"/>
    <w:rsid w:val="00B74CD6"/>
    <w:rsid w:val="00B75032"/>
    <w:rsid w:val="00B75B52"/>
    <w:rsid w:val="00B75C3E"/>
    <w:rsid w:val="00B75DA7"/>
    <w:rsid w:val="00B760A9"/>
    <w:rsid w:val="00B7672F"/>
    <w:rsid w:val="00B767C5"/>
    <w:rsid w:val="00B76B95"/>
    <w:rsid w:val="00B772E6"/>
    <w:rsid w:val="00B77926"/>
    <w:rsid w:val="00B77C2D"/>
    <w:rsid w:val="00B80150"/>
    <w:rsid w:val="00B8100B"/>
    <w:rsid w:val="00B81030"/>
    <w:rsid w:val="00B813ED"/>
    <w:rsid w:val="00B81D69"/>
    <w:rsid w:val="00B8217A"/>
    <w:rsid w:val="00B82CC6"/>
    <w:rsid w:val="00B835AB"/>
    <w:rsid w:val="00B83A99"/>
    <w:rsid w:val="00B83B42"/>
    <w:rsid w:val="00B84152"/>
    <w:rsid w:val="00B84372"/>
    <w:rsid w:val="00B84717"/>
    <w:rsid w:val="00B84E8A"/>
    <w:rsid w:val="00B859DF"/>
    <w:rsid w:val="00B85D52"/>
    <w:rsid w:val="00B86252"/>
    <w:rsid w:val="00B86426"/>
    <w:rsid w:val="00B8654C"/>
    <w:rsid w:val="00B86805"/>
    <w:rsid w:val="00B8682C"/>
    <w:rsid w:val="00B869A3"/>
    <w:rsid w:val="00B86E35"/>
    <w:rsid w:val="00B8700C"/>
    <w:rsid w:val="00B87394"/>
    <w:rsid w:val="00B8763A"/>
    <w:rsid w:val="00B87AA1"/>
    <w:rsid w:val="00B87AD3"/>
    <w:rsid w:val="00B9037B"/>
    <w:rsid w:val="00B90EFE"/>
    <w:rsid w:val="00B91D8C"/>
    <w:rsid w:val="00B9216E"/>
    <w:rsid w:val="00B921CA"/>
    <w:rsid w:val="00B923BE"/>
    <w:rsid w:val="00B92405"/>
    <w:rsid w:val="00B92941"/>
    <w:rsid w:val="00B92BF8"/>
    <w:rsid w:val="00B93597"/>
    <w:rsid w:val="00B945B8"/>
    <w:rsid w:val="00B95444"/>
    <w:rsid w:val="00B95C17"/>
    <w:rsid w:val="00B95C3B"/>
    <w:rsid w:val="00B96945"/>
    <w:rsid w:val="00B9697C"/>
    <w:rsid w:val="00B97A3B"/>
    <w:rsid w:val="00B97AA1"/>
    <w:rsid w:val="00BA037E"/>
    <w:rsid w:val="00BA1CEE"/>
    <w:rsid w:val="00BA2089"/>
    <w:rsid w:val="00BA2CE2"/>
    <w:rsid w:val="00BA307F"/>
    <w:rsid w:val="00BA36E7"/>
    <w:rsid w:val="00BA4123"/>
    <w:rsid w:val="00BA512D"/>
    <w:rsid w:val="00BA5331"/>
    <w:rsid w:val="00BA5FB5"/>
    <w:rsid w:val="00BA62D2"/>
    <w:rsid w:val="00BA6B24"/>
    <w:rsid w:val="00BA71B9"/>
    <w:rsid w:val="00BA7CC7"/>
    <w:rsid w:val="00BB016D"/>
    <w:rsid w:val="00BB0818"/>
    <w:rsid w:val="00BB18FC"/>
    <w:rsid w:val="00BB22D2"/>
    <w:rsid w:val="00BB2B9B"/>
    <w:rsid w:val="00BB2ED2"/>
    <w:rsid w:val="00BB313F"/>
    <w:rsid w:val="00BB37B4"/>
    <w:rsid w:val="00BB3ACD"/>
    <w:rsid w:val="00BB3EA6"/>
    <w:rsid w:val="00BB49AB"/>
    <w:rsid w:val="00BB51C2"/>
    <w:rsid w:val="00BB5727"/>
    <w:rsid w:val="00BB60A4"/>
    <w:rsid w:val="00BB6946"/>
    <w:rsid w:val="00BB6D68"/>
    <w:rsid w:val="00BB7BA8"/>
    <w:rsid w:val="00BC0498"/>
    <w:rsid w:val="00BC094F"/>
    <w:rsid w:val="00BC21C7"/>
    <w:rsid w:val="00BC2D90"/>
    <w:rsid w:val="00BC3B00"/>
    <w:rsid w:val="00BC3B09"/>
    <w:rsid w:val="00BC3E1B"/>
    <w:rsid w:val="00BC4957"/>
    <w:rsid w:val="00BC495D"/>
    <w:rsid w:val="00BC5536"/>
    <w:rsid w:val="00BC78DF"/>
    <w:rsid w:val="00BD017C"/>
    <w:rsid w:val="00BD073A"/>
    <w:rsid w:val="00BD0895"/>
    <w:rsid w:val="00BD1149"/>
    <w:rsid w:val="00BD1A86"/>
    <w:rsid w:val="00BD1F20"/>
    <w:rsid w:val="00BD248A"/>
    <w:rsid w:val="00BD27FB"/>
    <w:rsid w:val="00BD3598"/>
    <w:rsid w:val="00BD3D9D"/>
    <w:rsid w:val="00BD3EE6"/>
    <w:rsid w:val="00BD425C"/>
    <w:rsid w:val="00BD43D5"/>
    <w:rsid w:val="00BD5581"/>
    <w:rsid w:val="00BD58AA"/>
    <w:rsid w:val="00BD5D72"/>
    <w:rsid w:val="00BD5D83"/>
    <w:rsid w:val="00BD5D98"/>
    <w:rsid w:val="00BD6234"/>
    <w:rsid w:val="00BD6BD2"/>
    <w:rsid w:val="00BD6D8F"/>
    <w:rsid w:val="00BD6F09"/>
    <w:rsid w:val="00BD78BF"/>
    <w:rsid w:val="00BD7FA6"/>
    <w:rsid w:val="00BE015F"/>
    <w:rsid w:val="00BE08A8"/>
    <w:rsid w:val="00BE0985"/>
    <w:rsid w:val="00BE098C"/>
    <w:rsid w:val="00BE0A87"/>
    <w:rsid w:val="00BE0DEC"/>
    <w:rsid w:val="00BE1435"/>
    <w:rsid w:val="00BE1B98"/>
    <w:rsid w:val="00BE364C"/>
    <w:rsid w:val="00BE3C3C"/>
    <w:rsid w:val="00BE3E7D"/>
    <w:rsid w:val="00BE3F27"/>
    <w:rsid w:val="00BE401C"/>
    <w:rsid w:val="00BE416A"/>
    <w:rsid w:val="00BE449B"/>
    <w:rsid w:val="00BE4C24"/>
    <w:rsid w:val="00BE5493"/>
    <w:rsid w:val="00BE55A5"/>
    <w:rsid w:val="00BE60A8"/>
    <w:rsid w:val="00BE6DCA"/>
    <w:rsid w:val="00BE7141"/>
    <w:rsid w:val="00BE726E"/>
    <w:rsid w:val="00BE74FA"/>
    <w:rsid w:val="00BE7B8D"/>
    <w:rsid w:val="00BE7DD6"/>
    <w:rsid w:val="00BE7EA4"/>
    <w:rsid w:val="00BF0402"/>
    <w:rsid w:val="00BF0EBD"/>
    <w:rsid w:val="00BF1472"/>
    <w:rsid w:val="00BF15FB"/>
    <w:rsid w:val="00BF189F"/>
    <w:rsid w:val="00BF1A58"/>
    <w:rsid w:val="00BF1B47"/>
    <w:rsid w:val="00BF222A"/>
    <w:rsid w:val="00BF228D"/>
    <w:rsid w:val="00BF2B66"/>
    <w:rsid w:val="00BF2D7C"/>
    <w:rsid w:val="00BF2E39"/>
    <w:rsid w:val="00BF3531"/>
    <w:rsid w:val="00BF3740"/>
    <w:rsid w:val="00BF3D5D"/>
    <w:rsid w:val="00BF4E29"/>
    <w:rsid w:val="00BF57DC"/>
    <w:rsid w:val="00BF588B"/>
    <w:rsid w:val="00BF5B03"/>
    <w:rsid w:val="00BF5EC7"/>
    <w:rsid w:val="00BF64DC"/>
    <w:rsid w:val="00BF65B9"/>
    <w:rsid w:val="00BF6694"/>
    <w:rsid w:val="00BF67DC"/>
    <w:rsid w:val="00BF680F"/>
    <w:rsid w:val="00BF7AB7"/>
    <w:rsid w:val="00C00423"/>
    <w:rsid w:val="00C0112A"/>
    <w:rsid w:val="00C012D0"/>
    <w:rsid w:val="00C015DD"/>
    <w:rsid w:val="00C0171B"/>
    <w:rsid w:val="00C01F17"/>
    <w:rsid w:val="00C02186"/>
    <w:rsid w:val="00C02692"/>
    <w:rsid w:val="00C02E33"/>
    <w:rsid w:val="00C03345"/>
    <w:rsid w:val="00C03A5D"/>
    <w:rsid w:val="00C04496"/>
    <w:rsid w:val="00C044E7"/>
    <w:rsid w:val="00C04514"/>
    <w:rsid w:val="00C04823"/>
    <w:rsid w:val="00C04B68"/>
    <w:rsid w:val="00C04DAC"/>
    <w:rsid w:val="00C04E3A"/>
    <w:rsid w:val="00C0573D"/>
    <w:rsid w:val="00C068B8"/>
    <w:rsid w:val="00C06915"/>
    <w:rsid w:val="00C06C31"/>
    <w:rsid w:val="00C07046"/>
    <w:rsid w:val="00C070B1"/>
    <w:rsid w:val="00C07408"/>
    <w:rsid w:val="00C07CED"/>
    <w:rsid w:val="00C10E43"/>
    <w:rsid w:val="00C10F32"/>
    <w:rsid w:val="00C1148B"/>
    <w:rsid w:val="00C117FA"/>
    <w:rsid w:val="00C1213F"/>
    <w:rsid w:val="00C121D8"/>
    <w:rsid w:val="00C124D9"/>
    <w:rsid w:val="00C139FB"/>
    <w:rsid w:val="00C13B7B"/>
    <w:rsid w:val="00C14198"/>
    <w:rsid w:val="00C1470F"/>
    <w:rsid w:val="00C14971"/>
    <w:rsid w:val="00C14A25"/>
    <w:rsid w:val="00C14D62"/>
    <w:rsid w:val="00C14F61"/>
    <w:rsid w:val="00C15121"/>
    <w:rsid w:val="00C1550C"/>
    <w:rsid w:val="00C15BFF"/>
    <w:rsid w:val="00C15CBC"/>
    <w:rsid w:val="00C15E0C"/>
    <w:rsid w:val="00C15E3A"/>
    <w:rsid w:val="00C16363"/>
    <w:rsid w:val="00C16638"/>
    <w:rsid w:val="00C1666E"/>
    <w:rsid w:val="00C17550"/>
    <w:rsid w:val="00C17657"/>
    <w:rsid w:val="00C20F38"/>
    <w:rsid w:val="00C214A9"/>
    <w:rsid w:val="00C2152B"/>
    <w:rsid w:val="00C2178C"/>
    <w:rsid w:val="00C21818"/>
    <w:rsid w:val="00C223DA"/>
    <w:rsid w:val="00C227E5"/>
    <w:rsid w:val="00C22E12"/>
    <w:rsid w:val="00C22E73"/>
    <w:rsid w:val="00C2323F"/>
    <w:rsid w:val="00C2336D"/>
    <w:rsid w:val="00C2394B"/>
    <w:rsid w:val="00C23F0C"/>
    <w:rsid w:val="00C240E7"/>
    <w:rsid w:val="00C24DE9"/>
    <w:rsid w:val="00C25035"/>
    <w:rsid w:val="00C253CB"/>
    <w:rsid w:val="00C25409"/>
    <w:rsid w:val="00C25751"/>
    <w:rsid w:val="00C25D0E"/>
    <w:rsid w:val="00C26996"/>
    <w:rsid w:val="00C3059A"/>
    <w:rsid w:val="00C30D66"/>
    <w:rsid w:val="00C30DFD"/>
    <w:rsid w:val="00C31368"/>
    <w:rsid w:val="00C3140D"/>
    <w:rsid w:val="00C3152E"/>
    <w:rsid w:val="00C31589"/>
    <w:rsid w:val="00C31D34"/>
    <w:rsid w:val="00C32C3B"/>
    <w:rsid w:val="00C33C71"/>
    <w:rsid w:val="00C33FF8"/>
    <w:rsid w:val="00C340A7"/>
    <w:rsid w:val="00C342D9"/>
    <w:rsid w:val="00C34567"/>
    <w:rsid w:val="00C35817"/>
    <w:rsid w:val="00C37C38"/>
    <w:rsid w:val="00C407EB"/>
    <w:rsid w:val="00C41612"/>
    <w:rsid w:val="00C41720"/>
    <w:rsid w:val="00C41DCD"/>
    <w:rsid w:val="00C41F35"/>
    <w:rsid w:val="00C4333A"/>
    <w:rsid w:val="00C43DBF"/>
    <w:rsid w:val="00C44257"/>
    <w:rsid w:val="00C442E5"/>
    <w:rsid w:val="00C4439A"/>
    <w:rsid w:val="00C44495"/>
    <w:rsid w:val="00C44E1A"/>
    <w:rsid w:val="00C45321"/>
    <w:rsid w:val="00C45939"/>
    <w:rsid w:val="00C45A43"/>
    <w:rsid w:val="00C46D05"/>
    <w:rsid w:val="00C4700D"/>
    <w:rsid w:val="00C47032"/>
    <w:rsid w:val="00C47EB6"/>
    <w:rsid w:val="00C50857"/>
    <w:rsid w:val="00C50912"/>
    <w:rsid w:val="00C512BA"/>
    <w:rsid w:val="00C51C7D"/>
    <w:rsid w:val="00C52124"/>
    <w:rsid w:val="00C52148"/>
    <w:rsid w:val="00C52651"/>
    <w:rsid w:val="00C52A9B"/>
    <w:rsid w:val="00C54D25"/>
    <w:rsid w:val="00C54DC7"/>
    <w:rsid w:val="00C555AC"/>
    <w:rsid w:val="00C55879"/>
    <w:rsid w:val="00C55B12"/>
    <w:rsid w:val="00C55DC7"/>
    <w:rsid w:val="00C56F11"/>
    <w:rsid w:val="00C572CA"/>
    <w:rsid w:val="00C57433"/>
    <w:rsid w:val="00C5758B"/>
    <w:rsid w:val="00C575DA"/>
    <w:rsid w:val="00C57B9E"/>
    <w:rsid w:val="00C600A9"/>
    <w:rsid w:val="00C6019A"/>
    <w:rsid w:val="00C603EE"/>
    <w:rsid w:val="00C6044B"/>
    <w:rsid w:val="00C6213F"/>
    <w:rsid w:val="00C621F6"/>
    <w:rsid w:val="00C62606"/>
    <w:rsid w:val="00C627BA"/>
    <w:rsid w:val="00C62DC7"/>
    <w:rsid w:val="00C63052"/>
    <w:rsid w:val="00C63709"/>
    <w:rsid w:val="00C652A7"/>
    <w:rsid w:val="00C65925"/>
    <w:rsid w:val="00C65BC0"/>
    <w:rsid w:val="00C66977"/>
    <w:rsid w:val="00C67C9A"/>
    <w:rsid w:val="00C67E0E"/>
    <w:rsid w:val="00C7005C"/>
    <w:rsid w:val="00C700E6"/>
    <w:rsid w:val="00C7054A"/>
    <w:rsid w:val="00C70854"/>
    <w:rsid w:val="00C70863"/>
    <w:rsid w:val="00C70C02"/>
    <w:rsid w:val="00C70CAD"/>
    <w:rsid w:val="00C711E6"/>
    <w:rsid w:val="00C724FC"/>
    <w:rsid w:val="00C725BB"/>
    <w:rsid w:val="00C728D2"/>
    <w:rsid w:val="00C72BE7"/>
    <w:rsid w:val="00C73900"/>
    <w:rsid w:val="00C73965"/>
    <w:rsid w:val="00C739AA"/>
    <w:rsid w:val="00C73CC5"/>
    <w:rsid w:val="00C749EE"/>
    <w:rsid w:val="00C74A3B"/>
    <w:rsid w:val="00C74CBA"/>
    <w:rsid w:val="00C75386"/>
    <w:rsid w:val="00C75CFE"/>
    <w:rsid w:val="00C76773"/>
    <w:rsid w:val="00C76BCA"/>
    <w:rsid w:val="00C76C5B"/>
    <w:rsid w:val="00C76DE8"/>
    <w:rsid w:val="00C770C9"/>
    <w:rsid w:val="00C77153"/>
    <w:rsid w:val="00C77293"/>
    <w:rsid w:val="00C77A59"/>
    <w:rsid w:val="00C80E2C"/>
    <w:rsid w:val="00C81350"/>
    <w:rsid w:val="00C81767"/>
    <w:rsid w:val="00C826E2"/>
    <w:rsid w:val="00C82C8D"/>
    <w:rsid w:val="00C82E5F"/>
    <w:rsid w:val="00C8339F"/>
    <w:rsid w:val="00C83445"/>
    <w:rsid w:val="00C85D14"/>
    <w:rsid w:val="00C85D9F"/>
    <w:rsid w:val="00C86201"/>
    <w:rsid w:val="00C86F31"/>
    <w:rsid w:val="00C875A9"/>
    <w:rsid w:val="00C87E0E"/>
    <w:rsid w:val="00C90299"/>
    <w:rsid w:val="00C90378"/>
    <w:rsid w:val="00C9061E"/>
    <w:rsid w:val="00C918DF"/>
    <w:rsid w:val="00C91C80"/>
    <w:rsid w:val="00C920DB"/>
    <w:rsid w:val="00C923C6"/>
    <w:rsid w:val="00C92525"/>
    <w:rsid w:val="00C92746"/>
    <w:rsid w:val="00C9317D"/>
    <w:rsid w:val="00C9329C"/>
    <w:rsid w:val="00C93411"/>
    <w:rsid w:val="00C93A4A"/>
    <w:rsid w:val="00C940CD"/>
    <w:rsid w:val="00C9614C"/>
    <w:rsid w:val="00C96331"/>
    <w:rsid w:val="00C970DC"/>
    <w:rsid w:val="00C97B58"/>
    <w:rsid w:val="00CA00EE"/>
    <w:rsid w:val="00CA1D81"/>
    <w:rsid w:val="00CA2942"/>
    <w:rsid w:val="00CA3340"/>
    <w:rsid w:val="00CA3F64"/>
    <w:rsid w:val="00CA4F13"/>
    <w:rsid w:val="00CA4F24"/>
    <w:rsid w:val="00CA54D4"/>
    <w:rsid w:val="00CA55CD"/>
    <w:rsid w:val="00CA57A7"/>
    <w:rsid w:val="00CA5D66"/>
    <w:rsid w:val="00CA6329"/>
    <w:rsid w:val="00CA634C"/>
    <w:rsid w:val="00CA654E"/>
    <w:rsid w:val="00CA70D1"/>
    <w:rsid w:val="00CB02DD"/>
    <w:rsid w:val="00CB11EA"/>
    <w:rsid w:val="00CB1931"/>
    <w:rsid w:val="00CB193F"/>
    <w:rsid w:val="00CB1D9E"/>
    <w:rsid w:val="00CB26FD"/>
    <w:rsid w:val="00CB2B4A"/>
    <w:rsid w:val="00CB2C16"/>
    <w:rsid w:val="00CB336D"/>
    <w:rsid w:val="00CB355F"/>
    <w:rsid w:val="00CB3AE5"/>
    <w:rsid w:val="00CB3C6C"/>
    <w:rsid w:val="00CB3CFB"/>
    <w:rsid w:val="00CB560A"/>
    <w:rsid w:val="00CB5ADD"/>
    <w:rsid w:val="00CB6815"/>
    <w:rsid w:val="00CB6F0A"/>
    <w:rsid w:val="00CB7E44"/>
    <w:rsid w:val="00CC032B"/>
    <w:rsid w:val="00CC0372"/>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4A50"/>
    <w:rsid w:val="00CC4F38"/>
    <w:rsid w:val="00CC566B"/>
    <w:rsid w:val="00CC58D7"/>
    <w:rsid w:val="00CC5C32"/>
    <w:rsid w:val="00CC5FEB"/>
    <w:rsid w:val="00CC67D2"/>
    <w:rsid w:val="00CC7477"/>
    <w:rsid w:val="00CC7A79"/>
    <w:rsid w:val="00CD0A47"/>
    <w:rsid w:val="00CD11DB"/>
    <w:rsid w:val="00CD167D"/>
    <w:rsid w:val="00CD1999"/>
    <w:rsid w:val="00CD1DC8"/>
    <w:rsid w:val="00CD23B4"/>
    <w:rsid w:val="00CD3A9C"/>
    <w:rsid w:val="00CD3C0F"/>
    <w:rsid w:val="00CD3EDA"/>
    <w:rsid w:val="00CD3FD9"/>
    <w:rsid w:val="00CD41F0"/>
    <w:rsid w:val="00CD44D7"/>
    <w:rsid w:val="00CD5654"/>
    <w:rsid w:val="00CD5C48"/>
    <w:rsid w:val="00CD6075"/>
    <w:rsid w:val="00CD6808"/>
    <w:rsid w:val="00CD6886"/>
    <w:rsid w:val="00CD6EC2"/>
    <w:rsid w:val="00CD72B4"/>
    <w:rsid w:val="00CD771D"/>
    <w:rsid w:val="00CD7818"/>
    <w:rsid w:val="00CE020D"/>
    <w:rsid w:val="00CE0BE7"/>
    <w:rsid w:val="00CE27A1"/>
    <w:rsid w:val="00CE2E6C"/>
    <w:rsid w:val="00CE33B5"/>
    <w:rsid w:val="00CE3882"/>
    <w:rsid w:val="00CE43A6"/>
    <w:rsid w:val="00CE43D6"/>
    <w:rsid w:val="00CE47D1"/>
    <w:rsid w:val="00CE5276"/>
    <w:rsid w:val="00CE543E"/>
    <w:rsid w:val="00CE5615"/>
    <w:rsid w:val="00CE5B15"/>
    <w:rsid w:val="00CE5B45"/>
    <w:rsid w:val="00CE5F2D"/>
    <w:rsid w:val="00CE6022"/>
    <w:rsid w:val="00CE6153"/>
    <w:rsid w:val="00CE6520"/>
    <w:rsid w:val="00CE6E68"/>
    <w:rsid w:val="00CE70A4"/>
    <w:rsid w:val="00CE76C6"/>
    <w:rsid w:val="00CF077C"/>
    <w:rsid w:val="00CF1066"/>
    <w:rsid w:val="00CF1887"/>
    <w:rsid w:val="00CF2324"/>
    <w:rsid w:val="00CF24A5"/>
    <w:rsid w:val="00CF2506"/>
    <w:rsid w:val="00CF2951"/>
    <w:rsid w:val="00CF2D83"/>
    <w:rsid w:val="00CF2E90"/>
    <w:rsid w:val="00CF342B"/>
    <w:rsid w:val="00CF3B93"/>
    <w:rsid w:val="00CF4665"/>
    <w:rsid w:val="00CF5ACB"/>
    <w:rsid w:val="00CF6111"/>
    <w:rsid w:val="00CF670D"/>
    <w:rsid w:val="00CF6A46"/>
    <w:rsid w:val="00CF6E11"/>
    <w:rsid w:val="00CF6F87"/>
    <w:rsid w:val="00CF7016"/>
    <w:rsid w:val="00CF74CB"/>
    <w:rsid w:val="00CF7C58"/>
    <w:rsid w:val="00CF7E8C"/>
    <w:rsid w:val="00D015A1"/>
    <w:rsid w:val="00D01AA2"/>
    <w:rsid w:val="00D01BF1"/>
    <w:rsid w:val="00D01CE3"/>
    <w:rsid w:val="00D0266B"/>
    <w:rsid w:val="00D02923"/>
    <w:rsid w:val="00D031F6"/>
    <w:rsid w:val="00D03600"/>
    <w:rsid w:val="00D0383E"/>
    <w:rsid w:val="00D03F66"/>
    <w:rsid w:val="00D040A7"/>
    <w:rsid w:val="00D046F1"/>
    <w:rsid w:val="00D047DE"/>
    <w:rsid w:val="00D04AD2"/>
    <w:rsid w:val="00D05436"/>
    <w:rsid w:val="00D057C4"/>
    <w:rsid w:val="00D05AF0"/>
    <w:rsid w:val="00D05FDF"/>
    <w:rsid w:val="00D0636A"/>
    <w:rsid w:val="00D0658C"/>
    <w:rsid w:val="00D06786"/>
    <w:rsid w:val="00D072ED"/>
    <w:rsid w:val="00D07779"/>
    <w:rsid w:val="00D078D6"/>
    <w:rsid w:val="00D07A40"/>
    <w:rsid w:val="00D07DA8"/>
    <w:rsid w:val="00D07E5F"/>
    <w:rsid w:val="00D10B14"/>
    <w:rsid w:val="00D10CD4"/>
    <w:rsid w:val="00D12435"/>
    <w:rsid w:val="00D140DB"/>
    <w:rsid w:val="00D1585D"/>
    <w:rsid w:val="00D1648D"/>
    <w:rsid w:val="00D174C8"/>
    <w:rsid w:val="00D17985"/>
    <w:rsid w:val="00D20486"/>
    <w:rsid w:val="00D20879"/>
    <w:rsid w:val="00D20BD0"/>
    <w:rsid w:val="00D211FB"/>
    <w:rsid w:val="00D21580"/>
    <w:rsid w:val="00D225D0"/>
    <w:rsid w:val="00D24B57"/>
    <w:rsid w:val="00D24BDD"/>
    <w:rsid w:val="00D24E4F"/>
    <w:rsid w:val="00D2531F"/>
    <w:rsid w:val="00D26B5C"/>
    <w:rsid w:val="00D26BD8"/>
    <w:rsid w:val="00D2718C"/>
    <w:rsid w:val="00D27792"/>
    <w:rsid w:val="00D278F2"/>
    <w:rsid w:val="00D27AB3"/>
    <w:rsid w:val="00D27CC8"/>
    <w:rsid w:val="00D27E4A"/>
    <w:rsid w:val="00D30997"/>
    <w:rsid w:val="00D3171A"/>
    <w:rsid w:val="00D32298"/>
    <w:rsid w:val="00D322E3"/>
    <w:rsid w:val="00D32610"/>
    <w:rsid w:val="00D329C7"/>
    <w:rsid w:val="00D32BE0"/>
    <w:rsid w:val="00D34121"/>
    <w:rsid w:val="00D34217"/>
    <w:rsid w:val="00D34686"/>
    <w:rsid w:val="00D34746"/>
    <w:rsid w:val="00D3477A"/>
    <w:rsid w:val="00D356C0"/>
    <w:rsid w:val="00D35A2D"/>
    <w:rsid w:val="00D35A9C"/>
    <w:rsid w:val="00D369E3"/>
    <w:rsid w:val="00D36B12"/>
    <w:rsid w:val="00D3700B"/>
    <w:rsid w:val="00D37399"/>
    <w:rsid w:val="00D3765C"/>
    <w:rsid w:val="00D37B9B"/>
    <w:rsid w:val="00D40646"/>
    <w:rsid w:val="00D40753"/>
    <w:rsid w:val="00D4079C"/>
    <w:rsid w:val="00D41053"/>
    <w:rsid w:val="00D41160"/>
    <w:rsid w:val="00D41210"/>
    <w:rsid w:val="00D4202C"/>
    <w:rsid w:val="00D420B0"/>
    <w:rsid w:val="00D4231D"/>
    <w:rsid w:val="00D429BC"/>
    <w:rsid w:val="00D42C21"/>
    <w:rsid w:val="00D43CC2"/>
    <w:rsid w:val="00D4459E"/>
    <w:rsid w:val="00D44745"/>
    <w:rsid w:val="00D44766"/>
    <w:rsid w:val="00D44F97"/>
    <w:rsid w:val="00D455A1"/>
    <w:rsid w:val="00D45756"/>
    <w:rsid w:val="00D45CEA"/>
    <w:rsid w:val="00D46A5D"/>
    <w:rsid w:val="00D47243"/>
    <w:rsid w:val="00D50089"/>
    <w:rsid w:val="00D50ED4"/>
    <w:rsid w:val="00D50ED5"/>
    <w:rsid w:val="00D51195"/>
    <w:rsid w:val="00D514E5"/>
    <w:rsid w:val="00D5182F"/>
    <w:rsid w:val="00D519E7"/>
    <w:rsid w:val="00D53B88"/>
    <w:rsid w:val="00D53CE4"/>
    <w:rsid w:val="00D55054"/>
    <w:rsid w:val="00D5565F"/>
    <w:rsid w:val="00D560FA"/>
    <w:rsid w:val="00D56CE8"/>
    <w:rsid w:val="00D5738F"/>
    <w:rsid w:val="00D574C6"/>
    <w:rsid w:val="00D601A6"/>
    <w:rsid w:val="00D601AD"/>
    <w:rsid w:val="00D6022E"/>
    <w:rsid w:val="00D614E0"/>
    <w:rsid w:val="00D61B6E"/>
    <w:rsid w:val="00D623D5"/>
    <w:rsid w:val="00D6328E"/>
    <w:rsid w:val="00D634BA"/>
    <w:rsid w:val="00D63907"/>
    <w:rsid w:val="00D639D5"/>
    <w:rsid w:val="00D654C9"/>
    <w:rsid w:val="00D65535"/>
    <w:rsid w:val="00D6590D"/>
    <w:rsid w:val="00D65E98"/>
    <w:rsid w:val="00D6666C"/>
    <w:rsid w:val="00D66983"/>
    <w:rsid w:val="00D66A13"/>
    <w:rsid w:val="00D66BC2"/>
    <w:rsid w:val="00D66FA5"/>
    <w:rsid w:val="00D67940"/>
    <w:rsid w:val="00D7086C"/>
    <w:rsid w:val="00D708B0"/>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56F6"/>
    <w:rsid w:val="00D7594C"/>
    <w:rsid w:val="00D766EA"/>
    <w:rsid w:val="00D769F5"/>
    <w:rsid w:val="00D76B25"/>
    <w:rsid w:val="00D76FFD"/>
    <w:rsid w:val="00D775B8"/>
    <w:rsid w:val="00D77AE1"/>
    <w:rsid w:val="00D8025F"/>
    <w:rsid w:val="00D80729"/>
    <w:rsid w:val="00D80A3B"/>
    <w:rsid w:val="00D80CB2"/>
    <w:rsid w:val="00D80D8F"/>
    <w:rsid w:val="00D80F76"/>
    <w:rsid w:val="00D8184E"/>
    <w:rsid w:val="00D82060"/>
    <w:rsid w:val="00D82081"/>
    <w:rsid w:val="00D822C7"/>
    <w:rsid w:val="00D826A7"/>
    <w:rsid w:val="00D82B31"/>
    <w:rsid w:val="00D82F10"/>
    <w:rsid w:val="00D831F2"/>
    <w:rsid w:val="00D83387"/>
    <w:rsid w:val="00D83E2C"/>
    <w:rsid w:val="00D84743"/>
    <w:rsid w:val="00D84ACB"/>
    <w:rsid w:val="00D84CEE"/>
    <w:rsid w:val="00D85196"/>
    <w:rsid w:val="00D85B60"/>
    <w:rsid w:val="00D86E7D"/>
    <w:rsid w:val="00D8751D"/>
    <w:rsid w:val="00D90C5A"/>
    <w:rsid w:val="00D90C72"/>
    <w:rsid w:val="00D91DE3"/>
    <w:rsid w:val="00D92270"/>
    <w:rsid w:val="00D925C2"/>
    <w:rsid w:val="00D927A0"/>
    <w:rsid w:val="00D93276"/>
    <w:rsid w:val="00D93B24"/>
    <w:rsid w:val="00D93B7C"/>
    <w:rsid w:val="00D946E2"/>
    <w:rsid w:val="00D959D1"/>
    <w:rsid w:val="00D95DD0"/>
    <w:rsid w:val="00D965A0"/>
    <w:rsid w:val="00D965C3"/>
    <w:rsid w:val="00D96D5A"/>
    <w:rsid w:val="00D975BD"/>
    <w:rsid w:val="00D977BB"/>
    <w:rsid w:val="00D97DB1"/>
    <w:rsid w:val="00DA03CE"/>
    <w:rsid w:val="00DA0C36"/>
    <w:rsid w:val="00DA12E2"/>
    <w:rsid w:val="00DA16C1"/>
    <w:rsid w:val="00DA185A"/>
    <w:rsid w:val="00DA1E8E"/>
    <w:rsid w:val="00DA1FE9"/>
    <w:rsid w:val="00DA32F2"/>
    <w:rsid w:val="00DA458D"/>
    <w:rsid w:val="00DA4B28"/>
    <w:rsid w:val="00DA51F0"/>
    <w:rsid w:val="00DA592B"/>
    <w:rsid w:val="00DA6277"/>
    <w:rsid w:val="00DA689A"/>
    <w:rsid w:val="00DA68B0"/>
    <w:rsid w:val="00DA7391"/>
    <w:rsid w:val="00DA79DD"/>
    <w:rsid w:val="00DB0147"/>
    <w:rsid w:val="00DB0FDF"/>
    <w:rsid w:val="00DB0FEC"/>
    <w:rsid w:val="00DB1138"/>
    <w:rsid w:val="00DB11F3"/>
    <w:rsid w:val="00DB13D7"/>
    <w:rsid w:val="00DB1FA2"/>
    <w:rsid w:val="00DB236E"/>
    <w:rsid w:val="00DB3479"/>
    <w:rsid w:val="00DB3D5C"/>
    <w:rsid w:val="00DB3EBA"/>
    <w:rsid w:val="00DB3F3C"/>
    <w:rsid w:val="00DB4127"/>
    <w:rsid w:val="00DB4442"/>
    <w:rsid w:val="00DB4A3B"/>
    <w:rsid w:val="00DB4BCA"/>
    <w:rsid w:val="00DB5AAA"/>
    <w:rsid w:val="00DB5B28"/>
    <w:rsid w:val="00DB6C05"/>
    <w:rsid w:val="00DB7579"/>
    <w:rsid w:val="00DB7843"/>
    <w:rsid w:val="00DB7D21"/>
    <w:rsid w:val="00DB7DE0"/>
    <w:rsid w:val="00DC016F"/>
    <w:rsid w:val="00DC02C2"/>
    <w:rsid w:val="00DC07AE"/>
    <w:rsid w:val="00DC0B4B"/>
    <w:rsid w:val="00DC12F1"/>
    <w:rsid w:val="00DC1C9B"/>
    <w:rsid w:val="00DC1F7F"/>
    <w:rsid w:val="00DC280D"/>
    <w:rsid w:val="00DC2D9B"/>
    <w:rsid w:val="00DC31AA"/>
    <w:rsid w:val="00DC34BF"/>
    <w:rsid w:val="00DC3886"/>
    <w:rsid w:val="00DC40BE"/>
    <w:rsid w:val="00DC5501"/>
    <w:rsid w:val="00DC5BC0"/>
    <w:rsid w:val="00DC5E33"/>
    <w:rsid w:val="00DC648D"/>
    <w:rsid w:val="00DC6AE0"/>
    <w:rsid w:val="00DC6AF7"/>
    <w:rsid w:val="00DC731C"/>
    <w:rsid w:val="00DD0128"/>
    <w:rsid w:val="00DD140F"/>
    <w:rsid w:val="00DD157B"/>
    <w:rsid w:val="00DD1CBF"/>
    <w:rsid w:val="00DD2426"/>
    <w:rsid w:val="00DD37FA"/>
    <w:rsid w:val="00DD3FE0"/>
    <w:rsid w:val="00DD4643"/>
    <w:rsid w:val="00DD4801"/>
    <w:rsid w:val="00DD4CC8"/>
    <w:rsid w:val="00DD5186"/>
    <w:rsid w:val="00DD524F"/>
    <w:rsid w:val="00DD53AF"/>
    <w:rsid w:val="00DD5A96"/>
    <w:rsid w:val="00DD5B68"/>
    <w:rsid w:val="00DD6B76"/>
    <w:rsid w:val="00DD7226"/>
    <w:rsid w:val="00DD7FC7"/>
    <w:rsid w:val="00DE0675"/>
    <w:rsid w:val="00DE098D"/>
    <w:rsid w:val="00DE1DC8"/>
    <w:rsid w:val="00DE249D"/>
    <w:rsid w:val="00DE395F"/>
    <w:rsid w:val="00DE4EC9"/>
    <w:rsid w:val="00DE5323"/>
    <w:rsid w:val="00DE5E1B"/>
    <w:rsid w:val="00DE647E"/>
    <w:rsid w:val="00DE68D1"/>
    <w:rsid w:val="00DE7FE8"/>
    <w:rsid w:val="00DF0A8D"/>
    <w:rsid w:val="00DF1505"/>
    <w:rsid w:val="00DF1612"/>
    <w:rsid w:val="00DF2297"/>
    <w:rsid w:val="00DF2580"/>
    <w:rsid w:val="00DF2BBB"/>
    <w:rsid w:val="00DF39D8"/>
    <w:rsid w:val="00DF43A0"/>
    <w:rsid w:val="00DF45D5"/>
    <w:rsid w:val="00DF4702"/>
    <w:rsid w:val="00DF4AD1"/>
    <w:rsid w:val="00DF4CB3"/>
    <w:rsid w:val="00DF4D0C"/>
    <w:rsid w:val="00DF4D9B"/>
    <w:rsid w:val="00DF4F3D"/>
    <w:rsid w:val="00DF4FC1"/>
    <w:rsid w:val="00DF53CB"/>
    <w:rsid w:val="00DF5674"/>
    <w:rsid w:val="00DF59FA"/>
    <w:rsid w:val="00DF5B55"/>
    <w:rsid w:val="00DF5D2D"/>
    <w:rsid w:val="00DF680C"/>
    <w:rsid w:val="00DF6D4F"/>
    <w:rsid w:val="00DF7499"/>
    <w:rsid w:val="00DF7951"/>
    <w:rsid w:val="00E0021A"/>
    <w:rsid w:val="00E00696"/>
    <w:rsid w:val="00E006A8"/>
    <w:rsid w:val="00E00849"/>
    <w:rsid w:val="00E012C7"/>
    <w:rsid w:val="00E01454"/>
    <w:rsid w:val="00E018B7"/>
    <w:rsid w:val="00E01CBE"/>
    <w:rsid w:val="00E029C7"/>
    <w:rsid w:val="00E02EAB"/>
    <w:rsid w:val="00E036AE"/>
    <w:rsid w:val="00E04646"/>
    <w:rsid w:val="00E04BD1"/>
    <w:rsid w:val="00E04BE6"/>
    <w:rsid w:val="00E04CCA"/>
    <w:rsid w:val="00E05421"/>
    <w:rsid w:val="00E05D64"/>
    <w:rsid w:val="00E06894"/>
    <w:rsid w:val="00E06E05"/>
    <w:rsid w:val="00E07419"/>
    <w:rsid w:val="00E07E44"/>
    <w:rsid w:val="00E101E5"/>
    <w:rsid w:val="00E10FD9"/>
    <w:rsid w:val="00E11643"/>
    <w:rsid w:val="00E118AF"/>
    <w:rsid w:val="00E12AAB"/>
    <w:rsid w:val="00E132D0"/>
    <w:rsid w:val="00E13433"/>
    <w:rsid w:val="00E13E01"/>
    <w:rsid w:val="00E14316"/>
    <w:rsid w:val="00E15740"/>
    <w:rsid w:val="00E157A0"/>
    <w:rsid w:val="00E16133"/>
    <w:rsid w:val="00E167A8"/>
    <w:rsid w:val="00E16B83"/>
    <w:rsid w:val="00E203CF"/>
    <w:rsid w:val="00E20B45"/>
    <w:rsid w:val="00E21498"/>
    <w:rsid w:val="00E217A7"/>
    <w:rsid w:val="00E22BF6"/>
    <w:rsid w:val="00E22D1A"/>
    <w:rsid w:val="00E2304D"/>
    <w:rsid w:val="00E232CE"/>
    <w:rsid w:val="00E237D2"/>
    <w:rsid w:val="00E238E1"/>
    <w:rsid w:val="00E24063"/>
    <w:rsid w:val="00E24994"/>
    <w:rsid w:val="00E25653"/>
    <w:rsid w:val="00E25BBF"/>
    <w:rsid w:val="00E26D6A"/>
    <w:rsid w:val="00E26EE5"/>
    <w:rsid w:val="00E27AD1"/>
    <w:rsid w:val="00E30BB9"/>
    <w:rsid w:val="00E30BC0"/>
    <w:rsid w:val="00E30CB2"/>
    <w:rsid w:val="00E30DCB"/>
    <w:rsid w:val="00E30E69"/>
    <w:rsid w:val="00E32974"/>
    <w:rsid w:val="00E32AF9"/>
    <w:rsid w:val="00E331EB"/>
    <w:rsid w:val="00E33668"/>
    <w:rsid w:val="00E34212"/>
    <w:rsid w:val="00E34ECB"/>
    <w:rsid w:val="00E34F7F"/>
    <w:rsid w:val="00E35046"/>
    <w:rsid w:val="00E351F2"/>
    <w:rsid w:val="00E35708"/>
    <w:rsid w:val="00E35BC6"/>
    <w:rsid w:val="00E362E6"/>
    <w:rsid w:val="00E36771"/>
    <w:rsid w:val="00E36F12"/>
    <w:rsid w:val="00E37D60"/>
    <w:rsid w:val="00E40D50"/>
    <w:rsid w:val="00E41A4B"/>
    <w:rsid w:val="00E42374"/>
    <w:rsid w:val="00E43201"/>
    <w:rsid w:val="00E435CC"/>
    <w:rsid w:val="00E438F3"/>
    <w:rsid w:val="00E439BD"/>
    <w:rsid w:val="00E43A3F"/>
    <w:rsid w:val="00E43EA5"/>
    <w:rsid w:val="00E43FDA"/>
    <w:rsid w:val="00E44387"/>
    <w:rsid w:val="00E45AFF"/>
    <w:rsid w:val="00E46284"/>
    <w:rsid w:val="00E46A9E"/>
    <w:rsid w:val="00E46F3E"/>
    <w:rsid w:val="00E477A8"/>
    <w:rsid w:val="00E47B32"/>
    <w:rsid w:val="00E500F7"/>
    <w:rsid w:val="00E5039A"/>
    <w:rsid w:val="00E504C2"/>
    <w:rsid w:val="00E505CE"/>
    <w:rsid w:val="00E50BFD"/>
    <w:rsid w:val="00E50D70"/>
    <w:rsid w:val="00E51AB8"/>
    <w:rsid w:val="00E52000"/>
    <w:rsid w:val="00E527DC"/>
    <w:rsid w:val="00E52BE5"/>
    <w:rsid w:val="00E53360"/>
    <w:rsid w:val="00E5382D"/>
    <w:rsid w:val="00E543D8"/>
    <w:rsid w:val="00E549BF"/>
    <w:rsid w:val="00E54CE0"/>
    <w:rsid w:val="00E550E3"/>
    <w:rsid w:val="00E55246"/>
    <w:rsid w:val="00E5549E"/>
    <w:rsid w:val="00E55966"/>
    <w:rsid w:val="00E56C45"/>
    <w:rsid w:val="00E56D16"/>
    <w:rsid w:val="00E5709D"/>
    <w:rsid w:val="00E573B2"/>
    <w:rsid w:val="00E5750F"/>
    <w:rsid w:val="00E57828"/>
    <w:rsid w:val="00E57CB4"/>
    <w:rsid w:val="00E57CED"/>
    <w:rsid w:val="00E60091"/>
    <w:rsid w:val="00E6045A"/>
    <w:rsid w:val="00E604F1"/>
    <w:rsid w:val="00E6056B"/>
    <w:rsid w:val="00E61120"/>
    <w:rsid w:val="00E61946"/>
    <w:rsid w:val="00E619DB"/>
    <w:rsid w:val="00E625F8"/>
    <w:rsid w:val="00E627A2"/>
    <w:rsid w:val="00E62B48"/>
    <w:rsid w:val="00E62BAE"/>
    <w:rsid w:val="00E6377C"/>
    <w:rsid w:val="00E64084"/>
    <w:rsid w:val="00E640CB"/>
    <w:rsid w:val="00E64385"/>
    <w:rsid w:val="00E64C65"/>
    <w:rsid w:val="00E64F9D"/>
    <w:rsid w:val="00E65721"/>
    <w:rsid w:val="00E66E4C"/>
    <w:rsid w:val="00E66EA0"/>
    <w:rsid w:val="00E67221"/>
    <w:rsid w:val="00E679D1"/>
    <w:rsid w:val="00E700B1"/>
    <w:rsid w:val="00E7018D"/>
    <w:rsid w:val="00E701A3"/>
    <w:rsid w:val="00E7048F"/>
    <w:rsid w:val="00E70823"/>
    <w:rsid w:val="00E71DD9"/>
    <w:rsid w:val="00E721FF"/>
    <w:rsid w:val="00E72983"/>
    <w:rsid w:val="00E73EE7"/>
    <w:rsid w:val="00E74268"/>
    <w:rsid w:val="00E747AC"/>
    <w:rsid w:val="00E763F8"/>
    <w:rsid w:val="00E768CA"/>
    <w:rsid w:val="00E770F8"/>
    <w:rsid w:val="00E775DC"/>
    <w:rsid w:val="00E80442"/>
    <w:rsid w:val="00E809D3"/>
    <w:rsid w:val="00E80BAC"/>
    <w:rsid w:val="00E81B45"/>
    <w:rsid w:val="00E821C4"/>
    <w:rsid w:val="00E82BAD"/>
    <w:rsid w:val="00E8300E"/>
    <w:rsid w:val="00E83203"/>
    <w:rsid w:val="00E83A3D"/>
    <w:rsid w:val="00E84848"/>
    <w:rsid w:val="00E85044"/>
    <w:rsid w:val="00E85536"/>
    <w:rsid w:val="00E85BBE"/>
    <w:rsid w:val="00E85C8C"/>
    <w:rsid w:val="00E86F56"/>
    <w:rsid w:val="00E87990"/>
    <w:rsid w:val="00E87C47"/>
    <w:rsid w:val="00E91609"/>
    <w:rsid w:val="00E91968"/>
    <w:rsid w:val="00E91F44"/>
    <w:rsid w:val="00E926DD"/>
    <w:rsid w:val="00E92716"/>
    <w:rsid w:val="00E92B20"/>
    <w:rsid w:val="00E9360B"/>
    <w:rsid w:val="00E945AF"/>
    <w:rsid w:val="00E94733"/>
    <w:rsid w:val="00E94C09"/>
    <w:rsid w:val="00E94E78"/>
    <w:rsid w:val="00E95329"/>
    <w:rsid w:val="00E9598B"/>
    <w:rsid w:val="00E95E5F"/>
    <w:rsid w:val="00E95F6C"/>
    <w:rsid w:val="00E96091"/>
    <w:rsid w:val="00E9646D"/>
    <w:rsid w:val="00E96B3B"/>
    <w:rsid w:val="00E97533"/>
    <w:rsid w:val="00EA0946"/>
    <w:rsid w:val="00EA0C69"/>
    <w:rsid w:val="00EA158B"/>
    <w:rsid w:val="00EA1872"/>
    <w:rsid w:val="00EA1D2D"/>
    <w:rsid w:val="00EA1FE3"/>
    <w:rsid w:val="00EA2252"/>
    <w:rsid w:val="00EA32BF"/>
    <w:rsid w:val="00EA3D03"/>
    <w:rsid w:val="00EA3DCB"/>
    <w:rsid w:val="00EA3E4F"/>
    <w:rsid w:val="00EA5803"/>
    <w:rsid w:val="00EA60BD"/>
    <w:rsid w:val="00EA6AC7"/>
    <w:rsid w:val="00EA6BFB"/>
    <w:rsid w:val="00EA6E2D"/>
    <w:rsid w:val="00EA711D"/>
    <w:rsid w:val="00EA78D6"/>
    <w:rsid w:val="00EA7EC5"/>
    <w:rsid w:val="00EB03C6"/>
    <w:rsid w:val="00EB0700"/>
    <w:rsid w:val="00EB0D6B"/>
    <w:rsid w:val="00EB1038"/>
    <w:rsid w:val="00EB1173"/>
    <w:rsid w:val="00EB1413"/>
    <w:rsid w:val="00EB1946"/>
    <w:rsid w:val="00EB1BA8"/>
    <w:rsid w:val="00EB1BE2"/>
    <w:rsid w:val="00EB1E47"/>
    <w:rsid w:val="00EB2A63"/>
    <w:rsid w:val="00EB3146"/>
    <w:rsid w:val="00EB3389"/>
    <w:rsid w:val="00EB3A08"/>
    <w:rsid w:val="00EB3BD6"/>
    <w:rsid w:val="00EB3E87"/>
    <w:rsid w:val="00EB3F80"/>
    <w:rsid w:val="00EB40F9"/>
    <w:rsid w:val="00EB4A63"/>
    <w:rsid w:val="00EB4B76"/>
    <w:rsid w:val="00EB4C61"/>
    <w:rsid w:val="00EB55D4"/>
    <w:rsid w:val="00EB5DC2"/>
    <w:rsid w:val="00EB5EBC"/>
    <w:rsid w:val="00EB5FA9"/>
    <w:rsid w:val="00EB6B4A"/>
    <w:rsid w:val="00EB74C8"/>
    <w:rsid w:val="00EC0736"/>
    <w:rsid w:val="00EC0BB9"/>
    <w:rsid w:val="00EC0C6F"/>
    <w:rsid w:val="00EC0E99"/>
    <w:rsid w:val="00EC0FC2"/>
    <w:rsid w:val="00EC1234"/>
    <w:rsid w:val="00EC2537"/>
    <w:rsid w:val="00EC265D"/>
    <w:rsid w:val="00EC273E"/>
    <w:rsid w:val="00EC28B0"/>
    <w:rsid w:val="00EC2D32"/>
    <w:rsid w:val="00EC2F51"/>
    <w:rsid w:val="00EC30B1"/>
    <w:rsid w:val="00EC31F1"/>
    <w:rsid w:val="00EC33CA"/>
    <w:rsid w:val="00EC35AF"/>
    <w:rsid w:val="00EC4257"/>
    <w:rsid w:val="00EC51E2"/>
    <w:rsid w:val="00EC54C3"/>
    <w:rsid w:val="00EC5521"/>
    <w:rsid w:val="00EC5A84"/>
    <w:rsid w:val="00EC6049"/>
    <w:rsid w:val="00EC7687"/>
    <w:rsid w:val="00EC7F6F"/>
    <w:rsid w:val="00ED07E6"/>
    <w:rsid w:val="00ED0BB0"/>
    <w:rsid w:val="00ED19CC"/>
    <w:rsid w:val="00ED2394"/>
    <w:rsid w:val="00ED2727"/>
    <w:rsid w:val="00ED3731"/>
    <w:rsid w:val="00ED449C"/>
    <w:rsid w:val="00ED4770"/>
    <w:rsid w:val="00ED4F71"/>
    <w:rsid w:val="00ED50E7"/>
    <w:rsid w:val="00ED5367"/>
    <w:rsid w:val="00ED53D1"/>
    <w:rsid w:val="00ED7193"/>
    <w:rsid w:val="00ED768E"/>
    <w:rsid w:val="00EE0021"/>
    <w:rsid w:val="00EE0E72"/>
    <w:rsid w:val="00EE1947"/>
    <w:rsid w:val="00EE232C"/>
    <w:rsid w:val="00EE2609"/>
    <w:rsid w:val="00EE2C28"/>
    <w:rsid w:val="00EE30FF"/>
    <w:rsid w:val="00EE3517"/>
    <w:rsid w:val="00EE38E2"/>
    <w:rsid w:val="00EE413C"/>
    <w:rsid w:val="00EE486E"/>
    <w:rsid w:val="00EE49FE"/>
    <w:rsid w:val="00EE5497"/>
    <w:rsid w:val="00EE587C"/>
    <w:rsid w:val="00EE5917"/>
    <w:rsid w:val="00EE5C4E"/>
    <w:rsid w:val="00EE6A76"/>
    <w:rsid w:val="00EE6E0E"/>
    <w:rsid w:val="00EE78D2"/>
    <w:rsid w:val="00EE7E99"/>
    <w:rsid w:val="00EF0649"/>
    <w:rsid w:val="00EF3BD6"/>
    <w:rsid w:val="00EF3EDE"/>
    <w:rsid w:val="00EF4BD4"/>
    <w:rsid w:val="00EF525D"/>
    <w:rsid w:val="00EF52D7"/>
    <w:rsid w:val="00EF558E"/>
    <w:rsid w:val="00EF6221"/>
    <w:rsid w:val="00EF6EA6"/>
    <w:rsid w:val="00EF784E"/>
    <w:rsid w:val="00EF7F3D"/>
    <w:rsid w:val="00F00B6B"/>
    <w:rsid w:val="00F01178"/>
    <w:rsid w:val="00F014EE"/>
    <w:rsid w:val="00F02A31"/>
    <w:rsid w:val="00F02FB5"/>
    <w:rsid w:val="00F04C2E"/>
    <w:rsid w:val="00F04D14"/>
    <w:rsid w:val="00F04FF0"/>
    <w:rsid w:val="00F055F2"/>
    <w:rsid w:val="00F0615E"/>
    <w:rsid w:val="00F0635E"/>
    <w:rsid w:val="00F066D1"/>
    <w:rsid w:val="00F06D29"/>
    <w:rsid w:val="00F06E47"/>
    <w:rsid w:val="00F06EA4"/>
    <w:rsid w:val="00F07960"/>
    <w:rsid w:val="00F079A5"/>
    <w:rsid w:val="00F07CB5"/>
    <w:rsid w:val="00F07E79"/>
    <w:rsid w:val="00F1031B"/>
    <w:rsid w:val="00F104C5"/>
    <w:rsid w:val="00F10D5E"/>
    <w:rsid w:val="00F10E35"/>
    <w:rsid w:val="00F11225"/>
    <w:rsid w:val="00F113E3"/>
    <w:rsid w:val="00F11509"/>
    <w:rsid w:val="00F1273A"/>
    <w:rsid w:val="00F1332A"/>
    <w:rsid w:val="00F139D8"/>
    <w:rsid w:val="00F13CE1"/>
    <w:rsid w:val="00F156C9"/>
    <w:rsid w:val="00F16A15"/>
    <w:rsid w:val="00F16B20"/>
    <w:rsid w:val="00F16F7A"/>
    <w:rsid w:val="00F171A3"/>
    <w:rsid w:val="00F17403"/>
    <w:rsid w:val="00F17952"/>
    <w:rsid w:val="00F17ECE"/>
    <w:rsid w:val="00F2072E"/>
    <w:rsid w:val="00F2127F"/>
    <w:rsid w:val="00F213C4"/>
    <w:rsid w:val="00F22234"/>
    <w:rsid w:val="00F2267F"/>
    <w:rsid w:val="00F22DF6"/>
    <w:rsid w:val="00F22F11"/>
    <w:rsid w:val="00F23691"/>
    <w:rsid w:val="00F240A7"/>
    <w:rsid w:val="00F24110"/>
    <w:rsid w:val="00F2483A"/>
    <w:rsid w:val="00F24BE7"/>
    <w:rsid w:val="00F24C44"/>
    <w:rsid w:val="00F24FFA"/>
    <w:rsid w:val="00F2581E"/>
    <w:rsid w:val="00F25E6D"/>
    <w:rsid w:val="00F265D6"/>
    <w:rsid w:val="00F2678A"/>
    <w:rsid w:val="00F26866"/>
    <w:rsid w:val="00F26C74"/>
    <w:rsid w:val="00F270CF"/>
    <w:rsid w:val="00F2712B"/>
    <w:rsid w:val="00F275D8"/>
    <w:rsid w:val="00F279EB"/>
    <w:rsid w:val="00F305DF"/>
    <w:rsid w:val="00F31144"/>
    <w:rsid w:val="00F31287"/>
    <w:rsid w:val="00F320A9"/>
    <w:rsid w:val="00F32661"/>
    <w:rsid w:val="00F32795"/>
    <w:rsid w:val="00F327EF"/>
    <w:rsid w:val="00F32A80"/>
    <w:rsid w:val="00F334F3"/>
    <w:rsid w:val="00F33672"/>
    <w:rsid w:val="00F340AC"/>
    <w:rsid w:val="00F34804"/>
    <w:rsid w:val="00F34B29"/>
    <w:rsid w:val="00F34B4A"/>
    <w:rsid w:val="00F351F8"/>
    <w:rsid w:val="00F35F11"/>
    <w:rsid w:val="00F37238"/>
    <w:rsid w:val="00F377FE"/>
    <w:rsid w:val="00F37CEC"/>
    <w:rsid w:val="00F4043A"/>
    <w:rsid w:val="00F40546"/>
    <w:rsid w:val="00F40696"/>
    <w:rsid w:val="00F40C78"/>
    <w:rsid w:val="00F40D94"/>
    <w:rsid w:val="00F40DC5"/>
    <w:rsid w:val="00F41586"/>
    <w:rsid w:val="00F41BD7"/>
    <w:rsid w:val="00F427BB"/>
    <w:rsid w:val="00F43D1E"/>
    <w:rsid w:val="00F44200"/>
    <w:rsid w:val="00F44883"/>
    <w:rsid w:val="00F44901"/>
    <w:rsid w:val="00F44CCF"/>
    <w:rsid w:val="00F4515E"/>
    <w:rsid w:val="00F46105"/>
    <w:rsid w:val="00F46270"/>
    <w:rsid w:val="00F47157"/>
    <w:rsid w:val="00F47738"/>
    <w:rsid w:val="00F47825"/>
    <w:rsid w:val="00F478E3"/>
    <w:rsid w:val="00F4792D"/>
    <w:rsid w:val="00F47EE2"/>
    <w:rsid w:val="00F500ED"/>
    <w:rsid w:val="00F502B7"/>
    <w:rsid w:val="00F5061C"/>
    <w:rsid w:val="00F50DB6"/>
    <w:rsid w:val="00F517C1"/>
    <w:rsid w:val="00F51C86"/>
    <w:rsid w:val="00F529DD"/>
    <w:rsid w:val="00F52D28"/>
    <w:rsid w:val="00F52FEB"/>
    <w:rsid w:val="00F532A0"/>
    <w:rsid w:val="00F53789"/>
    <w:rsid w:val="00F53F6C"/>
    <w:rsid w:val="00F5594D"/>
    <w:rsid w:val="00F55B47"/>
    <w:rsid w:val="00F566A1"/>
    <w:rsid w:val="00F56A26"/>
    <w:rsid w:val="00F56AA4"/>
    <w:rsid w:val="00F56B1C"/>
    <w:rsid w:val="00F56D5B"/>
    <w:rsid w:val="00F57696"/>
    <w:rsid w:val="00F57870"/>
    <w:rsid w:val="00F57B43"/>
    <w:rsid w:val="00F57D0F"/>
    <w:rsid w:val="00F601FA"/>
    <w:rsid w:val="00F602BD"/>
    <w:rsid w:val="00F606C6"/>
    <w:rsid w:val="00F60CE2"/>
    <w:rsid w:val="00F6145B"/>
    <w:rsid w:val="00F61DA7"/>
    <w:rsid w:val="00F622A1"/>
    <w:rsid w:val="00F6283D"/>
    <w:rsid w:val="00F62926"/>
    <w:rsid w:val="00F638DA"/>
    <w:rsid w:val="00F63CA8"/>
    <w:rsid w:val="00F63F1C"/>
    <w:rsid w:val="00F64D21"/>
    <w:rsid w:val="00F64ED4"/>
    <w:rsid w:val="00F64FB0"/>
    <w:rsid w:val="00F6510A"/>
    <w:rsid w:val="00F655A2"/>
    <w:rsid w:val="00F666F8"/>
    <w:rsid w:val="00F678F0"/>
    <w:rsid w:val="00F67D86"/>
    <w:rsid w:val="00F67DC5"/>
    <w:rsid w:val="00F7044E"/>
    <w:rsid w:val="00F708CD"/>
    <w:rsid w:val="00F70DFA"/>
    <w:rsid w:val="00F718BA"/>
    <w:rsid w:val="00F719AB"/>
    <w:rsid w:val="00F71D8D"/>
    <w:rsid w:val="00F71F32"/>
    <w:rsid w:val="00F722F5"/>
    <w:rsid w:val="00F72720"/>
    <w:rsid w:val="00F728C1"/>
    <w:rsid w:val="00F72C6E"/>
    <w:rsid w:val="00F72F3C"/>
    <w:rsid w:val="00F7328D"/>
    <w:rsid w:val="00F73AB3"/>
    <w:rsid w:val="00F74557"/>
    <w:rsid w:val="00F74948"/>
    <w:rsid w:val="00F74C6E"/>
    <w:rsid w:val="00F77234"/>
    <w:rsid w:val="00F775DA"/>
    <w:rsid w:val="00F77A3B"/>
    <w:rsid w:val="00F80038"/>
    <w:rsid w:val="00F8043B"/>
    <w:rsid w:val="00F80B44"/>
    <w:rsid w:val="00F80CDD"/>
    <w:rsid w:val="00F80D6E"/>
    <w:rsid w:val="00F8139F"/>
    <w:rsid w:val="00F81943"/>
    <w:rsid w:val="00F82167"/>
    <w:rsid w:val="00F827B3"/>
    <w:rsid w:val="00F82BC5"/>
    <w:rsid w:val="00F833F8"/>
    <w:rsid w:val="00F8367B"/>
    <w:rsid w:val="00F84100"/>
    <w:rsid w:val="00F842AE"/>
    <w:rsid w:val="00F846B0"/>
    <w:rsid w:val="00F8493A"/>
    <w:rsid w:val="00F84F74"/>
    <w:rsid w:val="00F856CC"/>
    <w:rsid w:val="00F86135"/>
    <w:rsid w:val="00F86B9F"/>
    <w:rsid w:val="00F87618"/>
    <w:rsid w:val="00F87B25"/>
    <w:rsid w:val="00F90F06"/>
    <w:rsid w:val="00F91286"/>
    <w:rsid w:val="00F9178A"/>
    <w:rsid w:val="00F918DB"/>
    <w:rsid w:val="00F91D73"/>
    <w:rsid w:val="00F921CE"/>
    <w:rsid w:val="00F928BA"/>
    <w:rsid w:val="00F928BF"/>
    <w:rsid w:val="00F937AE"/>
    <w:rsid w:val="00F93BDC"/>
    <w:rsid w:val="00F93DD5"/>
    <w:rsid w:val="00F93E1A"/>
    <w:rsid w:val="00F93F6E"/>
    <w:rsid w:val="00F93FF2"/>
    <w:rsid w:val="00F94475"/>
    <w:rsid w:val="00F94EF6"/>
    <w:rsid w:val="00F9573F"/>
    <w:rsid w:val="00F95C83"/>
    <w:rsid w:val="00F95C8E"/>
    <w:rsid w:val="00F96A33"/>
    <w:rsid w:val="00F96AF0"/>
    <w:rsid w:val="00F96F79"/>
    <w:rsid w:val="00F96FE2"/>
    <w:rsid w:val="00F972E4"/>
    <w:rsid w:val="00F97474"/>
    <w:rsid w:val="00FA0D8F"/>
    <w:rsid w:val="00FA0ED8"/>
    <w:rsid w:val="00FA18BD"/>
    <w:rsid w:val="00FA1D74"/>
    <w:rsid w:val="00FA205C"/>
    <w:rsid w:val="00FA272A"/>
    <w:rsid w:val="00FA2C26"/>
    <w:rsid w:val="00FA2FD7"/>
    <w:rsid w:val="00FA369B"/>
    <w:rsid w:val="00FA3A7E"/>
    <w:rsid w:val="00FA3E6E"/>
    <w:rsid w:val="00FA41D3"/>
    <w:rsid w:val="00FA4A37"/>
    <w:rsid w:val="00FA4BB7"/>
    <w:rsid w:val="00FA6439"/>
    <w:rsid w:val="00FA76C8"/>
    <w:rsid w:val="00FA7F1D"/>
    <w:rsid w:val="00FB088E"/>
    <w:rsid w:val="00FB11C4"/>
    <w:rsid w:val="00FB1485"/>
    <w:rsid w:val="00FB17E6"/>
    <w:rsid w:val="00FB2321"/>
    <w:rsid w:val="00FB2E34"/>
    <w:rsid w:val="00FB352B"/>
    <w:rsid w:val="00FB379B"/>
    <w:rsid w:val="00FB4001"/>
    <w:rsid w:val="00FB4472"/>
    <w:rsid w:val="00FB5686"/>
    <w:rsid w:val="00FB56FE"/>
    <w:rsid w:val="00FB5754"/>
    <w:rsid w:val="00FB5B18"/>
    <w:rsid w:val="00FB638C"/>
    <w:rsid w:val="00FB65AB"/>
    <w:rsid w:val="00FB75E7"/>
    <w:rsid w:val="00FB7880"/>
    <w:rsid w:val="00FB7CBE"/>
    <w:rsid w:val="00FB7F2E"/>
    <w:rsid w:val="00FC0BAD"/>
    <w:rsid w:val="00FC1977"/>
    <w:rsid w:val="00FC1ADD"/>
    <w:rsid w:val="00FC288B"/>
    <w:rsid w:val="00FC29FE"/>
    <w:rsid w:val="00FC3848"/>
    <w:rsid w:val="00FC3FED"/>
    <w:rsid w:val="00FC4D5B"/>
    <w:rsid w:val="00FC5A51"/>
    <w:rsid w:val="00FC5FDF"/>
    <w:rsid w:val="00FC634F"/>
    <w:rsid w:val="00FC6585"/>
    <w:rsid w:val="00FC6ED6"/>
    <w:rsid w:val="00FC7A48"/>
    <w:rsid w:val="00FC7CC8"/>
    <w:rsid w:val="00FD0C71"/>
    <w:rsid w:val="00FD124C"/>
    <w:rsid w:val="00FD126E"/>
    <w:rsid w:val="00FD1B83"/>
    <w:rsid w:val="00FD1C88"/>
    <w:rsid w:val="00FD1E57"/>
    <w:rsid w:val="00FD2274"/>
    <w:rsid w:val="00FD22DA"/>
    <w:rsid w:val="00FD2618"/>
    <w:rsid w:val="00FD2BAB"/>
    <w:rsid w:val="00FD2EE8"/>
    <w:rsid w:val="00FD2EEB"/>
    <w:rsid w:val="00FD3140"/>
    <w:rsid w:val="00FD31E5"/>
    <w:rsid w:val="00FD352D"/>
    <w:rsid w:val="00FD3719"/>
    <w:rsid w:val="00FD385D"/>
    <w:rsid w:val="00FD3962"/>
    <w:rsid w:val="00FD42F4"/>
    <w:rsid w:val="00FD44F6"/>
    <w:rsid w:val="00FD4832"/>
    <w:rsid w:val="00FD4880"/>
    <w:rsid w:val="00FD4F6C"/>
    <w:rsid w:val="00FD55D6"/>
    <w:rsid w:val="00FD6D37"/>
    <w:rsid w:val="00FD6DF9"/>
    <w:rsid w:val="00FD7149"/>
    <w:rsid w:val="00FD71BF"/>
    <w:rsid w:val="00FD7461"/>
    <w:rsid w:val="00FD7B75"/>
    <w:rsid w:val="00FD7EB2"/>
    <w:rsid w:val="00FE0246"/>
    <w:rsid w:val="00FE0248"/>
    <w:rsid w:val="00FE027B"/>
    <w:rsid w:val="00FE028D"/>
    <w:rsid w:val="00FE02DD"/>
    <w:rsid w:val="00FE0D23"/>
    <w:rsid w:val="00FE19C7"/>
    <w:rsid w:val="00FE21AC"/>
    <w:rsid w:val="00FE24E2"/>
    <w:rsid w:val="00FE2D62"/>
    <w:rsid w:val="00FE3137"/>
    <w:rsid w:val="00FE33F7"/>
    <w:rsid w:val="00FE3BEC"/>
    <w:rsid w:val="00FE3E48"/>
    <w:rsid w:val="00FE3F34"/>
    <w:rsid w:val="00FE40D8"/>
    <w:rsid w:val="00FE4271"/>
    <w:rsid w:val="00FE5967"/>
    <w:rsid w:val="00FE5BCA"/>
    <w:rsid w:val="00FE5CE3"/>
    <w:rsid w:val="00FE60B1"/>
    <w:rsid w:val="00FE6AB4"/>
    <w:rsid w:val="00FE6B0B"/>
    <w:rsid w:val="00FE6BD6"/>
    <w:rsid w:val="00FE742E"/>
    <w:rsid w:val="00FE7947"/>
    <w:rsid w:val="00FE7FC8"/>
    <w:rsid w:val="00FF123B"/>
    <w:rsid w:val="00FF126F"/>
    <w:rsid w:val="00FF27BF"/>
    <w:rsid w:val="00FF2AAA"/>
    <w:rsid w:val="00FF33BF"/>
    <w:rsid w:val="00FF3C9B"/>
    <w:rsid w:val="00FF3DE0"/>
    <w:rsid w:val="00FF477D"/>
    <w:rsid w:val="00FF4DE7"/>
    <w:rsid w:val="00FF5445"/>
    <w:rsid w:val="00FF561A"/>
    <w:rsid w:val="00FF66CD"/>
    <w:rsid w:val="00FF6DDF"/>
    <w:rsid w:val="00FF70D4"/>
    <w:rsid w:val="00FF71BE"/>
    <w:rsid w:val="00FF720E"/>
    <w:rsid w:val="00FF7956"/>
    <w:rsid w:val="00FF7A03"/>
    <w:rsid w:val="00FF7D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1C97D"/>
  <w15:docId w15:val="{EF4D8370-C319-4652-B0AE-BCCBF3F5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Times New Roman" w:hAnsi="Symbol" w:cs="Calibri Light"/>
        <w:color w:val="00679B"/>
        <w:sz w:val="24"/>
        <w:szCs w:val="24"/>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F25"/>
    <w:pPr>
      <w:jc w:val="both"/>
    </w:p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1"/>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character" w:styleId="UnresolvedMention">
    <w:name w:val="Unresolved Mention"/>
    <w:basedOn w:val="DefaultParagraphFont"/>
    <w:uiPriority w:val="99"/>
    <w:semiHidden/>
    <w:unhideWhenUsed/>
    <w:rsid w:val="006F5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7807">
      <w:bodyDiv w:val="1"/>
      <w:marLeft w:val="0"/>
      <w:marRight w:val="0"/>
      <w:marTop w:val="0"/>
      <w:marBottom w:val="0"/>
      <w:divBdr>
        <w:top w:val="none" w:sz="0" w:space="0" w:color="auto"/>
        <w:left w:val="none" w:sz="0" w:space="0" w:color="auto"/>
        <w:bottom w:val="none" w:sz="0" w:space="0" w:color="auto"/>
        <w:right w:val="none" w:sz="0" w:space="0" w:color="auto"/>
      </w:divBdr>
    </w:div>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779564776">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987591820">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sChild>
        <w:div w:id="497579503">
          <w:marLeft w:val="0"/>
          <w:marRight w:val="0"/>
          <w:marTop w:val="0"/>
          <w:marBottom w:val="0"/>
          <w:divBdr>
            <w:top w:val="none" w:sz="0" w:space="0" w:color="auto"/>
            <w:left w:val="none" w:sz="0" w:space="0" w:color="auto"/>
            <w:bottom w:val="none" w:sz="0" w:space="0" w:color="auto"/>
            <w:right w:val="none" w:sz="0" w:space="0" w:color="auto"/>
          </w:divBdr>
          <w:divsChild>
            <w:div w:id="963729051">
              <w:marLeft w:val="0"/>
              <w:marRight w:val="0"/>
              <w:marTop w:val="0"/>
              <w:marBottom w:val="0"/>
              <w:divBdr>
                <w:top w:val="none" w:sz="0" w:space="0" w:color="auto"/>
                <w:left w:val="none" w:sz="0" w:space="0" w:color="auto"/>
                <w:bottom w:val="none" w:sz="0" w:space="0" w:color="auto"/>
                <w:right w:val="none" w:sz="0" w:space="0" w:color="auto"/>
              </w:divBdr>
              <w:divsChild>
                <w:div w:id="1854758186">
                  <w:marLeft w:val="0"/>
                  <w:marRight w:val="0"/>
                  <w:marTop w:val="0"/>
                  <w:marBottom w:val="0"/>
                  <w:divBdr>
                    <w:top w:val="none" w:sz="0" w:space="0" w:color="auto"/>
                    <w:left w:val="none" w:sz="0" w:space="0" w:color="auto"/>
                    <w:bottom w:val="none" w:sz="0" w:space="0" w:color="auto"/>
                    <w:right w:val="none" w:sz="0" w:space="0" w:color="auto"/>
                  </w:divBdr>
                  <w:divsChild>
                    <w:div w:id="1509369241">
                      <w:marLeft w:val="0"/>
                      <w:marRight w:val="0"/>
                      <w:marTop w:val="0"/>
                      <w:marBottom w:val="0"/>
                      <w:divBdr>
                        <w:top w:val="none" w:sz="0" w:space="0" w:color="auto"/>
                        <w:left w:val="none" w:sz="0" w:space="0" w:color="auto"/>
                        <w:bottom w:val="none" w:sz="0" w:space="0" w:color="auto"/>
                        <w:right w:val="none" w:sz="0" w:space="0" w:color="auto"/>
                      </w:divBdr>
                    </w:div>
                  </w:divsChild>
                </w:div>
                <w:div w:id="1532953152">
                  <w:marLeft w:val="0"/>
                  <w:marRight w:val="0"/>
                  <w:marTop w:val="0"/>
                  <w:marBottom w:val="0"/>
                  <w:divBdr>
                    <w:top w:val="none" w:sz="0" w:space="0" w:color="auto"/>
                    <w:left w:val="none" w:sz="0" w:space="0" w:color="auto"/>
                    <w:bottom w:val="none" w:sz="0" w:space="0" w:color="auto"/>
                    <w:right w:val="none" w:sz="0" w:space="0" w:color="auto"/>
                  </w:divBdr>
                  <w:divsChild>
                    <w:div w:id="2105370656">
                      <w:marLeft w:val="0"/>
                      <w:marRight w:val="0"/>
                      <w:marTop w:val="0"/>
                      <w:marBottom w:val="0"/>
                      <w:divBdr>
                        <w:top w:val="none" w:sz="0" w:space="0" w:color="auto"/>
                        <w:left w:val="none" w:sz="0" w:space="0" w:color="auto"/>
                        <w:bottom w:val="none" w:sz="0" w:space="0" w:color="auto"/>
                        <w:right w:val="none" w:sz="0" w:space="0" w:color="auto"/>
                      </w:divBdr>
                      <w:divsChild>
                        <w:div w:id="846401757">
                          <w:marLeft w:val="0"/>
                          <w:marRight w:val="0"/>
                          <w:marTop w:val="0"/>
                          <w:marBottom w:val="0"/>
                          <w:divBdr>
                            <w:top w:val="none" w:sz="0" w:space="0" w:color="auto"/>
                            <w:left w:val="none" w:sz="0" w:space="0" w:color="auto"/>
                            <w:bottom w:val="none" w:sz="0" w:space="0" w:color="auto"/>
                            <w:right w:val="none" w:sz="0" w:space="0" w:color="auto"/>
                          </w:divBdr>
                        </w:div>
                      </w:divsChild>
                    </w:div>
                    <w:div w:id="413206464">
                      <w:marLeft w:val="0"/>
                      <w:marRight w:val="0"/>
                      <w:marTop w:val="0"/>
                      <w:marBottom w:val="0"/>
                      <w:divBdr>
                        <w:top w:val="none" w:sz="0" w:space="0" w:color="auto"/>
                        <w:left w:val="none" w:sz="0" w:space="0" w:color="auto"/>
                        <w:bottom w:val="none" w:sz="0" w:space="0" w:color="auto"/>
                        <w:right w:val="none" w:sz="0" w:space="0" w:color="auto"/>
                      </w:divBdr>
                      <w:divsChild>
                        <w:div w:id="768354638">
                          <w:marLeft w:val="0"/>
                          <w:marRight w:val="0"/>
                          <w:marTop w:val="0"/>
                          <w:marBottom w:val="0"/>
                          <w:divBdr>
                            <w:top w:val="none" w:sz="0" w:space="0" w:color="auto"/>
                            <w:left w:val="none" w:sz="0" w:space="0" w:color="auto"/>
                            <w:bottom w:val="none" w:sz="0" w:space="0" w:color="auto"/>
                            <w:right w:val="none" w:sz="0" w:space="0" w:color="auto"/>
                          </w:divBdr>
                        </w:div>
                      </w:divsChild>
                    </w:div>
                    <w:div w:id="871966520">
                      <w:marLeft w:val="0"/>
                      <w:marRight w:val="0"/>
                      <w:marTop w:val="0"/>
                      <w:marBottom w:val="0"/>
                      <w:divBdr>
                        <w:top w:val="none" w:sz="0" w:space="0" w:color="auto"/>
                        <w:left w:val="none" w:sz="0" w:space="0" w:color="auto"/>
                        <w:bottom w:val="none" w:sz="0" w:space="0" w:color="auto"/>
                        <w:right w:val="none" w:sz="0" w:space="0" w:color="auto"/>
                      </w:divBdr>
                      <w:divsChild>
                        <w:div w:id="1780879990">
                          <w:marLeft w:val="0"/>
                          <w:marRight w:val="0"/>
                          <w:marTop w:val="0"/>
                          <w:marBottom w:val="0"/>
                          <w:divBdr>
                            <w:top w:val="none" w:sz="0" w:space="0" w:color="auto"/>
                            <w:left w:val="none" w:sz="0" w:space="0" w:color="auto"/>
                            <w:bottom w:val="none" w:sz="0" w:space="0" w:color="auto"/>
                            <w:right w:val="none" w:sz="0" w:space="0" w:color="auto"/>
                          </w:divBdr>
                        </w:div>
                      </w:divsChild>
                    </w:div>
                    <w:div w:id="275142906">
                      <w:marLeft w:val="0"/>
                      <w:marRight w:val="0"/>
                      <w:marTop w:val="0"/>
                      <w:marBottom w:val="0"/>
                      <w:divBdr>
                        <w:top w:val="none" w:sz="0" w:space="0" w:color="auto"/>
                        <w:left w:val="none" w:sz="0" w:space="0" w:color="auto"/>
                        <w:bottom w:val="none" w:sz="0" w:space="0" w:color="auto"/>
                        <w:right w:val="none" w:sz="0" w:space="0" w:color="auto"/>
                      </w:divBdr>
                      <w:divsChild>
                        <w:div w:id="506017663">
                          <w:marLeft w:val="0"/>
                          <w:marRight w:val="0"/>
                          <w:marTop w:val="0"/>
                          <w:marBottom w:val="0"/>
                          <w:divBdr>
                            <w:top w:val="none" w:sz="0" w:space="0" w:color="auto"/>
                            <w:left w:val="none" w:sz="0" w:space="0" w:color="auto"/>
                            <w:bottom w:val="none" w:sz="0" w:space="0" w:color="auto"/>
                            <w:right w:val="none" w:sz="0" w:space="0" w:color="auto"/>
                          </w:divBdr>
                        </w:div>
                      </w:divsChild>
                    </w:div>
                    <w:div w:id="448670259">
                      <w:marLeft w:val="0"/>
                      <w:marRight w:val="0"/>
                      <w:marTop w:val="0"/>
                      <w:marBottom w:val="0"/>
                      <w:divBdr>
                        <w:top w:val="none" w:sz="0" w:space="0" w:color="auto"/>
                        <w:left w:val="none" w:sz="0" w:space="0" w:color="auto"/>
                        <w:bottom w:val="none" w:sz="0" w:space="0" w:color="auto"/>
                        <w:right w:val="none" w:sz="0" w:space="0" w:color="auto"/>
                      </w:divBdr>
                      <w:divsChild>
                        <w:div w:id="466433572">
                          <w:marLeft w:val="0"/>
                          <w:marRight w:val="0"/>
                          <w:marTop w:val="0"/>
                          <w:marBottom w:val="0"/>
                          <w:divBdr>
                            <w:top w:val="none" w:sz="0" w:space="0" w:color="auto"/>
                            <w:left w:val="none" w:sz="0" w:space="0" w:color="auto"/>
                            <w:bottom w:val="none" w:sz="0" w:space="0" w:color="auto"/>
                            <w:right w:val="none" w:sz="0" w:space="0" w:color="auto"/>
                          </w:divBdr>
                        </w:div>
                      </w:divsChild>
                    </w:div>
                    <w:div w:id="1738088647">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 w:id="371000071">
                      <w:marLeft w:val="0"/>
                      <w:marRight w:val="0"/>
                      <w:marTop w:val="0"/>
                      <w:marBottom w:val="0"/>
                      <w:divBdr>
                        <w:top w:val="none" w:sz="0" w:space="0" w:color="auto"/>
                        <w:left w:val="none" w:sz="0" w:space="0" w:color="auto"/>
                        <w:bottom w:val="none" w:sz="0" w:space="0" w:color="auto"/>
                        <w:right w:val="none" w:sz="0" w:space="0" w:color="auto"/>
                      </w:divBdr>
                      <w:divsChild>
                        <w:div w:id="2026053411">
                          <w:marLeft w:val="0"/>
                          <w:marRight w:val="0"/>
                          <w:marTop w:val="0"/>
                          <w:marBottom w:val="0"/>
                          <w:divBdr>
                            <w:top w:val="none" w:sz="0" w:space="0" w:color="auto"/>
                            <w:left w:val="none" w:sz="0" w:space="0" w:color="auto"/>
                            <w:bottom w:val="none" w:sz="0" w:space="0" w:color="auto"/>
                            <w:right w:val="none" w:sz="0" w:space="0" w:color="auto"/>
                          </w:divBdr>
                        </w:div>
                      </w:divsChild>
                    </w:div>
                    <w:div w:id="1173645345">
                      <w:marLeft w:val="0"/>
                      <w:marRight w:val="0"/>
                      <w:marTop w:val="0"/>
                      <w:marBottom w:val="0"/>
                      <w:divBdr>
                        <w:top w:val="none" w:sz="0" w:space="0" w:color="auto"/>
                        <w:left w:val="none" w:sz="0" w:space="0" w:color="auto"/>
                        <w:bottom w:val="none" w:sz="0" w:space="0" w:color="auto"/>
                        <w:right w:val="none" w:sz="0" w:space="0" w:color="auto"/>
                      </w:divBdr>
                      <w:divsChild>
                        <w:div w:id="534124587">
                          <w:marLeft w:val="0"/>
                          <w:marRight w:val="0"/>
                          <w:marTop w:val="0"/>
                          <w:marBottom w:val="0"/>
                          <w:divBdr>
                            <w:top w:val="none" w:sz="0" w:space="0" w:color="auto"/>
                            <w:left w:val="none" w:sz="0" w:space="0" w:color="auto"/>
                            <w:bottom w:val="none" w:sz="0" w:space="0" w:color="auto"/>
                            <w:right w:val="none" w:sz="0" w:space="0" w:color="auto"/>
                          </w:divBdr>
                        </w:div>
                      </w:divsChild>
                    </w:div>
                    <w:div w:id="1915124601">
                      <w:marLeft w:val="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 w:id="2094466460">
                      <w:marLeft w:val="0"/>
                      <w:marRight w:val="0"/>
                      <w:marTop w:val="0"/>
                      <w:marBottom w:val="0"/>
                      <w:divBdr>
                        <w:top w:val="none" w:sz="0" w:space="0" w:color="auto"/>
                        <w:left w:val="none" w:sz="0" w:space="0" w:color="auto"/>
                        <w:bottom w:val="none" w:sz="0" w:space="0" w:color="auto"/>
                        <w:right w:val="none" w:sz="0" w:space="0" w:color="auto"/>
                      </w:divBdr>
                      <w:divsChild>
                        <w:div w:id="211844388">
                          <w:marLeft w:val="0"/>
                          <w:marRight w:val="0"/>
                          <w:marTop w:val="0"/>
                          <w:marBottom w:val="0"/>
                          <w:divBdr>
                            <w:top w:val="none" w:sz="0" w:space="0" w:color="auto"/>
                            <w:left w:val="none" w:sz="0" w:space="0" w:color="auto"/>
                            <w:bottom w:val="none" w:sz="0" w:space="0" w:color="auto"/>
                            <w:right w:val="none" w:sz="0" w:space="0" w:color="auto"/>
                          </w:divBdr>
                        </w:div>
                      </w:divsChild>
                    </w:div>
                    <w:div w:id="934169811">
                      <w:marLeft w:val="0"/>
                      <w:marRight w:val="0"/>
                      <w:marTop w:val="0"/>
                      <w:marBottom w:val="0"/>
                      <w:divBdr>
                        <w:top w:val="none" w:sz="0" w:space="0" w:color="auto"/>
                        <w:left w:val="none" w:sz="0" w:space="0" w:color="auto"/>
                        <w:bottom w:val="none" w:sz="0" w:space="0" w:color="auto"/>
                        <w:right w:val="none" w:sz="0" w:space="0" w:color="auto"/>
                      </w:divBdr>
                      <w:divsChild>
                        <w:div w:id="731197682">
                          <w:marLeft w:val="0"/>
                          <w:marRight w:val="0"/>
                          <w:marTop w:val="0"/>
                          <w:marBottom w:val="0"/>
                          <w:divBdr>
                            <w:top w:val="none" w:sz="0" w:space="0" w:color="auto"/>
                            <w:left w:val="none" w:sz="0" w:space="0" w:color="auto"/>
                            <w:bottom w:val="none" w:sz="0" w:space="0" w:color="auto"/>
                            <w:right w:val="none" w:sz="0" w:space="0" w:color="auto"/>
                          </w:divBdr>
                        </w:div>
                      </w:divsChild>
                    </w:div>
                    <w:div w:id="2094930943">
                      <w:marLeft w:val="0"/>
                      <w:marRight w:val="0"/>
                      <w:marTop w:val="0"/>
                      <w:marBottom w:val="0"/>
                      <w:divBdr>
                        <w:top w:val="none" w:sz="0" w:space="0" w:color="auto"/>
                        <w:left w:val="none" w:sz="0" w:space="0" w:color="auto"/>
                        <w:bottom w:val="none" w:sz="0" w:space="0" w:color="auto"/>
                        <w:right w:val="none" w:sz="0" w:space="0" w:color="auto"/>
                      </w:divBdr>
                      <w:divsChild>
                        <w:div w:id="1708748691">
                          <w:marLeft w:val="0"/>
                          <w:marRight w:val="0"/>
                          <w:marTop w:val="0"/>
                          <w:marBottom w:val="0"/>
                          <w:divBdr>
                            <w:top w:val="none" w:sz="0" w:space="0" w:color="auto"/>
                            <w:left w:val="none" w:sz="0" w:space="0" w:color="auto"/>
                            <w:bottom w:val="none" w:sz="0" w:space="0" w:color="auto"/>
                            <w:right w:val="none" w:sz="0" w:space="0" w:color="auto"/>
                          </w:divBdr>
                        </w:div>
                      </w:divsChild>
                    </w:div>
                    <w:div w:id="1334801202">
                      <w:marLeft w:val="0"/>
                      <w:marRight w:val="0"/>
                      <w:marTop w:val="0"/>
                      <w:marBottom w:val="0"/>
                      <w:divBdr>
                        <w:top w:val="none" w:sz="0" w:space="0" w:color="auto"/>
                        <w:left w:val="none" w:sz="0" w:space="0" w:color="auto"/>
                        <w:bottom w:val="none" w:sz="0" w:space="0" w:color="auto"/>
                        <w:right w:val="none" w:sz="0" w:space="0" w:color="auto"/>
                      </w:divBdr>
                      <w:divsChild>
                        <w:div w:id="388264353">
                          <w:marLeft w:val="0"/>
                          <w:marRight w:val="0"/>
                          <w:marTop w:val="0"/>
                          <w:marBottom w:val="0"/>
                          <w:divBdr>
                            <w:top w:val="none" w:sz="0" w:space="0" w:color="auto"/>
                            <w:left w:val="none" w:sz="0" w:space="0" w:color="auto"/>
                            <w:bottom w:val="none" w:sz="0" w:space="0" w:color="auto"/>
                            <w:right w:val="none" w:sz="0" w:space="0" w:color="auto"/>
                          </w:divBdr>
                        </w:div>
                      </w:divsChild>
                    </w:div>
                    <w:div w:id="1468428693">
                      <w:marLeft w:val="0"/>
                      <w:marRight w:val="0"/>
                      <w:marTop w:val="0"/>
                      <w:marBottom w:val="0"/>
                      <w:divBdr>
                        <w:top w:val="none" w:sz="0" w:space="0" w:color="auto"/>
                        <w:left w:val="none" w:sz="0" w:space="0" w:color="auto"/>
                        <w:bottom w:val="none" w:sz="0" w:space="0" w:color="auto"/>
                        <w:right w:val="none" w:sz="0" w:space="0" w:color="auto"/>
                      </w:divBdr>
                      <w:divsChild>
                        <w:div w:id="1946450775">
                          <w:marLeft w:val="0"/>
                          <w:marRight w:val="0"/>
                          <w:marTop w:val="0"/>
                          <w:marBottom w:val="0"/>
                          <w:divBdr>
                            <w:top w:val="none" w:sz="0" w:space="0" w:color="auto"/>
                            <w:left w:val="none" w:sz="0" w:space="0" w:color="auto"/>
                            <w:bottom w:val="none" w:sz="0" w:space="0" w:color="auto"/>
                            <w:right w:val="none" w:sz="0" w:space="0" w:color="auto"/>
                          </w:divBdr>
                        </w:div>
                      </w:divsChild>
                    </w:div>
                    <w:div w:id="769086874">
                      <w:marLeft w:val="0"/>
                      <w:marRight w:val="0"/>
                      <w:marTop w:val="0"/>
                      <w:marBottom w:val="0"/>
                      <w:divBdr>
                        <w:top w:val="none" w:sz="0" w:space="0" w:color="auto"/>
                        <w:left w:val="none" w:sz="0" w:space="0" w:color="auto"/>
                        <w:bottom w:val="none" w:sz="0" w:space="0" w:color="auto"/>
                        <w:right w:val="none" w:sz="0" w:space="0" w:color="auto"/>
                      </w:divBdr>
                      <w:divsChild>
                        <w:div w:id="341205013">
                          <w:marLeft w:val="0"/>
                          <w:marRight w:val="0"/>
                          <w:marTop w:val="0"/>
                          <w:marBottom w:val="0"/>
                          <w:divBdr>
                            <w:top w:val="none" w:sz="0" w:space="0" w:color="auto"/>
                            <w:left w:val="none" w:sz="0" w:space="0" w:color="auto"/>
                            <w:bottom w:val="none" w:sz="0" w:space="0" w:color="auto"/>
                            <w:right w:val="none" w:sz="0" w:space="0" w:color="auto"/>
                          </w:divBdr>
                        </w:div>
                      </w:divsChild>
                    </w:div>
                    <w:div w:id="1781026808">
                      <w:marLeft w:val="0"/>
                      <w:marRight w:val="0"/>
                      <w:marTop w:val="0"/>
                      <w:marBottom w:val="0"/>
                      <w:divBdr>
                        <w:top w:val="none" w:sz="0" w:space="0" w:color="auto"/>
                        <w:left w:val="none" w:sz="0" w:space="0" w:color="auto"/>
                        <w:bottom w:val="none" w:sz="0" w:space="0" w:color="auto"/>
                        <w:right w:val="none" w:sz="0" w:space="0" w:color="auto"/>
                      </w:divBdr>
                      <w:divsChild>
                        <w:div w:id="265121596">
                          <w:marLeft w:val="0"/>
                          <w:marRight w:val="0"/>
                          <w:marTop w:val="0"/>
                          <w:marBottom w:val="0"/>
                          <w:divBdr>
                            <w:top w:val="none" w:sz="0" w:space="0" w:color="auto"/>
                            <w:left w:val="none" w:sz="0" w:space="0" w:color="auto"/>
                            <w:bottom w:val="none" w:sz="0" w:space="0" w:color="auto"/>
                            <w:right w:val="none" w:sz="0" w:space="0" w:color="auto"/>
                          </w:divBdr>
                        </w:div>
                      </w:divsChild>
                    </w:div>
                    <w:div w:id="1328704179">
                      <w:marLeft w:val="0"/>
                      <w:marRight w:val="0"/>
                      <w:marTop w:val="0"/>
                      <w:marBottom w:val="0"/>
                      <w:divBdr>
                        <w:top w:val="none" w:sz="0" w:space="0" w:color="auto"/>
                        <w:left w:val="none" w:sz="0" w:space="0" w:color="auto"/>
                        <w:bottom w:val="none" w:sz="0" w:space="0" w:color="auto"/>
                        <w:right w:val="none" w:sz="0" w:space="0" w:color="auto"/>
                      </w:divBdr>
                      <w:divsChild>
                        <w:div w:id="21054524">
                          <w:marLeft w:val="0"/>
                          <w:marRight w:val="0"/>
                          <w:marTop w:val="0"/>
                          <w:marBottom w:val="0"/>
                          <w:divBdr>
                            <w:top w:val="none" w:sz="0" w:space="0" w:color="auto"/>
                            <w:left w:val="none" w:sz="0" w:space="0" w:color="auto"/>
                            <w:bottom w:val="none" w:sz="0" w:space="0" w:color="auto"/>
                            <w:right w:val="none" w:sz="0" w:space="0" w:color="auto"/>
                          </w:divBdr>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1776050732">
                          <w:marLeft w:val="0"/>
                          <w:marRight w:val="0"/>
                          <w:marTop w:val="0"/>
                          <w:marBottom w:val="0"/>
                          <w:divBdr>
                            <w:top w:val="none" w:sz="0" w:space="0" w:color="auto"/>
                            <w:left w:val="none" w:sz="0" w:space="0" w:color="auto"/>
                            <w:bottom w:val="none" w:sz="0" w:space="0" w:color="auto"/>
                            <w:right w:val="none" w:sz="0" w:space="0" w:color="auto"/>
                          </w:divBdr>
                        </w:div>
                      </w:divsChild>
                    </w:div>
                    <w:div w:id="1907034422">
                      <w:marLeft w:val="0"/>
                      <w:marRight w:val="0"/>
                      <w:marTop w:val="0"/>
                      <w:marBottom w:val="0"/>
                      <w:divBdr>
                        <w:top w:val="none" w:sz="0" w:space="0" w:color="auto"/>
                        <w:left w:val="none" w:sz="0" w:space="0" w:color="auto"/>
                        <w:bottom w:val="none" w:sz="0" w:space="0" w:color="auto"/>
                        <w:right w:val="none" w:sz="0" w:space="0" w:color="auto"/>
                      </w:divBdr>
                      <w:divsChild>
                        <w:div w:id="1422801500">
                          <w:marLeft w:val="0"/>
                          <w:marRight w:val="0"/>
                          <w:marTop w:val="0"/>
                          <w:marBottom w:val="0"/>
                          <w:divBdr>
                            <w:top w:val="none" w:sz="0" w:space="0" w:color="auto"/>
                            <w:left w:val="none" w:sz="0" w:space="0" w:color="auto"/>
                            <w:bottom w:val="none" w:sz="0" w:space="0" w:color="auto"/>
                            <w:right w:val="none" w:sz="0" w:space="0" w:color="auto"/>
                          </w:divBdr>
                        </w:div>
                      </w:divsChild>
                    </w:div>
                    <w:div w:id="1821802346">
                      <w:marLeft w:val="0"/>
                      <w:marRight w:val="0"/>
                      <w:marTop w:val="0"/>
                      <w:marBottom w:val="0"/>
                      <w:divBdr>
                        <w:top w:val="none" w:sz="0" w:space="0" w:color="auto"/>
                        <w:left w:val="none" w:sz="0" w:space="0" w:color="auto"/>
                        <w:bottom w:val="none" w:sz="0" w:space="0" w:color="auto"/>
                        <w:right w:val="none" w:sz="0" w:space="0" w:color="auto"/>
                      </w:divBdr>
                      <w:divsChild>
                        <w:div w:id="1548175491">
                          <w:marLeft w:val="0"/>
                          <w:marRight w:val="0"/>
                          <w:marTop w:val="0"/>
                          <w:marBottom w:val="0"/>
                          <w:divBdr>
                            <w:top w:val="none" w:sz="0" w:space="0" w:color="auto"/>
                            <w:left w:val="none" w:sz="0" w:space="0" w:color="auto"/>
                            <w:bottom w:val="none" w:sz="0" w:space="0" w:color="auto"/>
                            <w:right w:val="none" w:sz="0" w:space="0" w:color="auto"/>
                          </w:divBdr>
                        </w:div>
                      </w:divsChild>
                    </w:div>
                    <w:div w:id="121967320">
                      <w:marLeft w:val="0"/>
                      <w:marRight w:val="0"/>
                      <w:marTop w:val="0"/>
                      <w:marBottom w:val="0"/>
                      <w:divBdr>
                        <w:top w:val="none" w:sz="0" w:space="0" w:color="auto"/>
                        <w:left w:val="none" w:sz="0" w:space="0" w:color="auto"/>
                        <w:bottom w:val="none" w:sz="0" w:space="0" w:color="auto"/>
                        <w:right w:val="none" w:sz="0" w:space="0" w:color="auto"/>
                      </w:divBdr>
                      <w:divsChild>
                        <w:div w:id="1109012200">
                          <w:marLeft w:val="0"/>
                          <w:marRight w:val="0"/>
                          <w:marTop w:val="0"/>
                          <w:marBottom w:val="0"/>
                          <w:divBdr>
                            <w:top w:val="none" w:sz="0" w:space="0" w:color="auto"/>
                            <w:left w:val="none" w:sz="0" w:space="0" w:color="auto"/>
                            <w:bottom w:val="none" w:sz="0" w:space="0" w:color="auto"/>
                            <w:right w:val="none" w:sz="0" w:space="0" w:color="auto"/>
                          </w:divBdr>
                        </w:div>
                      </w:divsChild>
                    </w:div>
                    <w:div w:id="53551442">
                      <w:marLeft w:val="0"/>
                      <w:marRight w:val="0"/>
                      <w:marTop w:val="0"/>
                      <w:marBottom w:val="0"/>
                      <w:divBdr>
                        <w:top w:val="none" w:sz="0" w:space="0" w:color="auto"/>
                        <w:left w:val="none" w:sz="0" w:space="0" w:color="auto"/>
                        <w:bottom w:val="none" w:sz="0" w:space="0" w:color="auto"/>
                        <w:right w:val="none" w:sz="0" w:space="0" w:color="auto"/>
                      </w:divBdr>
                      <w:divsChild>
                        <w:div w:id="2105763026">
                          <w:marLeft w:val="0"/>
                          <w:marRight w:val="0"/>
                          <w:marTop w:val="0"/>
                          <w:marBottom w:val="0"/>
                          <w:divBdr>
                            <w:top w:val="none" w:sz="0" w:space="0" w:color="auto"/>
                            <w:left w:val="none" w:sz="0" w:space="0" w:color="auto"/>
                            <w:bottom w:val="none" w:sz="0" w:space="0" w:color="auto"/>
                            <w:right w:val="none" w:sz="0" w:space="0" w:color="auto"/>
                          </w:divBdr>
                        </w:div>
                      </w:divsChild>
                    </w:div>
                    <w:div w:id="1123503004">
                      <w:marLeft w:val="0"/>
                      <w:marRight w:val="0"/>
                      <w:marTop w:val="0"/>
                      <w:marBottom w:val="0"/>
                      <w:divBdr>
                        <w:top w:val="none" w:sz="0" w:space="0" w:color="auto"/>
                        <w:left w:val="none" w:sz="0" w:space="0" w:color="auto"/>
                        <w:bottom w:val="none" w:sz="0" w:space="0" w:color="auto"/>
                        <w:right w:val="none" w:sz="0" w:space="0" w:color="auto"/>
                      </w:divBdr>
                      <w:divsChild>
                        <w:div w:id="1776823895">
                          <w:marLeft w:val="0"/>
                          <w:marRight w:val="0"/>
                          <w:marTop w:val="0"/>
                          <w:marBottom w:val="0"/>
                          <w:divBdr>
                            <w:top w:val="none" w:sz="0" w:space="0" w:color="auto"/>
                            <w:left w:val="none" w:sz="0" w:space="0" w:color="auto"/>
                            <w:bottom w:val="none" w:sz="0" w:space="0" w:color="auto"/>
                            <w:right w:val="none" w:sz="0" w:space="0" w:color="auto"/>
                          </w:divBdr>
                        </w:div>
                      </w:divsChild>
                    </w:div>
                    <w:div w:id="1824808899">
                      <w:marLeft w:val="0"/>
                      <w:marRight w:val="0"/>
                      <w:marTop w:val="0"/>
                      <w:marBottom w:val="0"/>
                      <w:divBdr>
                        <w:top w:val="none" w:sz="0" w:space="0" w:color="auto"/>
                        <w:left w:val="none" w:sz="0" w:space="0" w:color="auto"/>
                        <w:bottom w:val="none" w:sz="0" w:space="0" w:color="auto"/>
                        <w:right w:val="none" w:sz="0" w:space="0" w:color="auto"/>
                      </w:divBdr>
                      <w:divsChild>
                        <w:div w:id="1057699813">
                          <w:marLeft w:val="0"/>
                          <w:marRight w:val="0"/>
                          <w:marTop w:val="0"/>
                          <w:marBottom w:val="0"/>
                          <w:divBdr>
                            <w:top w:val="none" w:sz="0" w:space="0" w:color="auto"/>
                            <w:left w:val="none" w:sz="0" w:space="0" w:color="auto"/>
                            <w:bottom w:val="none" w:sz="0" w:space="0" w:color="auto"/>
                            <w:right w:val="none" w:sz="0" w:space="0" w:color="auto"/>
                          </w:divBdr>
                        </w:div>
                      </w:divsChild>
                    </w:div>
                    <w:div w:id="1451631845">
                      <w:marLeft w:val="0"/>
                      <w:marRight w:val="0"/>
                      <w:marTop w:val="0"/>
                      <w:marBottom w:val="0"/>
                      <w:divBdr>
                        <w:top w:val="none" w:sz="0" w:space="0" w:color="auto"/>
                        <w:left w:val="none" w:sz="0" w:space="0" w:color="auto"/>
                        <w:bottom w:val="none" w:sz="0" w:space="0" w:color="auto"/>
                        <w:right w:val="none" w:sz="0" w:space="0" w:color="auto"/>
                      </w:divBdr>
                      <w:divsChild>
                        <w:div w:id="1659185317">
                          <w:marLeft w:val="0"/>
                          <w:marRight w:val="0"/>
                          <w:marTop w:val="0"/>
                          <w:marBottom w:val="0"/>
                          <w:divBdr>
                            <w:top w:val="none" w:sz="0" w:space="0" w:color="auto"/>
                            <w:left w:val="none" w:sz="0" w:space="0" w:color="auto"/>
                            <w:bottom w:val="none" w:sz="0" w:space="0" w:color="auto"/>
                            <w:right w:val="none" w:sz="0" w:space="0" w:color="auto"/>
                          </w:divBdr>
                        </w:div>
                      </w:divsChild>
                    </w:div>
                    <w:div w:id="1015964055">
                      <w:marLeft w:val="0"/>
                      <w:marRight w:val="0"/>
                      <w:marTop w:val="0"/>
                      <w:marBottom w:val="0"/>
                      <w:divBdr>
                        <w:top w:val="none" w:sz="0" w:space="0" w:color="auto"/>
                        <w:left w:val="none" w:sz="0" w:space="0" w:color="auto"/>
                        <w:bottom w:val="none" w:sz="0" w:space="0" w:color="auto"/>
                        <w:right w:val="none" w:sz="0" w:space="0" w:color="auto"/>
                      </w:divBdr>
                      <w:divsChild>
                        <w:div w:id="2073770910">
                          <w:marLeft w:val="0"/>
                          <w:marRight w:val="0"/>
                          <w:marTop w:val="0"/>
                          <w:marBottom w:val="0"/>
                          <w:divBdr>
                            <w:top w:val="none" w:sz="0" w:space="0" w:color="auto"/>
                            <w:left w:val="none" w:sz="0" w:space="0" w:color="auto"/>
                            <w:bottom w:val="none" w:sz="0" w:space="0" w:color="auto"/>
                            <w:right w:val="none" w:sz="0" w:space="0" w:color="auto"/>
                          </w:divBdr>
                        </w:div>
                      </w:divsChild>
                    </w:div>
                    <w:div w:id="377976370">
                      <w:marLeft w:val="0"/>
                      <w:marRight w:val="0"/>
                      <w:marTop w:val="0"/>
                      <w:marBottom w:val="0"/>
                      <w:divBdr>
                        <w:top w:val="none" w:sz="0" w:space="0" w:color="auto"/>
                        <w:left w:val="none" w:sz="0" w:space="0" w:color="auto"/>
                        <w:bottom w:val="none" w:sz="0" w:space="0" w:color="auto"/>
                        <w:right w:val="none" w:sz="0" w:space="0" w:color="auto"/>
                      </w:divBdr>
                      <w:divsChild>
                        <w:div w:id="167062939">
                          <w:marLeft w:val="0"/>
                          <w:marRight w:val="0"/>
                          <w:marTop w:val="0"/>
                          <w:marBottom w:val="0"/>
                          <w:divBdr>
                            <w:top w:val="none" w:sz="0" w:space="0" w:color="auto"/>
                            <w:left w:val="none" w:sz="0" w:space="0" w:color="auto"/>
                            <w:bottom w:val="none" w:sz="0" w:space="0" w:color="auto"/>
                            <w:right w:val="none" w:sz="0" w:space="0" w:color="auto"/>
                          </w:divBdr>
                        </w:div>
                      </w:divsChild>
                    </w:div>
                    <w:div w:id="2134983757">
                      <w:marLeft w:val="0"/>
                      <w:marRight w:val="0"/>
                      <w:marTop w:val="0"/>
                      <w:marBottom w:val="0"/>
                      <w:divBdr>
                        <w:top w:val="none" w:sz="0" w:space="0" w:color="auto"/>
                        <w:left w:val="none" w:sz="0" w:space="0" w:color="auto"/>
                        <w:bottom w:val="none" w:sz="0" w:space="0" w:color="auto"/>
                        <w:right w:val="none" w:sz="0" w:space="0" w:color="auto"/>
                      </w:divBdr>
                      <w:divsChild>
                        <w:div w:id="416362492">
                          <w:marLeft w:val="0"/>
                          <w:marRight w:val="0"/>
                          <w:marTop w:val="0"/>
                          <w:marBottom w:val="0"/>
                          <w:divBdr>
                            <w:top w:val="none" w:sz="0" w:space="0" w:color="auto"/>
                            <w:left w:val="none" w:sz="0" w:space="0" w:color="auto"/>
                            <w:bottom w:val="none" w:sz="0" w:space="0" w:color="auto"/>
                            <w:right w:val="none" w:sz="0" w:space="0" w:color="auto"/>
                          </w:divBdr>
                        </w:div>
                      </w:divsChild>
                    </w:div>
                    <w:div w:id="85731001">
                      <w:marLeft w:val="0"/>
                      <w:marRight w:val="0"/>
                      <w:marTop w:val="0"/>
                      <w:marBottom w:val="0"/>
                      <w:divBdr>
                        <w:top w:val="none" w:sz="0" w:space="0" w:color="auto"/>
                        <w:left w:val="none" w:sz="0" w:space="0" w:color="auto"/>
                        <w:bottom w:val="none" w:sz="0" w:space="0" w:color="auto"/>
                        <w:right w:val="none" w:sz="0" w:space="0" w:color="auto"/>
                      </w:divBdr>
                      <w:divsChild>
                        <w:div w:id="1262028137">
                          <w:marLeft w:val="0"/>
                          <w:marRight w:val="0"/>
                          <w:marTop w:val="0"/>
                          <w:marBottom w:val="0"/>
                          <w:divBdr>
                            <w:top w:val="none" w:sz="0" w:space="0" w:color="auto"/>
                            <w:left w:val="none" w:sz="0" w:space="0" w:color="auto"/>
                            <w:bottom w:val="none" w:sz="0" w:space="0" w:color="auto"/>
                            <w:right w:val="none" w:sz="0" w:space="0" w:color="auto"/>
                          </w:divBdr>
                        </w:div>
                      </w:divsChild>
                    </w:div>
                    <w:div w:id="1085764341">
                      <w:marLeft w:val="0"/>
                      <w:marRight w:val="0"/>
                      <w:marTop w:val="0"/>
                      <w:marBottom w:val="0"/>
                      <w:divBdr>
                        <w:top w:val="none" w:sz="0" w:space="0" w:color="auto"/>
                        <w:left w:val="none" w:sz="0" w:space="0" w:color="auto"/>
                        <w:bottom w:val="none" w:sz="0" w:space="0" w:color="auto"/>
                        <w:right w:val="none" w:sz="0" w:space="0" w:color="auto"/>
                      </w:divBdr>
                      <w:divsChild>
                        <w:div w:id="491333036">
                          <w:marLeft w:val="0"/>
                          <w:marRight w:val="0"/>
                          <w:marTop w:val="0"/>
                          <w:marBottom w:val="0"/>
                          <w:divBdr>
                            <w:top w:val="none" w:sz="0" w:space="0" w:color="auto"/>
                            <w:left w:val="none" w:sz="0" w:space="0" w:color="auto"/>
                            <w:bottom w:val="none" w:sz="0" w:space="0" w:color="auto"/>
                            <w:right w:val="none" w:sz="0" w:space="0" w:color="auto"/>
                          </w:divBdr>
                        </w:div>
                      </w:divsChild>
                    </w:div>
                    <w:div w:id="1051419893">
                      <w:marLeft w:val="0"/>
                      <w:marRight w:val="0"/>
                      <w:marTop w:val="0"/>
                      <w:marBottom w:val="0"/>
                      <w:divBdr>
                        <w:top w:val="none" w:sz="0" w:space="0" w:color="auto"/>
                        <w:left w:val="none" w:sz="0" w:space="0" w:color="auto"/>
                        <w:bottom w:val="none" w:sz="0" w:space="0" w:color="auto"/>
                        <w:right w:val="none" w:sz="0" w:space="0" w:color="auto"/>
                      </w:divBdr>
                      <w:divsChild>
                        <w:div w:id="942997986">
                          <w:marLeft w:val="0"/>
                          <w:marRight w:val="0"/>
                          <w:marTop w:val="0"/>
                          <w:marBottom w:val="0"/>
                          <w:divBdr>
                            <w:top w:val="none" w:sz="0" w:space="0" w:color="auto"/>
                            <w:left w:val="none" w:sz="0" w:space="0" w:color="auto"/>
                            <w:bottom w:val="none" w:sz="0" w:space="0" w:color="auto"/>
                            <w:right w:val="none" w:sz="0" w:space="0" w:color="auto"/>
                          </w:divBdr>
                        </w:div>
                      </w:divsChild>
                    </w:div>
                    <w:div w:id="1594901378">
                      <w:marLeft w:val="0"/>
                      <w:marRight w:val="0"/>
                      <w:marTop w:val="0"/>
                      <w:marBottom w:val="0"/>
                      <w:divBdr>
                        <w:top w:val="none" w:sz="0" w:space="0" w:color="auto"/>
                        <w:left w:val="none" w:sz="0" w:space="0" w:color="auto"/>
                        <w:bottom w:val="none" w:sz="0" w:space="0" w:color="auto"/>
                        <w:right w:val="none" w:sz="0" w:space="0" w:color="auto"/>
                      </w:divBdr>
                      <w:divsChild>
                        <w:div w:id="517307673">
                          <w:marLeft w:val="0"/>
                          <w:marRight w:val="0"/>
                          <w:marTop w:val="0"/>
                          <w:marBottom w:val="0"/>
                          <w:divBdr>
                            <w:top w:val="none" w:sz="0" w:space="0" w:color="auto"/>
                            <w:left w:val="none" w:sz="0" w:space="0" w:color="auto"/>
                            <w:bottom w:val="none" w:sz="0" w:space="0" w:color="auto"/>
                            <w:right w:val="none" w:sz="0" w:space="0" w:color="auto"/>
                          </w:divBdr>
                        </w:div>
                      </w:divsChild>
                    </w:div>
                    <w:div w:id="1084032972">
                      <w:marLeft w:val="0"/>
                      <w:marRight w:val="0"/>
                      <w:marTop w:val="0"/>
                      <w:marBottom w:val="0"/>
                      <w:divBdr>
                        <w:top w:val="none" w:sz="0" w:space="0" w:color="auto"/>
                        <w:left w:val="none" w:sz="0" w:space="0" w:color="auto"/>
                        <w:bottom w:val="none" w:sz="0" w:space="0" w:color="auto"/>
                        <w:right w:val="none" w:sz="0" w:space="0" w:color="auto"/>
                      </w:divBdr>
                      <w:divsChild>
                        <w:div w:id="1919053276">
                          <w:marLeft w:val="0"/>
                          <w:marRight w:val="0"/>
                          <w:marTop w:val="0"/>
                          <w:marBottom w:val="0"/>
                          <w:divBdr>
                            <w:top w:val="none" w:sz="0" w:space="0" w:color="auto"/>
                            <w:left w:val="none" w:sz="0" w:space="0" w:color="auto"/>
                            <w:bottom w:val="none" w:sz="0" w:space="0" w:color="auto"/>
                            <w:right w:val="none" w:sz="0" w:space="0" w:color="auto"/>
                          </w:divBdr>
                        </w:div>
                      </w:divsChild>
                    </w:div>
                    <w:div w:id="1888953987">
                      <w:marLeft w:val="0"/>
                      <w:marRight w:val="0"/>
                      <w:marTop w:val="0"/>
                      <w:marBottom w:val="0"/>
                      <w:divBdr>
                        <w:top w:val="none" w:sz="0" w:space="0" w:color="auto"/>
                        <w:left w:val="none" w:sz="0" w:space="0" w:color="auto"/>
                        <w:bottom w:val="none" w:sz="0" w:space="0" w:color="auto"/>
                        <w:right w:val="none" w:sz="0" w:space="0" w:color="auto"/>
                      </w:divBdr>
                      <w:divsChild>
                        <w:div w:id="786002825">
                          <w:marLeft w:val="0"/>
                          <w:marRight w:val="0"/>
                          <w:marTop w:val="0"/>
                          <w:marBottom w:val="0"/>
                          <w:divBdr>
                            <w:top w:val="none" w:sz="0" w:space="0" w:color="auto"/>
                            <w:left w:val="none" w:sz="0" w:space="0" w:color="auto"/>
                            <w:bottom w:val="none" w:sz="0" w:space="0" w:color="auto"/>
                            <w:right w:val="none" w:sz="0" w:space="0" w:color="auto"/>
                          </w:divBdr>
                        </w:div>
                      </w:divsChild>
                    </w:div>
                    <w:div w:id="877400073">
                      <w:marLeft w:val="0"/>
                      <w:marRight w:val="0"/>
                      <w:marTop w:val="0"/>
                      <w:marBottom w:val="0"/>
                      <w:divBdr>
                        <w:top w:val="none" w:sz="0" w:space="0" w:color="auto"/>
                        <w:left w:val="none" w:sz="0" w:space="0" w:color="auto"/>
                        <w:bottom w:val="none" w:sz="0" w:space="0" w:color="auto"/>
                        <w:right w:val="none" w:sz="0" w:space="0" w:color="auto"/>
                      </w:divBdr>
                      <w:divsChild>
                        <w:div w:id="2133740013">
                          <w:marLeft w:val="0"/>
                          <w:marRight w:val="0"/>
                          <w:marTop w:val="0"/>
                          <w:marBottom w:val="0"/>
                          <w:divBdr>
                            <w:top w:val="none" w:sz="0" w:space="0" w:color="auto"/>
                            <w:left w:val="none" w:sz="0" w:space="0" w:color="auto"/>
                            <w:bottom w:val="none" w:sz="0" w:space="0" w:color="auto"/>
                            <w:right w:val="none" w:sz="0" w:space="0" w:color="auto"/>
                          </w:divBdr>
                        </w:div>
                      </w:divsChild>
                    </w:div>
                    <w:div w:id="1345935852">
                      <w:marLeft w:val="0"/>
                      <w:marRight w:val="0"/>
                      <w:marTop w:val="0"/>
                      <w:marBottom w:val="0"/>
                      <w:divBdr>
                        <w:top w:val="none" w:sz="0" w:space="0" w:color="auto"/>
                        <w:left w:val="none" w:sz="0" w:space="0" w:color="auto"/>
                        <w:bottom w:val="none" w:sz="0" w:space="0" w:color="auto"/>
                        <w:right w:val="none" w:sz="0" w:space="0" w:color="auto"/>
                      </w:divBdr>
                      <w:divsChild>
                        <w:div w:id="700059761">
                          <w:marLeft w:val="0"/>
                          <w:marRight w:val="0"/>
                          <w:marTop w:val="0"/>
                          <w:marBottom w:val="0"/>
                          <w:divBdr>
                            <w:top w:val="none" w:sz="0" w:space="0" w:color="auto"/>
                            <w:left w:val="none" w:sz="0" w:space="0" w:color="auto"/>
                            <w:bottom w:val="none" w:sz="0" w:space="0" w:color="auto"/>
                            <w:right w:val="none" w:sz="0" w:space="0" w:color="auto"/>
                          </w:divBdr>
                        </w:div>
                      </w:divsChild>
                    </w:div>
                    <w:div w:id="1022131000">
                      <w:marLeft w:val="0"/>
                      <w:marRight w:val="0"/>
                      <w:marTop w:val="0"/>
                      <w:marBottom w:val="0"/>
                      <w:divBdr>
                        <w:top w:val="none" w:sz="0" w:space="0" w:color="auto"/>
                        <w:left w:val="none" w:sz="0" w:space="0" w:color="auto"/>
                        <w:bottom w:val="none" w:sz="0" w:space="0" w:color="auto"/>
                        <w:right w:val="none" w:sz="0" w:space="0" w:color="auto"/>
                      </w:divBdr>
                      <w:divsChild>
                        <w:div w:id="1644700643">
                          <w:marLeft w:val="0"/>
                          <w:marRight w:val="0"/>
                          <w:marTop w:val="0"/>
                          <w:marBottom w:val="0"/>
                          <w:divBdr>
                            <w:top w:val="none" w:sz="0" w:space="0" w:color="auto"/>
                            <w:left w:val="none" w:sz="0" w:space="0" w:color="auto"/>
                            <w:bottom w:val="none" w:sz="0" w:space="0" w:color="auto"/>
                            <w:right w:val="none" w:sz="0" w:space="0" w:color="auto"/>
                          </w:divBdr>
                        </w:div>
                      </w:divsChild>
                    </w:div>
                    <w:div w:id="60367994">
                      <w:marLeft w:val="0"/>
                      <w:marRight w:val="0"/>
                      <w:marTop w:val="0"/>
                      <w:marBottom w:val="0"/>
                      <w:divBdr>
                        <w:top w:val="none" w:sz="0" w:space="0" w:color="auto"/>
                        <w:left w:val="none" w:sz="0" w:space="0" w:color="auto"/>
                        <w:bottom w:val="none" w:sz="0" w:space="0" w:color="auto"/>
                        <w:right w:val="none" w:sz="0" w:space="0" w:color="auto"/>
                      </w:divBdr>
                      <w:divsChild>
                        <w:div w:id="1347944465">
                          <w:marLeft w:val="0"/>
                          <w:marRight w:val="0"/>
                          <w:marTop w:val="0"/>
                          <w:marBottom w:val="0"/>
                          <w:divBdr>
                            <w:top w:val="none" w:sz="0" w:space="0" w:color="auto"/>
                            <w:left w:val="none" w:sz="0" w:space="0" w:color="auto"/>
                            <w:bottom w:val="none" w:sz="0" w:space="0" w:color="auto"/>
                            <w:right w:val="none" w:sz="0" w:space="0" w:color="auto"/>
                          </w:divBdr>
                        </w:div>
                      </w:divsChild>
                    </w:div>
                    <w:div w:id="327251731">
                      <w:marLeft w:val="0"/>
                      <w:marRight w:val="0"/>
                      <w:marTop w:val="0"/>
                      <w:marBottom w:val="0"/>
                      <w:divBdr>
                        <w:top w:val="none" w:sz="0" w:space="0" w:color="auto"/>
                        <w:left w:val="none" w:sz="0" w:space="0" w:color="auto"/>
                        <w:bottom w:val="none" w:sz="0" w:space="0" w:color="auto"/>
                        <w:right w:val="none" w:sz="0" w:space="0" w:color="auto"/>
                      </w:divBdr>
                      <w:divsChild>
                        <w:div w:id="2049793404">
                          <w:marLeft w:val="0"/>
                          <w:marRight w:val="0"/>
                          <w:marTop w:val="0"/>
                          <w:marBottom w:val="0"/>
                          <w:divBdr>
                            <w:top w:val="none" w:sz="0" w:space="0" w:color="auto"/>
                            <w:left w:val="none" w:sz="0" w:space="0" w:color="auto"/>
                            <w:bottom w:val="none" w:sz="0" w:space="0" w:color="auto"/>
                            <w:right w:val="none" w:sz="0" w:space="0" w:color="auto"/>
                          </w:divBdr>
                        </w:div>
                      </w:divsChild>
                    </w:div>
                    <w:div w:id="2510098">
                      <w:marLeft w:val="0"/>
                      <w:marRight w:val="0"/>
                      <w:marTop w:val="0"/>
                      <w:marBottom w:val="0"/>
                      <w:divBdr>
                        <w:top w:val="none" w:sz="0" w:space="0" w:color="auto"/>
                        <w:left w:val="none" w:sz="0" w:space="0" w:color="auto"/>
                        <w:bottom w:val="none" w:sz="0" w:space="0" w:color="auto"/>
                        <w:right w:val="none" w:sz="0" w:space="0" w:color="auto"/>
                      </w:divBdr>
                      <w:divsChild>
                        <w:div w:id="1069309605">
                          <w:marLeft w:val="0"/>
                          <w:marRight w:val="0"/>
                          <w:marTop w:val="0"/>
                          <w:marBottom w:val="0"/>
                          <w:divBdr>
                            <w:top w:val="none" w:sz="0" w:space="0" w:color="auto"/>
                            <w:left w:val="none" w:sz="0" w:space="0" w:color="auto"/>
                            <w:bottom w:val="none" w:sz="0" w:space="0" w:color="auto"/>
                            <w:right w:val="none" w:sz="0" w:space="0" w:color="auto"/>
                          </w:divBdr>
                        </w:div>
                      </w:divsChild>
                    </w:div>
                    <w:div w:id="719785955">
                      <w:marLeft w:val="0"/>
                      <w:marRight w:val="0"/>
                      <w:marTop w:val="0"/>
                      <w:marBottom w:val="0"/>
                      <w:divBdr>
                        <w:top w:val="none" w:sz="0" w:space="0" w:color="auto"/>
                        <w:left w:val="none" w:sz="0" w:space="0" w:color="auto"/>
                        <w:bottom w:val="none" w:sz="0" w:space="0" w:color="auto"/>
                        <w:right w:val="none" w:sz="0" w:space="0" w:color="auto"/>
                      </w:divBdr>
                      <w:divsChild>
                        <w:div w:id="1290016657">
                          <w:marLeft w:val="0"/>
                          <w:marRight w:val="0"/>
                          <w:marTop w:val="0"/>
                          <w:marBottom w:val="0"/>
                          <w:divBdr>
                            <w:top w:val="none" w:sz="0" w:space="0" w:color="auto"/>
                            <w:left w:val="none" w:sz="0" w:space="0" w:color="auto"/>
                            <w:bottom w:val="none" w:sz="0" w:space="0" w:color="auto"/>
                            <w:right w:val="none" w:sz="0" w:space="0" w:color="auto"/>
                          </w:divBdr>
                        </w:div>
                      </w:divsChild>
                    </w:div>
                    <w:div w:id="1950163606">
                      <w:marLeft w:val="0"/>
                      <w:marRight w:val="0"/>
                      <w:marTop w:val="0"/>
                      <w:marBottom w:val="0"/>
                      <w:divBdr>
                        <w:top w:val="none" w:sz="0" w:space="0" w:color="auto"/>
                        <w:left w:val="none" w:sz="0" w:space="0" w:color="auto"/>
                        <w:bottom w:val="none" w:sz="0" w:space="0" w:color="auto"/>
                        <w:right w:val="none" w:sz="0" w:space="0" w:color="auto"/>
                      </w:divBdr>
                      <w:divsChild>
                        <w:div w:id="2140026370">
                          <w:marLeft w:val="0"/>
                          <w:marRight w:val="0"/>
                          <w:marTop w:val="0"/>
                          <w:marBottom w:val="0"/>
                          <w:divBdr>
                            <w:top w:val="none" w:sz="0" w:space="0" w:color="auto"/>
                            <w:left w:val="none" w:sz="0" w:space="0" w:color="auto"/>
                            <w:bottom w:val="none" w:sz="0" w:space="0" w:color="auto"/>
                            <w:right w:val="none" w:sz="0" w:space="0" w:color="auto"/>
                          </w:divBdr>
                        </w:div>
                      </w:divsChild>
                    </w:div>
                    <w:div w:id="1174760886">
                      <w:marLeft w:val="0"/>
                      <w:marRight w:val="0"/>
                      <w:marTop w:val="0"/>
                      <w:marBottom w:val="0"/>
                      <w:divBdr>
                        <w:top w:val="none" w:sz="0" w:space="0" w:color="auto"/>
                        <w:left w:val="none" w:sz="0" w:space="0" w:color="auto"/>
                        <w:bottom w:val="none" w:sz="0" w:space="0" w:color="auto"/>
                        <w:right w:val="none" w:sz="0" w:space="0" w:color="auto"/>
                      </w:divBdr>
                      <w:divsChild>
                        <w:div w:id="2019691169">
                          <w:marLeft w:val="0"/>
                          <w:marRight w:val="0"/>
                          <w:marTop w:val="0"/>
                          <w:marBottom w:val="0"/>
                          <w:divBdr>
                            <w:top w:val="none" w:sz="0" w:space="0" w:color="auto"/>
                            <w:left w:val="none" w:sz="0" w:space="0" w:color="auto"/>
                            <w:bottom w:val="none" w:sz="0" w:space="0" w:color="auto"/>
                            <w:right w:val="none" w:sz="0" w:space="0" w:color="auto"/>
                          </w:divBdr>
                        </w:div>
                      </w:divsChild>
                    </w:div>
                    <w:div w:id="1196964486">
                      <w:marLeft w:val="0"/>
                      <w:marRight w:val="0"/>
                      <w:marTop w:val="0"/>
                      <w:marBottom w:val="0"/>
                      <w:divBdr>
                        <w:top w:val="none" w:sz="0" w:space="0" w:color="auto"/>
                        <w:left w:val="none" w:sz="0" w:space="0" w:color="auto"/>
                        <w:bottom w:val="none" w:sz="0" w:space="0" w:color="auto"/>
                        <w:right w:val="none" w:sz="0" w:space="0" w:color="auto"/>
                      </w:divBdr>
                      <w:divsChild>
                        <w:div w:id="13502303">
                          <w:marLeft w:val="0"/>
                          <w:marRight w:val="0"/>
                          <w:marTop w:val="0"/>
                          <w:marBottom w:val="0"/>
                          <w:divBdr>
                            <w:top w:val="none" w:sz="0" w:space="0" w:color="auto"/>
                            <w:left w:val="none" w:sz="0" w:space="0" w:color="auto"/>
                            <w:bottom w:val="none" w:sz="0" w:space="0" w:color="auto"/>
                            <w:right w:val="none" w:sz="0" w:space="0" w:color="auto"/>
                          </w:divBdr>
                        </w:div>
                      </w:divsChild>
                    </w:div>
                    <w:div w:id="777791957">
                      <w:marLeft w:val="0"/>
                      <w:marRight w:val="0"/>
                      <w:marTop w:val="0"/>
                      <w:marBottom w:val="0"/>
                      <w:divBdr>
                        <w:top w:val="none" w:sz="0" w:space="0" w:color="auto"/>
                        <w:left w:val="none" w:sz="0" w:space="0" w:color="auto"/>
                        <w:bottom w:val="none" w:sz="0" w:space="0" w:color="auto"/>
                        <w:right w:val="none" w:sz="0" w:space="0" w:color="auto"/>
                      </w:divBdr>
                      <w:divsChild>
                        <w:div w:id="861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894">
                  <w:marLeft w:val="0"/>
                  <w:marRight w:val="0"/>
                  <w:marTop w:val="0"/>
                  <w:marBottom w:val="0"/>
                  <w:divBdr>
                    <w:top w:val="none" w:sz="0" w:space="0" w:color="auto"/>
                    <w:left w:val="none" w:sz="0" w:space="0" w:color="auto"/>
                    <w:bottom w:val="none" w:sz="0" w:space="0" w:color="auto"/>
                    <w:right w:val="none" w:sz="0" w:space="0" w:color="auto"/>
                  </w:divBdr>
                  <w:divsChild>
                    <w:div w:id="1533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58">
          <w:marLeft w:val="0"/>
          <w:marRight w:val="0"/>
          <w:marTop w:val="0"/>
          <w:marBottom w:val="0"/>
          <w:divBdr>
            <w:top w:val="none" w:sz="0" w:space="0" w:color="auto"/>
            <w:left w:val="none" w:sz="0" w:space="0" w:color="auto"/>
            <w:bottom w:val="none" w:sz="0" w:space="0" w:color="auto"/>
            <w:right w:val="none" w:sz="0" w:space="0" w:color="auto"/>
          </w:divBdr>
          <w:divsChild>
            <w:div w:id="666054527">
              <w:marLeft w:val="0"/>
              <w:marRight w:val="0"/>
              <w:marTop w:val="0"/>
              <w:marBottom w:val="0"/>
              <w:divBdr>
                <w:top w:val="none" w:sz="0" w:space="0" w:color="auto"/>
                <w:left w:val="none" w:sz="0" w:space="0" w:color="auto"/>
                <w:bottom w:val="none" w:sz="0" w:space="0" w:color="auto"/>
                <w:right w:val="none" w:sz="0" w:space="0" w:color="auto"/>
              </w:divBdr>
              <w:divsChild>
                <w:div w:id="15598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1032">
      <w:bodyDiv w:val="1"/>
      <w:marLeft w:val="0"/>
      <w:marRight w:val="0"/>
      <w:marTop w:val="0"/>
      <w:marBottom w:val="0"/>
      <w:divBdr>
        <w:top w:val="none" w:sz="0" w:space="0" w:color="auto"/>
        <w:left w:val="none" w:sz="0" w:space="0" w:color="auto"/>
        <w:bottom w:val="none" w:sz="0" w:space="0" w:color="auto"/>
        <w:right w:val="none" w:sz="0" w:space="0" w:color="auto"/>
      </w:divBdr>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271635">
      <w:bodyDiv w:val="1"/>
      <w:marLeft w:val="0"/>
      <w:marRight w:val="0"/>
      <w:marTop w:val="0"/>
      <w:marBottom w:val="0"/>
      <w:divBdr>
        <w:top w:val="none" w:sz="0" w:space="0" w:color="auto"/>
        <w:left w:val="none" w:sz="0" w:space="0" w:color="auto"/>
        <w:bottom w:val="none" w:sz="0" w:space="0" w:color="auto"/>
        <w:right w:val="none" w:sz="0" w:space="0" w:color="auto"/>
      </w:divBdr>
      <w:divsChild>
        <w:div w:id="2126340728">
          <w:marLeft w:val="0"/>
          <w:marRight w:val="0"/>
          <w:marTop w:val="0"/>
          <w:marBottom w:val="0"/>
          <w:divBdr>
            <w:top w:val="none" w:sz="0" w:space="0" w:color="auto"/>
            <w:left w:val="none" w:sz="0" w:space="0" w:color="auto"/>
            <w:bottom w:val="none" w:sz="0" w:space="0" w:color="auto"/>
            <w:right w:val="none" w:sz="0" w:space="0" w:color="auto"/>
          </w:divBdr>
          <w:divsChild>
            <w:div w:id="8434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0345">
      <w:bodyDiv w:val="1"/>
      <w:marLeft w:val="0"/>
      <w:marRight w:val="0"/>
      <w:marTop w:val="0"/>
      <w:marBottom w:val="0"/>
      <w:divBdr>
        <w:top w:val="none" w:sz="0" w:space="0" w:color="auto"/>
        <w:left w:val="none" w:sz="0" w:space="0" w:color="auto"/>
        <w:bottom w:val="none" w:sz="0" w:space="0" w:color="auto"/>
        <w:right w:val="none" w:sz="0" w:space="0" w:color="auto"/>
      </w:divBdr>
    </w:div>
    <w:div w:id="1574585302">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03670">
      <w:bodyDiv w:val="1"/>
      <w:marLeft w:val="0"/>
      <w:marRight w:val="0"/>
      <w:marTop w:val="0"/>
      <w:marBottom w:val="0"/>
      <w:divBdr>
        <w:top w:val="none" w:sz="0" w:space="0" w:color="auto"/>
        <w:left w:val="none" w:sz="0" w:space="0" w:color="auto"/>
        <w:bottom w:val="none" w:sz="0" w:space="0" w:color="auto"/>
        <w:right w:val="none" w:sz="0" w:space="0" w:color="auto"/>
      </w:divBdr>
    </w:div>
    <w:div w:id="1730494977">
      <w:bodyDiv w:val="1"/>
      <w:marLeft w:val="0"/>
      <w:marRight w:val="0"/>
      <w:marTop w:val="0"/>
      <w:marBottom w:val="0"/>
      <w:divBdr>
        <w:top w:val="none" w:sz="0" w:space="0" w:color="auto"/>
        <w:left w:val="none" w:sz="0" w:space="0" w:color="auto"/>
        <w:bottom w:val="none" w:sz="0" w:space="0" w:color="auto"/>
        <w:right w:val="none" w:sz="0" w:space="0" w:color="auto"/>
      </w:divBdr>
      <w:divsChild>
        <w:div w:id="916284379">
          <w:marLeft w:val="0"/>
          <w:marRight w:val="0"/>
          <w:marTop w:val="0"/>
          <w:marBottom w:val="0"/>
          <w:divBdr>
            <w:top w:val="none" w:sz="0" w:space="0" w:color="auto"/>
            <w:left w:val="none" w:sz="0" w:space="0" w:color="auto"/>
            <w:bottom w:val="none" w:sz="0" w:space="0" w:color="auto"/>
            <w:right w:val="none" w:sz="0" w:space="0" w:color="auto"/>
          </w:divBdr>
          <w:divsChild>
            <w:div w:id="1404840063">
              <w:marLeft w:val="0"/>
              <w:marRight w:val="0"/>
              <w:marTop w:val="0"/>
              <w:marBottom w:val="0"/>
              <w:divBdr>
                <w:top w:val="none" w:sz="0" w:space="0" w:color="auto"/>
                <w:left w:val="none" w:sz="0" w:space="0" w:color="auto"/>
                <w:bottom w:val="none" w:sz="0" w:space="0" w:color="auto"/>
                <w:right w:val="none" w:sz="0" w:space="0" w:color="auto"/>
              </w:divBdr>
              <w:divsChild>
                <w:div w:id="1162357265">
                  <w:marLeft w:val="0"/>
                  <w:marRight w:val="0"/>
                  <w:marTop w:val="0"/>
                  <w:marBottom w:val="0"/>
                  <w:divBdr>
                    <w:top w:val="none" w:sz="0" w:space="0" w:color="auto"/>
                    <w:left w:val="none" w:sz="0" w:space="0" w:color="auto"/>
                    <w:bottom w:val="none" w:sz="0" w:space="0" w:color="auto"/>
                    <w:right w:val="none" w:sz="0" w:space="0" w:color="auto"/>
                  </w:divBdr>
                  <w:divsChild>
                    <w:div w:id="954025070">
                      <w:marLeft w:val="0"/>
                      <w:marRight w:val="0"/>
                      <w:marTop w:val="0"/>
                      <w:marBottom w:val="0"/>
                      <w:divBdr>
                        <w:top w:val="none" w:sz="0" w:space="0" w:color="auto"/>
                        <w:left w:val="none" w:sz="0" w:space="0" w:color="auto"/>
                        <w:bottom w:val="none" w:sz="0" w:space="0" w:color="auto"/>
                        <w:right w:val="none" w:sz="0" w:space="0" w:color="auto"/>
                      </w:divBdr>
                      <w:divsChild>
                        <w:div w:id="722144228">
                          <w:marLeft w:val="0"/>
                          <w:marRight w:val="0"/>
                          <w:marTop w:val="0"/>
                          <w:marBottom w:val="975"/>
                          <w:divBdr>
                            <w:top w:val="none" w:sz="0" w:space="0" w:color="auto"/>
                            <w:left w:val="none" w:sz="0" w:space="0" w:color="auto"/>
                            <w:bottom w:val="none" w:sz="0" w:space="0" w:color="auto"/>
                            <w:right w:val="none" w:sz="0" w:space="0" w:color="auto"/>
                          </w:divBdr>
                          <w:divsChild>
                            <w:div w:id="135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92412">
      <w:bodyDiv w:val="1"/>
      <w:marLeft w:val="0"/>
      <w:marRight w:val="0"/>
      <w:marTop w:val="0"/>
      <w:marBottom w:val="0"/>
      <w:divBdr>
        <w:top w:val="none" w:sz="0" w:space="0" w:color="auto"/>
        <w:left w:val="none" w:sz="0" w:space="0" w:color="auto"/>
        <w:bottom w:val="none" w:sz="0" w:space="0" w:color="auto"/>
        <w:right w:val="none" w:sz="0" w:space="0" w:color="auto"/>
      </w:divBdr>
    </w:div>
    <w:div w:id="1929340932">
      <w:bodyDiv w:val="1"/>
      <w:marLeft w:val="0"/>
      <w:marRight w:val="0"/>
      <w:marTop w:val="0"/>
      <w:marBottom w:val="0"/>
      <w:divBdr>
        <w:top w:val="none" w:sz="0" w:space="0" w:color="auto"/>
        <w:left w:val="none" w:sz="0" w:space="0" w:color="auto"/>
        <w:bottom w:val="none" w:sz="0" w:space="0" w:color="auto"/>
        <w:right w:val="none" w:sz="0" w:space="0" w:color="auto"/>
      </w:divBdr>
    </w:div>
    <w:div w:id="1984849744">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51220872">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460858">
      <w:bodyDiv w:val="1"/>
      <w:marLeft w:val="0"/>
      <w:marRight w:val="0"/>
      <w:marTop w:val="0"/>
      <w:marBottom w:val="0"/>
      <w:divBdr>
        <w:top w:val="none" w:sz="0" w:space="0" w:color="auto"/>
        <w:left w:val="none" w:sz="0" w:space="0" w:color="auto"/>
        <w:bottom w:val="none" w:sz="0" w:space="0" w:color="auto"/>
        <w:right w:val="none" w:sz="0" w:space="0" w:color="auto"/>
      </w:divBdr>
      <w:divsChild>
        <w:div w:id="1756974102">
          <w:marLeft w:val="0"/>
          <w:marRight w:val="0"/>
          <w:marTop w:val="0"/>
          <w:marBottom w:val="0"/>
          <w:divBdr>
            <w:top w:val="none" w:sz="0" w:space="0" w:color="auto"/>
            <w:left w:val="none" w:sz="0" w:space="0" w:color="auto"/>
            <w:bottom w:val="none" w:sz="0" w:space="0" w:color="auto"/>
            <w:right w:val="none" w:sz="0" w:space="0" w:color="auto"/>
          </w:divBdr>
          <w:divsChild>
            <w:div w:id="1192111063">
              <w:marLeft w:val="0"/>
              <w:marRight w:val="0"/>
              <w:marTop w:val="0"/>
              <w:marBottom w:val="0"/>
              <w:divBdr>
                <w:top w:val="none" w:sz="0" w:space="0" w:color="auto"/>
                <w:left w:val="none" w:sz="0" w:space="0" w:color="auto"/>
                <w:bottom w:val="none" w:sz="0" w:space="0" w:color="auto"/>
                <w:right w:val="none" w:sz="0" w:space="0" w:color="auto"/>
              </w:divBdr>
              <w:divsChild>
                <w:div w:id="934940641">
                  <w:marLeft w:val="0"/>
                  <w:marRight w:val="0"/>
                  <w:marTop w:val="0"/>
                  <w:marBottom w:val="0"/>
                  <w:divBdr>
                    <w:top w:val="none" w:sz="0" w:space="0" w:color="auto"/>
                    <w:left w:val="none" w:sz="0" w:space="0" w:color="auto"/>
                    <w:bottom w:val="none" w:sz="0" w:space="0" w:color="auto"/>
                    <w:right w:val="none" w:sz="0" w:space="0" w:color="auto"/>
                  </w:divBdr>
                  <w:divsChild>
                    <w:div w:id="1705203863">
                      <w:marLeft w:val="0"/>
                      <w:marRight w:val="0"/>
                      <w:marTop w:val="0"/>
                      <w:marBottom w:val="0"/>
                      <w:divBdr>
                        <w:top w:val="none" w:sz="0" w:space="0" w:color="auto"/>
                        <w:left w:val="none" w:sz="0" w:space="0" w:color="auto"/>
                        <w:bottom w:val="none" w:sz="0" w:space="0" w:color="auto"/>
                        <w:right w:val="none" w:sz="0" w:space="0" w:color="auto"/>
                      </w:divBdr>
                      <w:divsChild>
                        <w:div w:id="956567876">
                          <w:marLeft w:val="0"/>
                          <w:marRight w:val="0"/>
                          <w:marTop w:val="0"/>
                          <w:marBottom w:val="975"/>
                          <w:divBdr>
                            <w:top w:val="none" w:sz="0" w:space="0" w:color="auto"/>
                            <w:left w:val="none" w:sz="0" w:space="0" w:color="auto"/>
                            <w:bottom w:val="none" w:sz="0" w:space="0" w:color="auto"/>
                            <w:right w:val="none" w:sz="0" w:space="0" w:color="auto"/>
                          </w:divBdr>
                          <w:divsChild>
                            <w:div w:id="1713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kadin-event.webex.com/arkadin-event/onstage/g.php?MTID=e46000d81240a97b2024e3fa98526bd1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vents-ftp.arkadin.com/ev/docs/NE_W2_TF_Events_International_Access_Lis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arming.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312A2DD0C584E9220975DD719E89C" ma:contentTypeVersion="10" ma:contentTypeDescription="Create a new document." ma:contentTypeScope="" ma:versionID="000c2e1a87baaedd99095a444fd65bf7">
  <xsd:schema xmlns:xsd="http://www.w3.org/2001/XMLSchema" xmlns:xs="http://www.w3.org/2001/XMLSchema" xmlns:p="http://schemas.microsoft.com/office/2006/metadata/properties" xmlns:ns3="62047215-bc15-4fd2-969a-15a725718b5d" targetNamespace="http://schemas.microsoft.com/office/2006/metadata/properties" ma:root="true" ma:fieldsID="66d6a0192567da388324f99311d5cd1c" ns3:_="">
    <xsd:import namespace="62047215-bc15-4fd2-969a-15a725718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47215-bc15-4fd2-969a-15a725718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11B6-F7BC-45C8-9ED5-E5E576774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47215-bc15-4fd2-969a-15a725718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7216A-63E2-42F3-8DFD-5AC163E812D3}">
  <ds:schemaRefs>
    <ds:schemaRef ds:uri="http://schemas.microsoft.com/sharepoint/v3/contenttype/forms"/>
  </ds:schemaRefs>
</ds:datastoreItem>
</file>

<file path=customXml/itemProps3.xml><?xml version="1.0" encoding="utf-8"?>
<ds:datastoreItem xmlns:ds="http://schemas.openxmlformats.org/officeDocument/2006/customXml" ds:itemID="{56603546-A0AF-49FB-9F7B-DA4373241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CB3072-32EC-433D-87BA-3B0091AC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8362</Words>
  <Characters>47670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Wright</dc:creator>
  <cp:lastModifiedBy>Sijmen de Vries</cp:lastModifiedBy>
  <cp:revision>10</cp:revision>
  <cp:lastPrinted>2020-07-23T10:58:00Z</cp:lastPrinted>
  <dcterms:created xsi:type="dcterms:W3CDTF">2020-07-29T19:08:00Z</dcterms:created>
  <dcterms:modified xsi:type="dcterms:W3CDTF">2020-07-29T19:31:00Z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0x0101007A8312A2DD0C584E9220975DD719E89C</vt:lpwstr>
  </property>
</Properties>
</file>