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18" w:rsidRPr="00293C4F" w:rsidRDefault="00A84022" w:rsidP="00FD40CB">
      <w:pPr>
        <w:pStyle w:val="Body"/>
        <w:tabs>
          <w:tab w:val="left" w:pos="1560"/>
        </w:tabs>
        <w:rPr>
          <w:lang w:val="en-GB"/>
        </w:rPr>
      </w:pPr>
      <w:bookmarkStart w:id="0" w:name="_GoBack"/>
      <w:bookmarkEnd w:id="0"/>
      <w:r w:rsidRPr="00293C4F">
        <w:rPr>
          <w:lang w:val="en-GB"/>
        </w:rPr>
        <w:t xml:space="preserve">English Version </w:t>
      </w:r>
    </w:p>
    <w:p w:rsidR="00A84022" w:rsidRDefault="00A84022" w:rsidP="00A840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" w:name="_Hlk501361231"/>
      <w:bookmarkStart w:id="2" w:name="_Hlk14881806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Ad-hoc Announcement pursuant to Article 17 Market Abuse Regulation</w:t>
      </w:r>
    </w:p>
    <w:p w:rsidR="00A84022" w:rsidRDefault="00A84022" w:rsidP="00A840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84022" w:rsidRPr="00A84022" w:rsidRDefault="00A84022" w:rsidP="00A84022">
      <w:pPr>
        <w:rPr>
          <w:rFonts w:ascii="Arial" w:hAnsi="Arial" w:cs="Arial"/>
          <w:b/>
          <w:bCs/>
          <w:color w:val="000000" w:themeColor="text1"/>
          <w:szCs w:val="28"/>
        </w:rPr>
      </w:pPr>
      <w:r w:rsidRPr="00A84022">
        <w:rPr>
          <w:rFonts w:ascii="Arial" w:hAnsi="Arial" w:cs="Arial"/>
          <w:b/>
          <w:bCs/>
          <w:color w:val="000000" w:themeColor="text1"/>
          <w:szCs w:val="28"/>
        </w:rPr>
        <w:t xml:space="preserve">QIAGEN announces </w:t>
      </w:r>
      <w:r w:rsidR="00A07054">
        <w:rPr>
          <w:rFonts w:ascii="Arial" w:hAnsi="Arial" w:cs="Arial"/>
          <w:b/>
          <w:bCs/>
          <w:color w:val="000000" w:themeColor="text1"/>
          <w:szCs w:val="28"/>
        </w:rPr>
        <w:t xml:space="preserve">deviation from </w:t>
      </w:r>
      <w:r w:rsidR="002B18BA">
        <w:rPr>
          <w:rFonts w:ascii="Arial" w:hAnsi="Arial" w:cs="Arial"/>
          <w:b/>
          <w:bCs/>
          <w:color w:val="000000" w:themeColor="text1"/>
          <w:szCs w:val="28"/>
        </w:rPr>
        <w:t>preliminary sales result expectations</w:t>
      </w:r>
      <w:r w:rsidR="00A07054">
        <w:rPr>
          <w:rFonts w:ascii="Arial" w:hAnsi="Arial" w:cs="Arial"/>
          <w:b/>
          <w:bCs/>
          <w:color w:val="000000" w:themeColor="text1"/>
          <w:szCs w:val="28"/>
        </w:rPr>
        <w:t xml:space="preserve"> for the third quarter of 2019</w:t>
      </w:r>
    </w:p>
    <w:p w:rsidR="00A84022" w:rsidRDefault="00A84022" w:rsidP="00A840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84022" w:rsidRPr="000F7585" w:rsidRDefault="00A84022" w:rsidP="00A8402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bookmarkEnd w:id="1"/>
    <w:p w:rsidR="00A07054" w:rsidRPr="0007777E" w:rsidRDefault="00A07054" w:rsidP="00A07054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</w:rPr>
        <w:t xml:space="preserve">Venlo, The Netherlands, October </w:t>
      </w:r>
      <w:r w:rsidRPr="0007777E">
        <w:rPr>
          <w:rFonts w:ascii="Arial" w:hAnsi="Arial" w:cs="Arial"/>
          <w:b/>
          <w:color w:val="000000" w:themeColor="text1"/>
        </w:rPr>
        <w:t>07, 2019 –</w:t>
      </w:r>
      <w:r w:rsidRPr="0007777E">
        <w:rPr>
          <w:rFonts w:ascii="Arial" w:hAnsi="Arial" w:cs="Arial"/>
          <w:color w:val="000000" w:themeColor="text1"/>
        </w:rPr>
        <w:t xml:space="preserve"> QIAGEN N.V. (NYSE: QGEN; Frankfurt Prime Standard: QIA) today announces preliminary sales results for the third quarter of 2019 fall short of expectations.</w:t>
      </w:r>
    </w:p>
    <w:p w:rsidR="00A07054" w:rsidRPr="0007777E" w:rsidRDefault="00A07054" w:rsidP="00A07054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07054" w:rsidRPr="004D021E" w:rsidRDefault="00A07054" w:rsidP="00A07054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07777E">
        <w:rPr>
          <w:rFonts w:ascii="Arial" w:hAnsi="Arial" w:cs="Arial"/>
          <w:color w:val="000000" w:themeColor="text1"/>
        </w:rPr>
        <w:t>For the third quarter of 2019, QIAGEN currently expects preliminary total net sales growth of about 3% at constant exchange rates (CER</w:t>
      </w:r>
      <w:r>
        <w:rPr>
          <w:rFonts w:ascii="Arial" w:hAnsi="Arial" w:cs="Arial"/>
          <w:color w:val="000000" w:themeColor="text1"/>
        </w:rPr>
        <w:t xml:space="preserve">) compared to the outlook for about 4-5% CER growth, and mainly due to significantly weaker-than-expected developments in China. Total sales growth was about 6% CER excluding China sales. QIAGEN anticipates adjusted EPS within its outlook for approximately $0.35-0.36 CER. </w:t>
      </w:r>
    </w:p>
    <w:p w:rsidR="00A07054" w:rsidRDefault="00A07054" w:rsidP="00A07054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2C723A" w:rsidRDefault="002C723A" w:rsidP="00A07054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bookmarkEnd w:id="2"/>
    <w:p w:rsidR="00A84022" w:rsidRPr="002C723A" w:rsidRDefault="00A84022" w:rsidP="00C8074E">
      <w:pPr>
        <w:pStyle w:val="Body"/>
        <w:rPr>
          <w:b/>
          <w:lang w:val="nl-NL"/>
        </w:rPr>
      </w:pPr>
      <w:r w:rsidRPr="002C723A">
        <w:rPr>
          <w:b/>
          <w:lang w:val="nl-NL"/>
        </w:rPr>
        <w:t>QIAGEN N.V.</w:t>
      </w:r>
    </w:p>
    <w:p w:rsidR="00A84022" w:rsidRPr="002C723A" w:rsidRDefault="00A84022" w:rsidP="00C8074E">
      <w:pPr>
        <w:pStyle w:val="Body"/>
        <w:rPr>
          <w:b/>
          <w:lang w:val="nl-NL"/>
        </w:rPr>
      </w:pPr>
      <w:r w:rsidRPr="002C723A">
        <w:rPr>
          <w:b/>
          <w:lang w:val="nl-NL"/>
        </w:rPr>
        <w:t>Hulsterweg 82</w:t>
      </w:r>
    </w:p>
    <w:p w:rsidR="00A84022" w:rsidRPr="002C723A" w:rsidRDefault="00A84022" w:rsidP="00C8074E">
      <w:pPr>
        <w:pStyle w:val="Body"/>
        <w:rPr>
          <w:b/>
          <w:lang w:val="nl-NL"/>
        </w:rPr>
      </w:pPr>
      <w:r w:rsidRPr="002C723A">
        <w:rPr>
          <w:b/>
          <w:lang w:val="nl-NL"/>
        </w:rPr>
        <w:t>5912 PL Venlo</w:t>
      </w:r>
    </w:p>
    <w:p w:rsidR="00A84022" w:rsidRDefault="00A84022" w:rsidP="00C8074E">
      <w:pPr>
        <w:pStyle w:val="Body"/>
        <w:rPr>
          <w:b/>
          <w:lang w:val="en-US"/>
        </w:rPr>
      </w:pPr>
      <w:r>
        <w:rPr>
          <w:b/>
          <w:lang w:val="en-US"/>
        </w:rPr>
        <w:t>The Netherlands</w:t>
      </w:r>
    </w:p>
    <w:p w:rsidR="00A84022" w:rsidRPr="00293C4F" w:rsidRDefault="00A84022" w:rsidP="00C8074E">
      <w:pPr>
        <w:pStyle w:val="Body"/>
        <w:rPr>
          <w:b/>
          <w:lang w:val="en-GB"/>
        </w:rPr>
      </w:pPr>
      <w:r w:rsidRPr="00293C4F">
        <w:rPr>
          <w:b/>
          <w:lang w:val="en-GB"/>
        </w:rPr>
        <w:t>ISIN: NL0012169213</w:t>
      </w:r>
    </w:p>
    <w:p w:rsidR="00705A18" w:rsidRDefault="00A84022" w:rsidP="003C5AC7">
      <w:pPr>
        <w:pStyle w:val="Body"/>
        <w:rPr>
          <w:lang w:val="en-GB"/>
        </w:rPr>
      </w:pPr>
      <w:r w:rsidRPr="00A84022">
        <w:rPr>
          <w:lang w:val="en-GB"/>
        </w:rPr>
        <w:t>Frankfurt Stock Exchange, regulated market (</w:t>
      </w:r>
      <w:r>
        <w:rPr>
          <w:lang w:val="en-GB"/>
        </w:rPr>
        <w:t>Prime Standard)</w:t>
      </w:r>
    </w:p>
    <w:p w:rsidR="00A84022" w:rsidRDefault="00A84022" w:rsidP="003C5AC7">
      <w:pPr>
        <w:pStyle w:val="Body"/>
        <w:rPr>
          <w:lang w:val="en-GB"/>
        </w:rPr>
      </w:pPr>
    </w:p>
    <w:p w:rsidR="00A84022" w:rsidRPr="002B18BA" w:rsidRDefault="00A84022" w:rsidP="002B18BA">
      <w:pPr>
        <w:pStyle w:val="Body"/>
        <w:rPr>
          <w:b/>
          <w:lang w:val="en-GB"/>
        </w:rPr>
      </w:pPr>
      <w:r w:rsidRPr="002B18BA">
        <w:rPr>
          <w:b/>
          <w:lang w:val="en-GB"/>
        </w:rPr>
        <w:t>Contacts</w:t>
      </w:r>
    </w:p>
    <w:p w:rsidR="00A84022" w:rsidRPr="002B18BA" w:rsidRDefault="00A84022" w:rsidP="002B18BA">
      <w:pPr>
        <w:pStyle w:val="Body"/>
        <w:rPr>
          <w:lang w:val="en-GB"/>
        </w:rPr>
      </w:pPr>
      <w:r w:rsidRPr="002B18BA">
        <w:rPr>
          <w:lang w:val="en-GB"/>
        </w:rPr>
        <w:t>John Gilardi</w:t>
      </w:r>
    </w:p>
    <w:p w:rsidR="00A84022" w:rsidRPr="002B18BA" w:rsidRDefault="00A84022" w:rsidP="002B18BA">
      <w:pPr>
        <w:pStyle w:val="Body"/>
        <w:rPr>
          <w:lang w:val="en-GB"/>
        </w:rPr>
      </w:pPr>
      <w:r w:rsidRPr="002B18BA">
        <w:rPr>
          <w:lang w:val="en-GB"/>
        </w:rPr>
        <w:t>Vice President, Head of Corporate Communications and Investor Relations</w:t>
      </w:r>
    </w:p>
    <w:p w:rsidR="00A84022" w:rsidRPr="002B18BA" w:rsidRDefault="00A84022" w:rsidP="002B18BA">
      <w:pPr>
        <w:pStyle w:val="Body"/>
        <w:rPr>
          <w:lang w:val="en-GB"/>
        </w:rPr>
      </w:pPr>
      <w:r w:rsidRPr="002B18BA">
        <w:rPr>
          <w:lang w:val="en-GB"/>
        </w:rPr>
        <w:t>+49 2103 29 11711 and +1 240 686 2222</w:t>
      </w:r>
    </w:p>
    <w:p w:rsidR="00A84022" w:rsidRPr="002B18BA" w:rsidRDefault="00C02383" w:rsidP="002B18BA">
      <w:pPr>
        <w:pStyle w:val="Body"/>
        <w:rPr>
          <w:lang w:val="en-GB"/>
        </w:rPr>
      </w:pPr>
      <w:hyperlink r:id="rId7" w:history="1">
        <w:r w:rsidR="00A07054" w:rsidRPr="002B18BA">
          <w:rPr>
            <w:lang w:val="en-GB"/>
          </w:rPr>
          <w:t>john.gilardi@qiagen.com</w:t>
        </w:r>
      </w:hyperlink>
    </w:p>
    <w:p w:rsidR="00A07054" w:rsidRPr="002B18BA" w:rsidRDefault="00A07054" w:rsidP="002B18BA">
      <w:pPr>
        <w:pStyle w:val="Body"/>
        <w:rPr>
          <w:lang w:val="en-GB"/>
        </w:rPr>
      </w:pPr>
    </w:p>
    <w:p w:rsidR="002C723A" w:rsidRPr="002D2197" w:rsidRDefault="002C723A">
      <w:pPr>
        <w:rPr>
          <w:rFonts w:ascii="Arial" w:hAnsi="Arial"/>
          <w:kern w:val="20"/>
          <w:sz w:val="20"/>
          <w:lang w:eastAsia="en-GB"/>
        </w:rPr>
      </w:pPr>
    </w:p>
    <w:sectPr w:rsidR="002C723A" w:rsidRPr="002D2197" w:rsidSect="00A84022">
      <w:footerReference w:type="default" r:id="rId8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E0" w:rsidRDefault="000270E0">
      <w:r>
        <w:separator/>
      </w:r>
    </w:p>
  </w:endnote>
  <w:endnote w:type="continuationSeparator" w:id="0">
    <w:p w:rsidR="000270E0" w:rsidRDefault="000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E15320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E0" w:rsidRDefault="000270E0">
      <w:r>
        <w:separator/>
      </w:r>
    </w:p>
  </w:footnote>
  <w:footnote w:type="continuationSeparator" w:id="0">
    <w:p w:rsidR="000270E0" w:rsidRDefault="0002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D06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29D62245"/>
    <w:multiLevelType w:val="multilevel"/>
    <w:tmpl w:val="227EBBF0"/>
    <w:numStyleLink w:val="BodyStyle"/>
  </w:abstractNum>
  <w:abstractNum w:abstractNumId="16" w15:restartNumberingAfterBreak="0">
    <w:nsid w:val="33A74A8C"/>
    <w:multiLevelType w:val="multilevel"/>
    <w:tmpl w:val="50483CFA"/>
    <w:numStyleLink w:val="engage"/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3EB85EBB"/>
    <w:multiLevelType w:val="multilevel"/>
    <w:tmpl w:val="227EBBF0"/>
    <w:numStyleLink w:val="BodyStyle"/>
  </w:abstractNum>
  <w:abstractNum w:abstractNumId="23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47763"/>
    <w:multiLevelType w:val="multilevel"/>
    <w:tmpl w:val="50483CFA"/>
    <w:numStyleLink w:val="engage"/>
  </w:abstractNum>
  <w:abstractNum w:abstractNumId="27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2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7" w15:restartNumberingAfterBreak="0">
    <w:nsid w:val="77932258"/>
    <w:multiLevelType w:val="multilevel"/>
    <w:tmpl w:val="227EBBF0"/>
    <w:styleLink w:val="BodyStyle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9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18"/>
  </w:num>
  <w:num w:numId="4">
    <w:abstractNumId w:val="6"/>
  </w:num>
  <w:num w:numId="5">
    <w:abstractNumId w:val="27"/>
  </w:num>
  <w:num w:numId="6">
    <w:abstractNumId w:val="21"/>
  </w:num>
  <w:num w:numId="7">
    <w:abstractNumId w:val="7"/>
  </w:num>
  <w:num w:numId="8">
    <w:abstractNumId w:val="17"/>
  </w:num>
  <w:num w:numId="9">
    <w:abstractNumId w:val="12"/>
  </w:num>
  <w:num w:numId="10">
    <w:abstractNumId w:val="34"/>
  </w:num>
  <w:num w:numId="11">
    <w:abstractNumId w:val="49"/>
  </w:num>
  <w:num w:numId="12">
    <w:abstractNumId w:val="8"/>
  </w:num>
  <w:num w:numId="13">
    <w:abstractNumId w:val="23"/>
  </w:num>
  <w:num w:numId="14">
    <w:abstractNumId w:val="31"/>
  </w:num>
  <w:num w:numId="15">
    <w:abstractNumId w:val="25"/>
  </w:num>
  <w:num w:numId="16">
    <w:abstractNumId w:val="30"/>
  </w:num>
  <w:num w:numId="17">
    <w:abstractNumId w:val="29"/>
  </w:num>
  <w:num w:numId="18">
    <w:abstractNumId w:val="9"/>
  </w:num>
  <w:num w:numId="19">
    <w:abstractNumId w:val="42"/>
  </w:num>
  <w:num w:numId="20">
    <w:abstractNumId w:val="41"/>
  </w:num>
  <w:num w:numId="21">
    <w:abstractNumId w:val="50"/>
  </w:num>
  <w:num w:numId="22">
    <w:abstractNumId w:val="2"/>
  </w:num>
  <w:num w:numId="23">
    <w:abstractNumId w:val="37"/>
  </w:num>
  <w:num w:numId="24">
    <w:abstractNumId w:val="35"/>
  </w:num>
  <w:num w:numId="25">
    <w:abstractNumId w:val="48"/>
  </w:num>
  <w:num w:numId="26">
    <w:abstractNumId w:val="38"/>
  </w:num>
  <w:num w:numId="27">
    <w:abstractNumId w:val="33"/>
  </w:num>
  <w:num w:numId="28">
    <w:abstractNumId w:val="46"/>
  </w:num>
  <w:num w:numId="29">
    <w:abstractNumId w:val="44"/>
  </w:num>
  <w:num w:numId="30">
    <w:abstractNumId w:val="20"/>
  </w:num>
  <w:num w:numId="31">
    <w:abstractNumId w:val="5"/>
  </w:num>
  <w:num w:numId="32">
    <w:abstractNumId w:val="14"/>
  </w:num>
  <w:num w:numId="33">
    <w:abstractNumId w:val="3"/>
  </w:num>
  <w:num w:numId="34">
    <w:abstractNumId w:val="39"/>
  </w:num>
  <w:num w:numId="35">
    <w:abstractNumId w:val="1"/>
  </w:num>
  <w:num w:numId="36">
    <w:abstractNumId w:val="19"/>
  </w:num>
  <w:num w:numId="37">
    <w:abstractNumId w:val="40"/>
  </w:num>
  <w:num w:numId="38">
    <w:abstractNumId w:val="11"/>
  </w:num>
  <w:num w:numId="39">
    <w:abstractNumId w:val="24"/>
  </w:num>
  <w:num w:numId="40">
    <w:abstractNumId w:val="43"/>
  </w:num>
  <w:num w:numId="41">
    <w:abstractNumId w:val="10"/>
  </w:num>
  <w:num w:numId="42">
    <w:abstractNumId w:val="32"/>
  </w:num>
  <w:num w:numId="43">
    <w:abstractNumId w:val="36"/>
  </w:num>
  <w:num w:numId="44">
    <w:abstractNumId w:val="4"/>
  </w:num>
  <w:num w:numId="45">
    <w:abstractNumId w:val="13"/>
  </w:num>
  <w:num w:numId="46">
    <w:abstractNumId w:val="16"/>
  </w:num>
  <w:num w:numId="47">
    <w:abstractNumId w:val="26"/>
  </w:num>
  <w:num w:numId="48">
    <w:abstractNumId w:val="15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>
    <w:abstractNumId w:val="47"/>
  </w:num>
  <w:num w:numId="50">
    <w:abstractNumId w:val="15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>
    <w:abstractNumId w:val="22"/>
  </w:num>
  <w:num w:numId="52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680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sTC1MDQ3MzcxtbRU0lEKTi0uzszPAykwqgUASEhe8iwAAAA="/>
    <w:docVar w:name="TMS_BusinessUnitID" w:val="LinklatersLLP"/>
    <w:docVar w:name="TMS_CultureID" w:val="German"/>
    <w:docVar w:name="TMS_OfficeID" w:val="Dusseldorf"/>
  </w:docVars>
  <w:rsids>
    <w:rsidRoot w:val="00A84022"/>
    <w:rsid w:val="00003A07"/>
    <w:rsid w:val="00006062"/>
    <w:rsid w:val="000079AF"/>
    <w:rsid w:val="00015D3B"/>
    <w:rsid w:val="00022235"/>
    <w:rsid w:val="000235EF"/>
    <w:rsid w:val="000270E0"/>
    <w:rsid w:val="00050E42"/>
    <w:rsid w:val="00053619"/>
    <w:rsid w:val="00074212"/>
    <w:rsid w:val="0007777E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3F74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3C4F"/>
    <w:rsid w:val="00296248"/>
    <w:rsid w:val="002A4A4B"/>
    <w:rsid w:val="002B18BA"/>
    <w:rsid w:val="002B45B9"/>
    <w:rsid w:val="002C723A"/>
    <w:rsid w:val="002D1DAD"/>
    <w:rsid w:val="002D2197"/>
    <w:rsid w:val="002D3BE7"/>
    <w:rsid w:val="002E1DA0"/>
    <w:rsid w:val="002F1D8B"/>
    <w:rsid w:val="00306591"/>
    <w:rsid w:val="0031059C"/>
    <w:rsid w:val="003138B0"/>
    <w:rsid w:val="003330A4"/>
    <w:rsid w:val="003421C6"/>
    <w:rsid w:val="00362B05"/>
    <w:rsid w:val="003731B7"/>
    <w:rsid w:val="003817F1"/>
    <w:rsid w:val="003B098D"/>
    <w:rsid w:val="003C5624"/>
    <w:rsid w:val="003C5AC7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15B9"/>
    <w:rsid w:val="004435BD"/>
    <w:rsid w:val="00460E12"/>
    <w:rsid w:val="004622DC"/>
    <w:rsid w:val="00482CE3"/>
    <w:rsid w:val="00496C62"/>
    <w:rsid w:val="004A03F0"/>
    <w:rsid w:val="004B6D8F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2664D"/>
    <w:rsid w:val="00637DFF"/>
    <w:rsid w:val="00642B39"/>
    <w:rsid w:val="00650485"/>
    <w:rsid w:val="006519C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E26E2"/>
    <w:rsid w:val="006F7B7E"/>
    <w:rsid w:val="00700BB2"/>
    <w:rsid w:val="00705541"/>
    <w:rsid w:val="00705A18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034D"/>
    <w:rsid w:val="007C2245"/>
    <w:rsid w:val="007C2A67"/>
    <w:rsid w:val="007D267D"/>
    <w:rsid w:val="007E1C10"/>
    <w:rsid w:val="007E6B7A"/>
    <w:rsid w:val="008003EA"/>
    <w:rsid w:val="008019A6"/>
    <w:rsid w:val="00806A5C"/>
    <w:rsid w:val="00812CA9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825"/>
    <w:rsid w:val="008A1788"/>
    <w:rsid w:val="008A40EE"/>
    <w:rsid w:val="008A659C"/>
    <w:rsid w:val="008B03C3"/>
    <w:rsid w:val="008B2D5D"/>
    <w:rsid w:val="008C23C2"/>
    <w:rsid w:val="008C75EB"/>
    <w:rsid w:val="008D12D8"/>
    <w:rsid w:val="008F0218"/>
    <w:rsid w:val="009242C0"/>
    <w:rsid w:val="00932DA7"/>
    <w:rsid w:val="00940423"/>
    <w:rsid w:val="0095173F"/>
    <w:rsid w:val="00952C38"/>
    <w:rsid w:val="00971545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1A27"/>
    <w:rsid w:val="009F4D84"/>
    <w:rsid w:val="009F52C8"/>
    <w:rsid w:val="00A07054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4022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92005"/>
    <w:rsid w:val="00B9282B"/>
    <w:rsid w:val="00BA44F0"/>
    <w:rsid w:val="00BB5225"/>
    <w:rsid w:val="00BC341D"/>
    <w:rsid w:val="00BC4C4C"/>
    <w:rsid w:val="00BD7138"/>
    <w:rsid w:val="00BE5E87"/>
    <w:rsid w:val="00BF25BE"/>
    <w:rsid w:val="00BF6739"/>
    <w:rsid w:val="00C0013A"/>
    <w:rsid w:val="00C00FB2"/>
    <w:rsid w:val="00C017A8"/>
    <w:rsid w:val="00C02383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D71B5"/>
    <w:rsid w:val="00CE13A1"/>
    <w:rsid w:val="00CE3523"/>
    <w:rsid w:val="00CE38FD"/>
    <w:rsid w:val="00D047CE"/>
    <w:rsid w:val="00D05BA7"/>
    <w:rsid w:val="00D070A0"/>
    <w:rsid w:val="00D25168"/>
    <w:rsid w:val="00D2778A"/>
    <w:rsid w:val="00D41D5C"/>
    <w:rsid w:val="00D60C45"/>
    <w:rsid w:val="00D652DD"/>
    <w:rsid w:val="00D75C65"/>
    <w:rsid w:val="00D9499A"/>
    <w:rsid w:val="00DA71BF"/>
    <w:rsid w:val="00DC18FB"/>
    <w:rsid w:val="00DC5282"/>
    <w:rsid w:val="00DD2500"/>
    <w:rsid w:val="00DD4698"/>
    <w:rsid w:val="00DD5F98"/>
    <w:rsid w:val="00E0377F"/>
    <w:rsid w:val="00E118C5"/>
    <w:rsid w:val="00E15320"/>
    <w:rsid w:val="00E2092B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C1F06"/>
    <w:rsid w:val="00ED045D"/>
    <w:rsid w:val="00ED2DEF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3707"/>
    <w:rsid w:val="00F9462B"/>
    <w:rsid w:val="00FA11F2"/>
    <w:rsid w:val="00FA5247"/>
    <w:rsid w:val="00FB10CD"/>
    <w:rsid w:val="00FB653E"/>
    <w:rsid w:val="00FB7CD6"/>
    <w:rsid w:val="00FC11A8"/>
    <w:rsid w:val="00FC4994"/>
    <w:rsid w:val="00FD40CB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7852DC-DA58-4EDD-9DFB-3DCEFE0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0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ascii="Arial" w:hAnsi="Arial" w:cs="Arial"/>
      <w:bCs/>
      <w:sz w:val="20"/>
      <w:szCs w:val="32"/>
      <w:lang w:val="de-DE" w:eastAsia="en-GB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ascii="Arial" w:hAnsi="Arial" w:cs="Arial"/>
      <w:bCs/>
      <w:iCs/>
      <w:sz w:val="20"/>
      <w:szCs w:val="28"/>
      <w:lang w:val="de-DE" w:eastAsia="en-GB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ascii="Arial" w:hAnsi="Arial" w:cs="Arial"/>
      <w:bCs/>
      <w:sz w:val="20"/>
      <w:szCs w:val="26"/>
      <w:lang w:val="de-DE" w:eastAsia="en-GB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rFonts w:ascii="Arial" w:hAnsi="Arial"/>
      <w:bCs/>
      <w:sz w:val="20"/>
      <w:szCs w:val="28"/>
      <w:lang w:val="de-DE" w:eastAsia="en-GB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rFonts w:ascii="Arial" w:hAnsi="Arial"/>
      <w:bCs/>
      <w:iCs/>
      <w:sz w:val="20"/>
      <w:szCs w:val="26"/>
      <w:lang w:val="de-DE" w:eastAsia="en-GB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rFonts w:ascii="Arial" w:hAnsi="Arial"/>
      <w:bCs/>
      <w:sz w:val="20"/>
      <w:szCs w:val="22"/>
      <w:lang w:val="de-DE" w:eastAsia="en-GB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  <w:rPr>
      <w:rFonts w:ascii="Arial" w:hAnsi="Arial"/>
      <w:sz w:val="20"/>
      <w:lang w:val="de-DE" w:eastAsia="en-GB"/>
    </w:r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rFonts w:ascii="Arial" w:hAnsi="Arial"/>
      <w:iCs/>
      <w:sz w:val="20"/>
      <w:lang w:val="de-DE" w:eastAsia="en-GB"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ascii="Arial" w:hAnsi="Arial" w:cs="Arial"/>
      <w:sz w:val="20"/>
      <w:szCs w:val="22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de-DE" w:eastAsia="en-GB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de-DE" w:eastAsia="en-GB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rFonts w:ascii="Arial" w:hAnsi="Arial"/>
      <w:kern w:val="20"/>
      <w:sz w:val="20"/>
      <w:szCs w:val="28"/>
      <w:lang w:val="de-DE" w:eastAsia="en-GB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rFonts w:ascii="Arial" w:hAnsi="Arial"/>
      <w:b/>
      <w:kern w:val="20"/>
      <w:sz w:val="20"/>
      <w:lang w:val="de-DE" w:eastAsia="en-GB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ascii="Arial" w:hAnsi="Arial" w:cs="Arial"/>
      <w:b/>
      <w:bCs/>
      <w:kern w:val="28"/>
      <w:sz w:val="25"/>
      <w:szCs w:val="32"/>
      <w:lang w:val="de-DE" w:eastAsia="en-GB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rFonts w:ascii="Arial" w:hAnsi="Arial"/>
      <w:b/>
      <w:kern w:val="22"/>
      <w:sz w:val="22"/>
      <w:lang w:val="de-DE" w:eastAsia="en-GB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rFonts w:ascii="Arial" w:hAnsi="Arial"/>
      <w:b/>
      <w:kern w:val="21"/>
      <w:sz w:val="21"/>
      <w:lang w:val="de-DE" w:eastAsia="en-GB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rFonts w:ascii="Arial" w:hAnsi="Arial"/>
      <w:b/>
      <w:kern w:val="20"/>
      <w:sz w:val="20"/>
      <w:lang w:val="de-DE" w:eastAsia="en-GB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rFonts w:ascii="Arial" w:hAnsi="Arial"/>
      <w:b/>
      <w:kern w:val="21"/>
      <w:sz w:val="21"/>
      <w:lang w:val="de-DE" w:eastAsia="en-GB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de-DE" w:eastAsia="en-GB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rFonts w:ascii="Arial" w:hAnsi="Arial"/>
      <w:b/>
      <w:kern w:val="20"/>
      <w:sz w:val="20"/>
      <w:lang w:val="de-DE" w:eastAsia="en-GB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styleId="Date">
    <w:name w:val="Date"/>
    <w:basedOn w:val="Normal"/>
    <w:next w:val="Normal"/>
    <w:rsid w:val="00097071"/>
    <w:rPr>
      <w:rFonts w:ascii="Arial" w:hAnsi="Arial"/>
      <w:sz w:val="20"/>
      <w:lang w:val="de-DE" w:eastAsia="en-GB"/>
    </w:rPr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rFonts w:ascii="Arial" w:hAnsi="Arial"/>
      <w:kern w:val="20"/>
      <w:sz w:val="16"/>
      <w:lang w:val="de-DE" w:eastAsia="en-GB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  <w:rPr>
      <w:rFonts w:ascii="Arial" w:hAnsi="Arial"/>
      <w:sz w:val="20"/>
      <w:lang w:val="de-DE" w:eastAsia="en-GB"/>
    </w:rPr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rFonts w:ascii="Arial" w:hAnsi="Arial"/>
      <w:kern w:val="16"/>
      <w:sz w:val="16"/>
      <w:lang w:val="de-DE" w:eastAsia="en-GB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de-DE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hAnsi="Arial"/>
      <w:kern w:val="20"/>
      <w:sz w:val="16"/>
      <w:szCs w:val="20"/>
      <w:lang w:val="de-DE" w:eastAsia="en-GB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rFonts w:ascii="Arial" w:hAnsi="Arial"/>
      <w:kern w:val="20"/>
      <w:sz w:val="20"/>
      <w:lang w:val="de-DE" w:eastAsia="en-GB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de-DE" w:eastAsia="en-GB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de-DE" w:eastAsia="en-GB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de-DE" w:eastAsia="en-GB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rFonts w:ascii="Arial" w:hAnsi="Arial"/>
      <w:kern w:val="20"/>
      <w:sz w:val="20"/>
      <w:lang w:val="de-DE" w:eastAsia="en-GB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ascii="Arial" w:eastAsia="SimSun" w:hAnsi="Arial"/>
      <w:kern w:val="20"/>
      <w:sz w:val="20"/>
      <w:szCs w:val="20"/>
      <w:lang w:val="de-DE" w:eastAsia="en-GB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ascii="Arial" w:eastAsia="SimSun" w:hAnsi="Arial"/>
      <w:kern w:val="24"/>
      <w:lang w:val="de-DE" w:eastAsia="en-GB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rFonts w:ascii="Arial" w:hAnsi="Arial"/>
      <w:kern w:val="20"/>
      <w:sz w:val="20"/>
      <w:lang w:val="de-DE" w:eastAsia="en-GB"/>
    </w:rPr>
  </w:style>
  <w:style w:type="character" w:styleId="Hyperlink">
    <w:name w:val="Hyperlink"/>
    <w:rsid w:val="00097071"/>
    <w:rPr>
      <w:color w:val="AF005F"/>
      <w:u w:val="none"/>
      <w:lang w:val="de-D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rFonts w:ascii="Arial" w:hAnsi="Arial"/>
      <w:sz w:val="16"/>
      <w:lang w:val="de-DE" w:eastAsia="en-GB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de-DE" w:eastAsia="en-GB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de-DE" w:eastAsia="en-GB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de-DE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hAnsi="Arial"/>
      <w:kern w:val="20"/>
      <w:sz w:val="16"/>
      <w:szCs w:val="20"/>
      <w:lang w:val="de-DE" w:eastAsia="en-GB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rFonts w:ascii="Arial" w:hAnsi="Arial"/>
      <w:b/>
      <w:kern w:val="23"/>
      <w:sz w:val="23"/>
      <w:lang w:val="de-DE" w:eastAsia="en-GB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  <w:rPr>
      <w:rFonts w:ascii="Arial" w:hAnsi="Arial"/>
      <w:sz w:val="20"/>
      <w:lang w:val="de-DE" w:eastAsia="en-GB"/>
    </w:r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zSFRef">
    <w:name w:val="zSFRef"/>
    <w:basedOn w:val="Normal"/>
    <w:rsid w:val="00097071"/>
    <w:rPr>
      <w:rFonts w:ascii="Arial" w:eastAsia="SimSun" w:hAnsi="Arial"/>
      <w:kern w:val="16"/>
      <w:sz w:val="16"/>
      <w:szCs w:val="16"/>
      <w:lang w:val="de-DE" w:eastAsia="en-GB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rFonts w:ascii="Arial" w:hAnsi="Arial"/>
      <w:kern w:val="16"/>
      <w:sz w:val="16"/>
      <w:lang w:val="de-DE" w:eastAsia="en-GB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rFonts w:ascii="Arial" w:hAnsi="Arial"/>
      <w:kern w:val="20"/>
      <w:sz w:val="20"/>
      <w:lang w:val="de-DE" w:eastAsia="en-GB"/>
    </w:rPr>
  </w:style>
  <w:style w:type="paragraph" w:customStyle="1" w:styleId="zFSFax">
    <w:name w:val="zFSFax"/>
    <w:basedOn w:val="Normal"/>
    <w:rsid w:val="00097071"/>
    <w:rPr>
      <w:rFonts w:ascii="Arial" w:hAnsi="Arial"/>
      <w:kern w:val="16"/>
      <w:sz w:val="16"/>
      <w:lang w:val="de-DE" w:eastAsia="en-GB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de-DE" w:eastAsia="en-GB"/>
    </w:rPr>
  </w:style>
  <w:style w:type="paragraph" w:customStyle="1" w:styleId="zFSTel">
    <w:name w:val="zFSTel"/>
    <w:basedOn w:val="Normal"/>
    <w:rsid w:val="00097071"/>
    <w:pPr>
      <w:spacing w:before="120"/>
    </w:pPr>
    <w:rPr>
      <w:rFonts w:ascii="Arial" w:hAnsi="Arial"/>
      <w:kern w:val="16"/>
      <w:sz w:val="16"/>
      <w:lang w:val="de-DE" w:eastAsia="en-GB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rFonts w:ascii="Arial" w:hAnsi="Arial"/>
      <w:i/>
      <w:sz w:val="20"/>
      <w:lang w:val="de-DE" w:eastAsia="en-GB"/>
    </w:rPr>
  </w:style>
  <w:style w:type="character" w:styleId="FollowedHyperlink">
    <w:name w:val="FollowedHyperlink"/>
    <w:rsid w:val="00097071"/>
    <w:rPr>
      <w:color w:val="AF005F"/>
      <w:u w:val="none"/>
      <w:lang w:val="de-D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rFonts w:ascii="Arial" w:hAnsi="Arial"/>
      <w:kern w:val="16"/>
      <w:sz w:val="16"/>
      <w:lang w:val="de-DE" w:eastAsia="en-GB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rFonts w:ascii="Arial" w:hAnsi="Arial"/>
      <w:kern w:val="20"/>
      <w:sz w:val="20"/>
      <w:lang w:val="de-DE" w:eastAsia="en-GB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rFonts w:ascii="Arial" w:hAnsi="Arial"/>
      <w:kern w:val="20"/>
      <w:sz w:val="20"/>
      <w:lang w:val="de-DE" w:eastAsia="en-GB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rFonts w:ascii="Arial" w:hAnsi="Arial"/>
      <w:kern w:val="20"/>
      <w:sz w:val="20"/>
      <w:lang w:val="de-DE" w:eastAsia="en-GB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rFonts w:ascii="Arial" w:hAnsi="Arial"/>
      <w:kern w:val="20"/>
      <w:sz w:val="20"/>
      <w:lang w:val="de-DE" w:eastAsia="en-GB"/>
    </w:rPr>
  </w:style>
  <w:style w:type="paragraph" w:styleId="TOC5">
    <w:name w:val="toc 5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6">
    <w:name w:val="toc 6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7">
    <w:name w:val="toc 7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8">
    <w:name w:val="toc 8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9">
    <w:name w:val="toc 9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rFonts w:ascii="Arial" w:hAnsi="Arial"/>
      <w:sz w:val="13"/>
      <w:szCs w:val="13"/>
      <w:lang w:val="de-DE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rFonts w:ascii="Arial" w:hAnsi="Arial"/>
      <w:b/>
      <w:bCs/>
      <w:sz w:val="13"/>
      <w:szCs w:val="13"/>
      <w:lang w:val="de-DE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rFonts w:ascii="Arial" w:hAnsi="Arial"/>
      <w:sz w:val="13"/>
      <w:lang w:val="de-DE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rFonts w:ascii="Arial" w:hAnsi="Arial"/>
      <w:b/>
      <w:sz w:val="20"/>
      <w:szCs w:val="20"/>
      <w:lang w:val="de-DE"/>
    </w:rPr>
  </w:style>
  <w:style w:type="paragraph" w:customStyle="1" w:styleId="CObodynumbering">
    <w:name w:val="CO body numbering"/>
    <w:basedOn w:val="Normal"/>
    <w:rsid w:val="003C5AC7"/>
    <w:pPr>
      <w:numPr>
        <w:numId w:val="51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numbering" w:customStyle="1" w:styleId="BodyStyle">
    <w:name w:val="BodyStyle"/>
    <w:uiPriority w:val="99"/>
    <w:rsid w:val="003C5AC7"/>
    <w:pPr>
      <w:numPr>
        <w:numId w:val="49"/>
      </w:numPr>
    </w:pPr>
  </w:style>
  <w:style w:type="paragraph" w:customStyle="1" w:styleId="MittleresRaster1-Akzent21">
    <w:name w:val="Mittleres Raster 1 - Akzent 21"/>
    <w:basedOn w:val="Normal"/>
    <w:uiPriority w:val="99"/>
    <w:qFormat/>
    <w:rsid w:val="00A8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nhideWhenUsed/>
    <w:rsid w:val="006519C5"/>
    <w:pPr>
      <w:numPr>
        <w:numId w:val="5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.gilardi@qiag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Manager/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Jana Radoi - QIAGEN</cp:lastModifiedBy>
  <cp:revision>4</cp:revision>
  <dcterms:created xsi:type="dcterms:W3CDTF">2019-10-07T19:03:00Z</dcterms:created>
  <dcterms:modified xsi:type="dcterms:W3CDTF">2019-10-07T19:05:00Z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/>
  </property>
  <property fmtid="{D5CDD505-2E9C-101B-9397-08002B2CF9AE}" pid="3" name="Document Number">
    <vt:lpwstr/>
  </property>
  <property fmtid="{D5CDD505-2E9C-101B-9397-08002B2CF9AE}" pid="4" name="Last Modified">
    <vt:lpwstr/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German (Germany)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/>
  </property>
  <property fmtid="{D5CDD505-2E9C-101B-9397-08002B2CF9AE}" pid="19" name="DEDocumentLocation">
    <vt:lpwstr>C:\Users\azenner\Desktop\qiagen\Copy of 191007_Ad hoc Engl Dt Deviation from Net Sales.docx</vt:lpwstr>
  </property>
  <property fmtid="{D5CDD505-2E9C-101B-9397-08002B2CF9AE}" pid="20" name="Matter Number">
    <vt:lpwstr/>
  </property>
  <property fmtid="{D5CDD505-2E9C-101B-9397-08002B2CF9AE}" pid="21" name="Mode">
    <vt:lpwstr>Export</vt:lpwstr>
  </property>
  <property fmtid="{D5CDD505-2E9C-101B-9397-08002B2CF9AE}" pid="22" name="ObjectID">
    <vt:lpwstr/>
  </property>
</Properties>
</file>