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09CA7" w14:textId="77777777" w:rsidR="00FD0949" w:rsidRPr="005D0E1A" w:rsidRDefault="005D0E1A" w:rsidP="005D0E1A">
      <w:pPr>
        <w:pStyle w:val="WWBodyText"/>
        <w:spacing w:after="0" w:line="240" w:lineRule="auto"/>
        <w:jc w:val="center"/>
        <w:rPr>
          <w:rFonts w:ascii="Verdana" w:hAnsi="Verdana"/>
          <w:b/>
          <w:sz w:val="20"/>
          <w:szCs w:val="20"/>
          <w:lang w:val="en-ZA"/>
        </w:rPr>
      </w:pPr>
      <w:bookmarkStart w:id="0" w:name="bmkStart"/>
      <w:bookmarkEnd w:id="0"/>
      <w:r w:rsidRPr="005D0E1A">
        <w:rPr>
          <w:rFonts w:ascii="Verdana" w:hAnsi="Verdana"/>
          <w:b/>
          <w:sz w:val="20"/>
          <w:szCs w:val="20"/>
          <w:lang w:val="en-ZA"/>
        </w:rPr>
        <w:t>Prosus N.V.</w:t>
      </w:r>
    </w:p>
    <w:p w14:paraId="4A609CA8" w14:textId="77777777" w:rsidR="00FD0949" w:rsidRPr="005D0E1A" w:rsidRDefault="005D0E1A" w:rsidP="005D0E1A">
      <w:pPr>
        <w:pStyle w:val="WWBodyText"/>
        <w:spacing w:after="0" w:line="240" w:lineRule="auto"/>
        <w:jc w:val="center"/>
        <w:rPr>
          <w:rFonts w:ascii="Verdana" w:hAnsi="Verdana"/>
          <w:sz w:val="20"/>
          <w:szCs w:val="20"/>
          <w:lang w:val="en-ZA"/>
        </w:rPr>
      </w:pPr>
      <w:r w:rsidRPr="005D0E1A">
        <w:rPr>
          <w:rFonts w:ascii="Verdana" w:hAnsi="Verdana"/>
          <w:sz w:val="20"/>
          <w:szCs w:val="20"/>
          <w:lang w:val="en-ZA"/>
        </w:rPr>
        <w:t>(Incorporated in the Netherlands)</w:t>
      </w:r>
    </w:p>
    <w:p w14:paraId="4A609CA9" w14:textId="77777777" w:rsidR="00FD0949" w:rsidRPr="005D0E1A" w:rsidRDefault="005D0E1A" w:rsidP="005D0E1A">
      <w:pPr>
        <w:pStyle w:val="WWBodyText"/>
        <w:spacing w:after="0" w:line="240" w:lineRule="auto"/>
        <w:jc w:val="center"/>
        <w:rPr>
          <w:rFonts w:ascii="Verdana" w:hAnsi="Verdana"/>
          <w:sz w:val="20"/>
          <w:szCs w:val="20"/>
        </w:rPr>
      </w:pPr>
      <w:r w:rsidRPr="005D0E1A">
        <w:rPr>
          <w:rFonts w:ascii="Verdana" w:hAnsi="Verdana"/>
          <w:sz w:val="20"/>
          <w:szCs w:val="20"/>
        </w:rPr>
        <w:t>(Legal Entity Identifier: 635400Z5LQ5F9OLVT688)</w:t>
      </w:r>
    </w:p>
    <w:p w14:paraId="4A609CAA" w14:textId="77777777" w:rsidR="00FD0949" w:rsidRPr="005D0E1A" w:rsidRDefault="005D0E1A" w:rsidP="005D0E1A">
      <w:pPr>
        <w:pStyle w:val="WWBodyText"/>
        <w:spacing w:after="0" w:line="240" w:lineRule="auto"/>
        <w:jc w:val="center"/>
        <w:rPr>
          <w:rFonts w:ascii="Verdana" w:hAnsi="Verdana"/>
          <w:sz w:val="20"/>
          <w:szCs w:val="20"/>
          <w:lang w:val="en-ZA"/>
        </w:rPr>
      </w:pPr>
      <w:r w:rsidRPr="005D0E1A">
        <w:rPr>
          <w:rFonts w:ascii="Verdana" w:hAnsi="Verdana"/>
          <w:sz w:val="20"/>
          <w:szCs w:val="20"/>
          <w:lang w:val="en-ZA"/>
        </w:rPr>
        <w:t>AEX and JSE Share Code: PRX ISIN: NL0013654783</w:t>
      </w:r>
    </w:p>
    <w:p w14:paraId="4A609CAB" w14:textId="7B859727" w:rsidR="00FD0949" w:rsidRDefault="005D0E1A" w:rsidP="005D0E1A">
      <w:pPr>
        <w:pStyle w:val="WWBodyText"/>
        <w:spacing w:line="240" w:lineRule="auto"/>
        <w:jc w:val="center"/>
        <w:rPr>
          <w:rFonts w:ascii="Verdana" w:hAnsi="Verdana"/>
          <w:sz w:val="20"/>
          <w:szCs w:val="20"/>
          <w:lang w:val="en-ZA"/>
        </w:rPr>
      </w:pPr>
      <w:r w:rsidRPr="005D0E1A">
        <w:rPr>
          <w:rFonts w:ascii="Verdana" w:hAnsi="Verdana"/>
          <w:sz w:val="20"/>
          <w:szCs w:val="20"/>
          <w:lang w:val="en-ZA"/>
        </w:rPr>
        <w:t>(</w:t>
      </w:r>
      <w:r w:rsidRPr="005D0E1A">
        <w:rPr>
          <w:rFonts w:ascii="Verdana" w:hAnsi="Verdana"/>
          <w:b/>
          <w:sz w:val="20"/>
          <w:szCs w:val="20"/>
          <w:lang w:val="en-ZA"/>
        </w:rPr>
        <w:t>Prosus</w:t>
      </w:r>
      <w:r w:rsidRPr="005D0E1A">
        <w:rPr>
          <w:rFonts w:ascii="Verdana" w:hAnsi="Verdana"/>
          <w:sz w:val="20"/>
          <w:szCs w:val="20"/>
          <w:lang w:val="en-ZA"/>
        </w:rPr>
        <w:t>)</w:t>
      </w:r>
    </w:p>
    <w:p w14:paraId="4F04AC7A" w14:textId="77777777" w:rsidR="005D0E1A" w:rsidRPr="005D0E1A" w:rsidRDefault="005D0E1A" w:rsidP="005D0E1A">
      <w:pPr>
        <w:pStyle w:val="WWBodyText"/>
        <w:spacing w:line="240" w:lineRule="auto"/>
        <w:jc w:val="center"/>
        <w:rPr>
          <w:rFonts w:ascii="Verdana" w:hAnsi="Verdana"/>
          <w:sz w:val="20"/>
          <w:szCs w:val="20"/>
          <w:lang w:val="en-ZA"/>
        </w:rPr>
      </w:pPr>
    </w:p>
    <w:p w14:paraId="4A609CAC" w14:textId="178D8BB2" w:rsidR="00D06E6E" w:rsidRDefault="005D0E1A" w:rsidP="005D0E1A">
      <w:pPr>
        <w:pStyle w:val="AOHead1"/>
        <w:numPr>
          <w:ilvl w:val="0"/>
          <w:numId w:val="0"/>
        </w:numPr>
        <w:jc w:val="center"/>
        <w:rPr>
          <w:rFonts w:ascii="Verdana" w:hAnsi="Verdana"/>
          <w:sz w:val="20"/>
          <w:szCs w:val="20"/>
        </w:rPr>
      </w:pPr>
      <w:r w:rsidRPr="005D0E1A">
        <w:rPr>
          <w:rFonts w:ascii="Verdana" w:hAnsi="Verdana"/>
          <w:sz w:val="20"/>
          <w:szCs w:val="20"/>
        </w:rPr>
        <w:t xml:space="preserve">launch oF share </w:t>
      </w:r>
      <w:r w:rsidR="00830BB5" w:rsidRPr="005D0E1A">
        <w:rPr>
          <w:rFonts w:ascii="Verdana" w:hAnsi="Verdana"/>
          <w:sz w:val="20"/>
          <w:szCs w:val="20"/>
        </w:rPr>
        <w:t xml:space="preserve">REPURCHASE AND </w:t>
      </w:r>
      <w:r w:rsidR="00030494" w:rsidRPr="005D0E1A">
        <w:rPr>
          <w:rFonts w:ascii="Verdana" w:hAnsi="Verdana"/>
          <w:sz w:val="20"/>
          <w:szCs w:val="20"/>
        </w:rPr>
        <w:t xml:space="preserve">Share </w:t>
      </w:r>
      <w:r w:rsidR="00830BB5" w:rsidRPr="005D0E1A">
        <w:rPr>
          <w:rFonts w:ascii="Verdana" w:hAnsi="Verdana"/>
          <w:sz w:val="20"/>
          <w:szCs w:val="20"/>
        </w:rPr>
        <w:t>PURCHASE</w:t>
      </w:r>
    </w:p>
    <w:p w14:paraId="2C34EDFA" w14:textId="77777777" w:rsidR="005D0E1A" w:rsidRPr="005D0E1A" w:rsidRDefault="005D0E1A" w:rsidP="005D0E1A">
      <w:pPr>
        <w:pStyle w:val="AODocTxtL1"/>
      </w:pPr>
    </w:p>
    <w:p w14:paraId="4A609CAD" w14:textId="77777777" w:rsidR="002E68B5" w:rsidRPr="005D0E1A" w:rsidRDefault="005D0E1A" w:rsidP="002E68B5">
      <w:pPr>
        <w:pStyle w:val="AODocTxt"/>
        <w:rPr>
          <w:rFonts w:ascii="Verdana" w:hAnsi="Verdana"/>
          <w:sz w:val="20"/>
          <w:szCs w:val="20"/>
        </w:rPr>
      </w:pPr>
      <w:r w:rsidRPr="005D0E1A">
        <w:rPr>
          <w:rFonts w:ascii="Verdana" w:hAnsi="Verdana"/>
          <w:sz w:val="20"/>
          <w:szCs w:val="20"/>
        </w:rPr>
        <w:t xml:space="preserve">On 30 October 2020, Prosus announced its intention to </w:t>
      </w:r>
      <w:r w:rsidRPr="005D0E1A">
        <w:rPr>
          <w:rFonts w:ascii="Verdana" w:hAnsi="Verdana"/>
          <w:sz w:val="20"/>
          <w:szCs w:val="20"/>
        </w:rPr>
        <w:t>implement</w:t>
      </w:r>
      <w:r w:rsidR="00D049F7" w:rsidRPr="005D0E1A">
        <w:rPr>
          <w:rFonts w:ascii="Verdana" w:hAnsi="Verdana"/>
          <w:sz w:val="20"/>
          <w:szCs w:val="20"/>
        </w:rPr>
        <w:t xml:space="preserve"> an on-market</w:t>
      </w:r>
      <w:r w:rsidRPr="005D0E1A">
        <w:rPr>
          <w:rFonts w:ascii="Verdana" w:hAnsi="Verdana"/>
          <w:sz w:val="20"/>
          <w:szCs w:val="20"/>
        </w:rPr>
        <w:t>:</w:t>
      </w:r>
    </w:p>
    <w:p w14:paraId="4A609CAE" w14:textId="77777777" w:rsidR="002E68B5" w:rsidRPr="005D0E1A" w:rsidRDefault="005D0E1A" w:rsidP="002E68B5">
      <w:pPr>
        <w:pStyle w:val="AODocTxt"/>
        <w:numPr>
          <w:ilvl w:val="0"/>
          <w:numId w:val="23"/>
        </w:numPr>
        <w:rPr>
          <w:rFonts w:ascii="Verdana" w:hAnsi="Verdana"/>
          <w:sz w:val="20"/>
          <w:szCs w:val="20"/>
        </w:rPr>
      </w:pPr>
      <w:r w:rsidRPr="005D0E1A">
        <w:rPr>
          <w:rFonts w:ascii="Verdana" w:hAnsi="Verdana"/>
          <w:sz w:val="20"/>
          <w:szCs w:val="20"/>
        </w:rPr>
        <w:t>Prosus ordinary share N repurchase programme of up to US$1.</w:t>
      </w:r>
      <w:r w:rsidR="008B18C3" w:rsidRPr="005D0E1A">
        <w:rPr>
          <w:rFonts w:ascii="Verdana" w:hAnsi="Verdana"/>
          <w:sz w:val="20"/>
          <w:szCs w:val="20"/>
        </w:rPr>
        <w:t>37 </w:t>
      </w:r>
      <w:r w:rsidRPr="005D0E1A">
        <w:rPr>
          <w:rFonts w:ascii="Verdana" w:hAnsi="Verdana"/>
          <w:sz w:val="20"/>
          <w:szCs w:val="20"/>
        </w:rPr>
        <w:t xml:space="preserve">billion from its free-float shareholders (the </w:t>
      </w:r>
      <w:r w:rsidRPr="005D0E1A">
        <w:rPr>
          <w:rFonts w:ascii="Verdana" w:hAnsi="Verdana"/>
          <w:b/>
          <w:sz w:val="20"/>
          <w:szCs w:val="20"/>
        </w:rPr>
        <w:t>Share Repurchase</w:t>
      </w:r>
      <w:r w:rsidRPr="005D0E1A">
        <w:rPr>
          <w:rFonts w:ascii="Verdana" w:hAnsi="Verdana"/>
          <w:sz w:val="20"/>
          <w:szCs w:val="20"/>
        </w:rPr>
        <w:t>);</w:t>
      </w:r>
      <w:r w:rsidR="00C34E1A" w:rsidRPr="005D0E1A">
        <w:rPr>
          <w:rFonts w:ascii="Verdana" w:hAnsi="Verdana"/>
          <w:sz w:val="20"/>
          <w:szCs w:val="20"/>
        </w:rPr>
        <w:t> </w:t>
      </w:r>
      <w:r w:rsidRPr="005D0E1A">
        <w:rPr>
          <w:rFonts w:ascii="Verdana" w:hAnsi="Verdana"/>
          <w:sz w:val="20"/>
          <w:szCs w:val="20"/>
        </w:rPr>
        <w:t>and</w:t>
      </w:r>
    </w:p>
    <w:p w14:paraId="4A609CAF" w14:textId="77777777" w:rsidR="002E68B5" w:rsidRPr="005D0E1A" w:rsidRDefault="005D0E1A" w:rsidP="002E68B5">
      <w:pPr>
        <w:pStyle w:val="AODocTxt"/>
        <w:numPr>
          <w:ilvl w:val="0"/>
          <w:numId w:val="23"/>
        </w:numPr>
        <w:rPr>
          <w:rFonts w:ascii="Verdana" w:hAnsi="Verdana"/>
          <w:sz w:val="20"/>
          <w:szCs w:val="20"/>
          <w:lang w:val="en-ZA"/>
        </w:rPr>
      </w:pPr>
      <w:r w:rsidRPr="005D0E1A">
        <w:rPr>
          <w:rFonts w:ascii="Verdana" w:hAnsi="Verdana"/>
          <w:sz w:val="20"/>
          <w:szCs w:val="20"/>
        </w:rPr>
        <w:t>Naspers Limited (</w:t>
      </w:r>
      <w:r w:rsidRPr="005D0E1A">
        <w:rPr>
          <w:rFonts w:ascii="Verdana" w:hAnsi="Verdana"/>
          <w:b/>
          <w:sz w:val="20"/>
          <w:szCs w:val="20"/>
        </w:rPr>
        <w:t>Naspers</w:t>
      </w:r>
      <w:r w:rsidRPr="005D0E1A">
        <w:rPr>
          <w:rFonts w:ascii="Verdana" w:hAnsi="Verdana"/>
          <w:sz w:val="20"/>
          <w:szCs w:val="20"/>
        </w:rPr>
        <w:t>) N ordinary share purchase programme of up to US$3.</w:t>
      </w:r>
      <w:r w:rsidR="008B18C3" w:rsidRPr="005D0E1A">
        <w:rPr>
          <w:rFonts w:ascii="Verdana" w:hAnsi="Verdana"/>
          <w:sz w:val="20"/>
          <w:szCs w:val="20"/>
        </w:rPr>
        <w:t>63 </w:t>
      </w:r>
      <w:r w:rsidRPr="005D0E1A">
        <w:rPr>
          <w:rFonts w:ascii="Verdana" w:hAnsi="Verdana"/>
          <w:sz w:val="20"/>
          <w:szCs w:val="20"/>
        </w:rPr>
        <w:t xml:space="preserve">billion </w:t>
      </w:r>
      <w:r w:rsidRPr="005D0E1A">
        <w:rPr>
          <w:rFonts w:ascii="Verdana" w:hAnsi="Verdana"/>
          <w:sz w:val="20"/>
          <w:szCs w:val="20"/>
          <w:lang w:val="en-ZA"/>
        </w:rPr>
        <w:t>(</w:t>
      </w:r>
      <w:r w:rsidR="008E6631" w:rsidRPr="005D0E1A">
        <w:rPr>
          <w:rFonts w:ascii="Verdana" w:hAnsi="Verdana"/>
          <w:sz w:val="20"/>
          <w:szCs w:val="20"/>
          <w:lang w:val="en-ZA"/>
        </w:rPr>
        <w:t xml:space="preserve">the </w:t>
      </w:r>
      <w:r w:rsidR="008E6631" w:rsidRPr="005D0E1A">
        <w:rPr>
          <w:rFonts w:ascii="Verdana" w:hAnsi="Verdana"/>
          <w:b/>
          <w:sz w:val="20"/>
          <w:szCs w:val="20"/>
          <w:lang w:val="en-ZA"/>
        </w:rPr>
        <w:t>Share Purchase</w:t>
      </w:r>
      <w:r w:rsidR="008E6631" w:rsidRPr="005D0E1A">
        <w:rPr>
          <w:rFonts w:ascii="Verdana" w:hAnsi="Verdana"/>
          <w:sz w:val="20"/>
          <w:szCs w:val="20"/>
          <w:lang w:val="en-ZA"/>
        </w:rPr>
        <w:t xml:space="preserve">, </w:t>
      </w:r>
      <w:r w:rsidRPr="005D0E1A">
        <w:rPr>
          <w:rFonts w:ascii="Verdana" w:hAnsi="Verdana"/>
          <w:sz w:val="20"/>
          <w:szCs w:val="20"/>
          <w:lang w:val="en-ZA"/>
        </w:rPr>
        <w:t xml:space="preserve">together with the Share Repurchase, the </w:t>
      </w:r>
      <w:r w:rsidRPr="005D0E1A">
        <w:rPr>
          <w:rFonts w:ascii="Verdana" w:hAnsi="Verdana"/>
          <w:b/>
          <w:sz w:val="20"/>
          <w:szCs w:val="20"/>
          <w:lang w:val="en-ZA"/>
        </w:rPr>
        <w:t>Transaction</w:t>
      </w:r>
      <w:r w:rsidRPr="005D0E1A">
        <w:rPr>
          <w:rFonts w:ascii="Verdana" w:hAnsi="Verdana"/>
          <w:sz w:val="20"/>
          <w:szCs w:val="20"/>
          <w:lang w:val="en-ZA"/>
        </w:rPr>
        <w:t>)</w:t>
      </w:r>
      <w:r w:rsidRPr="005D0E1A">
        <w:rPr>
          <w:rFonts w:ascii="Verdana" w:hAnsi="Verdana"/>
          <w:sz w:val="20"/>
          <w:szCs w:val="20"/>
        </w:rPr>
        <w:t>.</w:t>
      </w:r>
    </w:p>
    <w:p w14:paraId="4A609CB0" w14:textId="77777777" w:rsidR="002E68B5" w:rsidRPr="005D0E1A" w:rsidRDefault="005D0E1A" w:rsidP="002E68B5">
      <w:pPr>
        <w:pStyle w:val="AODocTxt"/>
        <w:rPr>
          <w:rFonts w:ascii="Verdana" w:hAnsi="Verdana"/>
          <w:sz w:val="20"/>
          <w:szCs w:val="20"/>
          <w:lang w:val="en-ZA"/>
        </w:rPr>
      </w:pPr>
      <w:r w:rsidRPr="005D0E1A">
        <w:rPr>
          <w:rFonts w:ascii="Verdana" w:hAnsi="Verdana"/>
          <w:sz w:val="20"/>
          <w:szCs w:val="20"/>
        </w:rPr>
        <w:t>Prosus</w:t>
      </w:r>
      <w:r w:rsidR="00FC0271" w:rsidRPr="005D0E1A">
        <w:rPr>
          <w:rFonts w:ascii="Verdana" w:hAnsi="Verdana"/>
          <w:sz w:val="20"/>
          <w:szCs w:val="20"/>
        </w:rPr>
        <w:t xml:space="preserve"> </w:t>
      </w:r>
      <w:r w:rsidRPr="005D0E1A">
        <w:rPr>
          <w:rFonts w:ascii="Verdana" w:hAnsi="Verdana"/>
          <w:sz w:val="20"/>
          <w:szCs w:val="20"/>
        </w:rPr>
        <w:t xml:space="preserve">today announces the launch of the </w:t>
      </w:r>
      <w:r w:rsidR="00C34E1A" w:rsidRPr="005D0E1A">
        <w:rPr>
          <w:rFonts w:ascii="Verdana" w:hAnsi="Verdana"/>
          <w:sz w:val="20"/>
          <w:szCs w:val="20"/>
        </w:rPr>
        <w:t>Transaction</w:t>
      </w:r>
      <w:r w:rsidRPr="005D0E1A">
        <w:rPr>
          <w:rFonts w:ascii="Verdana" w:hAnsi="Verdana"/>
          <w:sz w:val="20"/>
          <w:szCs w:val="20"/>
        </w:rPr>
        <w:t>.</w:t>
      </w:r>
      <w:r w:rsidR="00603FF8" w:rsidRPr="005D0E1A">
        <w:rPr>
          <w:rFonts w:ascii="Verdana" w:hAnsi="Verdana"/>
          <w:sz w:val="20"/>
          <w:szCs w:val="20"/>
        </w:rPr>
        <w:t xml:space="preserve"> </w:t>
      </w:r>
      <w:r w:rsidRPr="005D0E1A">
        <w:rPr>
          <w:rFonts w:ascii="Verdana" w:hAnsi="Verdana"/>
          <w:sz w:val="20"/>
          <w:szCs w:val="20"/>
        </w:rPr>
        <w:t xml:space="preserve">The board of directors of Prosus (the </w:t>
      </w:r>
      <w:r w:rsidRPr="005D0E1A">
        <w:rPr>
          <w:rFonts w:ascii="Verdana" w:hAnsi="Verdana"/>
          <w:b/>
          <w:sz w:val="20"/>
          <w:szCs w:val="20"/>
        </w:rPr>
        <w:t>Prosus Board</w:t>
      </w:r>
      <w:r w:rsidRPr="005D0E1A">
        <w:rPr>
          <w:rFonts w:ascii="Verdana" w:hAnsi="Verdana"/>
          <w:sz w:val="20"/>
          <w:szCs w:val="20"/>
        </w:rPr>
        <w:t>) is of the view that the Transaction is</w:t>
      </w:r>
      <w:r w:rsidR="006C68D7" w:rsidRPr="005D0E1A">
        <w:rPr>
          <w:rFonts w:ascii="Verdana" w:hAnsi="Verdana"/>
          <w:sz w:val="20"/>
          <w:szCs w:val="20"/>
        </w:rPr>
        <w:t>, among other things,</w:t>
      </w:r>
      <w:r w:rsidRPr="005D0E1A">
        <w:rPr>
          <w:rFonts w:ascii="Verdana" w:hAnsi="Verdana"/>
          <w:sz w:val="20"/>
          <w:szCs w:val="20"/>
        </w:rPr>
        <w:t xml:space="preserve"> an investment in the</w:t>
      </w:r>
      <w:r w:rsidRPr="005D0E1A">
        <w:rPr>
          <w:rFonts w:ascii="Verdana" w:hAnsi="Verdana"/>
          <w:sz w:val="20"/>
          <w:szCs w:val="20"/>
        </w:rPr>
        <w:t xml:space="preserve"> group’s current strong internet portfolio, which is a sensible use of capital given full market valuations in consumer tech M&amp;A, and the sizeable discount to the group’s </w:t>
      </w:r>
      <w:r w:rsidRPr="005D0E1A">
        <w:rPr>
          <w:rFonts w:ascii="Verdana" w:hAnsi="Verdana"/>
          <w:sz w:val="20"/>
          <w:szCs w:val="20"/>
          <w:lang w:val="en-ZA"/>
        </w:rPr>
        <w:t>net asset value (</w:t>
      </w:r>
      <w:r w:rsidRPr="005D0E1A">
        <w:rPr>
          <w:rFonts w:ascii="Verdana" w:hAnsi="Verdana"/>
          <w:sz w:val="20"/>
          <w:szCs w:val="20"/>
          <w:lang w:val="en-ZA"/>
        </w:rPr>
        <w:t>NAV</w:t>
      </w:r>
      <w:r w:rsidRPr="005D0E1A">
        <w:rPr>
          <w:rFonts w:ascii="Verdana" w:hAnsi="Verdana"/>
          <w:sz w:val="20"/>
          <w:szCs w:val="20"/>
          <w:lang w:val="en-ZA"/>
        </w:rPr>
        <w:t>)</w:t>
      </w:r>
      <w:r w:rsidRPr="005D0E1A">
        <w:rPr>
          <w:rFonts w:ascii="Verdana" w:hAnsi="Verdana"/>
          <w:sz w:val="20"/>
          <w:szCs w:val="20"/>
        </w:rPr>
        <w:t>. Prosus has a track record of generating good returns by invest</w:t>
      </w:r>
      <w:r w:rsidRPr="005D0E1A">
        <w:rPr>
          <w:rFonts w:ascii="Verdana" w:hAnsi="Verdana"/>
          <w:sz w:val="20"/>
          <w:szCs w:val="20"/>
        </w:rPr>
        <w:t xml:space="preserve">ing across the consumer internet space. Prosus also takes a long-term approach to capital allocation across its operations, investments, and this approach now extends to its asset base </w:t>
      </w:r>
      <w:r w:rsidR="00170D5B" w:rsidRPr="005D0E1A">
        <w:rPr>
          <w:rFonts w:ascii="Verdana" w:hAnsi="Verdana"/>
          <w:sz w:val="20"/>
          <w:szCs w:val="20"/>
        </w:rPr>
        <w:t>–</w:t>
      </w:r>
      <w:r w:rsidRPr="005D0E1A">
        <w:rPr>
          <w:rFonts w:ascii="Verdana" w:hAnsi="Verdana"/>
          <w:sz w:val="20"/>
          <w:szCs w:val="20"/>
        </w:rPr>
        <w:t xml:space="preserve"> directly and indirectly via its own stock. The Prosus Board believes </w:t>
      </w:r>
      <w:r w:rsidRPr="005D0E1A">
        <w:rPr>
          <w:rFonts w:ascii="Verdana" w:hAnsi="Verdana"/>
          <w:sz w:val="20"/>
          <w:szCs w:val="20"/>
        </w:rPr>
        <w:t xml:space="preserve">that the Transaction will generate value for </w:t>
      </w:r>
      <w:r w:rsidR="00876644" w:rsidRPr="005D0E1A">
        <w:rPr>
          <w:rFonts w:ascii="Verdana" w:hAnsi="Verdana"/>
          <w:sz w:val="20"/>
          <w:szCs w:val="20"/>
        </w:rPr>
        <w:t xml:space="preserve">its </w:t>
      </w:r>
      <w:r w:rsidRPr="005D0E1A">
        <w:rPr>
          <w:rFonts w:ascii="Verdana" w:hAnsi="Verdana"/>
          <w:sz w:val="20"/>
          <w:szCs w:val="20"/>
        </w:rPr>
        <w:t>shareholders.</w:t>
      </w:r>
    </w:p>
    <w:p w14:paraId="4A609CB1" w14:textId="77777777" w:rsidR="007B29D3" w:rsidRPr="005D0E1A" w:rsidRDefault="005D0E1A" w:rsidP="00FC0271">
      <w:pPr>
        <w:pStyle w:val="AODocTxt"/>
        <w:rPr>
          <w:rFonts w:ascii="Verdana" w:hAnsi="Verdana"/>
          <w:sz w:val="20"/>
          <w:szCs w:val="20"/>
        </w:rPr>
      </w:pPr>
      <w:r w:rsidRPr="005D0E1A">
        <w:rPr>
          <w:rFonts w:ascii="Verdana" w:hAnsi="Verdana"/>
          <w:sz w:val="20"/>
          <w:szCs w:val="20"/>
        </w:rPr>
        <w:t>Prosus has appointed intermediaries to execute t</w:t>
      </w:r>
      <w:r w:rsidRPr="005D0E1A">
        <w:rPr>
          <w:rFonts w:ascii="Verdana" w:hAnsi="Verdana"/>
          <w:sz w:val="20"/>
          <w:szCs w:val="20"/>
        </w:rPr>
        <w:t xml:space="preserve">he </w:t>
      </w:r>
      <w:r w:rsidRPr="005D0E1A">
        <w:rPr>
          <w:rFonts w:ascii="Verdana" w:hAnsi="Verdana"/>
          <w:sz w:val="20"/>
          <w:szCs w:val="20"/>
        </w:rPr>
        <w:t>Transaction</w:t>
      </w:r>
      <w:r w:rsidR="00486E72" w:rsidRPr="005D0E1A">
        <w:rPr>
          <w:rFonts w:ascii="Verdana" w:hAnsi="Verdana"/>
          <w:sz w:val="20"/>
          <w:szCs w:val="20"/>
        </w:rPr>
        <w:t xml:space="preserve"> within parameters set by it</w:t>
      </w:r>
      <w:r w:rsidR="00170D5B" w:rsidRPr="005D0E1A">
        <w:rPr>
          <w:rFonts w:ascii="Verdana" w:hAnsi="Verdana"/>
          <w:sz w:val="20"/>
          <w:szCs w:val="20"/>
        </w:rPr>
        <w:t>,</w:t>
      </w:r>
      <w:r w:rsidR="00FD0949" w:rsidRPr="005D0E1A">
        <w:rPr>
          <w:rFonts w:ascii="Verdana" w:hAnsi="Verdana"/>
          <w:sz w:val="20"/>
          <w:szCs w:val="20"/>
        </w:rPr>
        <w:t xml:space="preserve"> allowing the execution of </w:t>
      </w:r>
      <w:r w:rsidR="00151839" w:rsidRPr="005D0E1A">
        <w:rPr>
          <w:rFonts w:ascii="Verdana" w:hAnsi="Verdana"/>
          <w:sz w:val="20"/>
          <w:szCs w:val="20"/>
        </w:rPr>
        <w:t>(</w:t>
      </w:r>
      <w:r w:rsidR="00FD0949" w:rsidRPr="005D0E1A">
        <w:rPr>
          <w:rFonts w:ascii="Verdana" w:hAnsi="Verdana"/>
          <w:sz w:val="20"/>
          <w:szCs w:val="20"/>
        </w:rPr>
        <w:t>re</w:t>
      </w:r>
      <w:r w:rsidR="00151839" w:rsidRPr="005D0E1A">
        <w:rPr>
          <w:rFonts w:ascii="Verdana" w:hAnsi="Verdana"/>
          <w:sz w:val="20"/>
          <w:szCs w:val="20"/>
        </w:rPr>
        <w:t>)</w:t>
      </w:r>
      <w:r w:rsidR="00FD0949" w:rsidRPr="005D0E1A">
        <w:rPr>
          <w:rFonts w:ascii="Verdana" w:hAnsi="Verdana"/>
          <w:sz w:val="20"/>
          <w:szCs w:val="20"/>
        </w:rPr>
        <w:t xml:space="preserve">purchases in the open market during open and closed periods. These intermediaries will make </w:t>
      </w:r>
      <w:r w:rsidR="00603FF8" w:rsidRPr="005D0E1A">
        <w:rPr>
          <w:rFonts w:ascii="Verdana" w:hAnsi="Verdana"/>
          <w:sz w:val="20"/>
          <w:szCs w:val="20"/>
        </w:rPr>
        <w:t>their</w:t>
      </w:r>
      <w:r w:rsidR="00FD0949" w:rsidRPr="005D0E1A">
        <w:rPr>
          <w:rFonts w:ascii="Verdana" w:hAnsi="Verdana"/>
          <w:sz w:val="20"/>
          <w:szCs w:val="20"/>
        </w:rPr>
        <w:t xml:space="preserve"> trading decisions independently </w:t>
      </w:r>
      <w:r w:rsidR="00826793" w:rsidRPr="005D0E1A">
        <w:rPr>
          <w:rFonts w:ascii="Verdana" w:hAnsi="Verdana"/>
          <w:sz w:val="20"/>
          <w:szCs w:val="20"/>
        </w:rPr>
        <w:t xml:space="preserve">from, and uninfluenced by, </w:t>
      </w:r>
      <w:r w:rsidR="00FD0949" w:rsidRPr="005D0E1A">
        <w:rPr>
          <w:rFonts w:ascii="Verdana" w:hAnsi="Verdana"/>
          <w:sz w:val="20"/>
          <w:szCs w:val="20"/>
        </w:rPr>
        <w:t>Prosus</w:t>
      </w:r>
      <w:r w:rsidRPr="005D0E1A">
        <w:rPr>
          <w:rFonts w:ascii="Verdana" w:hAnsi="Verdana"/>
          <w:sz w:val="20"/>
          <w:szCs w:val="20"/>
        </w:rPr>
        <w:t xml:space="preserve"> and Naspers</w:t>
      </w:r>
      <w:r w:rsidR="00FD0949" w:rsidRPr="005D0E1A">
        <w:rPr>
          <w:rFonts w:ascii="Verdana" w:hAnsi="Verdana"/>
          <w:sz w:val="20"/>
          <w:szCs w:val="20"/>
        </w:rPr>
        <w:t>.</w:t>
      </w:r>
    </w:p>
    <w:p w14:paraId="4A609CB2" w14:textId="77777777" w:rsidR="00876644" w:rsidRPr="005D0E1A" w:rsidRDefault="005D0E1A" w:rsidP="007B29D3">
      <w:pPr>
        <w:pStyle w:val="AODocTxt"/>
        <w:rPr>
          <w:rFonts w:ascii="Verdana" w:hAnsi="Verdana"/>
          <w:sz w:val="20"/>
          <w:szCs w:val="20"/>
        </w:rPr>
      </w:pPr>
      <w:r w:rsidRPr="005D0E1A">
        <w:rPr>
          <w:rFonts w:ascii="Verdana" w:hAnsi="Verdana"/>
          <w:sz w:val="20"/>
          <w:szCs w:val="20"/>
        </w:rPr>
        <w:t xml:space="preserve">Each of the Share </w:t>
      </w:r>
      <w:r w:rsidRPr="005D0E1A">
        <w:rPr>
          <w:rFonts w:ascii="Verdana" w:hAnsi="Verdana"/>
          <w:sz w:val="20"/>
          <w:szCs w:val="20"/>
        </w:rPr>
        <w:t>Repurchase</w:t>
      </w:r>
      <w:r w:rsidRPr="005D0E1A">
        <w:rPr>
          <w:rFonts w:ascii="Verdana" w:hAnsi="Verdana"/>
          <w:sz w:val="20"/>
          <w:szCs w:val="20"/>
        </w:rPr>
        <w:t xml:space="preserve"> and</w:t>
      </w:r>
      <w:r w:rsidR="00B567F1" w:rsidRPr="005D0E1A">
        <w:rPr>
          <w:rFonts w:ascii="Verdana" w:hAnsi="Verdana"/>
          <w:sz w:val="20"/>
          <w:szCs w:val="20"/>
        </w:rPr>
        <w:t xml:space="preserve"> the</w:t>
      </w:r>
      <w:r w:rsidRPr="005D0E1A">
        <w:rPr>
          <w:rFonts w:ascii="Verdana" w:hAnsi="Verdana"/>
          <w:sz w:val="20"/>
          <w:szCs w:val="20"/>
        </w:rPr>
        <w:t xml:space="preserve"> Share Purchase </w:t>
      </w:r>
      <w:r w:rsidRPr="005D0E1A">
        <w:rPr>
          <w:rFonts w:ascii="Verdana" w:hAnsi="Verdana"/>
          <w:sz w:val="20"/>
          <w:szCs w:val="20"/>
        </w:rPr>
        <w:t>will</w:t>
      </w:r>
      <w:r w:rsidRPr="005D0E1A">
        <w:rPr>
          <w:rFonts w:ascii="Verdana" w:hAnsi="Verdana"/>
          <w:sz w:val="20"/>
          <w:szCs w:val="20"/>
        </w:rPr>
        <w:t xml:space="preserve"> commence on </w:t>
      </w:r>
      <w:r w:rsidR="00A72ACD" w:rsidRPr="005D0E1A">
        <w:rPr>
          <w:rFonts w:ascii="Verdana" w:hAnsi="Verdana"/>
          <w:sz w:val="20"/>
          <w:szCs w:val="20"/>
        </w:rPr>
        <w:t xml:space="preserve">24 November 2020 </w:t>
      </w:r>
      <w:r w:rsidRPr="005D0E1A">
        <w:rPr>
          <w:rFonts w:ascii="Verdana" w:hAnsi="Verdana"/>
          <w:sz w:val="20"/>
          <w:szCs w:val="20"/>
        </w:rPr>
        <w:t xml:space="preserve">and </w:t>
      </w:r>
      <w:r w:rsidRPr="005D0E1A">
        <w:rPr>
          <w:rFonts w:ascii="Verdana" w:hAnsi="Verdana"/>
          <w:sz w:val="20"/>
          <w:szCs w:val="20"/>
        </w:rPr>
        <w:t xml:space="preserve">end on </w:t>
      </w:r>
      <w:r w:rsidR="00A72ACD" w:rsidRPr="005D0E1A">
        <w:rPr>
          <w:rFonts w:ascii="Verdana" w:hAnsi="Verdana"/>
          <w:sz w:val="20"/>
          <w:szCs w:val="20"/>
        </w:rPr>
        <w:t xml:space="preserve">26 November 2021, </w:t>
      </w:r>
      <w:r w:rsidRPr="005D0E1A">
        <w:rPr>
          <w:rFonts w:ascii="Verdana" w:hAnsi="Verdana"/>
          <w:sz w:val="20"/>
          <w:szCs w:val="20"/>
        </w:rPr>
        <w:t xml:space="preserve">or sooner if the maximum </w:t>
      </w:r>
      <w:r w:rsidRPr="005D0E1A">
        <w:rPr>
          <w:rFonts w:ascii="Verdana" w:hAnsi="Verdana"/>
          <w:sz w:val="20"/>
          <w:szCs w:val="20"/>
        </w:rPr>
        <w:t xml:space="preserve">consideration under the Share </w:t>
      </w:r>
      <w:r w:rsidRPr="005D0E1A">
        <w:rPr>
          <w:rFonts w:ascii="Verdana" w:hAnsi="Verdana"/>
          <w:sz w:val="20"/>
          <w:szCs w:val="20"/>
        </w:rPr>
        <w:t>Repurchase</w:t>
      </w:r>
      <w:r w:rsidRPr="005D0E1A">
        <w:rPr>
          <w:rFonts w:ascii="Verdana" w:hAnsi="Verdana"/>
          <w:sz w:val="20"/>
          <w:szCs w:val="20"/>
        </w:rPr>
        <w:t xml:space="preserve"> </w:t>
      </w:r>
      <w:r w:rsidRPr="005D0E1A">
        <w:rPr>
          <w:rFonts w:ascii="Verdana" w:hAnsi="Verdana"/>
          <w:sz w:val="20"/>
          <w:szCs w:val="20"/>
        </w:rPr>
        <w:t xml:space="preserve">or </w:t>
      </w:r>
      <w:r w:rsidR="000E2421" w:rsidRPr="005D0E1A">
        <w:rPr>
          <w:rFonts w:ascii="Verdana" w:hAnsi="Verdana"/>
          <w:sz w:val="20"/>
          <w:szCs w:val="20"/>
        </w:rPr>
        <w:t xml:space="preserve">the </w:t>
      </w:r>
      <w:r w:rsidRPr="005D0E1A">
        <w:rPr>
          <w:rFonts w:ascii="Verdana" w:hAnsi="Verdana"/>
          <w:sz w:val="20"/>
          <w:szCs w:val="20"/>
        </w:rPr>
        <w:t xml:space="preserve">Share Purchase, as applicable, </w:t>
      </w:r>
      <w:r w:rsidRPr="005D0E1A">
        <w:rPr>
          <w:rFonts w:ascii="Verdana" w:hAnsi="Verdana"/>
          <w:sz w:val="20"/>
          <w:szCs w:val="20"/>
        </w:rPr>
        <w:t>is reached before then.</w:t>
      </w:r>
    </w:p>
    <w:p w14:paraId="4A609CB3" w14:textId="77777777" w:rsidR="00B86D32" w:rsidRPr="005D0E1A" w:rsidRDefault="005D0E1A" w:rsidP="00FC0271">
      <w:pPr>
        <w:pStyle w:val="AODocTxt"/>
        <w:rPr>
          <w:rFonts w:ascii="Verdana" w:hAnsi="Verdana"/>
          <w:sz w:val="20"/>
          <w:szCs w:val="20"/>
        </w:rPr>
      </w:pPr>
      <w:r w:rsidRPr="005D0E1A">
        <w:rPr>
          <w:rFonts w:ascii="Verdana" w:hAnsi="Verdana"/>
          <w:sz w:val="20"/>
          <w:szCs w:val="20"/>
        </w:rPr>
        <w:t xml:space="preserve">Prosus intends to </w:t>
      </w:r>
      <w:r w:rsidR="00703002" w:rsidRPr="005D0E1A">
        <w:rPr>
          <w:rFonts w:ascii="Verdana" w:hAnsi="Verdana"/>
          <w:sz w:val="20"/>
          <w:szCs w:val="20"/>
        </w:rPr>
        <w:t xml:space="preserve">cancel </w:t>
      </w:r>
      <w:r w:rsidRPr="005D0E1A">
        <w:rPr>
          <w:rFonts w:ascii="Verdana" w:hAnsi="Verdana"/>
          <w:sz w:val="20"/>
          <w:szCs w:val="20"/>
        </w:rPr>
        <w:t>the</w:t>
      </w:r>
      <w:r w:rsidR="007B29D3" w:rsidRPr="005D0E1A">
        <w:rPr>
          <w:rFonts w:ascii="Verdana" w:hAnsi="Verdana"/>
          <w:sz w:val="20"/>
          <w:szCs w:val="20"/>
        </w:rPr>
        <w:t xml:space="preserve"> Prosus ordinary shares N </w:t>
      </w:r>
      <w:r w:rsidR="002349D4" w:rsidRPr="005D0E1A">
        <w:rPr>
          <w:rFonts w:ascii="Verdana" w:hAnsi="Verdana"/>
          <w:sz w:val="20"/>
          <w:szCs w:val="20"/>
        </w:rPr>
        <w:t xml:space="preserve">repurchased by it under the Share Repurchase </w:t>
      </w:r>
      <w:r w:rsidR="00703002" w:rsidRPr="005D0E1A">
        <w:rPr>
          <w:rFonts w:ascii="Verdana" w:hAnsi="Verdana"/>
          <w:sz w:val="20"/>
          <w:szCs w:val="20"/>
        </w:rPr>
        <w:t xml:space="preserve">in due course. The </w:t>
      </w:r>
      <w:r w:rsidR="007B29D3" w:rsidRPr="005D0E1A">
        <w:rPr>
          <w:rFonts w:ascii="Verdana" w:hAnsi="Verdana"/>
          <w:sz w:val="20"/>
          <w:szCs w:val="20"/>
        </w:rPr>
        <w:t>Naspers N ordinary shares</w:t>
      </w:r>
      <w:r w:rsidRPr="005D0E1A">
        <w:rPr>
          <w:rFonts w:ascii="Verdana" w:hAnsi="Verdana"/>
          <w:sz w:val="20"/>
          <w:szCs w:val="20"/>
        </w:rPr>
        <w:t xml:space="preserve"> held </w:t>
      </w:r>
      <w:r w:rsidR="007B29D3" w:rsidRPr="005D0E1A">
        <w:rPr>
          <w:rFonts w:ascii="Verdana" w:hAnsi="Verdana"/>
          <w:sz w:val="20"/>
          <w:szCs w:val="20"/>
        </w:rPr>
        <w:t xml:space="preserve">by </w:t>
      </w:r>
      <w:r w:rsidR="002349D4" w:rsidRPr="005D0E1A">
        <w:rPr>
          <w:rFonts w:ascii="Verdana" w:hAnsi="Verdana"/>
          <w:sz w:val="20"/>
          <w:szCs w:val="20"/>
        </w:rPr>
        <w:t xml:space="preserve">Prosus </w:t>
      </w:r>
      <w:r w:rsidRPr="005D0E1A">
        <w:rPr>
          <w:rFonts w:ascii="Verdana" w:hAnsi="Verdana"/>
          <w:sz w:val="20"/>
          <w:szCs w:val="20"/>
        </w:rPr>
        <w:t xml:space="preserve">after having been purchased </w:t>
      </w:r>
      <w:r w:rsidR="007B29D3" w:rsidRPr="005D0E1A">
        <w:rPr>
          <w:rFonts w:ascii="Verdana" w:hAnsi="Verdana"/>
          <w:sz w:val="20"/>
          <w:szCs w:val="20"/>
        </w:rPr>
        <w:t xml:space="preserve">under the </w:t>
      </w:r>
      <w:r w:rsidR="002349D4" w:rsidRPr="005D0E1A">
        <w:rPr>
          <w:rFonts w:ascii="Verdana" w:hAnsi="Verdana"/>
          <w:sz w:val="20"/>
          <w:szCs w:val="20"/>
        </w:rPr>
        <w:t>Share Purchase</w:t>
      </w:r>
      <w:r w:rsidR="003E2DFE" w:rsidRPr="005D0E1A">
        <w:rPr>
          <w:rFonts w:ascii="Verdana" w:hAnsi="Verdana"/>
          <w:sz w:val="20"/>
          <w:szCs w:val="20"/>
        </w:rPr>
        <w:t xml:space="preserve"> </w:t>
      </w:r>
      <w:r w:rsidRPr="005D0E1A">
        <w:rPr>
          <w:rFonts w:ascii="Verdana" w:hAnsi="Verdana"/>
          <w:sz w:val="20"/>
          <w:szCs w:val="20"/>
        </w:rPr>
        <w:t xml:space="preserve">will constitute </w:t>
      </w:r>
      <w:r w:rsidR="0018272F" w:rsidRPr="005D0E1A">
        <w:rPr>
          <w:rFonts w:ascii="Verdana" w:hAnsi="Verdana"/>
          <w:sz w:val="20"/>
          <w:szCs w:val="20"/>
        </w:rPr>
        <w:t xml:space="preserve">treasury shares </w:t>
      </w:r>
      <w:r w:rsidRPr="005D0E1A">
        <w:rPr>
          <w:rFonts w:ascii="Verdana" w:hAnsi="Verdana"/>
          <w:sz w:val="20"/>
          <w:szCs w:val="20"/>
        </w:rPr>
        <w:t>under</w:t>
      </w:r>
      <w:r w:rsidR="0018272F" w:rsidRPr="005D0E1A">
        <w:rPr>
          <w:rFonts w:ascii="Verdana" w:hAnsi="Verdana"/>
          <w:sz w:val="20"/>
          <w:szCs w:val="20"/>
        </w:rPr>
        <w:t xml:space="preserve"> the JSE Listings Requirements</w:t>
      </w:r>
      <w:r w:rsidR="00882490" w:rsidRPr="005D0E1A">
        <w:rPr>
          <w:rFonts w:ascii="Verdana" w:hAnsi="Verdana"/>
          <w:sz w:val="20"/>
          <w:szCs w:val="20"/>
        </w:rPr>
        <w:t xml:space="preserve">. </w:t>
      </w:r>
      <w:r w:rsidR="007B29D3" w:rsidRPr="005D0E1A">
        <w:rPr>
          <w:rFonts w:ascii="Verdana" w:hAnsi="Verdana"/>
          <w:sz w:val="20"/>
          <w:szCs w:val="20"/>
        </w:rPr>
        <w:t>Prosus intends not to exercise any voting rights attaching to the Naspers N ordinary shares acquired under the Share Purchase.</w:t>
      </w:r>
    </w:p>
    <w:p w14:paraId="4A609CB4" w14:textId="77777777" w:rsidR="003B3045" w:rsidRPr="005D0E1A" w:rsidRDefault="005D0E1A" w:rsidP="00882490">
      <w:pPr>
        <w:pStyle w:val="AODocTxt"/>
        <w:rPr>
          <w:rFonts w:ascii="Verdana" w:hAnsi="Verdana"/>
          <w:sz w:val="20"/>
          <w:szCs w:val="20"/>
        </w:rPr>
      </w:pPr>
      <w:r w:rsidRPr="005D0E1A">
        <w:rPr>
          <w:rFonts w:ascii="Verdana" w:hAnsi="Verdana"/>
          <w:sz w:val="20"/>
          <w:szCs w:val="20"/>
        </w:rPr>
        <w:t>The Transaction will be implemented in accordance with, and subject to, applicable law and regulations, as well as the authorities granted</w:t>
      </w:r>
      <w:r w:rsidR="00A63012" w:rsidRPr="005D0E1A">
        <w:rPr>
          <w:rFonts w:ascii="Verdana" w:hAnsi="Verdana"/>
          <w:sz w:val="20"/>
          <w:szCs w:val="20"/>
        </w:rPr>
        <w:t xml:space="preserve"> by the general meeting of shareholders of Prosus dated </w:t>
      </w:r>
      <w:r w:rsidR="003E2DFE" w:rsidRPr="005D0E1A">
        <w:rPr>
          <w:rFonts w:ascii="Verdana" w:hAnsi="Verdana"/>
          <w:sz w:val="20"/>
          <w:szCs w:val="20"/>
        </w:rPr>
        <w:t>18 August 2020</w:t>
      </w:r>
      <w:r w:rsidR="00A63012" w:rsidRPr="005D0E1A">
        <w:rPr>
          <w:rFonts w:ascii="Verdana" w:hAnsi="Verdana"/>
          <w:sz w:val="20"/>
          <w:szCs w:val="20"/>
        </w:rPr>
        <w:t xml:space="preserve"> and Naspers dated </w:t>
      </w:r>
      <w:r w:rsidR="003E2DFE" w:rsidRPr="005D0E1A">
        <w:rPr>
          <w:rFonts w:ascii="Verdana" w:hAnsi="Verdana"/>
          <w:sz w:val="20"/>
          <w:szCs w:val="20"/>
        </w:rPr>
        <w:t>21 August 2020</w:t>
      </w:r>
      <w:r w:rsidR="0016392C" w:rsidRPr="005D0E1A">
        <w:rPr>
          <w:rFonts w:ascii="Verdana" w:hAnsi="Verdana"/>
          <w:sz w:val="20"/>
          <w:szCs w:val="20"/>
        </w:rPr>
        <w:t xml:space="preserve">, </w:t>
      </w:r>
      <w:r w:rsidR="00A63012" w:rsidRPr="005D0E1A">
        <w:rPr>
          <w:rFonts w:ascii="Verdana" w:hAnsi="Verdana"/>
          <w:sz w:val="20"/>
          <w:szCs w:val="20"/>
        </w:rPr>
        <w:t>as these may be renewed</w:t>
      </w:r>
      <w:r w:rsidRPr="005D0E1A">
        <w:rPr>
          <w:rFonts w:ascii="Verdana" w:hAnsi="Verdana"/>
          <w:sz w:val="20"/>
          <w:szCs w:val="20"/>
        </w:rPr>
        <w:t>.</w:t>
      </w:r>
    </w:p>
    <w:p w14:paraId="4A609CB5" w14:textId="77777777" w:rsidR="00A607B2" w:rsidRPr="005D0E1A" w:rsidRDefault="005D0E1A" w:rsidP="00FC0271">
      <w:pPr>
        <w:pStyle w:val="AODocTxt"/>
        <w:rPr>
          <w:rFonts w:ascii="Verdana" w:hAnsi="Verdana"/>
          <w:sz w:val="20"/>
          <w:szCs w:val="20"/>
        </w:rPr>
      </w:pPr>
      <w:r w:rsidRPr="005D0E1A">
        <w:rPr>
          <w:rFonts w:ascii="Verdana" w:hAnsi="Verdana"/>
          <w:sz w:val="20"/>
          <w:szCs w:val="20"/>
        </w:rPr>
        <w:t xml:space="preserve">Prosus will provide </w:t>
      </w:r>
      <w:r w:rsidR="002E68B5" w:rsidRPr="005D0E1A">
        <w:rPr>
          <w:rFonts w:ascii="Verdana" w:hAnsi="Verdana"/>
          <w:sz w:val="20"/>
          <w:szCs w:val="20"/>
        </w:rPr>
        <w:t xml:space="preserve">weekly </w:t>
      </w:r>
      <w:r w:rsidRPr="005D0E1A">
        <w:rPr>
          <w:rFonts w:ascii="Verdana" w:hAnsi="Verdana"/>
          <w:sz w:val="20"/>
          <w:szCs w:val="20"/>
        </w:rPr>
        <w:t>u</w:t>
      </w:r>
      <w:r w:rsidR="00FC0271" w:rsidRPr="005D0E1A">
        <w:rPr>
          <w:rFonts w:ascii="Verdana" w:hAnsi="Verdana"/>
          <w:sz w:val="20"/>
          <w:szCs w:val="20"/>
        </w:rPr>
        <w:t xml:space="preserve">pdates on the </w:t>
      </w:r>
      <w:r w:rsidR="007B29D3" w:rsidRPr="005D0E1A">
        <w:rPr>
          <w:rFonts w:ascii="Verdana" w:hAnsi="Verdana"/>
          <w:sz w:val="20"/>
          <w:szCs w:val="20"/>
        </w:rPr>
        <w:t>Share Repurchase</w:t>
      </w:r>
      <w:r w:rsidR="006C68D7" w:rsidRPr="005D0E1A">
        <w:rPr>
          <w:rFonts w:ascii="Verdana" w:hAnsi="Verdana"/>
          <w:sz w:val="20"/>
          <w:szCs w:val="20"/>
        </w:rPr>
        <w:t xml:space="preserve"> in accordance with the Market Abuse Regulation (as defined below) </w:t>
      </w:r>
      <w:r w:rsidR="00603FF8" w:rsidRPr="005D0E1A">
        <w:rPr>
          <w:rFonts w:ascii="Verdana" w:hAnsi="Verdana"/>
          <w:sz w:val="20"/>
          <w:szCs w:val="20"/>
        </w:rPr>
        <w:t>by means of</w:t>
      </w:r>
      <w:r w:rsidR="00FC0271" w:rsidRPr="005D0E1A">
        <w:rPr>
          <w:rFonts w:ascii="Verdana" w:hAnsi="Verdana"/>
          <w:sz w:val="20"/>
          <w:szCs w:val="20"/>
        </w:rPr>
        <w:t xml:space="preserve"> press releases</w:t>
      </w:r>
      <w:r w:rsidR="007B29D3" w:rsidRPr="005D0E1A">
        <w:rPr>
          <w:rFonts w:ascii="Verdana" w:hAnsi="Verdana"/>
          <w:sz w:val="20"/>
          <w:szCs w:val="20"/>
        </w:rPr>
        <w:t xml:space="preserve"> and announcements on the JSE</w:t>
      </w:r>
      <w:r w:rsidR="00030494" w:rsidRPr="005D0E1A">
        <w:rPr>
          <w:rFonts w:ascii="Verdana" w:hAnsi="Verdana"/>
          <w:sz w:val="20"/>
          <w:szCs w:val="20"/>
        </w:rPr>
        <w:t>’s</w:t>
      </w:r>
      <w:r w:rsidR="007B29D3" w:rsidRPr="005D0E1A">
        <w:rPr>
          <w:rFonts w:ascii="Verdana" w:hAnsi="Verdana"/>
          <w:sz w:val="20"/>
          <w:szCs w:val="20"/>
        </w:rPr>
        <w:t xml:space="preserve"> Stock Exchange News Service (SENS), </w:t>
      </w:r>
      <w:r w:rsidR="00FC0271" w:rsidRPr="005D0E1A">
        <w:rPr>
          <w:rFonts w:ascii="Verdana" w:hAnsi="Verdana"/>
          <w:sz w:val="20"/>
          <w:szCs w:val="20"/>
        </w:rPr>
        <w:t>and</w:t>
      </w:r>
      <w:r w:rsidR="00703002" w:rsidRPr="005D0E1A">
        <w:rPr>
          <w:rFonts w:ascii="Verdana" w:hAnsi="Verdana"/>
          <w:sz w:val="20"/>
          <w:szCs w:val="20"/>
        </w:rPr>
        <w:t>,</w:t>
      </w:r>
      <w:r w:rsidR="00FC0271" w:rsidRPr="005D0E1A">
        <w:rPr>
          <w:rFonts w:ascii="Verdana" w:hAnsi="Verdana"/>
          <w:sz w:val="20"/>
          <w:szCs w:val="20"/>
        </w:rPr>
        <w:t xml:space="preserve"> </w:t>
      </w:r>
      <w:r w:rsidR="00703002" w:rsidRPr="005D0E1A">
        <w:rPr>
          <w:rFonts w:ascii="Verdana" w:hAnsi="Verdana"/>
          <w:sz w:val="20"/>
          <w:szCs w:val="20"/>
        </w:rPr>
        <w:t xml:space="preserve">together with details on a daily basis, </w:t>
      </w:r>
      <w:r w:rsidR="00FC0271" w:rsidRPr="005D0E1A">
        <w:rPr>
          <w:rFonts w:ascii="Verdana" w:hAnsi="Verdana"/>
          <w:sz w:val="20"/>
          <w:szCs w:val="20"/>
        </w:rPr>
        <w:t xml:space="preserve">on the </w:t>
      </w:r>
      <w:r w:rsidRPr="005D0E1A">
        <w:rPr>
          <w:rFonts w:ascii="Verdana" w:hAnsi="Verdana"/>
          <w:sz w:val="20"/>
          <w:szCs w:val="20"/>
        </w:rPr>
        <w:t>Prosus</w:t>
      </w:r>
      <w:r w:rsidR="00FC0271" w:rsidRPr="005D0E1A">
        <w:rPr>
          <w:rFonts w:ascii="Verdana" w:hAnsi="Verdana"/>
          <w:sz w:val="20"/>
          <w:szCs w:val="20"/>
        </w:rPr>
        <w:t xml:space="preserve"> website (</w:t>
      </w:r>
      <w:hyperlink r:id="rId10" w:history="1">
        <w:r w:rsidRPr="005D0E1A">
          <w:rPr>
            <w:rStyle w:val="Hyperlink"/>
            <w:rFonts w:ascii="Verdana" w:hAnsi="Verdana"/>
            <w:sz w:val="20"/>
            <w:szCs w:val="20"/>
          </w:rPr>
          <w:t>www.prosus.com</w:t>
        </w:r>
      </w:hyperlink>
      <w:r w:rsidR="00FC0271" w:rsidRPr="005D0E1A">
        <w:rPr>
          <w:rFonts w:ascii="Verdana" w:hAnsi="Verdana"/>
          <w:sz w:val="20"/>
          <w:szCs w:val="20"/>
        </w:rPr>
        <w:t>).</w:t>
      </w:r>
    </w:p>
    <w:p w14:paraId="0E673A7E" w14:textId="77777777" w:rsidR="005D0E1A" w:rsidRDefault="005D0E1A">
      <w:pPr>
        <w:spacing w:line="260" w:lineRule="atLeast"/>
        <w:rPr>
          <w:rFonts w:ascii="Verdana" w:hAnsi="Verdana"/>
          <w:sz w:val="20"/>
          <w:szCs w:val="20"/>
        </w:rPr>
      </w:pPr>
      <w:r>
        <w:rPr>
          <w:rFonts w:ascii="Verdana" w:hAnsi="Verdana"/>
          <w:sz w:val="20"/>
          <w:szCs w:val="20"/>
        </w:rPr>
        <w:br w:type="page"/>
      </w:r>
    </w:p>
    <w:p w14:paraId="4A609CB6" w14:textId="059A6026" w:rsidR="00FD0949" w:rsidRPr="005D0E1A" w:rsidRDefault="005D0E1A" w:rsidP="00FD0949">
      <w:pPr>
        <w:pStyle w:val="AODocTxt"/>
        <w:rPr>
          <w:rFonts w:ascii="Verdana" w:hAnsi="Verdana"/>
          <w:sz w:val="20"/>
          <w:szCs w:val="20"/>
        </w:rPr>
      </w:pPr>
      <w:r w:rsidRPr="005D0E1A">
        <w:rPr>
          <w:rFonts w:ascii="Verdana" w:hAnsi="Verdana"/>
          <w:sz w:val="20"/>
          <w:szCs w:val="20"/>
        </w:rPr>
        <w:lastRenderedPageBreak/>
        <w:t>Amsterdam, the Netherlands</w:t>
      </w:r>
    </w:p>
    <w:p w14:paraId="4A609CB7" w14:textId="77777777" w:rsidR="00FD0949" w:rsidRPr="005D0E1A" w:rsidRDefault="005D0E1A" w:rsidP="00FD0949">
      <w:pPr>
        <w:pStyle w:val="AODocTxt"/>
        <w:spacing w:before="0"/>
        <w:rPr>
          <w:rFonts w:ascii="Verdana" w:hAnsi="Verdana"/>
          <w:sz w:val="20"/>
          <w:szCs w:val="20"/>
        </w:rPr>
      </w:pPr>
      <w:r w:rsidRPr="005D0E1A">
        <w:rPr>
          <w:rFonts w:ascii="Verdana" w:hAnsi="Verdana"/>
          <w:sz w:val="20"/>
          <w:szCs w:val="20"/>
        </w:rPr>
        <w:t>2</w:t>
      </w:r>
      <w:r w:rsidR="00426432" w:rsidRPr="005D0E1A">
        <w:rPr>
          <w:rFonts w:ascii="Verdana" w:hAnsi="Verdana"/>
          <w:sz w:val="20"/>
          <w:szCs w:val="20"/>
        </w:rPr>
        <w:t>3</w:t>
      </w:r>
      <w:r w:rsidRPr="005D0E1A">
        <w:rPr>
          <w:rFonts w:ascii="Verdana" w:hAnsi="Verdana"/>
          <w:sz w:val="20"/>
          <w:szCs w:val="20"/>
        </w:rPr>
        <w:t> November </w:t>
      </w:r>
      <w:r w:rsidRPr="005D0E1A">
        <w:rPr>
          <w:rFonts w:ascii="Verdana" w:hAnsi="Verdana"/>
          <w:sz w:val="20"/>
          <w:szCs w:val="20"/>
        </w:rPr>
        <w:t>2020</w:t>
      </w:r>
    </w:p>
    <w:p w14:paraId="0BF61B65" w14:textId="293BBF74" w:rsidR="005D0E1A" w:rsidRDefault="005D0E1A">
      <w:pPr>
        <w:spacing w:line="260" w:lineRule="atLeast"/>
        <w:rPr>
          <w:rFonts w:ascii="Verdana" w:hAnsi="Verdana"/>
          <w:sz w:val="20"/>
          <w:szCs w:val="20"/>
        </w:rPr>
      </w:pPr>
    </w:p>
    <w:p w14:paraId="4A609CB8" w14:textId="09F80C22" w:rsidR="00FD0949" w:rsidRPr="005D0E1A" w:rsidRDefault="005D0E1A" w:rsidP="005D0E1A">
      <w:pPr>
        <w:pStyle w:val="AODocTxt"/>
        <w:tabs>
          <w:tab w:val="left" w:pos="3555"/>
        </w:tabs>
        <w:rPr>
          <w:rFonts w:ascii="Verdana" w:hAnsi="Verdana"/>
          <w:sz w:val="20"/>
          <w:szCs w:val="20"/>
        </w:rPr>
      </w:pPr>
      <w:r w:rsidRPr="005D0E1A">
        <w:rPr>
          <w:rFonts w:ascii="Verdana" w:hAnsi="Verdana"/>
          <w:sz w:val="20"/>
          <w:szCs w:val="20"/>
        </w:rPr>
        <w:t>JSE sponsor to Prosus</w:t>
      </w:r>
      <w:r>
        <w:rPr>
          <w:rFonts w:ascii="Verdana" w:hAnsi="Verdana"/>
          <w:sz w:val="20"/>
          <w:szCs w:val="20"/>
        </w:rPr>
        <w:tab/>
      </w:r>
    </w:p>
    <w:p w14:paraId="4A609CB9" w14:textId="742C8A26" w:rsidR="00FD0949" w:rsidRDefault="005D0E1A" w:rsidP="00FD0949">
      <w:pPr>
        <w:pStyle w:val="AODocTxt"/>
        <w:spacing w:before="0"/>
        <w:rPr>
          <w:rFonts w:ascii="Verdana" w:hAnsi="Verdana"/>
          <w:sz w:val="20"/>
          <w:szCs w:val="20"/>
        </w:rPr>
      </w:pPr>
      <w:r w:rsidRPr="005D0E1A">
        <w:rPr>
          <w:rFonts w:ascii="Verdana" w:hAnsi="Verdana"/>
          <w:sz w:val="20"/>
          <w:szCs w:val="20"/>
        </w:rPr>
        <w:t>Investec Bank Limited</w:t>
      </w:r>
    </w:p>
    <w:p w14:paraId="6BBCB8CE" w14:textId="77777777" w:rsidR="005D0E1A" w:rsidRPr="005D0E1A" w:rsidRDefault="005D0E1A" w:rsidP="00FD0949">
      <w:pPr>
        <w:pStyle w:val="AODocTxt"/>
        <w:spacing w:before="0"/>
        <w:rPr>
          <w:rFonts w:ascii="Verdana" w:hAnsi="Verdana"/>
          <w:sz w:val="20"/>
          <w:szCs w:val="20"/>
        </w:rPr>
      </w:pPr>
    </w:p>
    <w:tbl>
      <w:tblPr>
        <w:tblStyle w:val="TableGrid"/>
        <w:tblW w:w="9570" w:type="dxa"/>
        <w:tblLook w:val="04A0" w:firstRow="1" w:lastRow="0" w:firstColumn="1" w:lastColumn="0" w:noHBand="0" w:noVBand="1"/>
      </w:tblPr>
      <w:tblGrid>
        <w:gridCol w:w="9348"/>
        <w:gridCol w:w="222"/>
      </w:tblGrid>
      <w:tr w:rsidR="00C039CE" w:rsidRPr="005D0E1A" w14:paraId="4A609CC5" w14:textId="77777777" w:rsidTr="003A537E">
        <w:tc>
          <w:tcPr>
            <w:tcW w:w="9348" w:type="dxa"/>
            <w:tcBorders>
              <w:top w:val="nil"/>
              <w:left w:val="nil"/>
              <w:bottom w:val="nil"/>
              <w:right w:val="nil"/>
            </w:tcBorders>
          </w:tcPr>
          <w:p w14:paraId="4A609CBA" w14:textId="77777777" w:rsidR="00FD0949" w:rsidRPr="005D0E1A" w:rsidRDefault="005D0E1A" w:rsidP="003A537E">
            <w:pPr>
              <w:pStyle w:val="AODocTxt"/>
              <w:rPr>
                <w:rFonts w:ascii="Verdana" w:hAnsi="Verdana"/>
                <w:b/>
                <w:bCs/>
                <w:sz w:val="20"/>
                <w:szCs w:val="20"/>
                <w:lang w:val="en-ZA"/>
              </w:rPr>
            </w:pPr>
            <w:r w:rsidRPr="005D0E1A">
              <w:rPr>
                <w:rFonts w:ascii="Verdana" w:hAnsi="Verdana"/>
                <w:b/>
                <w:bCs/>
                <w:sz w:val="20"/>
                <w:szCs w:val="20"/>
                <w:lang w:val="en-ZA"/>
              </w:rPr>
              <w:t>Enquiries</w:t>
            </w:r>
          </w:p>
          <w:tbl>
            <w:tblPr>
              <w:tblStyle w:val="TableGrid"/>
              <w:tblW w:w="9209" w:type="dxa"/>
              <w:tblLook w:val="04A0" w:firstRow="1" w:lastRow="0" w:firstColumn="1" w:lastColumn="0" w:noHBand="0" w:noVBand="1"/>
            </w:tblPr>
            <w:tblGrid>
              <w:gridCol w:w="4815"/>
              <w:gridCol w:w="4394"/>
            </w:tblGrid>
            <w:tr w:rsidR="00C039CE" w:rsidRPr="005D0E1A" w14:paraId="4A609CBE" w14:textId="77777777" w:rsidTr="003A537E">
              <w:tc>
                <w:tcPr>
                  <w:tcW w:w="4815" w:type="dxa"/>
                  <w:tcBorders>
                    <w:top w:val="nil"/>
                    <w:left w:val="nil"/>
                    <w:bottom w:val="nil"/>
                    <w:right w:val="nil"/>
                  </w:tcBorders>
                  <w:hideMark/>
                </w:tcPr>
                <w:p w14:paraId="4A609CBB" w14:textId="77777777" w:rsidR="00FD0949" w:rsidRPr="005D0E1A" w:rsidRDefault="005D0E1A" w:rsidP="003A537E">
                  <w:pPr>
                    <w:pStyle w:val="AODocTxt"/>
                    <w:rPr>
                      <w:rFonts w:ascii="Verdana" w:hAnsi="Verdana"/>
                      <w:b/>
                      <w:sz w:val="20"/>
                      <w:szCs w:val="20"/>
                    </w:rPr>
                  </w:pPr>
                  <w:r w:rsidRPr="005D0E1A">
                    <w:rPr>
                      <w:rFonts w:ascii="Verdana" w:hAnsi="Verdana"/>
                      <w:b/>
                      <w:sz w:val="20"/>
                      <w:szCs w:val="20"/>
                    </w:rPr>
                    <w:t>Investor Enquiries</w:t>
                  </w:r>
                </w:p>
                <w:p w14:paraId="4A609CBC" w14:textId="77777777" w:rsidR="00FD0949" w:rsidRPr="005D0E1A" w:rsidRDefault="005D0E1A" w:rsidP="000429CB">
                  <w:pPr>
                    <w:pStyle w:val="AODocTxt"/>
                    <w:spacing w:before="0"/>
                    <w:rPr>
                      <w:rFonts w:ascii="Verdana" w:hAnsi="Verdana"/>
                      <w:sz w:val="20"/>
                      <w:szCs w:val="20"/>
                    </w:rPr>
                  </w:pPr>
                  <w:r w:rsidRPr="005D0E1A">
                    <w:rPr>
                      <w:rFonts w:ascii="Verdana" w:hAnsi="Verdana"/>
                      <w:sz w:val="20"/>
                      <w:szCs w:val="20"/>
                    </w:rPr>
                    <w:t>Eoin Ryan, Head of Investor Relations</w:t>
                  </w:r>
                </w:p>
              </w:tc>
              <w:tc>
                <w:tcPr>
                  <w:tcW w:w="4394" w:type="dxa"/>
                  <w:tcBorders>
                    <w:top w:val="nil"/>
                    <w:left w:val="nil"/>
                    <w:bottom w:val="nil"/>
                    <w:right w:val="nil"/>
                  </w:tcBorders>
                </w:tcPr>
                <w:p w14:paraId="4A609CBD" w14:textId="77777777" w:rsidR="00FD0949" w:rsidRPr="005D0E1A" w:rsidRDefault="005D0E1A" w:rsidP="003A537E">
                  <w:pPr>
                    <w:pStyle w:val="AODocTxt"/>
                    <w:rPr>
                      <w:rFonts w:ascii="Verdana" w:hAnsi="Verdana"/>
                      <w:sz w:val="20"/>
                      <w:szCs w:val="20"/>
                    </w:rPr>
                  </w:pPr>
                  <w:r w:rsidRPr="005D0E1A">
                    <w:rPr>
                      <w:rFonts w:ascii="Verdana" w:hAnsi="Verdana"/>
                      <w:sz w:val="20"/>
                      <w:szCs w:val="20"/>
                    </w:rPr>
                    <w:t>+1 347-210-4305</w:t>
                  </w:r>
                </w:p>
              </w:tc>
            </w:tr>
            <w:tr w:rsidR="00C039CE" w:rsidRPr="005D0E1A" w14:paraId="4A609CC2" w14:textId="77777777" w:rsidTr="003A537E">
              <w:trPr>
                <w:trHeight w:val="80"/>
              </w:trPr>
              <w:tc>
                <w:tcPr>
                  <w:tcW w:w="4815" w:type="dxa"/>
                  <w:tcBorders>
                    <w:top w:val="nil"/>
                    <w:left w:val="nil"/>
                    <w:bottom w:val="nil"/>
                    <w:right w:val="nil"/>
                  </w:tcBorders>
                </w:tcPr>
                <w:p w14:paraId="4A609CBF" w14:textId="77777777" w:rsidR="00FD0949" w:rsidRPr="005D0E1A" w:rsidRDefault="005D0E1A" w:rsidP="003A537E">
                  <w:pPr>
                    <w:pStyle w:val="AODocTxt"/>
                    <w:rPr>
                      <w:rFonts w:ascii="Verdana" w:hAnsi="Verdana"/>
                      <w:b/>
                      <w:sz w:val="20"/>
                      <w:szCs w:val="20"/>
                    </w:rPr>
                  </w:pPr>
                  <w:r w:rsidRPr="005D0E1A">
                    <w:rPr>
                      <w:rFonts w:ascii="Verdana" w:hAnsi="Verdana"/>
                      <w:b/>
                      <w:sz w:val="20"/>
                      <w:szCs w:val="20"/>
                    </w:rPr>
                    <w:t>Media Enquiries</w:t>
                  </w:r>
                </w:p>
                <w:p w14:paraId="4A609CC0" w14:textId="77777777" w:rsidR="00FD0949" w:rsidRPr="005D0E1A" w:rsidRDefault="005D0E1A" w:rsidP="003A537E">
                  <w:pPr>
                    <w:pStyle w:val="AODocTxt"/>
                    <w:spacing w:before="0"/>
                    <w:rPr>
                      <w:rFonts w:ascii="Verdana" w:hAnsi="Verdana"/>
                      <w:bCs/>
                      <w:sz w:val="20"/>
                      <w:szCs w:val="20"/>
                      <w:lang w:val="en-ZA"/>
                    </w:rPr>
                  </w:pPr>
                  <w:r w:rsidRPr="005D0E1A">
                    <w:rPr>
                      <w:rFonts w:ascii="Verdana" w:hAnsi="Verdana"/>
                      <w:sz w:val="20"/>
                      <w:szCs w:val="20"/>
                    </w:rPr>
                    <w:t>Sarah Ryan, International Media Relations</w:t>
                  </w:r>
                </w:p>
              </w:tc>
              <w:tc>
                <w:tcPr>
                  <w:tcW w:w="4394" w:type="dxa"/>
                  <w:tcBorders>
                    <w:top w:val="nil"/>
                    <w:left w:val="nil"/>
                    <w:bottom w:val="nil"/>
                    <w:right w:val="nil"/>
                  </w:tcBorders>
                </w:tcPr>
                <w:p w14:paraId="4A609CC1" w14:textId="77777777" w:rsidR="00FD0949" w:rsidRPr="005D0E1A" w:rsidRDefault="005D0E1A" w:rsidP="003A537E">
                  <w:pPr>
                    <w:pStyle w:val="AODocTxt"/>
                    <w:rPr>
                      <w:rFonts w:ascii="Verdana" w:hAnsi="Verdana"/>
                      <w:sz w:val="20"/>
                      <w:szCs w:val="20"/>
                    </w:rPr>
                  </w:pPr>
                  <w:r w:rsidRPr="005D0E1A">
                    <w:rPr>
                      <w:rFonts w:ascii="Verdana" w:hAnsi="Verdana"/>
                      <w:sz w:val="20"/>
                      <w:szCs w:val="20"/>
                    </w:rPr>
                    <w:t>+ 31 6 29721038</w:t>
                  </w:r>
                </w:p>
              </w:tc>
            </w:tr>
          </w:tbl>
          <w:p w14:paraId="4A609CC3" w14:textId="77777777" w:rsidR="00FD0949" w:rsidRPr="005D0E1A" w:rsidRDefault="00FD0949" w:rsidP="003A537E">
            <w:pPr>
              <w:pStyle w:val="AODocTxt"/>
              <w:rPr>
                <w:rFonts w:ascii="Verdana" w:hAnsi="Verdana"/>
                <w:sz w:val="20"/>
                <w:szCs w:val="20"/>
              </w:rPr>
            </w:pPr>
          </w:p>
        </w:tc>
        <w:tc>
          <w:tcPr>
            <w:tcW w:w="222" w:type="dxa"/>
            <w:tcBorders>
              <w:top w:val="nil"/>
              <w:left w:val="nil"/>
              <w:bottom w:val="nil"/>
              <w:right w:val="nil"/>
            </w:tcBorders>
          </w:tcPr>
          <w:p w14:paraId="4A609CC4" w14:textId="77777777" w:rsidR="00FD0949" w:rsidRPr="005D0E1A" w:rsidRDefault="00FD0949" w:rsidP="003A537E">
            <w:pPr>
              <w:pStyle w:val="AODocTxt"/>
              <w:rPr>
                <w:rFonts w:ascii="Verdana" w:hAnsi="Verdana"/>
                <w:bCs/>
                <w:sz w:val="20"/>
                <w:szCs w:val="20"/>
                <w:lang w:val="en-ZA"/>
              </w:rPr>
            </w:pPr>
          </w:p>
        </w:tc>
      </w:tr>
    </w:tbl>
    <w:p w14:paraId="4A609CC6" w14:textId="77777777" w:rsidR="00FD0949" w:rsidRPr="005D0E1A" w:rsidRDefault="005D0E1A" w:rsidP="002E68B5">
      <w:pPr>
        <w:pStyle w:val="AODocTxt"/>
        <w:spacing w:line="240" w:lineRule="auto"/>
        <w:rPr>
          <w:rFonts w:ascii="Verdana" w:hAnsi="Verdana"/>
          <w:b/>
          <w:i/>
          <w:iCs/>
          <w:sz w:val="16"/>
          <w:szCs w:val="16"/>
          <w:lang w:val="en-US"/>
        </w:rPr>
      </w:pPr>
      <w:r w:rsidRPr="005D0E1A">
        <w:rPr>
          <w:rFonts w:ascii="Verdana" w:hAnsi="Verdana"/>
          <w:b/>
          <w:i/>
          <w:iCs/>
          <w:sz w:val="16"/>
          <w:szCs w:val="16"/>
          <w:lang w:val="en-US"/>
        </w:rPr>
        <w:t>About Prosus</w:t>
      </w:r>
    </w:p>
    <w:p w14:paraId="4A609CC7" w14:textId="77777777" w:rsidR="00FD0949" w:rsidRPr="005D0E1A" w:rsidRDefault="005D0E1A" w:rsidP="002E68B5">
      <w:pPr>
        <w:pStyle w:val="AODocTxt"/>
        <w:spacing w:line="240" w:lineRule="auto"/>
        <w:rPr>
          <w:rFonts w:ascii="Verdana" w:hAnsi="Verdana"/>
          <w:i/>
          <w:iCs/>
          <w:sz w:val="16"/>
          <w:szCs w:val="16"/>
          <w:lang w:val="en-US"/>
        </w:rPr>
      </w:pPr>
      <w:r w:rsidRPr="005D0E1A">
        <w:rPr>
          <w:rFonts w:ascii="Verdana" w:hAnsi="Verdana"/>
          <w:i/>
          <w:iCs/>
          <w:sz w:val="16"/>
          <w:szCs w:val="16"/>
          <w:lang w:val="en-US"/>
        </w:rPr>
        <w:t>Prosus is a global consumer internet group and one of the largest technology investors in the world. Operating and investing globally in markets with long-term growth potential, Prosus builds leading consumer internet companies that empower people and enri</w:t>
      </w:r>
      <w:r w:rsidRPr="005D0E1A">
        <w:rPr>
          <w:rFonts w:ascii="Verdana" w:hAnsi="Verdana"/>
          <w:i/>
          <w:iCs/>
          <w:sz w:val="16"/>
          <w:szCs w:val="16"/>
          <w:lang w:val="en-US"/>
        </w:rPr>
        <w:t xml:space="preserve">ch communities. The group is focused on building meaningful businesses in the online classifieds, payments and fintech, and food delivery sectors in markets including India, Russia and Brazil. Through its ventures team investments, in areas including </w:t>
      </w:r>
      <w:proofErr w:type="spellStart"/>
      <w:r w:rsidRPr="005D0E1A">
        <w:rPr>
          <w:rFonts w:ascii="Verdana" w:hAnsi="Verdana"/>
          <w:i/>
          <w:iCs/>
          <w:sz w:val="16"/>
          <w:szCs w:val="16"/>
          <w:lang w:val="en-US"/>
        </w:rPr>
        <w:t>Edtec</w:t>
      </w:r>
      <w:r w:rsidRPr="005D0E1A">
        <w:rPr>
          <w:rFonts w:ascii="Verdana" w:hAnsi="Verdana"/>
          <w:i/>
          <w:iCs/>
          <w:sz w:val="16"/>
          <w:szCs w:val="16"/>
          <w:lang w:val="en-US"/>
        </w:rPr>
        <w:t>h</w:t>
      </w:r>
      <w:proofErr w:type="spellEnd"/>
      <w:r w:rsidRPr="005D0E1A">
        <w:rPr>
          <w:rFonts w:ascii="Verdana" w:hAnsi="Verdana"/>
          <w:i/>
          <w:iCs/>
          <w:sz w:val="16"/>
          <w:szCs w:val="16"/>
          <w:lang w:val="en-US"/>
        </w:rPr>
        <w:t xml:space="preserve"> and health, Prosus actively seeks new opportunities to partner with exceptional entrepreneurs who are using technology to address big societal needs. Every day, millions of people use the products and services of companies that Prosus has invested in, ac</w:t>
      </w:r>
      <w:r w:rsidRPr="005D0E1A">
        <w:rPr>
          <w:rFonts w:ascii="Verdana" w:hAnsi="Verdana"/>
          <w:i/>
          <w:iCs/>
          <w:sz w:val="16"/>
          <w:szCs w:val="16"/>
          <w:lang w:val="en-US"/>
        </w:rPr>
        <w:t xml:space="preserve">quired or built, including </w:t>
      </w:r>
      <w:proofErr w:type="spellStart"/>
      <w:r w:rsidRPr="005D0E1A">
        <w:rPr>
          <w:rFonts w:ascii="Verdana" w:hAnsi="Verdana"/>
          <w:i/>
          <w:iCs/>
          <w:sz w:val="16"/>
          <w:szCs w:val="16"/>
          <w:lang w:val="en-US"/>
        </w:rPr>
        <w:t>Avito</w:t>
      </w:r>
      <w:proofErr w:type="spellEnd"/>
      <w:r w:rsidRPr="005D0E1A">
        <w:rPr>
          <w:rFonts w:ascii="Verdana" w:hAnsi="Verdana"/>
          <w:i/>
          <w:iCs/>
          <w:sz w:val="16"/>
          <w:szCs w:val="16"/>
          <w:lang w:val="en-US"/>
        </w:rPr>
        <w:t xml:space="preserve">, Brainly, BYJU’S, </w:t>
      </w:r>
      <w:proofErr w:type="spellStart"/>
      <w:r w:rsidRPr="005D0E1A">
        <w:rPr>
          <w:rFonts w:ascii="Verdana" w:hAnsi="Verdana"/>
          <w:i/>
          <w:iCs/>
          <w:sz w:val="16"/>
          <w:szCs w:val="16"/>
          <w:lang w:val="en-US"/>
        </w:rPr>
        <w:t>Codecademy</w:t>
      </w:r>
      <w:proofErr w:type="spellEnd"/>
      <w:r w:rsidRPr="005D0E1A">
        <w:rPr>
          <w:rFonts w:ascii="Verdana" w:hAnsi="Verdana"/>
          <w:i/>
          <w:iCs/>
          <w:sz w:val="16"/>
          <w:szCs w:val="16"/>
          <w:lang w:val="en-US"/>
        </w:rPr>
        <w:t xml:space="preserve">, eMAG, Honor, </w:t>
      </w:r>
      <w:proofErr w:type="spellStart"/>
      <w:r w:rsidRPr="005D0E1A">
        <w:rPr>
          <w:rFonts w:ascii="Verdana" w:hAnsi="Verdana"/>
          <w:i/>
          <w:iCs/>
          <w:sz w:val="16"/>
          <w:szCs w:val="16"/>
          <w:lang w:val="en-US"/>
        </w:rPr>
        <w:t>iFood</w:t>
      </w:r>
      <w:proofErr w:type="spellEnd"/>
      <w:r w:rsidRPr="005D0E1A">
        <w:rPr>
          <w:rFonts w:ascii="Verdana" w:hAnsi="Verdana"/>
          <w:i/>
          <w:iCs/>
          <w:sz w:val="16"/>
          <w:szCs w:val="16"/>
          <w:lang w:val="en-US"/>
        </w:rPr>
        <w:t xml:space="preserve">, </w:t>
      </w:r>
      <w:proofErr w:type="spellStart"/>
      <w:r w:rsidRPr="005D0E1A">
        <w:rPr>
          <w:rFonts w:ascii="Verdana" w:hAnsi="Verdana"/>
          <w:i/>
          <w:iCs/>
          <w:sz w:val="16"/>
          <w:szCs w:val="16"/>
          <w:lang w:val="en-US"/>
        </w:rPr>
        <w:t>LazyPay</w:t>
      </w:r>
      <w:proofErr w:type="spellEnd"/>
      <w:r w:rsidRPr="005D0E1A">
        <w:rPr>
          <w:rFonts w:ascii="Verdana" w:hAnsi="Verdana"/>
          <w:i/>
          <w:iCs/>
          <w:sz w:val="16"/>
          <w:szCs w:val="16"/>
          <w:lang w:val="en-US"/>
        </w:rPr>
        <w:t xml:space="preserve">, </w:t>
      </w:r>
      <w:proofErr w:type="spellStart"/>
      <w:r w:rsidRPr="005D0E1A">
        <w:rPr>
          <w:rFonts w:ascii="Verdana" w:hAnsi="Verdana"/>
          <w:i/>
          <w:iCs/>
          <w:sz w:val="16"/>
          <w:szCs w:val="16"/>
          <w:lang w:val="en-US"/>
        </w:rPr>
        <w:t>letgo</w:t>
      </w:r>
      <w:proofErr w:type="spellEnd"/>
      <w:r w:rsidRPr="005D0E1A">
        <w:rPr>
          <w:rFonts w:ascii="Verdana" w:hAnsi="Verdana"/>
          <w:i/>
          <w:iCs/>
          <w:sz w:val="16"/>
          <w:szCs w:val="16"/>
          <w:lang w:val="en-US"/>
        </w:rPr>
        <w:t xml:space="preserve">, </w:t>
      </w:r>
      <w:proofErr w:type="spellStart"/>
      <w:r w:rsidRPr="005D0E1A">
        <w:rPr>
          <w:rFonts w:ascii="Verdana" w:hAnsi="Verdana"/>
          <w:i/>
          <w:iCs/>
          <w:sz w:val="16"/>
          <w:szCs w:val="16"/>
          <w:lang w:val="en-US"/>
        </w:rPr>
        <w:t>Meesho</w:t>
      </w:r>
      <w:proofErr w:type="spellEnd"/>
      <w:r w:rsidRPr="005D0E1A">
        <w:rPr>
          <w:rFonts w:ascii="Verdana" w:hAnsi="Verdana"/>
          <w:i/>
          <w:iCs/>
          <w:sz w:val="16"/>
          <w:szCs w:val="16"/>
          <w:lang w:val="en-US"/>
        </w:rPr>
        <w:t xml:space="preserve">, </w:t>
      </w:r>
      <w:proofErr w:type="spellStart"/>
      <w:r w:rsidRPr="005D0E1A">
        <w:rPr>
          <w:rFonts w:ascii="Verdana" w:hAnsi="Verdana"/>
          <w:i/>
          <w:iCs/>
          <w:sz w:val="16"/>
          <w:szCs w:val="16"/>
          <w:lang w:val="en-US"/>
        </w:rPr>
        <w:t>Movile</w:t>
      </w:r>
      <w:proofErr w:type="spellEnd"/>
      <w:r w:rsidRPr="005D0E1A">
        <w:rPr>
          <w:rFonts w:ascii="Verdana" w:hAnsi="Verdana"/>
          <w:i/>
          <w:iCs/>
          <w:sz w:val="16"/>
          <w:szCs w:val="16"/>
          <w:lang w:val="en-US"/>
        </w:rPr>
        <w:t xml:space="preserve">, OLX, PayU, Red Dot Payments, </w:t>
      </w:r>
      <w:proofErr w:type="spellStart"/>
      <w:r w:rsidRPr="005D0E1A">
        <w:rPr>
          <w:rFonts w:ascii="Verdana" w:hAnsi="Verdana"/>
          <w:i/>
          <w:iCs/>
          <w:sz w:val="16"/>
          <w:szCs w:val="16"/>
          <w:lang w:val="en-US"/>
        </w:rPr>
        <w:t>Remitly</w:t>
      </w:r>
      <w:proofErr w:type="spellEnd"/>
      <w:r w:rsidRPr="005D0E1A">
        <w:rPr>
          <w:rFonts w:ascii="Verdana" w:hAnsi="Verdana"/>
          <w:i/>
          <w:iCs/>
          <w:sz w:val="16"/>
          <w:szCs w:val="16"/>
          <w:lang w:val="en-US"/>
        </w:rPr>
        <w:t xml:space="preserve">, </w:t>
      </w:r>
      <w:proofErr w:type="spellStart"/>
      <w:r w:rsidRPr="005D0E1A">
        <w:rPr>
          <w:rFonts w:ascii="Verdana" w:hAnsi="Verdana"/>
          <w:i/>
          <w:iCs/>
          <w:sz w:val="16"/>
          <w:szCs w:val="16"/>
          <w:lang w:val="en-US"/>
        </w:rPr>
        <w:t>SimilarWeb</w:t>
      </w:r>
      <w:proofErr w:type="spellEnd"/>
      <w:r w:rsidRPr="005D0E1A">
        <w:rPr>
          <w:rFonts w:ascii="Verdana" w:hAnsi="Verdana"/>
          <w:i/>
          <w:iCs/>
          <w:sz w:val="16"/>
          <w:szCs w:val="16"/>
          <w:lang w:val="en-US"/>
        </w:rPr>
        <w:t xml:space="preserve">, </w:t>
      </w:r>
      <w:proofErr w:type="spellStart"/>
      <w:r w:rsidRPr="005D0E1A">
        <w:rPr>
          <w:rFonts w:ascii="Verdana" w:hAnsi="Verdana"/>
          <w:i/>
          <w:iCs/>
          <w:sz w:val="16"/>
          <w:szCs w:val="16"/>
          <w:lang w:val="en-US"/>
        </w:rPr>
        <w:t>SoloLearn</w:t>
      </w:r>
      <w:proofErr w:type="spellEnd"/>
      <w:r w:rsidRPr="005D0E1A">
        <w:rPr>
          <w:rFonts w:ascii="Verdana" w:hAnsi="Verdana"/>
          <w:i/>
          <w:iCs/>
          <w:sz w:val="16"/>
          <w:szCs w:val="16"/>
          <w:lang w:val="en-US"/>
        </w:rPr>
        <w:t xml:space="preserve">, </w:t>
      </w:r>
      <w:proofErr w:type="spellStart"/>
      <w:r w:rsidRPr="005D0E1A">
        <w:rPr>
          <w:rFonts w:ascii="Verdana" w:hAnsi="Verdana"/>
          <w:i/>
          <w:iCs/>
          <w:sz w:val="16"/>
          <w:szCs w:val="16"/>
          <w:lang w:val="en-US"/>
        </w:rPr>
        <w:t>Swiggy</w:t>
      </w:r>
      <w:proofErr w:type="spellEnd"/>
      <w:r w:rsidRPr="005D0E1A">
        <w:rPr>
          <w:rFonts w:ascii="Verdana" w:hAnsi="Verdana"/>
          <w:i/>
          <w:iCs/>
          <w:sz w:val="16"/>
          <w:szCs w:val="16"/>
          <w:lang w:val="en-US"/>
        </w:rPr>
        <w:t xml:space="preserve">, and Udemy. For more information, please visit </w:t>
      </w:r>
      <w:hyperlink r:id="rId11" w:history="1">
        <w:r w:rsidRPr="005D0E1A">
          <w:rPr>
            <w:rStyle w:val="Hyperlink"/>
            <w:rFonts w:ascii="Verdana" w:hAnsi="Verdana"/>
            <w:i/>
            <w:iCs/>
            <w:sz w:val="16"/>
            <w:szCs w:val="16"/>
            <w:lang w:val="en-US"/>
          </w:rPr>
          <w:t>www.prosus.com</w:t>
        </w:r>
      </w:hyperlink>
      <w:r w:rsidRPr="005D0E1A">
        <w:rPr>
          <w:rFonts w:ascii="Verdana" w:hAnsi="Verdana"/>
          <w:i/>
          <w:iCs/>
          <w:sz w:val="16"/>
          <w:szCs w:val="16"/>
          <w:lang w:val="en-US"/>
        </w:rPr>
        <w:t>.</w:t>
      </w:r>
    </w:p>
    <w:p w14:paraId="4A609CC8" w14:textId="77777777" w:rsidR="00FD0949" w:rsidRPr="005D0E1A" w:rsidRDefault="005D0E1A" w:rsidP="00FD0949">
      <w:pPr>
        <w:pStyle w:val="AODocTxt"/>
        <w:rPr>
          <w:rFonts w:ascii="Verdana" w:hAnsi="Verdana"/>
          <w:b/>
          <w:sz w:val="16"/>
          <w:szCs w:val="16"/>
          <w:lang w:val="en-ZA"/>
        </w:rPr>
      </w:pPr>
      <w:r w:rsidRPr="005D0E1A">
        <w:rPr>
          <w:rFonts w:ascii="Verdana" w:hAnsi="Verdana"/>
          <w:b/>
          <w:i/>
          <w:iCs/>
          <w:sz w:val="16"/>
          <w:szCs w:val="16"/>
          <w:lang w:val="en-US"/>
        </w:rPr>
        <w:t>Disclaimer</w:t>
      </w:r>
    </w:p>
    <w:p w14:paraId="4A609CC9" w14:textId="77777777" w:rsidR="003E2DFE" w:rsidRPr="005D0E1A" w:rsidRDefault="005D0E1A" w:rsidP="000311DD">
      <w:pPr>
        <w:pStyle w:val="AODocTxt"/>
        <w:rPr>
          <w:rFonts w:ascii="Verdana" w:hAnsi="Verdana"/>
          <w:sz w:val="16"/>
          <w:szCs w:val="16"/>
        </w:rPr>
      </w:pPr>
      <w:r w:rsidRPr="005D0E1A">
        <w:rPr>
          <w:rFonts w:ascii="Verdana" w:hAnsi="Verdana"/>
          <w:sz w:val="16"/>
          <w:szCs w:val="16"/>
        </w:rPr>
        <w:t>T</w:t>
      </w:r>
      <w:r w:rsidRPr="005D0E1A">
        <w:rPr>
          <w:rFonts w:ascii="Verdana" w:hAnsi="Verdana"/>
          <w:sz w:val="16"/>
          <w:szCs w:val="16"/>
        </w:rPr>
        <w:t xml:space="preserve">he Share Repurchase </w:t>
      </w:r>
      <w:r w:rsidRPr="005D0E1A">
        <w:rPr>
          <w:rFonts w:ascii="Verdana" w:hAnsi="Verdana"/>
          <w:sz w:val="16"/>
          <w:szCs w:val="16"/>
        </w:rPr>
        <w:t>is being conducted</w:t>
      </w:r>
      <w:r w:rsidRPr="005D0E1A">
        <w:rPr>
          <w:rFonts w:ascii="Verdana" w:hAnsi="Verdana"/>
          <w:sz w:val="16"/>
          <w:szCs w:val="16"/>
        </w:rPr>
        <w:t xml:space="preserve"> in accordance with </w:t>
      </w:r>
      <w:r w:rsidRPr="005D0E1A">
        <w:rPr>
          <w:rFonts w:ascii="Verdana" w:hAnsi="Verdana"/>
          <w:sz w:val="16"/>
          <w:szCs w:val="16"/>
        </w:rPr>
        <w:t>Articles </w:t>
      </w:r>
      <w:r w:rsidRPr="005D0E1A">
        <w:rPr>
          <w:rFonts w:ascii="Verdana" w:hAnsi="Verdana"/>
          <w:sz w:val="16"/>
          <w:szCs w:val="16"/>
        </w:rPr>
        <w:t>5</w:t>
      </w:r>
      <w:r w:rsidRPr="005D0E1A">
        <w:rPr>
          <w:rFonts w:ascii="Verdana" w:hAnsi="Verdana"/>
          <w:sz w:val="16"/>
          <w:szCs w:val="16"/>
        </w:rPr>
        <w:t>(1)</w:t>
      </w:r>
      <w:r w:rsidRPr="005D0E1A">
        <w:rPr>
          <w:rFonts w:ascii="Verdana" w:hAnsi="Verdana"/>
          <w:sz w:val="16"/>
          <w:szCs w:val="16"/>
        </w:rPr>
        <w:t xml:space="preserve"> and </w:t>
      </w:r>
      <w:r w:rsidRPr="005D0E1A">
        <w:rPr>
          <w:rFonts w:ascii="Verdana" w:hAnsi="Verdana"/>
          <w:sz w:val="16"/>
          <w:szCs w:val="16"/>
        </w:rPr>
        <w:t>5(</w:t>
      </w:r>
      <w:r w:rsidRPr="005D0E1A">
        <w:rPr>
          <w:rFonts w:ascii="Verdana" w:hAnsi="Verdana"/>
          <w:sz w:val="16"/>
          <w:szCs w:val="16"/>
        </w:rPr>
        <w:t>3</w:t>
      </w:r>
      <w:r w:rsidRPr="005D0E1A">
        <w:rPr>
          <w:rFonts w:ascii="Verdana" w:hAnsi="Verdana"/>
          <w:sz w:val="16"/>
          <w:szCs w:val="16"/>
        </w:rPr>
        <w:t xml:space="preserve">) of </w:t>
      </w:r>
      <w:r w:rsidRPr="005D0E1A">
        <w:rPr>
          <w:rFonts w:ascii="Verdana" w:hAnsi="Verdana"/>
          <w:sz w:val="16"/>
          <w:szCs w:val="16"/>
        </w:rPr>
        <w:t>Regulation (EU) No 596/2014 of the European Parliament and of the Council of 16 April 2014 on market abuse (</w:t>
      </w:r>
      <w:r w:rsidR="000311DD" w:rsidRPr="005D0E1A">
        <w:rPr>
          <w:rFonts w:ascii="Verdana" w:hAnsi="Verdana"/>
          <w:b/>
          <w:sz w:val="16"/>
          <w:szCs w:val="16"/>
        </w:rPr>
        <w:t>Market Abuse Regulation</w:t>
      </w:r>
      <w:r w:rsidRPr="005D0E1A">
        <w:rPr>
          <w:rFonts w:ascii="Verdana" w:hAnsi="Verdana"/>
          <w:sz w:val="16"/>
          <w:szCs w:val="16"/>
        </w:rPr>
        <w:t>)</w:t>
      </w:r>
      <w:r w:rsidRPr="005D0E1A">
        <w:rPr>
          <w:rFonts w:ascii="Verdana" w:hAnsi="Verdana"/>
          <w:sz w:val="16"/>
          <w:szCs w:val="16"/>
        </w:rPr>
        <w:t xml:space="preserve"> and</w:t>
      </w:r>
      <w:r w:rsidRPr="005D0E1A">
        <w:rPr>
          <w:rFonts w:ascii="Verdana" w:hAnsi="Verdana"/>
          <w:sz w:val="16"/>
          <w:szCs w:val="16"/>
        </w:rPr>
        <w:t xml:space="preserve"> </w:t>
      </w:r>
      <w:r w:rsidRPr="005D0E1A">
        <w:rPr>
          <w:rFonts w:ascii="Verdana" w:hAnsi="Verdana"/>
          <w:sz w:val="16"/>
          <w:szCs w:val="16"/>
        </w:rPr>
        <w:t>Articles 2</w:t>
      </w:r>
      <w:r w:rsidR="000311DD" w:rsidRPr="005D0E1A">
        <w:rPr>
          <w:rFonts w:ascii="Verdana" w:hAnsi="Verdana"/>
          <w:sz w:val="16"/>
          <w:szCs w:val="16"/>
        </w:rPr>
        <w:t xml:space="preserve"> </w:t>
      </w:r>
      <w:r w:rsidRPr="005D0E1A">
        <w:rPr>
          <w:rFonts w:ascii="Verdana" w:hAnsi="Verdana"/>
          <w:sz w:val="16"/>
          <w:szCs w:val="16"/>
        </w:rPr>
        <w:t>to</w:t>
      </w:r>
      <w:r w:rsidRPr="005D0E1A">
        <w:rPr>
          <w:rFonts w:ascii="Verdana" w:hAnsi="Verdana"/>
          <w:sz w:val="16"/>
          <w:szCs w:val="16"/>
        </w:rPr>
        <w:t xml:space="preserve"> 4 of </w:t>
      </w:r>
      <w:r w:rsidR="000311DD" w:rsidRPr="005D0E1A">
        <w:rPr>
          <w:rFonts w:ascii="Verdana" w:hAnsi="Verdana"/>
          <w:sz w:val="16"/>
          <w:szCs w:val="16"/>
        </w:rPr>
        <w:t xml:space="preserve">Commission Delegated Regulation (EU) 2016/1052 supplementing the Market Abuse Regulation with regard to regulatory technical standards for the conditions applicable to buy-back programmes and stabilisation measures (the </w:t>
      </w:r>
      <w:r w:rsidR="000311DD" w:rsidRPr="005D0E1A">
        <w:rPr>
          <w:rFonts w:ascii="Verdana" w:hAnsi="Verdana"/>
          <w:b/>
          <w:sz w:val="16"/>
          <w:szCs w:val="16"/>
        </w:rPr>
        <w:t>Delegated Regulation</w:t>
      </w:r>
      <w:r w:rsidRPr="005D0E1A">
        <w:rPr>
          <w:rFonts w:ascii="Verdana" w:hAnsi="Verdana"/>
          <w:sz w:val="16"/>
          <w:szCs w:val="16"/>
        </w:rPr>
        <w:t>).</w:t>
      </w:r>
      <w:r w:rsidR="000311DD" w:rsidRPr="005D0E1A">
        <w:rPr>
          <w:rFonts w:ascii="Verdana" w:hAnsi="Verdana"/>
          <w:sz w:val="16"/>
          <w:szCs w:val="16"/>
        </w:rPr>
        <w:t xml:space="preserve"> This </w:t>
      </w:r>
      <w:r w:rsidR="00030494" w:rsidRPr="005D0E1A">
        <w:rPr>
          <w:rFonts w:ascii="Verdana" w:hAnsi="Verdana"/>
          <w:sz w:val="16"/>
          <w:szCs w:val="16"/>
        </w:rPr>
        <w:t>document</w:t>
      </w:r>
      <w:r w:rsidR="000311DD" w:rsidRPr="005D0E1A">
        <w:rPr>
          <w:rFonts w:ascii="Verdana" w:hAnsi="Verdana"/>
          <w:sz w:val="16"/>
          <w:szCs w:val="16"/>
        </w:rPr>
        <w:t xml:space="preserve"> is issued in connection with the disclosure and reporting obligation set out in Article 2(1) of the Delegated Regulation.</w:t>
      </w:r>
      <w:r w:rsidR="00A63012" w:rsidRPr="005D0E1A">
        <w:rPr>
          <w:rFonts w:ascii="Verdana" w:hAnsi="Verdana"/>
          <w:sz w:val="16"/>
          <w:szCs w:val="16"/>
        </w:rPr>
        <w:t xml:space="preserve"> </w:t>
      </w:r>
      <w:r w:rsidRPr="005D0E1A">
        <w:rPr>
          <w:rFonts w:ascii="Verdana" w:hAnsi="Verdana"/>
          <w:sz w:val="16"/>
          <w:szCs w:val="16"/>
        </w:rPr>
        <w:t xml:space="preserve">This </w:t>
      </w:r>
      <w:r w:rsidRPr="005D0E1A">
        <w:rPr>
          <w:rFonts w:ascii="Verdana" w:hAnsi="Verdana"/>
          <w:sz w:val="16"/>
          <w:szCs w:val="16"/>
        </w:rPr>
        <w:t xml:space="preserve">document </w:t>
      </w:r>
      <w:r w:rsidRPr="005D0E1A">
        <w:rPr>
          <w:rFonts w:ascii="Verdana" w:hAnsi="Verdana"/>
          <w:sz w:val="16"/>
          <w:szCs w:val="16"/>
        </w:rPr>
        <w:t>contains information that qualifies as inside information within the meaning of Article</w:t>
      </w:r>
      <w:r w:rsidR="00B04DAA" w:rsidRPr="005D0E1A">
        <w:rPr>
          <w:rFonts w:ascii="Verdana" w:hAnsi="Verdana"/>
          <w:sz w:val="16"/>
          <w:szCs w:val="16"/>
        </w:rPr>
        <w:t> </w:t>
      </w:r>
      <w:r w:rsidRPr="005D0E1A">
        <w:rPr>
          <w:rFonts w:ascii="Verdana" w:hAnsi="Verdana"/>
          <w:sz w:val="16"/>
          <w:szCs w:val="16"/>
        </w:rPr>
        <w:t>7(1) of the Market Abuse Regulation</w:t>
      </w:r>
      <w:r w:rsidRPr="005D0E1A">
        <w:rPr>
          <w:rFonts w:ascii="Verdana" w:hAnsi="Verdana"/>
          <w:sz w:val="16"/>
          <w:szCs w:val="16"/>
        </w:rPr>
        <w:t>.</w:t>
      </w:r>
    </w:p>
    <w:p w14:paraId="4A609CCA" w14:textId="77777777" w:rsidR="00B21E51" w:rsidRPr="005D0E1A" w:rsidRDefault="005D0E1A" w:rsidP="000311DD">
      <w:pPr>
        <w:pStyle w:val="AODocTxt"/>
        <w:rPr>
          <w:rFonts w:ascii="Verdana" w:hAnsi="Verdana"/>
          <w:sz w:val="16"/>
          <w:szCs w:val="16"/>
        </w:rPr>
      </w:pPr>
      <w:r w:rsidRPr="005D0E1A">
        <w:rPr>
          <w:rFonts w:ascii="Verdana" w:hAnsi="Verdana"/>
          <w:b/>
          <w:sz w:val="16"/>
          <w:szCs w:val="16"/>
        </w:rPr>
        <w:t>C</w:t>
      </w:r>
      <w:r w:rsidRPr="005D0E1A">
        <w:rPr>
          <w:rFonts w:ascii="Verdana" w:hAnsi="Verdana"/>
          <w:b/>
          <w:sz w:val="16"/>
          <w:szCs w:val="16"/>
        </w:rPr>
        <w:t>onsideration</w:t>
      </w:r>
      <w:r w:rsidRPr="005D0E1A">
        <w:rPr>
          <w:rFonts w:ascii="Verdana" w:hAnsi="Verdana"/>
          <w:sz w:val="16"/>
          <w:szCs w:val="16"/>
        </w:rPr>
        <w:t xml:space="preserve"> includes transaction costs.</w:t>
      </w:r>
    </w:p>
    <w:p w14:paraId="4A609CCB" w14:textId="77777777" w:rsidR="002E68B5" w:rsidRPr="005D0E1A" w:rsidRDefault="005D0E1A" w:rsidP="002E68B5">
      <w:pPr>
        <w:pStyle w:val="AODocTxt"/>
        <w:rPr>
          <w:rFonts w:ascii="Verdana" w:hAnsi="Verdana"/>
          <w:sz w:val="16"/>
          <w:szCs w:val="16"/>
        </w:rPr>
      </w:pPr>
      <w:r w:rsidRPr="005D0E1A">
        <w:rPr>
          <w:rFonts w:ascii="Verdana" w:hAnsi="Verdana"/>
          <w:sz w:val="16"/>
          <w:szCs w:val="16"/>
        </w:rPr>
        <w:t xml:space="preserve">The information contained in this </w:t>
      </w:r>
      <w:r w:rsidR="00030494" w:rsidRPr="005D0E1A">
        <w:rPr>
          <w:rFonts w:ascii="Verdana" w:hAnsi="Verdana"/>
          <w:sz w:val="16"/>
          <w:szCs w:val="16"/>
        </w:rPr>
        <w:t xml:space="preserve">document </w:t>
      </w:r>
      <w:r w:rsidRPr="005D0E1A">
        <w:rPr>
          <w:rFonts w:ascii="Verdana" w:hAnsi="Verdana"/>
          <w:sz w:val="16"/>
          <w:szCs w:val="16"/>
        </w:rPr>
        <w:t>may contain forward-looking statements, estimates and projections. Forward-looking statements involve all matters that are not historical and may be identified by the words “anticipate”, ”believe”, ”estimate”, ”expect”, ”intend”, ”may”, ”should”, ”will”</w:t>
      </w:r>
      <w:r w:rsidRPr="005D0E1A">
        <w:rPr>
          <w:rFonts w:ascii="Verdana" w:hAnsi="Verdana"/>
          <w:sz w:val="16"/>
          <w:szCs w:val="16"/>
        </w:rPr>
        <w:t xml:space="preserve">, ”would” and similar expressions or their negatives, but the absence of these words does not necessarily mean that a statement is not forward-looking. These statements reflect </w:t>
      </w:r>
      <w:proofErr w:type="spellStart"/>
      <w:r w:rsidRPr="005D0E1A">
        <w:rPr>
          <w:rFonts w:ascii="Verdana" w:hAnsi="Verdana"/>
          <w:sz w:val="16"/>
          <w:szCs w:val="16"/>
        </w:rPr>
        <w:t>Prosus’s</w:t>
      </w:r>
      <w:proofErr w:type="spellEnd"/>
      <w:r w:rsidRPr="005D0E1A">
        <w:rPr>
          <w:rFonts w:ascii="Verdana" w:hAnsi="Verdana"/>
          <w:sz w:val="16"/>
          <w:szCs w:val="16"/>
        </w:rPr>
        <w:t xml:space="preserve"> intentions, beliefs or current expectations, involve elements of subje</w:t>
      </w:r>
      <w:r w:rsidRPr="005D0E1A">
        <w:rPr>
          <w:rFonts w:ascii="Verdana" w:hAnsi="Verdana"/>
          <w:sz w:val="16"/>
          <w:szCs w:val="16"/>
        </w:rPr>
        <w:t xml:space="preserve">ctive judgement and analysis and are based upon the best judgement of Prosus as of the date of this </w:t>
      </w:r>
      <w:r w:rsidR="00030494" w:rsidRPr="005D0E1A">
        <w:rPr>
          <w:rFonts w:ascii="Verdana" w:hAnsi="Verdana"/>
          <w:sz w:val="16"/>
          <w:szCs w:val="16"/>
        </w:rPr>
        <w:t>document</w:t>
      </w:r>
      <w:r w:rsidRPr="005D0E1A">
        <w:rPr>
          <w:rFonts w:ascii="Verdana" w:hAnsi="Verdana"/>
          <w:sz w:val="16"/>
          <w:szCs w:val="16"/>
        </w:rPr>
        <w:t xml:space="preserve">, but </w:t>
      </w:r>
      <w:r w:rsidR="00030494" w:rsidRPr="005D0E1A">
        <w:rPr>
          <w:rFonts w:ascii="Verdana" w:hAnsi="Verdana"/>
          <w:sz w:val="16"/>
          <w:szCs w:val="16"/>
        </w:rPr>
        <w:t xml:space="preserve">could prove to be wrong. </w:t>
      </w:r>
      <w:r w:rsidRPr="005D0E1A">
        <w:rPr>
          <w:rFonts w:ascii="Verdana" w:hAnsi="Verdana"/>
          <w:sz w:val="16"/>
          <w:szCs w:val="16"/>
        </w:rPr>
        <w:t>These statements are subject to change without notice and are based on a number of assumptions and entail known and u</w:t>
      </w:r>
      <w:r w:rsidRPr="005D0E1A">
        <w:rPr>
          <w:rFonts w:ascii="Verdana" w:hAnsi="Verdana"/>
          <w:sz w:val="16"/>
          <w:szCs w:val="16"/>
        </w:rPr>
        <w:t>nknown risks and uncertainties. Therefore, you should not rely on these forward-looking statements as a predictio</w:t>
      </w:r>
      <w:r w:rsidR="00030494" w:rsidRPr="005D0E1A">
        <w:rPr>
          <w:rFonts w:ascii="Verdana" w:hAnsi="Verdana"/>
          <w:sz w:val="16"/>
          <w:szCs w:val="16"/>
        </w:rPr>
        <w:t>n of actual results.</w:t>
      </w:r>
    </w:p>
    <w:p w14:paraId="4A609CCC" w14:textId="00112087" w:rsidR="002E68B5" w:rsidRDefault="005D0E1A" w:rsidP="002E68B5">
      <w:pPr>
        <w:pStyle w:val="AODocTxt"/>
        <w:rPr>
          <w:rFonts w:ascii="Verdana" w:hAnsi="Verdana"/>
          <w:sz w:val="16"/>
          <w:szCs w:val="16"/>
        </w:rPr>
      </w:pPr>
      <w:r w:rsidRPr="005D0E1A">
        <w:rPr>
          <w:rFonts w:ascii="Verdana" w:hAnsi="Verdana"/>
          <w:sz w:val="16"/>
          <w:szCs w:val="16"/>
        </w:rPr>
        <w:t xml:space="preserve">Any forward-looking statements are made only as of the date of this </w:t>
      </w:r>
      <w:r w:rsidR="00030494" w:rsidRPr="005D0E1A">
        <w:rPr>
          <w:rFonts w:ascii="Verdana" w:hAnsi="Verdana"/>
          <w:sz w:val="16"/>
          <w:szCs w:val="16"/>
        </w:rPr>
        <w:t xml:space="preserve">document </w:t>
      </w:r>
      <w:r w:rsidRPr="005D0E1A">
        <w:rPr>
          <w:rFonts w:ascii="Verdana" w:hAnsi="Verdana"/>
          <w:sz w:val="16"/>
          <w:szCs w:val="16"/>
        </w:rPr>
        <w:t>and neither Prosus nor any other person gives</w:t>
      </w:r>
      <w:r w:rsidRPr="005D0E1A">
        <w:rPr>
          <w:rFonts w:ascii="Verdana" w:hAnsi="Verdana"/>
          <w:sz w:val="16"/>
          <w:szCs w:val="16"/>
        </w:rPr>
        <w:t xml:space="preserve"> any undertaking, or is under any obligation, to update these forward-looking statements for events or circumstances that occur subsequent to the date of this </w:t>
      </w:r>
      <w:r w:rsidR="00030494" w:rsidRPr="005D0E1A">
        <w:rPr>
          <w:rFonts w:ascii="Verdana" w:hAnsi="Verdana"/>
          <w:sz w:val="16"/>
          <w:szCs w:val="16"/>
        </w:rPr>
        <w:t xml:space="preserve">document </w:t>
      </w:r>
      <w:r w:rsidRPr="005D0E1A">
        <w:rPr>
          <w:rFonts w:ascii="Verdana" w:hAnsi="Verdana"/>
          <w:sz w:val="16"/>
          <w:szCs w:val="16"/>
        </w:rPr>
        <w:t>or to update or keep current any of the information contained herein, any changes in ass</w:t>
      </w:r>
      <w:r w:rsidRPr="005D0E1A">
        <w:rPr>
          <w:rFonts w:ascii="Verdana" w:hAnsi="Verdana"/>
          <w:sz w:val="16"/>
          <w:szCs w:val="16"/>
        </w:rPr>
        <w:t xml:space="preserve">umptions or changes in factors affecting these statements and this </w:t>
      </w:r>
      <w:r w:rsidR="00030494" w:rsidRPr="005D0E1A">
        <w:rPr>
          <w:rFonts w:ascii="Verdana" w:hAnsi="Verdana"/>
          <w:sz w:val="16"/>
          <w:szCs w:val="16"/>
        </w:rPr>
        <w:t xml:space="preserve">document </w:t>
      </w:r>
      <w:r w:rsidRPr="005D0E1A">
        <w:rPr>
          <w:rFonts w:ascii="Verdana" w:hAnsi="Verdana"/>
          <w:sz w:val="16"/>
          <w:szCs w:val="16"/>
        </w:rPr>
        <w:t>is not a representation by Prosus or any other person that they will do so, except to the extent required by law.</w:t>
      </w:r>
    </w:p>
    <w:p w14:paraId="5CE879AD" w14:textId="5D90DB61" w:rsidR="005D0E1A" w:rsidRPr="005D0E1A" w:rsidRDefault="005D0E1A" w:rsidP="005D0E1A">
      <w:bookmarkStart w:id="1" w:name="_GoBack"/>
      <w:bookmarkEnd w:id="1"/>
    </w:p>
    <w:p w14:paraId="193D09E8" w14:textId="55B1D1D0" w:rsidR="005D0E1A" w:rsidRPr="005D0E1A" w:rsidRDefault="005D0E1A" w:rsidP="005D0E1A"/>
    <w:p w14:paraId="21CAEBCF" w14:textId="00C5367A" w:rsidR="005D0E1A" w:rsidRDefault="005D0E1A" w:rsidP="005D0E1A">
      <w:pPr>
        <w:rPr>
          <w:rFonts w:ascii="Verdana" w:hAnsi="Verdana"/>
          <w:sz w:val="16"/>
          <w:szCs w:val="16"/>
        </w:rPr>
      </w:pPr>
    </w:p>
    <w:p w14:paraId="28C7845E" w14:textId="092DDDC6" w:rsidR="005D0E1A" w:rsidRPr="005D0E1A" w:rsidRDefault="005D0E1A" w:rsidP="005D0E1A">
      <w:pPr>
        <w:tabs>
          <w:tab w:val="left" w:pos="2235"/>
        </w:tabs>
      </w:pPr>
      <w:r>
        <w:tab/>
      </w:r>
    </w:p>
    <w:sectPr w:rsidR="005D0E1A" w:rsidRPr="005D0E1A" w:rsidSect="008E6631">
      <w:pgSz w:w="11906" w:h="16838" w:code="9"/>
      <w:pgMar w:top="1588" w:right="1134" w:bottom="1021" w:left="1134"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09CE3" w14:textId="77777777" w:rsidR="00000000" w:rsidRDefault="005D0E1A">
      <w:r>
        <w:separator/>
      </w:r>
    </w:p>
  </w:endnote>
  <w:endnote w:type="continuationSeparator" w:id="0">
    <w:p w14:paraId="4A609CE5" w14:textId="77777777" w:rsidR="00000000" w:rsidRDefault="005D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09CDF" w14:textId="77777777" w:rsidR="00000000" w:rsidRDefault="005D0E1A">
      <w:r>
        <w:separator/>
      </w:r>
    </w:p>
  </w:footnote>
  <w:footnote w:type="continuationSeparator" w:id="0">
    <w:p w14:paraId="4A609CE1" w14:textId="77777777" w:rsidR="00000000" w:rsidRDefault="005D0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9E7"/>
    <w:multiLevelType w:val="multilevel"/>
    <w:tmpl w:val="4AE6BC92"/>
    <w:name w:val="AOApp"/>
    <w:lvl w:ilvl="0">
      <w:start w:val="1"/>
      <w:numFmt w:val="decimal"/>
      <w:pStyle w:val="AOAppHead"/>
      <w:suff w:val="nothing"/>
      <w:lvlText w:val="Appendix %1"/>
      <w:lvlJc w:val="left"/>
      <w:pPr>
        <w:tabs>
          <w:tab w:val="num" w:pos="0"/>
        </w:tabs>
        <w:ind w:left="0" w:firstLine="0"/>
      </w:pPr>
      <w:rPr>
        <w:rFonts w:ascii="Times New Roman Bold" w:hAnsi="Times New Roman Bold"/>
      </w:rPr>
    </w:lvl>
    <w:lvl w:ilvl="1">
      <w:start w:val="1"/>
      <w:numFmt w:val="decimal"/>
      <w:pStyle w:val="AOApp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9FC2486A"/>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4830EC42"/>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C14B0E4"/>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15:restartNumberingAfterBreak="0">
    <w:nsid w:val="37021940"/>
    <w:multiLevelType w:val="hybridMultilevel"/>
    <w:tmpl w:val="AC1E9FC8"/>
    <w:lvl w:ilvl="0" w:tplc="24B0BB6C">
      <w:start w:val="1"/>
      <w:numFmt w:val="bullet"/>
      <w:lvlText w:val=""/>
      <w:lvlJc w:val="left"/>
      <w:pPr>
        <w:ind w:left="720" w:hanging="360"/>
      </w:pPr>
      <w:rPr>
        <w:rFonts w:ascii="Symbol" w:hAnsi="Symbol" w:hint="default"/>
      </w:rPr>
    </w:lvl>
    <w:lvl w:ilvl="1" w:tplc="BABA0ED8" w:tentative="1">
      <w:start w:val="1"/>
      <w:numFmt w:val="bullet"/>
      <w:lvlText w:val="o"/>
      <w:lvlJc w:val="left"/>
      <w:pPr>
        <w:ind w:left="1440" w:hanging="360"/>
      </w:pPr>
      <w:rPr>
        <w:rFonts w:ascii="Courier New" w:hAnsi="Courier New" w:cs="Courier New" w:hint="default"/>
      </w:rPr>
    </w:lvl>
    <w:lvl w:ilvl="2" w:tplc="EF66D436" w:tentative="1">
      <w:start w:val="1"/>
      <w:numFmt w:val="bullet"/>
      <w:lvlText w:val=""/>
      <w:lvlJc w:val="left"/>
      <w:pPr>
        <w:ind w:left="2160" w:hanging="360"/>
      </w:pPr>
      <w:rPr>
        <w:rFonts w:ascii="Wingdings" w:hAnsi="Wingdings" w:hint="default"/>
      </w:rPr>
    </w:lvl>
    <w:lvl w:ilvl="3" w:tplc="982C66AA" w:tentative="1">
      <w:start w:val="1"/>
      <w:numFmt w:val="bullet"/>
      <w:lvlText w:val=""/>
      <w:lvlJc w:val="left"/>
      <w:pPr>
        <w:ind w:left="2880" w:hanging="360"/>
      </w:pPr>
      <w:rPr>
        <w:rFonts w:ascii="Symbol" w:hAnsi="Symbol" w:hint="default"/>
      </w:rPr>
    </w:lvl>
    <w:lvl w:ilvl="4" w:tplc="DDA6E714" w:tentative="1">
      <w:start w:val="1"/>
      <w:numFmt w:val="bullet"/>
      <w:lvlText w:val="o"/>
      <w:lvlJc w:val="left"/>
      <w:pPr>
        <w:ind w:left="3600" w:hanging="360"/>
      </w:pPr>
      <w:rPr>
        <w:rFonts w:ascii="Courier New" w:hAnsi="Courier New" w:cs="Courier New" w:hint="default"/>
      </w:rPr>
    </w:lvl>
    <w:lvl w:ilvl="5" w:tplc="7F2C4EB6" w:tentative="1">
      <w:start w:val="1"/>
      <w:numFmt w:val="bullet"/>
      <w:lvlText w:val=""/>
      <w:lvlJc w:val="left"/>
      <w:pPr>
        <w:ind w:left="4320" w:hanging="360"/>
      </w:pPr>
      <w:rPr>
        <w:rFonts w:ascii="Wingdings" w:hAnsi="Wingdings" w:hint="default"/>
      </w:rPr>
    </w:lvl>
    <w:lvl w:ilvl="6" w:tplc="231076B0" w:tentative="1">
      <w:start w:val="1"/>
      <w:numFmt w:val="bullet"/>
      <w:lvlText w:val=""/>
      <w:lvlJc w:val="left"/>
      <w:pPr>
        <w:ind w:left="5040" w:hanging="360"/>
      </w:pPr>
      <w:rPr>
        <w:rFonts w:ascii="Symbol" w:hAnsi="Symbol" w:hint="default"/>
      </w:rPr>
    </w:lvl>
    <w:lvl w:ilvl="7" w:tplc="B3FA2E0C" w:tentative="1">
      <w:start w:val="1"/>
      <w:numFmt w:val="bullet"/>
      <w:lvlText w:val="o"/>
      <w:lvlJc w:val="left"/>
      <w:pPr>
        <w:ind w:left="5760" w:hanging="360"/>
      </w:pPr>
      <w:rPr>
        <w:rFonts w:ascii="Courier New" w:hAnsi="Courier New" w:cs="Courier New" w:hint="default"/>
      </w:rPr>
    </w:lvl>
    <w:lvl w:ilvl="8" w:tplc="EDC406E8" w:tentative="1">
      <w:start w:val="1"/>
      <w:numFmt w:val="bullet"/>
      <w:lvlText w:val=""/>
      <w:lvlJc w:val="left"/>
      <w:pPr>
        <w:ind w:left="6480" w:hanging="360"/>
      </w:pPr>
      <w:rPr>
        <w:rFonts w:ascii="Wingdings" w:hAnsi="Wingdings" w:hint="default"/>
      </w:rPr>
    </w:lvl>
  </w:abstractNum>
  <w:abstractNum w:abstractNumId="5" w15:restartNumberingAfterBreak="0">
    <w:nsid w:val="391D542D"/>
    <w:multiLevelType w:val="multilevel"/>
    <w:tmpl w:val="3118B31C"/>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D0E7D39"/>
    <w:multiLevelType w:val="multilevel"/>
    <w:tmpl w:val="32BA5AE2"/>
    <w:name w:val="AOSch"/>
    <w:lvl w:ilvl="0">
      <w:start w:val="1"/>
      <w:numFmt w:val="decimal"/>
      <w:pStyle w:val="AOSchHead"/>
      <w:suff w:val="nothing"/>
      <w:lvlText w:val="Schedule %1"/>
      <w:lvlJc w:val="left"/>
      <w:pPr>
        <w:tabs>
          <w:tab w:val="num" w:pos="0"/>
        </w:tabs>
        <w:ind w:left="0" w:firstLine="0"/>
      </w:pPr>
      <w:rPr>
        <w:rFonts w:ascii="Times New Roman Bold" w:hAnsi="Times New Roman Bold"/>
      </w:rPr>
    </w:lvl>
    <w:lvl w:ilvl="1">
      <w:start w:val="1"/>
      <w:numFmt w:val="decimal"/>
      <w:pStyle w:val="AOSch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 w15:restartNumberingAfterBreak="0">
    <w:nsid w:val="3E29759A"/>
    <w:multiLevelType w:val="multilevel"/>
    <w:tmpl w:val="E858054A"/>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40A00DCF"/>
    <w:multiLevelType w:val="hybridMultilevel"/>
    <w:tmpl w:val="CA00ECCC"/>
    <w:lvl w:ilvl="0" w:tplc="A386CB00">
      <w:start w:val="1"/>
      <w:numFmt w:val="bullet"/>
      <w:lvlText w:val=""/>
      <w:lvlJc w:val="left"/>
      <w:pPr>
        <w:ind w:left="720" w:hanging="720"/>
      </w:pPr>
      <w:rPr>
        <w:rFonts w:ascii="Symbol" w:hAnsi="Symbol" w:hint="default"/>
      </w:rPr>
    </w:lvl>
    <w:lvl w:ilvl="1" w:tplc="407E6C1C" w:tentative="1">
      <w:start w:val="1"/>
      <w:numFmt w:val="bullet"/>
      <w:lvlText w:val="o"/>
      <w:lvlJc w:val="left"/>
      <w:pPr>
        <w:ind w:left="1080" w:hanging="360"/>
      </w:pPr>
      <w:rPr>
        <w:rFonts w:ascii="Courier New" w:hAnsi="Courier New" w:cs="Courier New" w:hint="default"/>
      </w:rPr>
    </w:lvl>
    <w:lvl w:ilvl="2" w:tplc="E1DC399E" w:tentative="1">
      <w:start w:val="1"/>
      <w:numFmt w:val="bullet"/>
      <w:lvlText w:val=""/>
      <w:lvlJc w:val="left"/>
      <w:pPr>
        <w:ind w:left="1800" w:hanging="360"/>
      </w:pPr>
      <w:rPr>
        <w:rFonts w:ascii="Wingdings" w:hAnsi="Wingdings" w:hint="default"/>
      </w:rPr>
    </w:lvl>
    <w:lvl w:ilvl="3" w:tplc="EADED2D2" w:tentative="1">
      <w:start w:val="1"/>
      <w:numFmt w:val="bullet"/>
      <w:lvlText w:val=""/>
      <w:lvlJc w:val="left"/>
      <w:pPr>
        <w:ind w:left="2520" w:hanging="360"/>
      </w:pPr>
      <w:rPr>
        <w:rFonts w:ascii="Symbol" w:hAnsi="Symbol" w:hint="default"/>
      </w:rPr>
    </w:lvl>
    <w:lvl w:ilvl="4" w:tplc="6C128BE0" w:tentative="1">
      <w:start w:val="1"/>
      <w:numFmt w:val="bullet"/>
      <w:lvlText w:val="o"/>
      <w:lvlJc w:val="left"/>
      <w:pPr>
        <w:ind w:left="3240" w:hanging="360"/>
      </w:pPr>
      <w:rPr>
        <w:rFonts w:ascii="Courier New" w:hAnsi="Courier New" w:cs="Courier New" w:hint="default"/>
      </w:rPr>
    </w:lvl>
    <w:lvl w:ilvl="5" w:tplc="917EFE44" w:tentative="1">
      <w:start w:val="1"/>
      <w:numFmt w:val="bullet"/>
      <w:lvlText w:val=""/>
      <w:lvlJc w:val="left"/>
      <w:pPr>
        <w:ind w:left="3960" w:hanging="360"/>
      </w:pPr>
      <w:rPr>
        <w:rFonts w:ascii="Wingdings" w:hAnsi="Wingdings" w:hint="default"/>
      </w:rPr>
    </w:lvl>
    <w:lvl w:ilvl="6" w:tplc="24D8D894" w:tentative="1">
      <w:start w:val="1"/>
      <w:numFmt w:val="bullet"/>
      <w:lvlText w:val=""/>
      <w:lvlJc w:val="left"/>
      <w:pPr>
        <w:ind w:left="4680" w:hanging="360"/>
      </w:pPr>
      <w:rPr>
        <w:rFonts w:ascii="Symbol" w:hAnsi="Symbol" w:hint="default"/>
      </w:rPr>
    </w:lvl>
    <w:lvl w:ilvl="7" w:tplc="57C4837E" w:tentative="1">
      <w:start w:val="1"/>
      <w:numFmt w:val="bullet"/>
      <w:lvlText w:val="o"/>
      <w:lvlJc w:val="left"/>
      <w:pPr>
        <w:ind w:left="5400" w:hanging="360"/>
      </w:pPr>
      <w:rPr>
        <w:rFonts w:ascii="Courier New" w:hAnsi="Courier New" w:cs="Courier New" w:hint="default"/>
      </w:rPr>
    </w:lvl>
    <w:lvl w:ilvl="8" w:tplc="132AB1E6" w:tentative="1">
      <w:start w:val="1"/>
      <w:numFmt w:val="bullet"/>
      <w:lvlText w:val=""/>
      <w:lvlJc w:val="left"/>
      <w:pPr>
        <w:ind w:left="6120" w:hanging="360"/>
      </w:pPr>
      <w:rPr>
        <w:rFonts w:ascii="Wingdings" w:hAnsi="Wingdings" w:hint="default"/>
      </w:rPr>
    </w:lvl>
  </w:abstractNum>
  <w:abstractNum w:abstractNumId="9" w15:restartNumberingAfterBreak="0">
    <w:nsid w:val="41F230E7"/>
    <w:multiLevelType w:val="singleLevel"/>
    <w:tmpl w:val="D8EEB1C0"/>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10" w15:restartNumberingAfterBreak="0">
    <w:nsid w:val="47B238E7"/>
    <w:multiLevelType w:val="multilevel"/>
    <w:tmpl w:val="D2C69366"/>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15:restartNumberingAfterBreak="0">
    <w:nsid w:val="49C66851"/>
    <w:multiLevelType w:val="multilevel"/>
    <w:tmpl w:val="4E548026"/>
    <w:name w:val="AOAnx"/>
    <w:lvl w:ilvl="0">
      <w:start w:val="1"/>
      <w:numFmt w:val="decimal"/>
      <w:pStyle w:val="AOAnxHead"/>
      <w:suff w:val="nothing"/>
      <w:lvlText w:val="Annex %1"/>
      <w:lvlJc w:val="left"/>
      <w:pPr>
        <w:tabs>
          <w:tab w:val="num" w:pos="0"/>
        </w:tabs>
        <w:ind w:left="0" w:firstLine="0"/>
      </w:pPr>
      <w:rPr>
        <w:rFonts w:ascii="Times New Roman Bold" w:hAnsi="Times New Roman Bold"/>
      </w:rPr>
    </w:lvl>
    <w:lvl w:ilvl="1">
      <w:start w:val="1"/>
      <w:numFmt w:val="decimal"/>
      <w:pStyle w:val="AOAnx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2" w15:restartNumberingAfterBreak="0">
    <w:nsid w:val="4CFE7B09"/>
    <w:multiLevelType w:val="multilevel"/>
    <w:tmpl w:val="ED72CCE0"/>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3" w15:restartNumberingAfterBreak="0">
    <w:nsid w:val="4E4B4E3E"/>
    <w:multiLevelType w:val="multilevel"/>
    <w:tmpl w:val="A468C28C"/>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511C70D7"/>
    <w:multiLevelType w:val="multilevel"/>
    <w:tmpl w:val="F258D804"/>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5D793C71"/>
    <w:multiLevelType w:val="hybridMultilevel"/>
    <w:tmpl w:val="3EBAB434"/>
    <w:lvl w:ilvl="0" w:tplc="C1E62044">
      <w:numFmt w:val="bullet"/>
      <w:lvlText w:val="•"/>
      <w:lvlJc w:val="left"/>
      <w:pPr>
        <w:ind w:left="1080" w:hanging="720"/>
      </w:pPr>
      <w:rPr>
        <w:rFonts w:ascii="Times New Roman" w:eastAsiaTheme="minorHAnsi" w:hAnsi="Times New Roman" w:cs="Times New Roman" w:hint="default"/>
      </w:rPr>
    </w:lvl>
    <w:lvl w:ilvl="1" w:tplc="4E581F8E" w:tentative="1">
      <w:start w:val="1"/>
      <w:numFmt w:val="bullet"/>
      <w:lvlText w:val="o"/>
      <w:lvlJc w:val="left"/>
      <w:pPr>
        <w:ind w:left="1440" w:hanging="360"/>
      </w:pPr>
      <w:rPr>
        <w:rFonts w:ascii="Courier New" w:hAnsi="Courier New" w:cs="Courier New" w:hint="default"/>
      </w:rPr>
    </w:lvl>
    <w:lvl w:ilvl="2" w:tplc="FEE09E6C" w:tentative="1">
      <w:start w:val="1"/>
      <w:numFmt w:val="bullet"/>
      <w:lvlText w:val=""/>
      <w:lvlJc w:val="left"/>
      <w:pPr>
        <w:ind w:left="2160" w:hanging="360"/>
      </w:pPr>
      <w:rPr>
        <w:rFonts w:ascii="Wingdings" w:hAnsi="Wingdings" w:hint="default"/>
      </w:rPr>
    </w:lvl>
    <w:lvl w:ilvl="3" w:tplc="4296E726" w:tentative="1">
      <w:start w:val="1"/>
      <w:numFmt w:val="bullet"/>
      <w:lvlText w:val=""/>
      <w:lvlJc w:val="left"/>
      <w:pPr>
        <w:ind w:left="2880" w:hanging="360"/>
      </w:pPr>
      <w:rPr>
        <w:rFonts w:ascii="Symbol" w:hAnsi="Symbol" w:hint="default"/>
      </w:rPr>
    </w:lvl>
    <w:lvl w:ilvl="4" w:tplc="3EEE82CC" w:tentative="1">
      <w:start w:val="1"/>
      <w:numFmt w:val="bullet"/>
      <w:lvlText w:val="o"/>
      <w:lvlJc w:val="left"/>
      <w:pPr>
        <w:ind w:left="3600" w:hanging="360"/>
      </w:pPr>
      <w:rPr>
        <w:rFonts w:ascii="Courier New" w:hAnsi="Courier New" w:cs="Courier New" w:hint="default"/>
      </w:rPr>
    </w:lvl>
    <w:lvl w:ilvl="5" w:tplc="59B862C6" w:tentative="1">
      <w:start w:val="1"/>
      <w:numFmt w:val="bullet"/>
      <w:lvlText w:val=""/>
      <w:lvlJc w:val="left"/>
      <w:pPr>
        <w:ind w:left="4320" w:hanging="360"/>
      </w:pPr>
      <w:rPr>
        <w:rFonts w:ascii="Wingdings" w:hAnsi="Wingdings" w:hint="default"/>
      </w:rPr>
    </w:lvl>
    <w:lvl w:ilvl="6" w:tplc="BAA00A08" w:tentative="1">
      <w:start w:val="1"/>
      <w:numFmt w:val="bullet"/>
      <w:lvlText w:val=""/>
      <w:lvlJc w:val="left"/>
      <w:pPr>
        <w:ind w:left="5040" w:hanging="360"/>
      </w:pPr>
      <w:rPr>
        <w:rFonts w:ascii="Symbol" w:hAnsi="Symbol" w:hint="default"/>
      </w:rPr>
    </w:lvl>
    <w:lvl w:ilvl="7" w:tplc="4090204A" w:tentative="1">
      <w:start w:val="1"/>
      <w:numFmt w:val="bullet"/>
      <w:lvlText w:val="o"/>
      <w:lvlJc w:val="left"/>
      <w:pPr>
        <w:ind w:left="5760" w:hanging="360"/>
      </w:pPr>
      <w:rPr>
        <w:rFonts w:ascii="Courier New" w:hAnsi="Courier New" w:cs="Courier New" w:hint="default"/>
      </w:rPr>
    </w:lvl>
    <w:lvl w:ilvl="8" w:tplc="17043490" w:tentative="1">
      <w:start w:val="1"/>
      <w:numFmt w:val="bullet"/>
      <w:lvlText w:val=""/>
      <w:lvlJc w:val="left"/>
      <w:pPr>
        <w:ind w:left="6480" w:hanging="360"/>
      </w:pPr>
      <w:rPr>
        <w:rFonts w:ascii="Wingdings" w:hAnsi="Wingdings" w:hint="default"/>
      </w:rPr>
    </w:lvl>
  </w:abstractNum>
  <w:abstractNum w:abstractNumId="16" w15:restartNumberingAfterBreak="0">
    <w:nsid w:val="62830D10"/>
    <w:multiLevelType w:val="multilevel"/>
    <w:tmpl w:val="DEAC06D2"/>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7" w15:restartNumberingAfterBreak="0">
    <w:nsid w:val="69936DA5"/>
    <w:multiLevelType w:val="hybridMultilevel"/>
    <w:tmpl w:val="5BB2130A"/>
    <w:lvl w:ilvl="0" w:tplc="7DC0966E">
      <w:start w:val="1"/>
      <w:numFmt w:val="bullet"/>
      <w:lvlText w:val=""/>
      <w:lvlJc w:val="left"/>
      <w:pPr>
        <w:ind w:left="720" w:hanging="360"/>
      </w:pPr>
      <w:rPr>
        <w:rFonts w:ascii="Symbol" w:hAnsi="Symbol" w:hint="default"/>
      </w:rPr>
    </w:lvl>
    <w:lvl w:ilvl="1" w:tplc="6CEE8262" w:tentative="1">
      <w:start w:val="1"/>
      <w:numFmt w:val="bullet"/>
      <w:lvlText w:val="o"/>
      <w:lvlJc w:val="left"/>
      <w:pPr>
        <w:ind w:left="1440" w:hanging="360"/>
      </w:pPr>
      <w:rPr>
        <w:rFonts w:ascii="Courier New" w:hAnsi="Courier New" w:cs="Courier New" w:hint="default"/>
      </w:rPr>
    </w:lvl>
    <w:lvl w:ilvl="2" w:tplc="69F2EF3C" w:tentative="1">
      <w:start w:val="1"/>
      <w:numFmt w:val="bullet"/>
      <w:lvlText w:val=""/>
      <w:lvlJc w:val="left"/>
      <w:pPr>
        <w:ind w:left="2160" w:hanging="360"/>
      </w:pPr>
      <w:rPr>
        <w:rFonts w:ascii="Wingdings" w:hAnsi="Wingdings" w:hint="default"/>
      </w:rPr>
    </w:lvl>
    <w:lvl w:ilvl="3" w:tplc="6A9C46CA" w:tentative="1">
      <w:start w:val="1"/>
      <w:numFmt w:val="bullet"/>
      <w:lvlText w:val=""/>
      <w:lvlJc w:val="left"/>
      <w:pPr>
        <w:ind w:left="2880" w:hanging="360"/>
      </w:pPr>
      <w:rPr>
        <w:rFonts w:ascii="Symbol" w:hAnsi="Symbol" w:hint="default"/>
      </w:rPr>
    </w:lvl>
    <w:lvl w:ilvl="4" w:tplc="3BE8C150" w:tentative="1">
      <w:start w:val="1"/>
      <w:numFmt w:val="bullet"/>
      <w:lvlText w:val="o"/>
      <w:lvlJc w:val="left"/>
      <w:pPr>
        <w:ind w:left="3600" w:hanging="360"/>
      </w:pPr>
      <w:rPr>
        <w:rFonts w:ascii="Courier New" w:hAnsi="Courier New" w:cs="Courier New" w:hint="default"/>
      </w:rPr>
    </w:lvl>
    <w:lvl w:ilvl="5" w:tplc="C3F05EE6" w:tentative="1">
      <w:start w:val="1"/>
      <w:numFmt w:val="bullet"/>
      <w:lvlText w:val=""/>
      <w:lvlJc w:val="left"/>
      <w:pPr>
        <w:ind w:left="4320" w:hanging="360"/>
      </w:pPr>
      <w:rPr>
        <w:rFonts w:ascii="Wingdings" w:hAnsi="Wingdings" w:hint="default"/>
      </w:rPr>
    </w:lvl>
    <w:lvl w:ilvl="6" w:tplc="1A9C4F94" w:tentative="1">
      <w:start w:val="1"/>
      <w:numFmt w:val="bullet"/>
      <w:lvlText w:val=""/>
      <w:lvlJc w:val="left"/>
      <w:pPr>
        <w:ind w:left="5040" w:hanging="360"/>
      </w:pPr>
      <w:rPr>
        <w:rFonts w:ascii="Symbol" w:hAnsi="Symbol" w:hint="default"/>
      </w:rPr>
    </w:lvl>
    <w:lvl w:ilvl="7" w:tplc="6F8484B0" w:tentative="1">
      <w:start w:val="1"/>
      <w:numFmt w:val="bullet"/>
      <w:lvlText w:val="o"/>
      <w:lvlJc w:val="left"/>
      <w:pPr>
        <w:ind w:left="5760" w:hanging="360"/>
      </w:pPr>
      <w:rPr>
        <w:rFonts w:ascii="Courier New" w:hAnsi="Courier New" w:cs="Courier New" w:hint="default"/>
      </w:rPr>
    </w:lvl>
    <w:lvl w:ilvl="8" w:tplc="D37CDA4A" w:tentative="1">
      <w:start w:val="1"/>
      <w:numFmt w:val="bullet"/>
      <w:lvlText w:val=""/>
      <w:lvlJc w:val="left"/>
      <w:pPr>
        <w:ind w:left="6480" w:hanging="360"/>
      </w:pPr>
      <w:rPr>
        <w:rFonts w:ascii="Wingdings" w:hAnsi="Wingdings" w:hint="default"/>
      </w:rPr>
    </w:lvl>
  </w:abstractNum>
  <w:abstractNum w:abstractNumId="18" w15:restartNumberingAfterBreak="0">
    <w:nsid w:val="6AA227D0"/>
    <w:multiLevelType w:val="multilevel"/>
    <w:tmpl w:val="8D7090B4"/>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9" w15:restartNumberingAfterBreak="0">
    <w:nsid w:val="6F025FAA"/>
    <w:multiLevelType w:val="multilevel"/>
    <w:tmpl w:val="81C0040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20" w15:restartNumberingAfterBreak="0">
    <w:nsid w:val="6F8D3D7A"/>
    <w:multiLevelType w:val="singleLevel"/>
    <w:tmpl w:val="6B6C89F2"/>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21" w15:restartNumberingAfterBreak="0">
    <w:nsid w:val="761544F7"/>
    <w:multiLevelType w:val="multilevel"/>
    <w:tmpl w:val="57468C52"/>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3"/>
  </w:num>
  <w:num w:numId="2">
    <w:abstractNumId w:val="12"/>
  </w:num>
  <w:num w:numId="3">
    <w:abstractNumId w:val="16"/>
  </w:num>
  <w:num w:numId="4">
    <w:abstractNumId w:val="21"/>
  </w:num>
  <w:num w:numId="5">
    <w:abstractNumId w:val="7"/>
  </w:num>
  <w:num w:numId="6">
    <w:abstractNumId w:val="10"/>
  </w:num>
  <w:num w:numId="7">
    <w:abstractNumId w:val="19"/>
  </w:num>
  <w:num w:numId="8">
    <w:abstractNumId w:val="0"/>
  </w:num>
  <w:num w:numId="9">
    <w:abstractNumId w:val="11"/>
  </w:num>
  <w:num w:numId="10">
    <w:abstractNumId w:val="6"/>
  </w:num>
  <w:num w:numId="11">
    <w:abstractNumId w:val="3"/>
  </w:num>
  <w:num w:numId="12">
    <w:abstractNumId w:val="2"/>
  </w:num>
  <w:num w:numId="13">
    <w:abstractNumId w:val="20"/>
  </w:num>
  <w:num w:numId="14">
    <w:abstractNumId w:val="9"/>
  </w:num>
  <w:num w:numId="15">
    <w:abstractNumId w:val="14"/>
  </w:num>
  <w:num w:numId="16">
    <w:abstractNumId w:val="5"/>
  </w:num>
  <w:num w:numId="17">
    <w:abstractNumId w:val="18"/>
  </w:num>
  <w:num w:numId="18">
    <w:abstractNumId w:val="1"/>
  </w:num>
  <w:num w:numId="19">
    <w:abstractNumId w:val="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A7"/>
    <w:rsid w:val="000223E1"/>
    <w:rsid w:val="00030494"/>
    <w:rsid w:val="000311DD"/>
    <w:rsid w:val="00035DF9"/>
    <w:rsid w:val="000429CB"/>
    <w:rsid w:val="000520A8"/>
    <w:rsid w:val="000641DC"/>
    <w:rsid w:val="00076610"/>
    <w:rsid w:val="00083181"/>
    <w:rsid w:val="00085CF4"/>
    <w:rsid w:val="000926C9"/>
    <w:rsid w:val="00094AF2"/>
    <w:rsid w:val="000D0702"/>
    <w:rsid w:val="000E033C"/>
    <w:rsid w:val="000E2421"/>
    <w:rsid w:val="000F1CC2"/>
    <w:rsid w:val="00107626"/>
    <w:rsid w:val="00111788"/>
    <w:rsid w:val="001241D8"/>
    <w:rsid w:val="00132FB5"/>
    <w:rsid w:val="00151839"/>
    <w:rsid w:val="0016392C"/>
    <w:rsid w:val="00170D5B"/>
    <w:rsid w:val="00171474"/>
    <w:rsid w:val="0017422B"/>
    <w:rsid w:val="001742D5"/>
    <w:rsid w:val="00175A59"/>
    <w:rsid w:val="0018272F"/>
    <w:rsid w:val="001837F3"/>
    <w:rsid w:val="001910CB"/>
    <w:rsid w:val="001A0D0C"/>
    <w:rsid w:val="001B0BCE"/>
    <w:rsid w:val="001B6C7B"/>
    <w:rsid w:val="001C143F"/>
    <w:rsid w:val="001E2129"/>
    <w:rsid w:val="001E7139"/>
    <w:rsid w:val="001E79DF"/>
    <w:rsid w:val="001F10C1"/>
    <w:rsid w:val="001F66DC"/>
    <w:rsid w:val="0020166E"/>
    <w:rsid w:val="00207F8C"/>
    <w:rsid w:val="002271C4"/>
    <w:rsid w:val="002349D4"/>
    <w:rsid w:val="002404E5"/>
    <w:rsid w:val="002405A5"/>
    <w:rsid w:val="002431A6"/>
    <w:rsid w:val="00244F4C"/>
    <w:rsid w:val="00251D49"/>
    <w:rsid w:val="00265DE0"/>
    <w:rsid w:val="0027495C"/>
    <w:rsid w:val="0029585D"/>
    <w:rsid w:val="002A01D2"/>
    <w:rsid w:val="002A2FEA"/>
    <w:rsid w:val="002D1ED7"/>
    <w:rsid w:val="002E0DDE"/>
    <w:rsid w:val="002E68B5"/>
    <w:rsid w:val="002E7719"/>
    <w:rsid w:val="002F2BFA"/>
    <w:rsid w:val="002F777B"/>
    <w:rsid w:val="00334F07"/>
    <w:rsid w:val="0037285C"/>
    <w:rsid w:val="00375A6D"/>
    <w:rsid w:val="003813A3"/>
    <w:rsid w:val="00393467"/>
    <w:rsid w:val="00394F7A"/>
    <w:rsid w:val="003A0E9E"/>
    <w:rsid w:val="003A537E"/>
    <w:rsid w:val="003A5C21"/>
    <w:rsid w:val="003B221E"/>
    <w:rsid w:val="003B3045"/>
    <w:rsid w:val="003B4B11"/>
    <w:rsid w:val="003C35CF"/>
    <w:rsid w:val="003E2DFE"/>
    <w:rsid w:val="004147F8"/>
    <w:rsid w:val="00426432"/>
    <w:rsid w:val="004273BD"/>
    <w:rsid w:val="00432A6C"/>
    <w:rsid w:val="00440C96"/>
    <w:rsid w:val="0045386B"/>
    <w:rsid w:val="0045533C"/>
    <w:rsid w:val="00463113"/>
    <w:rsid w:val="0047162F"/>
    <w:rsid w:val="00486E72"/>
    <w:rsid w:val="00491F2D"/>
    <w:rsid w:val="004A6489"/>
    <w:rsid w:val="004B26CD"/>
    <w:rsid w:val="004B39A3"/>
    <w:rsid w:val="004C1672"/>
    <w:rsid w:val="004C42B1"/>
    <w:rsid w:val="004C587E"/>
    <w:rsid w:val="004D660B"/>
    <w:rsid w:val="004E0793"/>
    <w:rsid w:val="00503300"/>
    <w:rsid w:val="005247D0"/>
    <w:rsid w:val="00532CE4"/>
    <w:rsid w:val="00545817"/>
    <w:rsid w:val="00552431"/>
    <w:rsid w:val="00584DC4"/>
    <w:rsid w:val="005A7AC8"/>
    <w:rsid w:val="005C2782"/>
    <w:rsid w:val="005C595A"/>
    <w:rsid w:val="005D0E1A"/>
    <w:rsid w:val="005D16AE"/>
    <w:rsid w:val="005D5CB3"/>
    <w:rsid w:val="005E15A9"/>
    <w:rsid w:val="005E5E8C"/>
    <w:rsid w:val="00603FF8"/>
    <w:rsid w:val="00616781"/>
    <w:rsid w:val="0061772E"/>
    <w:rsid w:val="00624BE1"/>
    <w:rsid w:val="00630AD0"/>
    <w:rsid w:val="00646A04"/>
    <w:rsid w:val="00677B84"/>
    <w:rsid w:val="0068599B"/>
    <w:rsid w:val="006A5AA0"/>
    <w:rsid w:val="006C1F14"/>
    <w:rsid w:val="006C68D7"/>
    <w:rsid w:val="006C6D54"/>
    <w:rsid w:val="006F4DD9"/>
    <w:rsid w:val="00703002"/>
    <w:rsid w:val="00717D23"/>
    <w:rsid w:val="007223FC"/>
    <w:rsid w:val="007225C1"/>
    <w:rsid w:val="00730573"/>
    <w:rsid w:val="007554A1"/>
    <w:rsid w:val="00757DDB"/>
    <w:rsid w:val="0077791B"/>
    <w:rsid w:val="00777DFC"/>
    <w:rsid w:val="007A335C"/>
    <w:rsid w:val="007B29D3"/>
    <w:rsid w:val="007C63AF"/>
    <w:rsid w:val="007D75EC"/>
    <w:rsid w:val="007F2535"/>
    <w:rsid w:val="0080543B"/>
    <w:rsid w:val="00810F73"/>
    <w:rsid w:val="00813D2E"/>
    <w:rsid w:val="00815059"/>
    <w:rsid w:val="00822A1E"/>
    <w:rsid w:val="00826793"/>
    <w:rsid w:val="00830BB5"/>
    <w:rsid w:val="008579D9"/>
    <w:rsid w:val="00865043"/>
    <w:rsid w:val="00876644"/>
    <w:rsid w:val="00882490"/>
    <w:rsid w:val="008B18C3"/>
    <w:rsid w:val="008C0AE6"/>
    <w:rsid w:val="008C14D4"/>
    <w:rsid w:val="008E0A09"/>
    <w:rsid w:val="008E6631"/>
    <w:rsid w:val="008F68D8"/>
    <w:rsid w:val="00900F4B"/>
    <w:rsid w:val="00920631"/>
    <w:rsid w:val="0093475D"/>
    <w:rsid w:val="00960F52"/>
    <w:rsid w:val="00967C82"/>
    <w:rsid w:val="0098050F"/>
    <w:rsid w:val="009819C0"/>
    <w:rsid w:val="00991FA1"/>
    <w:rsid w:val="009A2F72"/>
    <w:rsid w:val="009A4BDE"/>
    <w:rsid w:val="009A50A9"/>
    <w:rsid w:val="009B6EEC"/>
    <w:rsid w:val="009D20EB"/>
    <w:rsid w:val="009E0C49"/>
    <w:rsid w:val="009F39E4"/>
    <w:rsid w:val="00A01CE1"/>
    <w:rsid w:val="00A06E3C"/>
    <w:rsid w:val="00A11762"/>
    <w:rsid w:val="00A13F7C"/>
    <w:rsid w:val="00A279B2"/>
    <w:rsid w:val="00A37AA9"/>
    <w:rsid w:val="00A607B2"/>
    <w:rsid w:val="00A63012"/>
    <w:rsid w:val="00A72ACD"/>
    <w:rsid w:val="00A73729"/>
    <w:rsid w:val="00A76A73"/>
    <w:rsid w:val="00A910FA"/>
    <w:rsid w:val="00AA4393"/>
    <w:rsid w:val="00AA44B0"/>
    <w:rsid w:val="00AD059F"/>
    <w:rsid w:val="00AE4B2D"/>
    <w:rsid w:val="00AE6CB5"/>
    <w:rsid w:val="00AF171B"/>
    <w:rsid w:val="00B04DAA"/>
    <w:rsid w:val="00B106B2"/>
    <w:rsid w:val="00B1321E"/>
    <w:rsid w:val="00B15851"/>
    <w:rsid w:val="00B21E51"/>
    <w:rsid w:val="00B26B16"/>
    <w:rsid w:val="00B567F1"/>
    <w:rsid w:val="00B86D32"/>
    <w:rsid w:val="00BA5412"/>
    <w:rsid w:val="00BA6B05"/>
    <w:rsid w:val="00BA7839"/>
    <w:rsid w:val="00BB07C3"/>
    <w:rsid w:val="00BB7754"/>
    <w:rsid w:val="00BC0964"/>
    <w:rsid w:val="00BC79AB"/>
    <w:rsid w:val="00BD1D5C"/>
    <w:rsid w:val="00BE2502"/>
    <w:rsid w:val="00BF1C21"/>
    <w:rsid w:val="00BF2C07"/>
    <w:rsid w:val="00C039CE"/>
    <w:rsid w:val="00C07284"/>
    <w:rsid w:val="00C22550"/>
    <w:rsid w:val="00C2524B"/>
    <w:rsid w:val="00C27C6D"/>
    <w:rsid w:val="00C34E1A"/>
    <w:rsid w:val="00C46506"/>
    <w:rsid w:val="00C76B0C"/>
    <w:rsid w:val="00C77824"/>
    <w:rsid w:val="00CA2C1F"/>
    <w:rsid w:val="00CA6867"/>
    <w:rsid w:val="00CC19DE"/>
    <w:rsid w:val="00CD0F94"/>
    <w:rsid w:val="00CF3220"/>
    <w:rsid w:val="00D03329"/>
    <w:rsid w:val="00D03DDB"/>
    <w:rsid w:val="00D049F7"/>
    <w:rsid w:val="00D059F4"/>
    <w:rsid w:val="00D06E6E"/>
    <w:rsid w:val="00D1734D"/>
    <w:rsid w:val="00D276BE"/>
    <w:rsid w:val="00D44840"/>
    <w:rsid w:val="00D51E46"/>
    <w:rsid w:val="00D60A12"/>
    <w:rsid w:val="00D61FAD"/>
    <w:rsid w:val="00D836DC"/>
    <w:rsid w:val="00D83935"/>
    <w:rsid w:val="00D83BF3"/>
    <w:rsid w:val="00D91395"/>
    <w:rsid w:val="00DC29AB"/>
    <w:rsid w:val="00DD15E1"/>
    <w:rsid w:val="00E024CC"/>
    <w:rsid w:val="00E04CC9"/>
    <w:rsid w:val="00E05622"/>
    <w:rsid w:val="00E17B23"/>
    <w:rsid w:val="00E20584"/>
    <w:rsid w:val="00E25F61"/>
    <w:rsid w:val="00E30C20"/>
    <w:rsid w:val="00E506BF"/>
    <w:rsid w:val="00E72D84"/>
    <w:rsid w:val="00E72E13"/>
    <w:rsid w:val="00E81B74"/>
    <w:rsid w:val="00E8576B"/>
    <w:rsid w:val="00E904EB"/>
    <w:rsid w:val="00E9172D"/>
    <w:rsid w:val="00EA0E42"/>
    <w:rsid w:val="00EA5A2B"/>
    <w:rsid w:val="00EA6930"/>
    <w:rsid w:val="00EB29A2"/>
    <w:rsid w:val="00EB4508"/>
    <w:rsid w:val="00ED1E76"/>
    <w:rsid w:val="00EF1683"/>
    <w:rsid w:val="00EF77CF"/>
    <w:rsid w:val="00F01CD0"/>
    <w:rsid w:val="00F53B14"/>
    <w:rsid w:val="00F553A4"/>
    <w:rsid w:val="00F572F7"/>
    <w:rsid w:val="00F647A7"/>
    <w:rsid w:val="00F70721"/>
    <w:rsid w:val="00F70894"/>
    <w:rsid w:val="00F70A48"/>
    <w:rsid w:val="00F746D9"/>
    <w:rsid w:val="00F855BB"/>
    <w:rsid w:val="00F93ECA"/>
    <w:rsid w:val="00FB157B"/>
    <w:rsid w:val="00FC0271"/>
    <w:rsid w:val="00FC1332"/>
    <w:rsid w:val="00FC1DF2"/>
    <w:rsid w:val="00FC58D1"/>
    <w:rsid w:val="00FD0949"/>
    <w:rsid w:val="00FD4C5E"/>
    <w:rsid w:val="00FD65CF"/>
    <w:rsid w:val="00FE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9CA7"/>
  <w15:docId w15:val="{3E4C3BC9-78BD-4410-BD6E-40EEAEA4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rsid w:val="00076610"/>
    <w:pPr>
      <w:spacing w:line="240" w:lineRule="auto"/>
    </w:pPr>
    <w:rPr>
      <w:rFonts w:cs="Times New Roman"/>
    </w:rPr>
  </w:style>
  <w:style w:type="paragraph" w:styleId="Heading1">
    <w:name w:val="heading 1"/>
    <w:basedOn w:val="AOHeadings"/>
    <w:next w:val="AODocTxt"/>
    <w:link w:val="Heading1Char"/>
    <w:uiPriority w:val="9"/>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qForma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qFormat/>
    <w:rsid w:val="001E7139"/>
    <w:pPr>
      <w:keepNext/>
      <w:outlineLvl w:val="0"/>
    </w:pPr>
    <w:rPr>
      <w:b/>
      <w:caps/>
      <w:kern w:val="28"/>
    </w:rPr>
  </w:style>
  <w:style w:type="paragraph" w:customStyle="1" w:styleId="AOHeading2">
    <w:name w:val="AOHeading2"/>
    <w:basedOn w:val="AOHeadings"/>
    <w:next w:val="AODocTxt"/>
    <w:qFormat/>
    <w:rsid w:val="001E7139"/>
    <w:pPr>
      <w:keepNext/>
      <w:outlineLvl w:val="1"/>
    </w:pPr>
    <w:rPr>
      <w:b/>
    </w:rPr>
  </w:style>
  <w:style w:type="paragraph" w:customStyle="1" w:styleId="AOHeading3">
    <w:name w:val="AOHeading3"/>
    <w:basedOn w:val="AOHeadings"/>
    <w:next w:val="AODocTxtL1"/>
    <w:qFormat/>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semiHidden/>
    <w:rsid w:val="001E7139"/>
    <w:pPr>
      <w:tabs>
        <w:tab w:val="center" w:pos="4150"/>
        <w:tab w:val="right" w:pos="8306"/>
      </w:tabs>
    </w:pPr>
  </w:style>
  <w:style w:type="character" w:customStyle="1" w:styleId="HeaderChar">
    <w:name w:val="Header Char"/>
    <w:basedOn w:val="DefaultParagraphFont"/>
    <w:link w:val="Header"/>
    <w:uiPriority w:val="99"/>
    <w:semiHidden/>
    <w:rsid w:val="00107626"/>
    <w:rPr>
      <w:rFonts w:cs="Times New Roman"/>
      <w:lang w:val="en-GB"/>
    </w:rPr>
  </w:style>
  <w:style w:type="paragraph" w:styleId="Footer">
    <w:name w:val="footer"/>
    <w:basedOn w:val="Normal"/>
    <w:link w:val="FooterChar"/>
    <w:uiPriority w:val="99"/>
    <w:semiHidden/>
    <w:rsid w:val="001E7139"/>
    <w:pPr>
      <w:tabs>
        <w:tab w:val="center" w:pos="4150"/>
        <w:tab w:val="right" w:pos="8306"/>
      </w:tabs>
    </w:pPr>
  </w:style>
  <w:style w:type="character" w:customStyle="1" w:styleId="FooterChar">
    <w:name w:val="Footer Char"/>
    <w:basedOn w:val="DefaultParagraphFont"/>
    <w:link w:val="Footer"/>
    <w:uiPriority w:val="99"/>
    <w:semiHidden/>
    <w:rsid w:val="00107626"/>
    <w:rPr>
      <w:rFonts w:cs="Times New Roman"/>
      <w:lang w:val="en-GB"/>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rsid w:val="001E7139"/>
    <w:pPr>
      <w:tabs>
        <w:tab w:val="left" w:pos="1797"/>
      </w:tabs>
      <w:ind w:left="1797" w:right="720" w:hanging="1077"/>
    </w:pPr>
  </w:style>
  <w:style w:type="paragraph" w:styleId="TOC3">
    <w:name w:val="toc 3"/>
    <w:basedOn w:val="AOTOCs"/>
    <w:next w:val="AONormal"/>
    <w:autoRedefine/>
    <w:uiPriority w:val="39"/>
    <w:semiHidden/>
    <w:rsid w:val="001E7139"/>
    <w:pPr>
      <w:numPr>
        <w:numId w:val="15"/>
      </w:numPr>
      <w:ind w:right="720"/>
    </w:pPr>
  </w:style>
  <w:style w:type="paragraph" w:styleId="TOC4">
    <w:name w:val="toc 4"/>
    <w:basedOn w:val="AOTOCs"/>
    <w:next w:val="AONormal"/>
    <w:autoRedefine/>
    <w:uiPriority w:val="39"/>
    <w:semiHidden/>
    <w:rsid w:val="001E7139"/>
    <w:pPr>
      <w:numPr>
        <w:ilvl w:val="1"/>
        <w:numId w:val="15"/>
      </w:numPr>
      <w:tabs>
        <w:tab w:val="left" w:pos="1797"/>
      </w:tabs>
      <w:ind w:right="720"/>
    </w:pPr>
  </w:style>
  <w:style w:type="paragraph" w:styleId="TOC5">
    <w:name w:val="toc 5"/>
    <w:basedOn w:val="AOTOCs"/>
    <w:next w:val="AONormal"/>
    <w:autoRedefine/>
    <w:uiPriority w:val="39"/>
    <w:semiHidden/>
    <w:rsid w:val="001E7139"/>
    <w:pPr>
      <w:spacing w:before="240"/>
    </w:pPr>
  </w:style>
  <w:style w:type="paragraph" w:styleId="TOC6">
    <w:name w:val="toc 6"/>
    <w:basedOn w:val="AOTOCs"/>
    <w:next w:val="AONormal"/>
    <w:autoRedefine/>
    <w:uiPriority w:val="39"/>
    <w:semiHidden/>
    <w:rsid w:val="001E7139"/>
    <w:pPr>
      <w:numPr>
        <w:numId w:val="16"/>
      </w:numPr>
      <w:ind w:right="720"/>
    </w:pPr>
  </w:style>
  <w:style w:type="paragraph" w:styleId="TOC7">
    <w:name w:val="toc 7"/>
    <w:basedOn w:val="AOTOCs"/>
    <w:next w:val="AONormal"/>
    <w:autoRedefine/>
    <w:uiPriority w:val="39"/>
    <w:semiHidden/>
    <w:rsid w:val="001E7139"/>
    <w:pPr>
      <w:numPr>
        <w:ilvl w:val="1"/>
        <w:numId w:val="16"/>
      </w:numPr>
      <w:tabs>
        <w:tab w:val="left" w:pos="1797"/>
      </w:tabs>
      <w:ind w:right="720"/>
    </w:pPr>
  </w:style>
  <w:style w:type="paragraph" w:styleId="TOC8">
    <w:name w:val="toc 8"/>
    <w:basedOn w:val="AOTOCs"/>
    <w:next w:val="AONormal"/>
    <w:autoRedefine/>
    <w:uiPriority w:val="39"/>
    <w:semiHidden/>
    <w:rsid w:val="001E7139"/>
    <w:pPr>
      <w:numPr>
        <w:numId w:val="17"/>
      </w:numPr>
      <w:ind w:right="720"/>
    </w:pPr>
  </w:style>
  <w:style w:type="paragraph" w:styleId="TOC9">
    <w:name w:val="toc 9"/>
    <w:basedOn w:val="AOTOCs"/>
    <w:next w:val="AONormal"/>
    <w:autoRedefine/>
    <w:uiPriority w:val="39"/>
    <w:semiHidden/>
    <w:rsid w:val="001E7139"/>
    <w:pPr>
      <w:numPr>
        <w:ilvl w:val="1"/>
        <w:numId w:val="17"/>
      </w:numPr>
      <w:tabs>
        <w:tab w:val="left" w:pos="1797"/>
      </w:tabs>
      <w:ind w:right="720"/>
    </w:pPr>
  </w:style>
  <w:style w:type="paragraph" w:styleId="FootnoteText">
    <w:name w:val="footnote text"/>
    <w:basedOn w:val="AONormal"/>
    <w:link w:val="FootnoteTextChar"/>
    <w:uiPriority w:val="99"/>
    <w:semiHidden/>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07626"/>
    <w:rPr>
      <w:rFonts w:cs="Times New Roman"/>
      <w:sz w:val="16"/>
      <w:szCs w:val="20"/>
      <w:lang w:val="en-GB"/>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07626"/>
    <w:rPr>
      <w:rFonts w:cs="Times New Roman"/>
      <w:sz w:val="16"/>
      <w:szCs w:val="20"/>
      <w:lang w:val="en-GB"/>
    </w:rPr>
  </w:style>
  <w:style w:type="paragraph" w:styleId="EndnoteText">
    <w:name w:val="endnote text"/>
    <w:basedOn w:val="AONormal"/>
    <w:link w:val="EndnoteTextChar"/>
    <w:uiPriority w:val="99"/>
    <w:semiHidden/>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07626"/>
    <w:rPr>
      <w:rFonts w:cs="Times New Roman"/>
      <w:sz w:val="16"/>
      <w:szCs w:val="20"/>
      <w:lang w:val="en-GB"/>
    </w:rPr>
  </w:style>
  <w:style w:type="character" w:customStyle="1" w:styleId="Heading1Char">
    <w:name w:val="Heading 1 Char"/>
    <w:basedOn w:val="DefaultParagraphFont"/>
    <w:link w:val="Heading1"/>
    <w:uiPriority w:val="9"/>
    <w:rsid w:val="001E7139"/>
    <w:rPr>
      <w:rFonts w:eastAsia="Times New Roman" w:cs="Times New Roman"/>
      <w:b/>
      <w:bCs/>
      <w:caps/>
      <w:szCs w:val="28"/>
      <w:lang w:val="en-GB"/>
    </w:rPr>
  </w:style>
  <w:style w:type="character" w:customStyle="1" w:styleId="Heading2Char">
    <w:name w:val="Heading 2 Char"/>
    <w:basedOn w:val="DefaultParagraphFont"/>
    <w:link w:val="Heading2"/>
    <w:uiPriority w:val="9"/>
    <w:semiHidden/>
    <w:rsid w:val="001E7139"/>
    <w:rPr>
      <w:rFonts w:eastAsia="Times New Roman" w:cs="Times New Roman"/>
      <w:b/>
      <w:bCs/>
      <w:szCs w:val="26"/>
      <w:lang w:val="en-GB"/>
    </w:rPr>
  </w:style>
  <w:style w:type="character" w:customStyle="1" w:styleId="Heading3Char">
    <w:name w:val="Heading 3 Char"/>
    <w:basedOn w:val="DefaultParagraphFont"/>
    <w:link w:val="Heading3"/>
    <w:uiPriority w:val="9"/>
    <w:semiHidden/>
    <w:rsid w:val="001E7139"/>
    <w:rPr>
      <w:rFonts w:eastAsia="Times New Roman" w:cs="Times New Roman"/>
      <w:bCs/>
      <w:lang w:val="en-GB"/>
    </w:rPr>
  </w:style>
  <w:style w:type="character" w:customStyle="1" w:styleId="Heading4Char">
    <w:name w:val="Heading 4 Char"/>
    <w:basedOn w:val="DefaultParagraphFont"/>
    <w:link w:val="Heading4"/>
    <w:uiPriority w:val="9"/>
    <w:semiHidden/>
    <w:rsid w:val="001E7139"/>
    <w:rPr>
      <w:rFonts w:eastAsia="Times New Roman" w:cs="Times New Roman"/>
      <w:bCs/>
      <w:iCs/>
      <w:lang w:val="en-GB"/>
    </w:rPr>
  </w:style>
  <w:style w:type="character" w:customStyle="1" w:styleId="Heading5Char">
    <w:name w:val="Heading 5 Char"/>
    <w:basedOn w:val="DefaultParagraphFont"/>
    <w:link w:val="Heading5"/>
    <w:uiPriority w:val="9"/>
    <w:semiHidden/>
    <w:rsid w:val="001E7139"/>
    <w:rPr>
      <w:rFonts w:eastAsia="Times New Roman" w:cs="Times New Roman"/>
      <w:lang w:val="en-GB"/>
    </w:rPr>
  </w:style>
  <w:style w:type="character" w:customStyle="1" w:styleId="Heading6Char">
    <w:name w:val="Heading 6 Char"/>
    <w:basedOn w:val="DefaultParagraphFont"/>
    <w:link w:val="Heading6"/>
    <w:uiPriority w:val="9"/>
    <w:semiHidden/>
    <w:rsid w:val="001E7139"/>
    <w:rPr>
      <w:rFonts w:eastAsia="Times New Roman" w:cs="Times New Roman"/>
      <w:iCs/>
      <w:lang w:val="en-GB"/>
    </w:rPr>
  </w:style>
  <w:style w:type="character" w:customStyle="1" w:styleId="Heading7Char">
    <w:name w:val="Heading 7 Char"/>
    <w:basedOn w:val="DefaultParagraphFont"/>
    <w:link w:val="Heading7"/>
    <w:uiPriority w:val="9"/>
    <w:semiHidden/>
    <w:rsid w:val="001E7139"/>
    <w:rPr>
      <w:rFonts w:eastAsia="Times New Roman" w:cs="Times New Roman"/>
      <w:iCs/>
      <w:lang w:val="en-GB"/>
    </w:rPr>
  </w:style>
  <w:style w:type="character" w:customStyle="1" w:styleId="Heading8Char">
    <w:name w:val="Heading 8 Char"/>
    <w:basedOn w:val="DefaultParagraphFont"/>
    <w:link w:val="Heading8"/>
    <w:uiPriority w:val="9"/>
    <w:semiHidden/>
    <w:rsid w:val="001E7139"/>
    <w:rPr>
      <w:rFonts w:eastAsia="Times New Roman" w:cs="Times New Roman"/>
      <w:szCs w:val="20"/>
      <w:lang w:val="en-GB"/>
    </w:rPr>
  </w:style>
  <w:style w:type="character" w:customStyle="1" w:styleId="Heading9Char">
    <w:name w:val="Heading 9 Char"/>
    <w:basedOn w:val="DefaultParagraphFont"/>
    <w:link w:val="Heading9"/>
    <w:uiPriority w:val="9"/>
    <w:semiHidden/>
    <w:rsid w:val="00107626"/>
    <w:rPr>
      <w:rFonts w:eastAsia="Times New Roman" w:cs="Times New Roman"/>
      <w:iCs/>
      <w:szCs w:val="20"/>
      <w:lang w:val="en-GB"/>
    </w:rPr>
  </w:style>
  <w:style w:type="paragraph" w:styleId="TOAHeading">
    <w:name w:val="toa heading"/>
    <w:basedOn w:val="AONormal"/>
    <w:next w:val="TableofAuthorities"/>
    <w:uiPriority w:val="99"/>
    <w:semiHidden/>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lang w:val="en-GB"/>
    </w:rPr>
  </w:style>
  <w:style w:type="paragraph" w:styleId="BalloonText">
    <w:name w:val="Balloon Text"/>
    <w:basedOn w:val="Normal"/>
    <w:link w:val="BalloonTextChar"/>
    <w:uiPriority w:val="99"/>
    <w:semiHidden/>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07626"/>
    <w:rPr>
      <w:rFonts w:ascii="Tahoma" w:hAnsi="Tahoma" w:cs="Tahoma"/>
      <w:sz w:val="16"/>
      <w:szCs w:val="16"/>
      <w:lang w:val="en-GB"/>
    </w:rPr>
  </w:style>
  <w:style w:type="table" w:styleId="TableGrid">
    <w:name w:val="Table Grid"/>
    <w:basedOn w:val="TableNormal"/>
    <w:uiPriority w:val="39"/>
    <w:rsid w:val="00815059"/>
    <w:pPr>
      <w:spacing w:line="240" w:lineRule="auto"/>
    </w:pPr>
    <w:tblPr>
      <w:tblCellMar>
        <w:left w:w="0" w:type="dxa"/>
        <w:right w:w="0" w:type="dxa"/>
      </w:tblCellMar>
    </w:tblPr>
    <w:tcPr>
      <w:shd w:val="clear" w:color="auto" w:fill="auto"/>
    </w:tcPr>
  </w:style>
  <w:style w:type="paragraph" w:styleId="ListBullet">
    <w:name w:val="List Bullet"/>
    <w:basedOn w:val="Normal"/>
    <w:uiPriority w:val="99"/>
    <w:semiHidden/>
    <w:rsid w:val="002271C4"/>
    <w:pPr>
      <w:tabs>
        <w:tab w:val="num" w:pos="720"/>
      </w:tabs>
      <w:ind w:left="720" w:hanging="720"/>
      <w:contextualSpacing/>
    </w:pPr>
  </w:style>
  <w:style w:type="paragraph" w:styleId="ListNumber">
    <w:name w:val="List Number"/>
    <w:basedOn w:val="Normal"/>
    <w:uiPriority w:val="99"/>
    <w:semiHidden/>
    <w:rsid w:val="002271C4"/>
    <w:pPr>
      <w:tabs>
        <w:tab w:val="num" w:pos="720"/>
      </w:tabs>
      <w:ind w:left="720" w:hanging="720"/>
      <w:contextualSpacing/>
    </w:pPr>
  </w:style>
  <w:style w:type="table" w:customStyle="1" w:styleId="AOHdrFtrTblStyle">
    <w:name w:val="AOHdrFtrTblStyle"/>
    <w:basedOn w:val="TableGrid"/>
    <w:rsid w:val="00815059"/>
    <w:tblPr/>
    <w:tcPr>
      <w:shd w:val="clear" w:color="auto" w:fill="auto"/>
    </w:tcPr>
  </w:style>
  <w:style w:type="character" w:styleId="Hyperlink">
    <w:name w:val="Hyperlink"/>
    <w:basedOn w:val="DefaultParagraphFont"/>
    <w:uiPriority w:val="99"/>
    <w:semiHidden/>
    <w:rsid w:val="00FD0949"/>
    <w:rPr>
      <w:color w:val="5C6F7B" w:themeColor="hyperlink"/>
      <w:u w:val="single"/>
    </w:rPr>
  </w:style>
  <w:style w:type="paragraph" w:customStyle="1" w:styleId="WWBodyText">
    <w:name w:val="WW_BodyText"/>
    <w:basedOn w:val="Normal"/>
    <w:rsid w:val="00FD0949"/>
    <w:pPr>
      <w:suppressAutoHyphens/>
      <w:spacing w:after="240" w:line="360" w:lineRule="auto"/>
      <w:jc w:val="both"/>
    </w:pPr>
    <w:rPr>
      <w:rFonts w:ascii="Arial" w:eastAsia="Times New Roman" w:hAnsi="Arial"/>
      <w:szCs w:val="24"/>
      <w:lang w:eastAsia="en-GB"/>
    </w:rPr>
  </w:style>
  <w:style w:type="character" w:styleId="CommentReference">
    <w:name w:val="annotation reference"/>
    <w:basedOn w:val="DefaultParagraphFont"/>
    <w:uiPriority w:val="99"/>
    <w:semiHidden/>
    <w:rsid w:val="00703002"/>
    <w:rPr>
      <w:sz w:val="16"/>
      <w:szCs w:val="16"/>
    </w:rPr>
  </w:style>
  <w:style w:type="paragraph" w:styleId="CommentSubject">
    <w:name w:val="annotation subject"/>
    <w:basedOn w:val="CommentText"/>
    <w:next w:val="CommentText"/>
    <w:link w:val="CommentSubjectChar"/>
    <w:uiPriority w:val="99"/>
    <w:semiHidden/>
    <w:rsid w:val="00703002"/>
    <w:rPr>
      <w:b/>
      <w:bCs/>
      <w:sz w:val="20"/>
    </w:rPr>
  </w:style>
  <w:style w:type="character" w:customStyle="1" w:styleId="CommentSubjectChar">
    <w:name w:val="Comment Subject Char"/>
    <w:basedOn w:val="CommentTextChar"/>
    <w:link w:val="CommentSubject"/>
    <w:uiPriority w:val="99"/>
    <w:semiHidden/>
    <w:rsid w:val="00703002"/>
    <w:rPr>
      <w:rFont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sus.com" TargetMode="External"/><Relationship Id="rId5" Type="http://schemas.openxmlformats.org/officeDocument/2006/relationships/styles" Target="styles.xml"/><Relationship Id="rId10" Type="http://schemas.openxmlformats.org/officeDocument/2006/relationships/hyperlink" Target="http://www.prosus.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78892C98B868449327CFB8C8130573" ma:contentTypeVersion="12" ma:contentTypeDescription="Create a new document." ma:contentTypeScope="" ma:versionID="c32a0554c71752c60df61f6c1f4d60dc">
  <xsd:schema xmlns:xsd="http://www.w3.org/2001/XMLSchema" xmlns:xs="http://www.w3.org/2001/XMLSchema" xmlns:p="http://schemas.microsoft.com/office/2006/metadata/properties" xmlns:ns2="491fff8c-b0f7-4246-ad84-3a754cc6578c" xmlns:ns3="d830a163-2bd2-4904-a356-455e0fdb518a" targetNamespace="http://schemas.microsoft.com/office/2006/metadata/properties" ma:root="true" ma:fieldsID="cc3dccbaa35a70edcf86841d46e35b4c" ns2:_="" ns3:_="">
    <xsd:import namespace="491fff8c-b0f7-4246-ad84-3a754cc6578c"/>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fff8c-b0f7-4246-ad84-3a754cc65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AE570-E80F-459E-BB47-49C485AAC2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77287A-6F16-4941-8134-666C24E2138A}">
  <ds:schemaRefs>
    <ds:schemaRef ds:uri="http://schemas.microsoft.com/sharepoint/v3/contenttype/forms"/>
  </ds:schemaRefs>
</ds:datastoreItem>
</file>

<file path=customXml/itemProps3.xml><?xml version="1.0" encoding="utf-8"?>
<ds:datastoreItem xmlns:ds="http://schemas.openxmlformats.org/officeDocument/2006/customXml" ds:itemID="{22B491EA-59E7-4D54-936D-AF0D761A4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fff8c-b0f7-4246-ad84-3a754cc6578c"/>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Tonilee Lutz</dc:creator>
  <cp:lastModifiedBy>Tonilee Lutz</cp:lastModifiedBy>
  <cp:revision>3</cp:revision>
  <dcterms:created xsi:type="dcterms:W3CDTF">2020-11-20T11:09:00Z</dcterms:created>
  <dcterms:modified xsi:type="dcterms:W3CDTF">2020-11-20T11:13:00Z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0x0101001E78892C98B868449327CFB8C8130573</vt:lpwstr>
  </property>
</Properties>
</file>