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DC9A0" w14:textId="77777777" w:rsidR="00FF5648" w:rsidRDefault="00FF5648" w:rsidP="00521FEE">
      <w:pPr>
        <w:keepNext/>
        <w:spacing w:after="120"/>
        <w:jc w:val="both"/>
        <w:rPr>
          <w:rFonts w:ascii="Arial" w:eastAsia="Times New Roman" w:hAnsi="Arial" w:cs="Arial"/>
          <w:b/>
          <w:sz w:val="24"/>
          <w:szCs w:val="24"/>
        </w:rPr>
      </w:pPr>
    </w:p>
    <w:p w14:paraId="5C5CC21C" w14:textId="67CD3C88" w:rsidR="00521FEE" w:rsidRPr="00BB0A0B" w:rsidRDefault="007D0E68" w:rsidP="00521FEE">
      <w:pPr>
        <w:keepNext/>
        <w:spacing w:after="120"/>
        <w:jc w:val="both"/>
        <w:rPr>
          <w:rFonts w:ascii="Arial" w:eastAsia="Times New Roman" w:hAnsi="Arial" w:cs="Arial"/>
          <w:sz w:val="24"/>
          <w:szCs w:val="24"/>
        </w:rPr>
      </w:pPr>
      <w:r>
        <w:rPr>
          <w:rFonts w:ascii="Arial" w:eastAsia="Times New Roman" w:hAnsi="Arial" w:cs="Arial"/>
          <w:sz w:val="24"/>
          <w:szCs w:val="24"/>
        </w:rPr>
        <w:t>3</w:t>
      </w:r>
      <w:r w:rsidR="00373CDB" w:rsidRPr="007D0E68">
        <w:rPr>
          <w:rFonts w:ascii="Arial" w:eastAsia="Times New Roman" w:hAnsi="Arial" w:cs="Arial"/>
          <w:sz w:val="24"/>
          <w:szCs w:val="24"/>
        </w:rPr>
        <w:t xml:space="preserve"> November 2020</w:t>
      </w:r>
    </w:p>
    <w:p w14:paraId="6D8F94D8" w14:textId="0BC6A1DB" w:rsidR="00373CDB" w:rsidRDefault="00373CDB" w:rsidP="008930B7">
      <w:pPr>
        <w:keepNext/>
        <w:spacing w:after="120"/>
        <w:jc w:val="center"/>
        <w:rPr>
          <w:rFonts w:ascii="Arial" w:eastAsia="Times New Roman" w:hAnsi="Arial" w:cs="Arial"/>
          <w:b/>
          <w:sz w:val="24"/>
          <w:szCs w:val="24"/>
        </w:rPr>
      </w:pPr>
      <w:r>
        <w:rPr>
          <w:rFonts w:ascii="Arial" w:eastAsia="Times New Roman" w:hAnsi="Arial" w:cs="Arial"/>
          <w:b/>
          <w:sz w:val="24"/>
          <w:szCs w:val="24"/>
        </w:rPr>
        <w:t>Coca-Cola European Partners</w:t>
      </w:r>
      <w:r w:rsidRPr="00B863E8">
        <w:rPr>
          <w:rFonts w:ascii="Arial" w:eastAsia="Times New Roman" w:hAnsi="Arial" w:cs="Arial"/>
          <w:b/>
          <w:sz w:val="24"/>
          <w:szCs w:val="24"/>
        </w:rPr>
        <w:t xml:space="preserve"> </w:t>
      </w:r>
      <w:r>
        <w:rPr>
          <w:rFonts w:ascii="Arial" w:eastAsia="Times New Roman" w:hAnsi="Arial" w:cs="Arial"/>
          <w:b/>
          <w:sz w:val="24"/>
          <w:szCs w:val="24"/>
        </w:rPr>
        <w:t>(CCEP)</w:t>
      </w:r>
      <w:r w:rsidRPr="00B863E8">
        <w:rPr>
          <w:rFonts w:ascii="Arial" w:eastAsia="Times New Roman" w:hAnsi="Arial" w:cs="Arial"/>
          <w:b/>
          <w:sz w:val="24"/>
          <w:szCs w:val="24"/>
        </w:rPr>
        <w:t xml:space="preserve"> </w:t>
      </w:r>
      <w:r w:rsidRPr="00190C68">
        <w:rPr>
          <w:rFonts w:ascii="Arial" w:eastAsia="Times New Roman" w:hAnsi="Arial" w:cs="Arial"/>
          <w:b/>
          <w:sz w:val="24"/>
          <w:szCs w:val="24"/>
        </w:rPr>
        <w:t xml:space="preserve">today announces it has </w:t>
      </w:r>
      <w:r>
        <w:rPr>
          <w:rFonts w:ascii="Arial" w:eastAsia="Times New Roman" w:hAnsi="Arial" w:cs="Arial"/>
          <w:b/>
          <w:sz w:val="24"/>
          <w:szCs w:val="24"/>
        </w:rPr>
        <w:t>entered into binding agreements to acquire Coca-Cola Amatil Limited (CCL</w:t>
      </w:r>
      <w:r w:rsidR="00F32A70">
        <w:rPr>
          <w:rFonts w:ascii="Arial" w:eastAsia="Times New Roman" w:hAnsi="Arial" w:cs="Arial"/>
          <w:b/>
          <w:sz w:val="24"/>
          <w:szCs w:val="24"/>
        </w:rPr>
        <w:t>),</w:t>
      </w:r>
      <w:r w:rsidR="00F32A70">
        <w:rPr>
          <w:rFonts w:ascii="Arial" w:eastAsia="Times New Roman" w:hAnsi="Arial" w:cs="Arial"/>
          <w:b/>
          <w:sz w:val="24"/>
          <w:szCs w:val="24"/>
        </w:rPr>
        <w:br/>
      </w:r>
      <w:r w:rsidR="008930B7">
        <w:rPr>
          <w:rFonts w:ascii="Arial" w:eastAsia="Times New Roman" w:hAnsi="Arial" w:cs="Arial"/>
          <w:b/>
          <w:sz w:val="24"/>
          <w:szCs w:val="24"/>
        </w:rPr>
        <w:t xml:space="preserve">including </w:t>
      </w:r>
      <w:r>
        <w:rPr>
          <w:rFonts w:ascii="Arial" w:eastAsia="Times New Roman" w:hAnsi="Arial" w:cs="Arial"/>
          <w:b/>
          <w:sz w:val="24"/>
          <w:szCs w:val="24"/>
        </w:rPr>
        <w:t>by way of a Board recommended scheme of arrangement</w:t>
      </w:r>
    </w:p>
    <w:p w14:paraId="384E1928" w14:textId="77777777" w:rsidR="00373CDB" w:rsidRPr="00A07BD0" w:rsidRDefault="00373CDB" w:rsidP="00373CDB">
      <w:pPr>
        <w:keepNext/>
        <w:spacing w:after="120"/>
        <w:jc w:val="center"/>
        <w:rPr>
          <w:rFonts w:ascii="Arial" w:eastAsia="Times New Roman" w:hAnsi="Arial" w:cs="Arial"/>
          <w:b/>
          <w:sz w:val="24"/>
          <w:szCs w:val="24"/>
        </w:rPr>
      </w:pPr>
    </w:p>
    <w:p w14:paraId="2727E295" w14:textId="77777777" w:rsidR="00AC05E4" w:rsidRPr="004A162C" w:rsidRDefault="00AC05E4" w:rsidP="004A162C">
      <w:pPr>
        <w:spacing w:after="0" w:afterAutospacing="1" w:line="240" w:lineRule="auto"/>
        <w:textAlignment w:val="baseline"/>
        <w:rPr>
          <w:rFonts w:ascii="Arial" w:eastAsia="Times New Roman" w:hAnsi="Arial" w:cs="Arial"/>
          <w:b/>
          <w:bCs/>
          <w:color w:val="000000"/>
          <w:sz w:val="24"/>
          <w:szCs w:val="24"/>
          <w:lang w:val="en-AU" w:eastAsia="en-GB"/>
        </w:rPr>
      </w:pPr>
      <w:bookmarkStart w:id="0" w:name="_Hlk54199995"/>
      <w:r w:rsidRPr="004A162C">
        <w:rPr>
          <w:rFonts w:ascii="Arial" w:eastAsia="Times New Roman" w:hAnsi="Arial" w:cs="Arial"/>
          <w:b/>
          <w:bCs/>
          <w:color w:val="000000"/>
          <w:sz w:val="24"/>
          <w:szCs w:val="24"/>
          <w:lang w:val="en-AU" w:eastAsia="en-GB"/>
        </w:rPr>
        <w:t>Scheme Implementation Deed (“SID”) with CCL</w:t>
      </w:r>
    </w:p>
    <w:p w14:paraId="7BB27F34" w14:textId="42037580" w:rsidR="00373CDB" w:rsidRPr="00F32A70" w:rsidRDefault="00520F10" w:rsidP="00F32A70">
      <w:pPr>
        <w:pStyle w:val="ListParagraph"/>
        <w:numPr>
          <w:ilvl w:val="0"/>
          <w:numId w:val="10"/>
        </w:numPr>
        <w:spacing w:after="0" w:afterAutospacing="1" w:line="240" w:lineRule="auto"/>
        <w:textAlignment w:val="baseline"/>
        <w:rPr>
          <w:rFonts w:ascii="Arial" w:hAnsi="Arial" w:cs="Arial"/>
          <w:color w:val="000000"/>
          <w:sz w:val="24"/>
          <w:szCs w:val="24"/>
        </w:rPr>
      </w:pPr>
      <w:r>
        <w:rPr>
          <w:rFonts w:ascii="Arial" w:hAnsi="Arial" w:cs="Arial"/>
          <w:color w:val="000000"/>
          <w:sz w:val="24"/>
          <w:szCs w:val="24"/>
        </w:rPr>
        <w:t xml:space="preserve">Further to the announcement on 25 October 2020, </w:t>
      </w:r>
      <w:r w:rsidR="00AC05E4">
        <w:rPr>
          <w:rFonts w:ascii="Arial" w:hAnsi="Arial" w:cs="Arial"/>
          <w:color w:val="000000"/>
          <w:sz w:val="24"/>
          <w:szCs w:val="24"/>
        </w:rPr>
        <w:t>C</w:t>
      </w:r>
      <w:r w:rsidR="00373CDB" w:rsidRPr="00373CDB">
        <w:rPr>
          <w:rFonts w:ascii="Arial" w:hAnsi="Arial" w:cs="Arial"/>
          <w:color w:val="000000"/>
          <w:sz w:val="24"/>
          <w:szCs w:val="24"/>
        </w:rPr>
        <w:t>CEP today announces that it has completed its confirmatory due diligence and entered into a binding Scheme Implementation Deed (“SID”) with CCL. Under the terms of the SID, CCEP will offer to acquire 69.2% of the entire existing issued share capital of CCL</w:t>
      </w:r>
      <w:r w:rsidR="00824E07">
        <w:rPr>
          <w:rFonts w:ascii="Arial" w:hAnsi="Arial" w:cs="Arial"/>
          <w:color w:val="000000"/>
          <w:sz w:val="24"/>
          <w:szCs w:val="24"/>
        </w:rPr>
        <w:t>,</w:t>
      </w:r>
      <w:r w:rsidR="00373CDB" w:rsidRPr="00373CDB">
        <w:rPr>
          <w:rFonts w:ascii="Arial" w:hAnsi="Arial" w:cs="Arial"/>
          <w:color w:val="000000"/>
          <w:sz w:val="24"/>
          <w:szCs w:val="24"/>
        </w:rPr>
        <w:t xml:space="preserve"> </w:t>
      </w:r>
      <w:r w:rsidR="00824E07">
        <w:rPr>
          <w:rFonts w:ascii="Arial" w:hAnsi="Arial" w:cs="Arial"/>
          <w:color w:val="000000"/>
          <w:sz w:val="24"/>
          <w:szCs w:val="24"/>
        </w:rPr>
        <w:t xml:space="preserve">which is </w:t>
      </w:r>
      <w:r w:rsidR="00373CDB" w:rsidRPr="00373CDB">
        <w:rPr>
          <w:rFonts w:ascii="Arial" w:hAnsi="Arial" w:cs="Arial"/>
          <w:color w:val="000000"/>
          <w:sz w:val="24"/>
          <w:szCs w:val="24"/>
        </w:rPr>
        <w:t>held by shareholders other than The Coca-Cola Company (“Independent Shareholders”) for $12.75 per share</w:t>
      </w:r>
      <w:r w:rsidR="00824E07">
        <w:rPr>
          <w:rFonts w:ascii="Arial" w:hAnsi="Arial" w:cs="Arial"/>
          <w:color w:val="000000"/>
          <w:sz w:val="24"/>
          <w:szCs w:val="24"/>
        </w:rPr>
        <w:t xml:space="preserve"> in cash</w:t>
      </w:r>
      <w:r w:rsidR="00373CDB" w:rsidRPr="00373CDB">
        <w:rPr>
          <w:rFonts w:ascii="Arial" w:hAnsi="Arial" w:cs="Arial"/>
          <w:color w:val="000000"/>
          <w:sz w:val="24"/>
          <w:szCs w:val="24"/>
        </w:rPr>
        <w:t>, pursuant to a scheme of arrangement (“Scheme”)</w:t>
      </w:r>
      <w:r w:rsidR="00C245C2">
        <w:rPr>
          <w:rFonts w:ascii="Arial" w:hAnsi="Arial" w:cs="Arial"/>
          <w:color w:val="000000"/>
          <w:sz w:val="24"/>
          <w:szCs w:val="24"/>
        </w:rPr>
        <w:t xml:space="preserve"> (further details at </w:t>
      </w:r>
      <w:hyperlink r:id="rId11" w:history="1">
        <w:r w:rsidR="00C245C2">
          <w:rPr>
            <w:rStyle w:val="Hyperlink"/>
            <w:rFonts w:ascii="Arial" w:hAnsi="Arial" w:cs="Arial"/>
            <w:sz w:val="24"/>
            <w:szCs w:val="24"/>
            <w:lang w:val="en-AU"/>
          </w:rPr>
          <w:t>https://www2.asx.com.au/markets/trade-our-cash-market/announcements.ccl</w:t>
        </w:r>
      </w:hyperlink>
      <w:r w:rsidR="00C245C2">
        <w:rPr>
          <w:rFonts w:ascii="Arial" w:hAnsi="Arial" w:cs="Arial"/>
          <w:sz w:val="24"/>
          <w:szCs w:val="24"/>
          <w:lang w:val="en-AU"/>
        </w:rPr>
        <w:t>)</w:t>
      </w:r>
    </w:p>
    <w:p w14:paraId="31552D1F" w14:textId="6D475D3D" w:rsidR="00373CDB" w:rsidRPr="00F32A70" w:rsidRDefault="00373CDB" w:rsidP="00F32A70">
      <w:pPr>
        <w:pStyle w:val="ListParagraph"/>
        <w:numPr>
          <w:ilvl w:val="0"/>
          <w:numId w:val="10"/>
        </w:numPr>
        <w:spacing w:after="100" w:afterAutospacing="1" w:line="240" w:lineRule="auto"/>
        <w:textAlignment w:val="baseline"/>
        <w:rPr>
          <w:rFonts w:ascii="Arial" w:hAnsi="Arial" w:cs="Arial"/>
          <w:color w:val="000000"/>
          <w:sz w:val="24"/>
          <w:szCs w:val="24"/>
        </w:rPr>
      </w:pPr>
      <w:r w:rsidRPr="00373CDB">
        <w:rPr>
          <w:rFonts w:ascii="Arial" w:hAnsi="Arial" w:cs="Arial"/>
          <w:color w:val="000000"/>
          <w:sz w:val="24"/>
          <w:szCs w:val="24"/>
        </w:rPr>
        <w:t>The Board of Directors of CCL (excluding The Coca-Cola Company’s</w:t>
      </w:r>
      <w:r w:rsidR="00824E07">
        <w:rPr>
          <w:rFonts w:ascii="Arial" w:hAnsi="Arial" w:cs="Arial"/>
          <w:color w:val="000000"/>
          <w:sz w:val="24"/>
          <w:szCs w:val="24"/>
        </w:rPr>
        <w:t xml:space="preserve"> (KO)</w:t>
      </w:r>
      <w:r w:rsidRPr="00373CDB">
        <w:rPr>
          <w:rFonts w:ascii="Arial" w:hAnsi="Arial" w:cs="Arial"/>
          <w:color w:val="000000"/>
          <w:sz w:val="24"/>
          <w:szCs w:val="24"/>
        </w:rPr>
        <w:t xml:space="preserve"> nominee directors) have reaffirmed that they intend to unanimously recommend the Scheme to Independent Shareholders, in the absence of a superior proposal and subject to an independent expert concluding, and continuing to conclude, that the Scheme is fair and reasonable and in the best interests of Independent Shareholders</w:t>
      </w:r>
    </w:p>
    <w:p w14:paraId="2BB0D76E" w14:textId="77777777" w:rsidR="00373CDB" w:rsidRDefault="00373CDB" w:rsidP="00373CDB">
      <w:pPr>
        <w:pStyle w:val="ListParagraph"/>
        <w:numPr>
          <w:ilvl w:val="0"/>
          <w:numId w:val="10"/>
        </w:numPr>
        <w:spacing w:after="0" w:afterAutospacing="1" w:line="240" w:lineRule="auto"/>
        <w:textAlignment w:val="baseline"/>
        <w:rPr>
          <w:rFonts w:ascii="Arial" w:hAnsi="Arial" w:cs="Arial"/>
          <w:color w:val="000000"/>
          <w:sz w:val="24"/>
          <w:szCs w:val="24"/>
        </w:rPr>
      </w:pPr>
      <w:r w:rsidRPr="00373CDB">
        <w:rPr>
          <w:rFonts w:ascii="Arial" w:hAnsi="Arial" w:cs="Arial"/>
          <w:color w:val="000000"/>
          <w:sz w:val="24"/>
          <w:szCs w:val="24"/>
        </w:rPr>
        <w:t>The Scheme is subject to customary conditions, including CCL shareholder approval, court approval, no material adverse change, no prescribed occurrences</w:t>
      </w:r>
      <w:r w:rsidR="00824E07">
        <w:rPr>
          <w:rFonts w:ascii="Arial" w:hAnsi="Arial" w:cs="Arial"/>
          <w:color w:val="000000"/>
          <w:sz w:val="24"/>
          <w:szCs w:val="24"/>
        </w:rPr>
        <w:t xml:space="preserve">, </w:t>
      </w:r>
      <w:r w:rsidRPr="00373CDB">
        <w:rPr>
          <w:rFonts w:ascii="Arial" w:hAnsi="Arial" w:cs="Arial"/>
          <w:color w:val="000000"/>
          <w:sz w:val="24"/>
          <w:szCs w:val="24"/>
        </w:rPr>
        <w:t>Australian Foreign Investment Review Board approval and New Zealand Overseas Investment Office approval</w:t>
      </w:r>
    </w:p>
    <w:p w14:paraId="3A455048" w14:textId="77777777" w:rsidR="00AC05E4" w:rsidRPr="00AC05E4" w:rsidRDefault="00AC05E4" w:rsidP="00AC05E4">
      <w:pPr>
        <w:pStyle w:val="ListParagraph"/>
        <w:rPr>
          <w:rFonts w:ascii="Arial" w:hAnsi="Arial" w:cs="Arial"/>
          <w:color w:val="000000"/>
          <w:sz w:val="24"/>
          <w:szCs w:val="24"/>
        </w:rPr>
      </w:pPr>
    </w:p>
    <w:p w14:paraId="1025B246" w14:textId="77777777" w:rsidR="00AC05E4" w:rsidRPr="004A162C" w:rsidRDefault="00AC05E4" w:rsidP="004A162C">
      <w:pPr>
        <w:spacing w:after="0" w:afterAutospacing="1" w:line="240" w:lineRule="auto"/>
        <w:textAlignment w:val="baseline"/>
        <w:rPr>
          <w:rFonts w:ascii="Arial" w:eastAsia="Times New Roman" w:hAnsi="Arial" w:cs="Arial"/>
          <w:b/>
          <w:bCs/>
          <w:color w:val="000000"/>
          <w:sz w:val="24"/>
          <w:szCs w:val="24"/>
          <w:lang w:val="en-AU" w:eastAsia="en-GB"/>
        </w:rPr>
      </w:pPr>
      <w:r w:rsidRPr="004A162C">
        <w:rPr>
          <w:rFonts w:ascii="Arial" w:eastAsia="Times New Roman" w:hAnsi="Arial" w:cs="Arial"/>
          <w:b/>
          <w:bCs/>
          <w:color w:val="000000"/>
          <w:sz w:val="24"/>
          <w:szCs w:val="24"/>
          <w:lang w:val="en-AU" w:eastAsia="en-GB"/>
        </w:rPr>
        <w:t xml:space="preserve">Co-operation and Sale Deed with </w:t>
      </w:r>
      <w:r w:rsidR="00824E07">
        <w:rPr>
          <w:rFonts w:ascii="Arial" w:eastAsia="Times New Roman" w:hAnsi="Arial" w:cs="Arial"/>
          <w:b/>
          <w:bCs/>
          <w:color w:val="000000"/>
          <w:sz w:val="24"/>
          <w:szCs w:val="24"/>
          <w:lang w:val="en-AU" w:eastAsia="en-GB"/>
        </w:rPr>
        <w:t>KO</w:t>
      </w:r>
    </w:p>
    <w:p w14:paraId="373F9F9B" w14:textId="7DCD4C49" w:rsidR="004A162C" w:rsidRPr="00F32A70" w:rsidRDefault="00373CDB" w:rsidP="00F32A70">
      <w:pPr>
        <w:pStyle w:val="ListParagraph"/>
        <w:numPr>
          <w:ilvl w:val="0"/>
          <w:numId w:val="10"/>
        </w:numPr>
        <w:spacing w:after="0" w:afterAutospacing="1" w:line="240" w:lineRule="auto"/>
        <w:textAlignment w:val="baseline"/>
        <w:rPr>
          <w:rFonts w:ascii="Arial" w:hAnsi="Arial" w:cs="Arial"/>
          <w:color w:val="000000"/>
          <w:sz w:val="24"/>
          <w:szCs w:val="24"/>
        </w:rPr>
      </w:pPr>
      <w:r w:rsidRPr="00373CDB">
        <w:rPr>
          <w:rFonts w:ascii="Arial" w:hAnsi="Arial" w:cs="Arial"/>
          <w:color w:val="000000"/>
          <w:sz w:val="24"/>
          <w:szCs w:val="24"/>
        </w:rPr>
        <w:t xml:space="preserve">CCEP has also entered into a Co-operation and Sale Deed with </w:t>
      </w:r>
      <w:r w:rsidR="00824E07">
        <w:rPr>
          <w:rFonts w:ascii="Arial" w:hAnsi="Arial" w:cs="Arial"/>
          <w:color w:val="000000"/>
          <w:sz w:val="24"/>
          <w:szCs w:val="24"/>
        </w:rPr>
        <w:t>KO</w:t>
      </w:r>
      <w:r w:rsidRPr="00373CDB">
        <w:rPr>
          <w:rFonts w:ascii="Arial" w:hAnsi="Arial" w:cs="Arial"/>
          <w:color w:val="000000"/>
          <w:sz w:val="24"/>
          <w:szCs w:val="24"/>
        </w:rPr>
        <w:t xml:space="preserve"> with respect to the acquisition of </w:t>
      </w:r>
      <w:r w:rsidR="00824E07">
        <w:rPr>
          <w:rFonts w:ascii="Arial" w:hAnsi="Arial" w:cs="Arial"/>
          <w:color w:val="000000"/>
          <w:sz w:val="24"/>
          <w:szCs w:val="24"/>
        </w:rPr>
        <w:t>KO’s</w:t>
      </w:r>
      <w:r w:rsidRPr="00373CDB">
        <w:rPr>
          <w:rFonts w:ascii="Arial" w:hAnsi="Arial" w:cs="Arial"/>
          <w:color w:val="000000"/>
          <w:sz w:val="24"/>
          <w:szCs w:val="24"/>
        </w:rPr>
        <w:t xml:space="preserve"> 30.8% interest in CCL, conditional upon the implementation of the Scheme with CCL</w:t>
      </w:r>
    </w:p>
    <w:p w14:paraId="78FB33BB" w14:textId="3F912458" w:rsidR="00F32A70" w:rsidRPr="00F32A70" w:rsidRDefault="00283B54" w:rsidP="00F32A70">
      <w:pPr>
        <w:pStyle w:val="ListParagraph"/>
        <w:numPr>
          <w:ilvl w:val="0"/>
          <w:numId w:val="13"/>
        </w:numPr>
        <w:spacing w:after="100" w:afterAutospacing="1" w:line="240" w:lineRule="auto"/>
        <w:textAlignment w:val="baseline"/>
        <w:rPr>
          <w:rFonts w:ascii="Arial" w:eastAsia="Times New Roman" w:hAnsi="Arial" w:cs="Arial"/>
          <w:color w:val="000000"/>
          <w:sz w:val="24"/>
          <w:szCs w:val="24"/>
        </w:rPr>
      </w:pPr>
      <w:r w:rsidRPr="00C245C2">
        <w:rPr>
          <w:rFonts w:ascii="Arial" w:eastAsia="Times New Roman" w:hAnsi="Arial" w:cs="Arial"/>
          <w:color w:val="000000"/>
          <w:sz w:val="24"/>
          <w:szCs w:val="24"/>
        </w:rPr>
        <w:t>Under the Co-operation and Sale Deed, KO will be entitled to receive A$9.57 per share in cash for part of their shareholding, which comprises 10.8% of CCL’s shares. CCEP will acquire all of KO’s remaining 20% shareholding in CCL for A$10.75 per share, either in cash or a combination of cash and the issue of CCEP shares at an agreed conversion ratio</w:t>
      </w:r>
      <w:r w:rsidR="00C245C2" w:rsidRPr="00C245C2">
        <w:rPr>
          <w:rFonts w:ascii="Arial" w:eastAsia="Times New Roman" w:hAnsi="Arial" w:cs="Arial"/>
          <w:color w:val="000000"/>
          <w:sz w:val="24"/>
          <w:szCs w:val="24"/>
        </w:rPr>
        <w:t xml:space="preserve"> </w:t>
      </w:r>
      <w:r w:rsidR="00C245C2" w:rsidRPr="00C245C2">
        <w:rPr>
          <w:rFonts w:ascii="Arial" w:hAnsi="Arial" w:cs="Arial"/>
          <w:color w:val="000000"/>
          <w:sz w:val="24"/>
          <w:szCs w:val="24"/>
        </w:rPr>
        <w:t xml:space="preserve">(further details at </w:t>
      </w:r>
      <w:hyperlink r:id="rId12" w:history="1">
        <w:r w:rsidR="00C245C2" w:rsidRPr="00C245C2">
          <w:rPr>
            <w:rStyle w:val="Hyperlink"/>
            <w:rFonts w:ascii="Arial" w:hAnsi="Arial" w:cs="Arial"/>
            <w:sz w:val="24"/>
            <w:szCs w:val="24"/>
            <w:lang w:val="en-AU"/>
          </w:rPr>
          <w:t>https://www2.asx.com.au/markets/trade-our-cash-market/announcements.ccl</w:t>
        </w:r>
      </w:hyperlink>
      <w:r w:rsidR="00C245C2" w:rsidRPr="00C245C2">
        <w:rPr>
          <w:rFonts w:ascii="Arial" w:hAnsi="Arial" w:cs="Arial"/>
          <w:sz w:val="24"/>
          <w:szCs w:val="24"/>
          <w:lang w:val="en-AU"/>
        </w:rPr>
        <w:t>)</w:t>
      </w:r>
    </w:p>
    <w:p w14:paraId="67AB1917" w14:textId="4CBC34BB" w:rsidR="00914A7C" w:rsidRDefault="00914A7C" w:rsidP="00AC05E4">
      <w:pPr>
        <w:rPr>
          <w:rFonts w:ascii="Arial" w:eastAsia="Times New Roman" w:hAnsi="Arial" w:cs="Arial"/>
          <w:b/>
          <w:sz w:val="24"/>
          <w:szCs w:val="24"/>
        </w:rPr>
      </w:pPr>
      <w:r>
        <w:rPr>
          <w:rFonts w:ascii="Arial" w:eastAsia="Times New Roman" w:hAnsi="Arial" w:cs="Arial"/>
          <w:b/>
          <w:sz w:val="24"/>
          <w:szCs w:val="24"/>
        </w:rPr>
        <w:t>Compelling strategic rationale: creating a platform for accelerated growth &amp; returns</w:t>
      </w:r>
      <w:r w:rsidR="006D43E2">
        <w:rPr>
          <w:rFonts w:ascii="Arial" w:eastAsia="Times New Roman" w:hAnsi="Arial" w:cs="Arial"/>
          <w:b/>
          <w:sz w:val="24"/>
          <w:szCs w:val="24"/>
        </w:rPr>
        <w:t xml:space="preserve"> led by CCEP’s proven, experienced management team with a strong track record </w:t>
      </w:r>
    </w:p>
    <w:p w14:paraId="29EE7A72" w14:textId="77777777" w:rsidR="00914A7C" w:rsidRDefault="00914A7C" w:rsidP="00914A7C">
      <w:pPr>
        <w:pStyle w:val="ListParagraph"/>
        <w:numPr>
          <w:ilvl w:val="0"/>
          <w:numId w:val="10"/>
        </w:numPr>
        <w:spacing w:after="0" w:afterAutospacing="1" w:line="240" w:lineRule="auto"/>
        <w:textAlignment w:val="baseline"/>
        <w:rPr>
          <w:rFonts w:ascii="Arial" w:hAnsi="Arial" w:cs="Arial"/>
          <w:color w:val="000000"/>
          <w:sz w:val="24"/>
          <w:szCs w:val="24"/>
        </w:rPr>
      </w:pPr>
      <w:r w:rsidRPr="00914A7C">
        <w:rPr>
          <w:rFonts w:ascii="Arial" w:hAnsi="Arial" w:cs="Arial"/>
          <w:color w:val="000000"/>
          <w:sz w:val="24"/>
          <w:szCs w:val="24"/>
        </w:rPr>
        <w:t>Brings together two of the world’s best Coca-Cola bottlers, providing access to complementary, developed markets with attractive long-term macro growth fundamental</w:t>
      </w:r>
      <w:r>
        <w:rPr>
          <w:rFonts w:ascii="Arial" w:hAnsi="Arial" w:cs="Arial"/>
          <w:color w:val="000000"/>
          <w:sz w:val="24"/>
          <w:szCs w:val="24"/>
        </w:rPr>
        <w:t>s</w:t>
      </w:r>
    </w:p>
    <w:p w14:paraId="3CDC4141" w14:textId="77777777" w:rsidR="00914A7C" w:rsidRPr="00914A7C" w:rsidRDefault="00914A7C" w:rsidP="00914A7C">
      <w:pPr>
        <w:pStyle w:val="ListParagraph"/>
        <w:numPr>
          <w:ilvl w:val="0"/>
          <w:numId w:val="10"/>
        </w:numPr>
        <w:spacing w:after="0" w:afterAutospacing="1" w:line="240" w:lineRule="auto"/>
        <w:textAlignment w:val="baseline"/>
        <w:rPr>
          <w:rFonts w:ascii="Arial" w:hAnsi="Arial" w:cs="Arial"/>
          <w:color w:val="000000"/>
          <w:sz w:val="24"/>
          <w:szCs w:val="24"/>
        </w:rPr>
      </w:pPr>
      <w:r w:rsidRPr="00914A7C">
        <w:rPr>
          <w:rFonts w:ascii="Arial" w:hAnsi="Arial" w:cs="Arial"/>
          <w:color w:val="000000"/>
          <w:sz w:val="24"/>
          <w:szCs w:val="24"/>
          <w:lang w:val="en-GB"/>
        </w:rPr>
        <w:t xml:space="preserve">Creates a broader &amp; more balanced geographic footprint, doubling </w:t>
      </w:r>
      <w:r>
        <w:rPr>
          <w:rFonts w:ascii="Arial" w:hAnsi="Arial" w:cs="Arial"/>
          <w:color w:val="000000"/>
          <w:sz w:val="24"/>
          <w:szCs w:val="24"/>
          <w:lang w:val="en-GB"/>
        </w:rPr>
        <w:t>CCEP’s</w:t>
      </w:r>
      <w:r w:rsidRPr="00914A7C">
        <w:rPr>
          <w:rFonts w:ascii="Arial" w:hAnsi="Arial" w:cs="Arial"/>
          <w:color w:val="000000"/>
          <w:sz w:val="24"/>
          <w:szCs w:val="24"/>
          <w:lang w:val="en-GB"/>
        </w:rPr>
        <w:t xml:space="preserve"> consumer reach</w:t>
      </w:r>
    </w:p>
    <w:p w14:paraId="68C02C48" w14:textId="4B0BA22E" w:rsidR="00914A7C" w:rsidRPr="00914A7C" w:rsidRDefault="00914A7C" w:rsidP="00914A7C">
      <w:pPr>
        <w:pStyle w:val="ListParagraph"/>
        <w:numPr>
          <w:ilvl w:val="0"/>
          <w:numId w:val="10"/>
        </w:numPr>
        <w:spacing w:after="0" w:afterAutospacing="1" w:line="240" w:lineRule="auto"/>
        <w:textAlignment w:val="baseline"/>
        <w:rPr>
          <w:rFonts w:ascii="Arial" w:hAnsi="Arial" w:cs="Arial"/>
          <w:color w:val="000000"/>
          <w:sz w:val="24"/>
          <w:szCs w:val="24"/>
        </w:rPr>
      </w:pPr>
      <w:r w:rsidRPr="00914A7C">
        <w:rPr>
          <w:rFonts w:ascii="Arial" w:hAnsi="Arial" w:cs="Arial"/>
          <w:color w:val="000000"/>
          <w:sz w:val="24"/>
          <w:szCs w:val="24"/>
          <w:lang w:val="en-GB"/>
        </w:rPr>
        <w:lastRenderedPageBreak/>
        <w:t>Provides access to one of the world’s most populous &amp; attractive emerging growth market</w:t>
      </w:r>
      <w:r w:rsidR="008930B7">
        <w:rPr>
          <w:rFonts w:ascii="Arial" w:hAnsi="Arial" w:cs="Arial"/>
          <w:color w:val="000000"/>
          <w:sz w:val="24"/>
          <w:szCs w:val="24"/>
          <w:lang w:val="en-GB"/>
        </w:rPr>
        <w:t>s</w:t>
      </w:r>
    </w:p>
    <w:p w14:paraId="2F6FC5E9" w14:textId="77777777" w:rsidR="00914A7C" w:rsidRPr="00914A7C" w:rsidRDefault="00914A7C" w:rsidP="00914A7C">
      <w:pPr>
        <w:pStyle w:val="ListParagraph"/>
        <w:numPr>
          <w:ilvl w:val="0"/>
          <w:numId w:val="10"/>
        </w:numPr>
        <w:spacing w:after="0" w:afterAutospacing="1" w:line="240" w:lineRule="auto"/>
        <w:textAlignment w:val="baseline"/>
        <w:rPr>
          <w:rFonts w:ascii="Arial" w:hAnsi="Arial" w:cs="Arial"/>
          <w:color w:val="000000"/>
          <w:sz w:val="24"/>
          <w:szCs w:val="24"/>
        </w:rPr>
      </w:pPr>
      <w:r w:rsidRPr="00914A7C">
        <w:rPr>
          <w:rFonts w:ascii="Arial" w:hAnsi="Arial" w:cs="Arial"/>
          <w:color w:val="000000"/>
          <w:sz w:val="24"/>
          <w:szCs w:val="24"/>
        </w:rPr>
        <w:t>Enables faster scale by combining the talent, learning &amp; best practices of two great companies, with a strong</w:t>
      </w:r>
      <w:r w:rsidR="006D43E2">
        <w:rPr>
          <w:rFonts w:ascii="Arial" w:hAnsi="Arial" w:cs="Arial"/>
          <w:color w:val="000000"/>
          <w:sz w:val="24"/>
          <w:szCs w:val="24"/>
        </w:rPr>
        <w:t>,</w:t>
      </w:r>
      <w:r w:rsidRPr="00914A7C">
        <w:rPr>
          <w:rFonts w:ascii="Arial" w:hAnsi="Arial" w:cs="Arial"/>
          <w:color w:val="000000"/>
          <w:sz w:val="24"/>
          <w:szCs w:val="24"/>
        </w:rPr>
        <w:t xml:space="preserve"> shared sustainability focus</w:t>
      </w:r>
    </w:p>
    <w:p w14:paraId="4F06BBC3" w14:textId="44F69305" w:rsidR="006D43E2" w:rsidRPr="00F32A70" w:rsidRDefault="00914A7C" w:rsidP="00AC05E4">
      <w:pPr>
        <w:pStyle w:val="ListParagraph"/>
        <w:numPr>
          <w:ilvl w:val="0"/>
          <w:numId w:val="10"/>
        </w:numPr>
        <w:spacing w:after="0" w:afterAutospacing="1" w:line="240" w:lineRule="auto"/>
        <w:textAlignment w:val="baseline"/>
        <w:rPr>
          <w:rFonts w:ascii="Arial" w:hAnsi="Arial" w:cs="Arial"/>
          <w:color w:val="000000"/>
          <w:sz w:val="24"/>
          <w:szCs w:val="24"/>
        </w:rPr>
      </w:pPr>
      <w:r w:rsidRPr="00914A7C">
        <w:rPr>
          <w:rFonts w:ascii="Arial" w:hAnsi="Arial" w:cs="Arial"/>
          <w:color w:val="000000"/>
          <w:sz w:val="24"/>
          <w:szCs w:val="24"/>
          <w:lang w:val="en-GB"/>
        </w:rPr>
        <w:t xml:space="preserve">Further strengthens CCEP’s strategic partnership with </w:t>
      </w:r>
      <w:r w:rsidR="006D43E2">
        <w:rPr>
          <w:rFonts w:ascii="Arial" w:hAnsi="Arial" w:cs="Arial"/>
          <w:color w:val="000000"/>
          <w:sz w:val="24"/>
          <w:szCs w:val="24"/>
          <w:lang w:val="en-GB"/>
        </w:rPr>
        <w:t xml:space="preserve">KO </w:t>
      </w:r>
      <w:r w:rsidR="007C35C6">
        <w:rPr>
          <w:rFonts w:ascii="Arial" w:hAnsi="Arial" w:cs="Arial"/>
          <w:color w:val="000000"/>
          <w:sz w:val="24"/>
          <w:szCs w:val="24"/>
          <w:lang w:val="en-GB"/>
        </w:rPr>
        <w:t>to drive joint and</w:t>
      </w:r>
      <w:r w:rsidR="006D43E2">
        <w:rPr>
          <w:rFonts w:ascii="Arial" w:hAnsi="Arial" w:cs="Arial"/>
          <w:color w:val="000000"/>
          <w:sz w:val="24"/>
          <w:szCs w:val="24"/>
          <w:lang w:val="en-GB"/>
        </w:rPr>
        <w:t xml:space="preserve"> ambiti</w:t>
      </w:r>
      <w:r w:rsidR="007C35C6">
        <w:rPr>
          <w:rFonts w:ascii="Arial" w:hAnsi="Arial" w:cs="Arial"/>
          <w:color w:val="000000"/>
          <w:sz w:val="24"/>
          <w:szCs w:val="24"/>
          <w:lang w:val="en-GB"/>
        </w:rPr>
        <w:t xml:space="preserve">ous </w:t>
      </w:r>
      <w:r w:rsidR="006D43E2">
        <w:rPr>
          <w:rFonts w:ascii="Arial" w:hAnsi="Arial" w:cs="Arial"/>
          <w:color w:val="000000"/>
          <w:sz w:val="24"/>
          <w:szCs w:val="24"/>
          <w:lang w:val="en-GB"/>
        </w:rPr>
        <w:t xml:space="preserve">growth plans </w:t>
      </w:r>
    </w:p>
    <w:p w14:paraId="505E1A41" w14:textId="77777777" w:rsidR="00373CDB" w:rsidRPr="00D16C30" w:rsidRDefault="00373CDB" w:rsidP="00AC05E4">
      <w:pPr>
        <w:rPr>
          <w:rFonts w:ascii="Arial" w:eastAsia="Times New Roman" w:hAnsi="Arial" w:cs="Arial"/>
          <w:b/>
          <w:sz w:val="24"/>
          <w:szCs w:val="24"/>
        </w:rPr>
      </w:pPr>
      <w:r w:rsidRPr="00D16C30">
        <w:rPr>
          <w:rFonts w:ascii="Arial" w:eastAsia="Times New Roman" w:hAnsi="Arial" w:cs="Arial"/>
          <w:b/>
          <w:sz w:val="24"/>
          <w:szCs w:val="24"/>
        </w:rPr>
        <w:t xml:space="preserve">Damian Gammell, Chief Executive Officer of </w:t>
      </w:r>
      <w:r>
        <w:rPr>
          <w:rFonts w:ascii="Arial" w:eastAsia="Times New Roman" w:hAnsi="Arial" w:cs="Arial"/>
          <w:b/>
          <w:sz w:val="24"/>
          <w:szCs w:val="24"/>
        </w:rPr>
        <w:t>CCEP</w:t>
      </w:r>
      <w:r w:rsidRPr="00D16C30">
        <w:rPr>
          <w:rFonts w:ascii="Arial" w:eastAsia="Times New Roman" w:hAnsi="Arial" w:cs="Arial"/>
          <w:b/>
          <w:sz w:val="24"/>
          <w:szCs w:val="24"/>
        </w:rPr>
        <w:t>, said:</w:t>
      </w:r>
    </w:p>
    <w:p w14:paraId="45221777" w14:textId="190B0A90" w:rsidR="00373CDB" w:rsidRPr="00373CDB" w:rsidRDefault="00373CDB" w:rsidP="00373CDB">
      <w:pPr>
        <w:spacing w:after="0" w:afterAutospacing="1" w:line="240" w:lineRule="auto"/>
        <w:textAlignment w:val="baseline"/>
        <w:rPr>
          <w:rFonts w:ascii="Arial" w:eastAsia="Times New Roman" w:hAnsi="Arial" w:cs="Arial"/>
          <w:color w:val="000000"/>
          <w:sz w:val="24"/>
          <w:szCs w:val="24"/>
          <w:lang w:val="en-AU" w:eastAsia="en-GB"/>
        </w:rPr>
      </w:pPr>
      <w:r w:rsidRPr="00373CDB">
        <w:rPr>
          <w:rFonts w:ascii="Arial" w:eastAsia="Times New Roman" w:hAnsi="Arial" w:cs="Arial"/>
          <w:color w:val="000000"/>
          <w:sz w:val="24"/>
          <w:szCs w:val="24"/>
          <w:lang w:val="en-AU" w:eastAsia="en-GB"/>
        </w:rPr>
        <w:t>“</w:t>
      </w:r>
      <w:r w:rsidR="009B425B">
        <w:rPr>
          <w:rFonts w:ascii="Arial" w:eastAsia="Times New Roman" w:hAnsi="Arial" w:cs="Arial"/>
          <w:color w:val="000000"/>
          <w:sz w:val="24"/>
          <w:szCs w:val="24"/>
          <w:lang w:val="en-AU" w:eastAsia="en-GB"/>
        </w:rPr>
        <w:t xml:space="preserve">This is a </w:t>
      </w:r>
      <w:r w:rsidR="009E75D4">
        <w:rPr>
          <w:rFonts w:ascii="Arial" w:eastAsia="Times New Roman" w:hAnsi="Arial" w:cs="Arial"/>
          <w:color w:val="000000"/>
          <w:sz w:val="24"/>
          <w:szCs w:val="24"/>
          <w:lang w:val="en-AU" w:eastAsia="en-GB"/>
        </w:rPr>
        <w:t>fantastic</w:t>
      </w:r>
      <w:r w:rsidR="009B425B">
        <w:rPr>
          <w:rFonts w:ascii="Arial" w:eastAsia="Times New Roman" w:hAnsi="Arial" w:cs="Arial"/>
          <w:color w:val="000000"/>
          <w:sz w:val="24"/>
          <w:szCs w:val="24"/>
          <w:lang w:val="en-AU" w:eastAsia="en-GB"/>
        </w:rPr>
        <w:t xml:space="preserve"> opportunity to bring together two of the world’s best bottlers to drive faster and more</w:t>
      </w:r>
      <w:r w:rsidR="00FD06F6">
        <w:rPr>
          <w:rFonts w:ascii="Arial" w:eastAsia="Times New Roman" w:hAnsi="Arial" w:cs="Arial"/>
          <w:color w:val="000000"/>
          <w:sz w:val="24"/>
          <w:szCs w:val="24"/>
          <w:lang w:val="en-AU" w:eastAsia="en-GB"/>
        </w:rPr>
        <w:t xml:space="preserve"> </w:t>
      </w:r>
      <w:r w:rsidRPr="00373CDB">
        <w:rPr>
          <w:rFonts w:ascii="Arial" w:eastAsia="Times New Roman" w:hAnsi="Arial" w:cs="Arial"/>
          <w:color w:val="000000"/>
          <w:sz w:val="24"/>
          <w:szCs w:val="24"/>
          <w:lang w:val="en-AU" w:eastAsia="en-GB"/>
        </w:rPr>
        <w:t>sustainable growth</w:t>
      </w:r>
      <w:r w:rsidR="00712961">
        <w:rPr>
          <w:rFonts w:ascii="Arial" w:eastAsia="Times New Roman" w:hAnsi="Arial" w:cs="Arial"/>
          <w:color w:val="000000"/>
          <w:sz w:val="24"/>
          <w:szCs w:val="24"/>
          <w:lang w:val="en-AU" w:eastAsia="en-GB"/>
        </w:rPr>
        <w:t>.</w:t>
      </w:r>
      <w:r w:rsidRPr="00373CDB">
        <w:rPr>
          <w:rFonts w:ascii="Arial" w:eastAsia="Times New Roman" w:hAnsi="Arial" w:cs="Arial"/>
          <w:color w:val="000000"/>
          <w:sz w:val="24"/>
          <w:szCs w:val="24"/>
          <w:lang w:val="en-AU" w:eastAsia="en-GB"/>
        </w:rPr>
        <w:t xml:space="preserve"> </w:t>
      </w:r>
      <w:r w:rsidR="0013486D">
        <w:rPr>
          <w:rFonts w:ascii="Arial" w:eastAsia="Times New Roman" w:hAnsi="Arial" w:cs="Arial"/>
          <w:color w:val="000000"/>
          <w:sz w:val="24"/>
          <w:szCs w:val="24"/>
          <w:lang w:val="en-AU" w:eastAsia="en-GB"/>
        </w:rPr>
        <w:t xml:space="preserve">Since the creation of CCEP four years ago, we have </w:t>
      </w:r>
      <w:r w:rsidRPr="00373CDB">
        <w:rPr>
          <w:rFonts w:ascii="Arial" w:eastAsia="Times New Roman" w:hAnsi="Arial" w:cs="Arial"/>
          <w:color w:val="000000"/>
          <w:sz w:val="24"/>
          <w:szCs w:val="24"/>
          <w:lang w:val="en-AU" w:eastAsia="en-GB"/>
        </w:rPr>
        <w:t>proven</w:t>
      </w:r>
      <w:r w:rsidR="0013486D">
        <w:rPr>
          <w:rFonts w:ascii="Arial" w:eastAsia="Times New Roman" w:hAnsi="Arial" w:cs="Arial"/>
          <w:color w:val="000000"/>
          <w:sz w:val="24"/>
          <w:szCs w:val="24"/>
          <w:lang w:val="en-AU" w:eastAsia="en-GB"/>
        </w:rPr>
        <w:t xml:space="preserve"> our</w:t>
      </w:r>
      <w:r w:rsidRPr="00373CDB">
        <w:rPr>
          <w:rFonts w:ascii="Arial" w:eastAsia="Times New Roman" w:hAnsi="Arial" w:cs="Arial"/>
          <w:color w:val="000000"/>
          <w:sz w:val="24"/>
          <w:szCs w:val="24"/>
          <w:lang w:val="en-AU" w:eastAsia="en-GB"/>
        </w:rPr>
        <w:t xml:space="preserve"> ability to create </w:t>
      </w:r>
      <w:r w:rsidR="00712961">
        <w:rPr>
          <w:rFonts w:ascii="Arial" w:eastAsia="Times New Roman" w:hAnsi="Arial" w:cs="Arial"/>
          <w:color w:val="000000"/>
          <w:sz w:val="24"/>
          <w:szCs w:val="24"/>
          <w:lang w:val="en-AU" w:eastAsia="en-GB"/>
        </w:rPr>
        <w:t>value</w:t>
      </w:r>
      <w:r w:rsidRPr="00373CDB">
        <w:rPr>
          <w:rFonts w:ascii="Arial" w:eastAsia="Times New Roman" w:hAnsi="Arial" w:cs="Arial"/>
          <w:color w:val="000000"/>
          <w:sz w:val="24"/>
          <w:szCs w:val="24"/>
          <w:lang w:val="en-AU" w:eastAsia="en-GB"/>
        </w:rPr>
        <w:t xml:space="preserve"> through expansion and integration</w:t>
      </w:r>
      <w:r w:rsidR="00A00D4B">
        <w:rPr>
          <w:rFonts w:ascii="Arial" w:eastAsia="Times New Roman" w:hAnsi="Arial" w:cs="Arial"/>
          <w:color w:val="000000"/>
          <w:sz w:val="24"/>
          <w:szCs w:val="24"/>
          <w:lang w:val="en-AU" w:eastAsia="en-GB"/>
        </w:rPr>
        <w:t>. N</w:t>
      </w:r>
      <w:r w:rsidR="009571B8">
        <w:rPr>
          <w:rFonts w:ascii="Arial" w:eastAsia="Times New Roman" w:hAnsi="Arial" w:cs="Arial"/>
          <w:color w:val="000000"/>
          <w:sz w:val="24"/>
          <w:szCs w:val="24"/>
          <w:lang w:val="en-AU" w:eastAsia="en-GB"/>
        </w:rPr>
        <w:t xml:space="preserve">ow is the right time to </w:t>
      </w:r>
      <w:r w:rsidR="007B2F24">
        <w:rPr>
          <w:rFonts w:ascii="Arial" w:eastAsia="Times New Roman" w:hAnsi="Arial" w:cs="Arial"/>
          <w:color w:val="000000"/>
          <w:sz w:val="24"/>
          <w:szCs w:val="24"/>
          <w:lang w:val="en-AU" w:eastAsia="en-GB"/>
        </w:rPr>
        <w:t xml:space="preserve">move forward </w:t>
      </w:r>
      <w:r w:rsidR="006937D7">
        <w:rPr>
          <w:rFonts w:ascii="Arial" w:eastAsia="Times New Roman" w:hAnsi="Arial" w:cs="Arial"/>
          <w:color w:val="000000"/>
          <w:sz w:val="24"/>
          <w:szCs w:val="24"/>
          <w:lang w:val="en-AU" w:eastAsia="en-GB"/>
        </w:rPr>
        <w:t>by</w:t>
      </w:r>
      <w:r w:rsidR="007B2F24">
        <w:rPr>
          <w:rFonts w:ascii="Arial" w:eastAsia="Times New Roman" w:hAnsi="Arial" w:cs="Arial"/>
          <w:color w:val="000000"/>
          <w:sz w:val="24"/>
          <w:szCs w:val="24"/>
          <w:lang w:val="en-AU" w:eastAsia="en-GB"/>
        </w:rPr>
        <w:t xml:space="preserve"> taking on th</w:t>
      </w:r>
      <w:r w:rsidR="00712961">
        <w:rPr>
          <w:rFonts w:ascii="Arial" w:eastAsia="Times New Roman" w:hAnsi="Arial" w:cs="Arial"/>
          <w:color w:val="000000"/>
          <w:sz w:val="24"/>
          <w:szCs w:val="24"/>
          <w:lang w:val="en-AU" w:eastAsia="en-GB"/>
        </w:rPr>
        <w:t xml:space="preserve">ese great franchises and markets. </w:t>
      </w:r>
    </w:p>
    <w:p w14:paraId="47EB00A1" w14:textId="0D48A7AB" w:rsidR="00687902" w:rsidRDefault="00373CDB" w:rsidP="009E75D4">
      <w:pPr>
        <w:spacing w:after="0" w:afterAutospacing="1" w:line="240" w:lineRule="auto"/>
        <w:textAlignment w:val="baseline"/>
        <w:rPr>
          <w:rFonts w:ascii="Arial" w:eastAsia="Times New Roman" w:hAnsi="Arial" w:cs="Arial"/>
          <w:color w:val="000000"/>
          <w:sz w:val="24"/>
          <w:szCs w:val="24"/>
          <w:lang w:val="en-AU" w:eastAsia="en-GB"/>
        </w:rPr>
      </w:pPr>
      <w:r>
        <w:rPr>
          <w:rFonts w:ascii="Arial" w:eastAsia="Times New Roman" w:hAnsi="Arial" w:cs="Arial"/>
          <w:color w:val="000000"/>
          <w:sz w:val="24"/>
          <w:szCs w:val="24"/>
          <w:lang w:val="en-AU" w:eastAsia="en-GB"/>
        </w:rPr>
        <w:t>“</w:t>
      </w:r>
      <w:r w:rsidR="00712961" w:rsidRPr="00712961">
        <w:rPr>
          <w:rFonts w:ascii="Arial" w:eastAsia="Times New Roman" w:hAnsi="Arial" w:cs="Arial"/>
          <w:color w:val="000000"/>
          <w:sz w:val="24"/>
          <w:szCs w:val="24"/>
          <w:lang w:val="en-AU" w:eastAsia="en-GB"/>
        </w:rPr>
        <w:t>The strategic rationale behind this transaction is compelling, solidifying our position as the largest Co</w:t>
      </w:r>
      <w:r w:rsidR="00A00D4B">
        <w:rPr>
          <w:rFonts w:ascii="Arial" w:eastAsia="Times New Roman" w:hAnsi="Arial" w:cs="Arial"/>
          <w:color w:val="000000"/>
          <w:sz w:val="24"/>
          <w:szCs w:val="24"/>
          <w:lang w:val="en-AU" w:eastAsia="en-GB"/>
        </w:rPr>
        <w:t>ca-Cola</w:t>
      </w:r>
      <w:r w:rsidR="00712961" w:rsidRPr="00712961">
        <w:rPr>
          <w:rFonts w:ascii="Arial" w:eastAsia="Times New Roman" w:hAnsi="Arial" w:cs="Arial"/>
          <w:color w:val="000000"/>
          <w:sz w:val="24"/>
          <w:szCs w:val="24"/>
          <w:lang w:val="en-AU" w:eastAsia="en-GB"/>
        </w:rPr>
        <w:t xml:space="preserve"> bottler by revenue</w:t>
      </w:r>
      <w:r w:rsidR="00687902">
        <w:rPr>
          <w:rFonts w:ascii="Arial" w:eastAsia="Times New Roman" w:hAnsi="Arial" w:cs="Arial"/>
          <w:color w:val="000000"/>
          <w:sz w:val="24"/>
          <w:szCs w:val="24"/>
          <w:lang w:val="en-AU" w:eastAsia="en-GB"/>
        </w:rPr>
        <w:t xml:space="preserve">. </w:t>
      </w:r>
      <w:r w:rsidR="00A00D4B">
        <w:rPr>
          <w:rFonts w:ascii="Arial" w:eastAsia="Times New Roman" w:hAnsi="Arial" w:cs="Arial"/>
          <w:color w:val="000000"/>
          <w:sz w:val="24"/>
          <w:szCs w:val="24"/>
          <w:lang w:val="en-AU" w:eastAsia="en-GB"/>
        </w:rPr>
        <w:t>I am eager</w:t>
      </w:r>
      <w:r w:rsidR="007B2F24">
        <w:rPr>
          <w:rFonts w:ascii="Arial" w:eastAsia="Times New Roman" w:hAnsi="Arial" w:cs="Arial"/>
          <w:color w:val="000000"/>
          <w:sz w:val="24"/>
          <w:szCs w:val="24"/>
          <w:lang w:val="en-AU" w:eastAsia="en-GB"/>
        </w:rPr>
        <w:t xml:space="preserve"> to </w:t>
      </w:r>
      <w:r w:rsidR="00687902">
        <w:rPr>
          <w:rFonts w:ascii="Arial" w:eastAsia="Times New Roman" w:hAnsi="Arial" w:cs="Arial"/>
          <w:color w:val="000000"/>
          <w:sz w:val="24"/>
          <w:szCs w:val="24"/>
          <w:lang w:val="en-AU" w:eastAsia="en-GB"/>
        </w:rPr>
        <w:t>apply our proven formula</w:t>
      </w:r>
      <w:r w:rsidR="00DB3497">
        <w:rPr>
          <w:rFonts w:ascii="Arial" w:eastAsia="Times New Roman" w:hAnsi="Arial" w:cs="Arial"/>
          <w:color w:val="000000"/>
          <w:sz w:val="24"/>
          <w:szCs w:val="24"/>
          <w:lang w:val="en-AU" w:eastAsia="en-GB"/>
        </w:rPr>
        <w:t xml:space="preserve"> in Western Europe to </w:t>
      </w:r>
      <w:r w:rsidR="00A00D4B">
        <w:rPr>
          <w:rFonts w:ascii="Arial" w:eastAsia="Times New Roman" w:hAnsi="Arial" w:cs="Arial"/>
          <w:color w:val="000000"/>
          <w:sz w:val="24"/>
          <w:szCs w:val="24"/>
          <w:lang w:val="en-AU" w:eastAsia="en-GB"/>
        </w:rPr>
        <w:t>Coca-Co</w:t>
      </w:r>
      <w:r w:rsidR="007E2DB8">
        <w:rPr>
          <w:rFonts w:ascii="Arial" w:eastAsia="Times New Roman" w:hAnsi="Arial" w:cs="Arial"/>
          <w:color w:val="000000"/>
          <w:sz w:val="24"/>
          <w:szCs w:val="24"/>
          <w:lang w:val="en-AU" w:eastAsia="en-GB"/>
        </w:rPr>
        <w:t xml:space="preserve">la </w:t>
      </w:r>
      <w:r w:rsidR="00DB3497">
        <w:rPr>
          <w:rFonts w:ascii="Arial" w:eastAsia="Times New Roman" w:hAnsi="Arial" w:cs="Arial"/>
          <w:color w:val="000000"/>
          <w:sz w:val="24"/>
          <w:szCs w:val="24"/>
          <w:lang w:val="en-AU" w:eastAsia="en-GB"/>
        </w:rPr>
        <w:t xml:space="preserve">Amatil’s markets, </w:t>
      </w:r>
      <w:r w:rsidR="00A00D4B">
        <w:rPr>
          <w:rFonts w:ascii="Arial" w:eastAsia="Times New Roman" w:hAnsi="Arial" w:cs="Arial"/>
          <w:color w:val="000000"/>
          <w:sz w:val="24"/>
          <w:szCs w:val="24"/>
          <w:lang w:val="en-AU" w:eastAsia="en-GB"/>
        </w:rPr>
        <w:t>including</w:t>
      </w:r>
      <w:r w:rsidR="00DB3497">
        <w:rPr>
          <w:rFonts w:ascii="Arial" w:eastAsia="Times New Roman" w:hAnsi="Arial" w:cs="Arial"/>
          <w:color w:val="000000"/>
          <w:sz w:val="24"/>
          <w:szCs w:val="24"/>
          <w:lang w:val="en-AU" w:eastAsia="en-GB"/>
        </w:rPr>
        <w:t xml:space="preserve"> lead</w:t>
      </w:r>
      <w:r w:rsidR="00A00D4B">
        <w:rPr>
          <w:rFonts w:ascii="Arial" w:eastAsia="Times New Roman" w:hAnsi="Arial" w:cs="Arial"/>
          <w:color w:val="000000"/>
          <w:sz w:val="24"/>
          <w:szCs w:val="24"/>
          <w:lang w:val="en-AU" w:eastAsia="en-GB"/>
        </w:rPr>
        <w:t>ership</w:t>
      </w:r>
      <w:r w:rsidR="00DB3497">
        <w:rPr>
          <w:rFonts w:ascii="Arial" w:eastAsia="Times New Roman" w:hAnsi="Arial" w:cs="Arial"/>
          <w:color w:val="000000"/>
          <w:sz w:val="24"/>
          <w:szCs w:val="24"/>
          <w:lang w:val="en-AU" w:eastAsia="en-GB"/>
        </w:rPr>
        <w:t xml:space="preserve"> in areas such as revenue growth </w:t>
      </w:r>
      <w:r w:rsidR="00DB3497" w:rsidRPr="00C32733">
        <w:rPr>
          <w:rFonts w:ascii="Arial" w:eastAsia="Times New Roman" w:hAnsi="Arial" w:cs="Arial"/>
          <w:color w:val="000000"/>
          <w:sz w:val="24"/>
          <w:szCs w:val="24"/>
          <w:lang w:val="en-AU" w:eastAsia="en-GB"/>
        </w:rPr>
        <w:t>management, in-market execution</w:t>
      </w:r>
      <w:r w:rsidR="00A00D4B" w:rsidRPr="00C32733">
        <w:rPr>
          <w:rFonts w:ascii="Arial" w:eastAsia="Times New Roman" w:hAnsi="Arial" w:cs="Arial"/>
          <w:color w:val="000000"/>
          <w:sz w:val="24"/>
          <w:szCs w:val="24"/>
          <w:lang w:val="en-AU" w:eastAsia="en-GB"/>
        </w:rPr>
        <w:t xml:space="preserve">, </w:t>
      </w:r>
      <w:r w:rsidR="00DB3497" w:rsidRPr="00C32733">
        <w:rPr>
          <w:rFonts w:ascii="Arial" w:eastAsia="Times New Roman" w:hAnsi="Arial" w:cs="Arial"/>
          <w:color w:val="000000"/>
          <w:sz w:val="24"/>
          <w:szCs w:val="24"/>
          <w:lang w:val="en-AU" w:eastAsia="en-GB"/>
        </w:rPr>
        <w:t>digital</w:t>
      </w:r>
      <w:r w:rsidR="00A00D4B" w:rsidRPr="00C32733">
        <w:rPr>
          <w:rFonts w:ascii="Arial" w:eastAsia="Times New Roman" w:hAnsi="Arial" w:cs="Arial"/>
          <w:color w:val="000000"/>
          <w:sz w:val="24"/>
          <w:szCs w:val="24"/>
          <w:lang w:val="en-AU" w:eastAsia="en-GB"/>
        </w:rPr>
        <w:t xml:space="preserve"> and sustainability</w:t>
      </w:r>
      <w:r w:rsidR="00DB3497" w:rsidRPr="00C32733">
        <w:rPr>
          <w:rFonts w:ascii="Arial" w:eastAsia="Times New Roman" w:hAnsi="Arial" w:cs="Arial"/>
          <w:color w:val="000000"/>
          <w:sz w:val="24"/>
          <w:szCs w:val="24"/>
          <w:lang w:val="en-AU" w:eastAsia="en-GB"/>
        </w:rPr>
        <w:t xml:space="preserve">. However, I am </w:t>
      </w:r>
      <w:r w:rsidR="007B2F24" w:rsidRPr="00C32733">
        <w:rPr>
          <w:rFonts w:ascii="Arial" w:eastAsia="Times New Roman" w:hAnsi="Arial" w:cs="Arial"/>
          <w:color w:val="000000"/>
          <w:sz w:val="24"/>
          <w:szCs w:val="24"/>
          <w:lang w:val="en-AU" w:eastAsia="en-GB"/>
        </w:rPr>
        <w:t xml:space="preserve">equally </w:t>
      </w:r>
      <w:r w:rsidR="00A00D4B" w:rsidRPr="00C32733">
        <w:rPr>
          <w:rFonts w:ascii="Arial" w:eastAsia="Times New Roman" w:hAnsi="Arial" w:cs="Arial"/>
          <w:color w:val="000000"/>
          <w:sz w:val="24"/>
          <w:szCs w:val="24"/>
          <w:lang w:val="en-AU" w:eastAsia="en-GB"/>
        </w:rPr>
        <w:t xml:space="preserve">excited </w:t>
      </w:r>
      <w:r w:rsidR="007B2F24" w:rsidRPr="00C32733">
        <w:rPr>
          <w:rFonts w:ascii="Arial" w:eastAsia="Times New Roman" w:hAnsi="Arial" w:cs="Arial"/>
          <w:color w:val="000000"/>
          <w:sz w:val="24"/>
          <w:szCs w:val="24"/>
          <w:lang w:val="en-AU" w:eastAsia="en-GB"/>
        </w:rPr>
        <w:t>and</w:t>
      </w:r>
      <w:r w:rsidR="00DB3497" w:rsidRPr="00C32733">
        <w:rPr>
          <w:rFonts w:ascii="Arial" w:eastAsia="Times New Roman" w:hAnsi="Arial" w:cs="Arial"/>
          <w:color w:val="000000"/>
          <w:sz w:val="24"/>
          <w:szCs w:val="24"/>
          <w:lang w:val="en-AU" w:eastAsia="en-GB"/>
        </w:rPr>
        <w:t xml:space="preserve"> genuinely convinced th</w:t>
      </w:r>
      <w:r w:rsidR="00DB3497">
        <w:rPr>
          <w:rFonts w:ascii="Arial" w:eastAsia="Times New Roman" w:hAnsi="Arial" w:cs="Arial"/>
          <w:color w:val="000000"/>
          <w:sz w:val="24"/>
          <w:szCs w:val="24"/>
          <w:lang w:val="en-AU" w:eastAsia="en-GB"/>
        </w:rPr>
        <w:t xml:space="preserve">at there will be many </w:t>
      </w:r>
      <w:r w:rsidR="007B2F24">
        <w:rPr>
          <w:rFonts w:ascii="Arial" w:eastAsia="Times New Roman" w:hAnsi="Arial" w:cs="Arial"/>
          <w:color w:val="000000"/>
          <w:sz w:val="24"/>
          <w:szCs w:val="24"/>
          <w:lang w:val="en-AU" w:eastAsia="en-GB"/>
        </w:rPr>
        <w:t>more</w:t>
      </w:r>
      <w:r w:rsidR="00DB3497">
        <w:rPr>
          <w:rFonts w:ascii="Arial" w:eastAsia="Times New Roman" w:hAnsi="Arial" w:cs="Arial"/>
          <w:color w:val="000000"/>
          <w:sz w:val="24"/>
          <w:szCs w:val="24"/>
          <w:lang w:val="en-AU" w:eastAsia="en-GB"/>
        </w:rPr>
        <w:t xml:space="preserve"> opportunities as we</w:t>
      </w:r>
      <w:r w:rsidR="00A00D4B">
        <w:rPr>
          <w:rFonts w:ascii="Arial" w:eastAsia="Times New Roman" w:hAnsi="Arial" w:cs="Arial"/>
          <w:color w:val="000000"/>
          <w:sz w:val="24"/>
          <w:szCs w:val="24"/>
          <w:lang w:val="en-AU" w:eastAsia="en-GB"/>
        </w:rPr>
        <w:t xml:space="preserve"> move forward together with speed, scale, excellent people and a richer, more diverse culture. </w:t>
      </w:r>
    </w:p>
    <w:p w14:paraId="1269597B" w14:textId="5E3C0388" w:rsidR="00C245C2" w:rsidRPr="00F32A70" w:rsidRDefault="002E5600" w:rsidP="00F32A70">
      <w:pPr>
        <w:spacing w:after="0" w:afterAutospacing="1" w:line="240" w:lineRule="auto"/>
        <w:textAlignment w:val="baseline"/>
        <w:rPr>
          <w:rFonts w:ascii="Arial" w:eastAsia="Times New Roman" w:hAnsi="Arial" w:cs="Arial"/>
          <w:color w:val="000000"/>
          <w:sz w:val="24"/>
          <w:szCs w:val="24"/>
          <w:lang w:val="en-AU" w:eastAsia="en-GB"/>
        </w:rPr>
      </w:pPr>
      <w:r>
        <w:rPr>
          <w:rFonts w:ascii="Arial" w:eastAsia="Times New Roman" w:hAnsi="Arial" w:cs="Arial"/>
          <w:color w:val="000000"/>
          <w:sz w:val="24"/>
          <w:szCs w:val="24"/>
          <w:lang w:val="en-AU" w:eastAsia="en-GB"/>
        </w:rPr>
        <w:t>“</w:t>
      </w:r>
      <w:r w:rsidR="009E75D4">
        <w:rPr>
          <w:rFonts w:ascii="Arial" w:eastAsia="Times New Roman" w:hAnsi="Arial" w:cs="Arial"/>
          <w:color w:val="000000"/>
          <w:sz w:val="24"/>
          <w:szCs w:val="24"/>
          <w:lang w:val="en-AU" w:eastAsia="en-GB"/>
        </w:rPr>
        <w:t>T</w:t>
      </w:r>
      <w:r w:rsidR="00501141">
        <w:rPr>
          <w:rFonts w:ascii="Arial" w:eastAsia="Times New Roman" w:hAnsi="Arial" w:cs="Arial"/>
          <w:color w:val="000000"/>
          <w:sz w:val="24"/>
          <w:szCs w:val="24"/>
          <w:lang w:val="en-AU" w:eastAsia="en-GB"/>
        </w:rPr>
        <w:t>his larger platform</w:t>
      </w:r>
      <w:r w:rsidR="004C6949">
        <w:rPr>
          <w:rFonts w:ascii="Arial" w:eastAsia="Times New Roman" w:hAnsi="Arial" w:cs="Arial"/>
          <w:color w:val="000000"/>
          <w:sz w:val="24"/>
          <w:szCs w:val="24"/>
          <w:lang w:val="en-AU" w:eastAsia="en-GB"/>
        </w:rPr>
        <w:t xml:space="preserve"> </w:t>
      </w:r>
      <w:r w:rsidR="00501141">
        <w:rPr>
          <w:rFonts w:ascii="Arial" w:eastAsia="Times New Roman" w:hAnsi="Arial" w:cs="Arial"/>
          <w:color w:val="000000"/>
          <w:sz w:val="24"/>
          <w:szCs w:val="24"/>
          <w:lang w:val="en-AU" w:eastAsia="en-GB"/>
        </w:rPr>
        <w:t xml:space="preserve">will unlock enhanced value </w:t>
      </w:r>
      <w:r w:rsidR="00AD0888">
        <w:rPr>
          <w:rFonts w:ascii="Arial" w:eastAsia="Times New Roman" w:hAnsi="Arial" w:cs="Arial"/>
          <w:color w:val="000000"/>
          <w:sz w:val="24"/>
          <w:szCs w:val="24"/>
          <w:lang w:val="en-AU" w:eastAsia="en-GB"/>
        </w:rPr>
        <w:t xml:space="preserve">for </w:t>
      </w:r>
      <w:r w:rsidR="00FD06F6">
        <w:rPr>
          <w:rFonts w:ascii="Arial" w:eastAsia="Times New Roman" w:hAnsi="Arial" w:cs="Arial"/>
          <w:color w:val="000000"/>
          <w:sz w:val="24"/>
          <w:szCs w:val="24"/>
          <w:lang w:val="en-AU" w:eastAsia="en-GB"/>
        </w:rPr>
        <w:t>our shareholders</w:t>
      </w:r>
      <w:r w:rsidR="00501141">
        <w:rPr>
          <w:rFonts w:ascii="Arial" w:eastAsia="Times New Roman" w:hAnsi="Arial" w:cs="Arial"/>
          <w:color w:val="000000"/>
          <w:sz w:val="24"/>
          <w:szCs w:val="24"/>
          <w:lang w:val="en-AU" w:eastAsia="en-GB"/>
        </w:rPr>
        <w:t xml:space="preserve">, </w:t>
      </w:r>
      <w:r w:rsidR="009E75D4">
        <w:rPr>
          <w:rFonts w:ascii="Arial" w:eastAsia="Times New Roman" w:hAnsi="Arial" w:cs="Arial"/>
          <w:color w:val="000000"/>
          <w:sz w:val="24"/>
          <w:szCs w:val="24"/>
          <w:lang w:val="en-AU" w:eastAsia="en-GB"/>
        </w:rPr>
        <w:t xml:space="preserve">all underpinned by an even stronger and more aligned strategic partnership with </w:t>
      </w:r>
      <w:r w:rsidR="004C6949">
        <w:rPr>
          <w:rFonts w:ascii="Arial" w:eastAsia="Times New Roman" w:hAnsi="Arial" w:cs="Arial"/>
          <w:color w:val="000000"/>
          <w:sz w:val="24"/>
          <w:szCs w:val="24"/>
          <w:lang w:val="en-AU" w:eastAsia="en-GB"/>
        </w:rPr>
        <w:t>The Coca-Cola Company</w:t>
      </w:r>
      <w:r w:rsidR="009E75D4">
        <w:rPr>
          <w:rFonts w:ascii="Arial" w:eastAsia="Times New Roman" w:hAnsi="Arial" w:cs="Arial"/>
          <w:color w:val="000000"/>
          <w:sz w:val="24"/>
          <w:szCs w:val="24"/>
          <w:lang w:val="en-AU" w:eastAsia="en-GB"/>
        </w:rPr>
        <w:t xml:space="preserve"> and our other brand partners. W</w:t>
      </w:r>
      <w:r w:rsidR="00501141">
        <w:rPr>
          <w:rFonts w:ascii="Arial" w:eastAsia="Times New Roman" w:hAnsi="Arial" w:cs="Arial"/>
          <w:color w:val="000000"/>
          <w:sz w:val="24"/>
          <w:szCs w:val="24"/>
          <w:lang w:val="en-AU" w:eastAsia="en-GB"/>
        </w:rPr>
        <w:t xml:space="preserve">e look forward to </w:t>
      </w:r>
      <w:r w:rsidR="00520F10">
        <w:rPr>
          <w:rFonts w:ascii="Arial" w:eastAsia="Times New Roman" w:hAnsi="Arial" w:cs="Arial"/>
          <w:color w:val="000000"/>
          <w:sz w:val="24"/>
          <w:szCs w:val="24"/>
          <w:lang w:val="en-AU" w:eastAsia="en-GB"/>
        </w:rPr>
        <w:t xml:space="preserve">executing on </w:t>
      </w:r>
      <w:r w:rsidR="00501141">
        <w:rPr>
          <w:rFonts w:ascii="Arial" w:eastAsia="Times New Roman" w:hAnsi="Arial" w:cs="Arial"/>
          <w:color w:val="000000"/>
          <w:sz w:val="24"/>
          <w:szCs w:val="24"/>
          <w:lang w:val="en-AU" w:eastAsia="en-GB"/>
        </w:rPr>
        <w:t xml:space="preserve">the </w:t>
      </w:r>
      <w:r w:rsidR="00934933">
        <w:rPr>
          <w:rFonts w:ascii="Arial" w:eastAsia="Times New Roman" w:hAnsi="Arial" w:cs="Arial"/>
          <w:color w:val="000000"/>
          <w:sz w:val="24"/>
          <w:szCs w:val="24"/>
          <w:lang w:val="en-AU" w:eastAsia="en-GB"/>
        </w:rPr>
        <w:t xml:space="preserve">ambitious growth plans </w:t>
      </w:r>
      <w:r w:rsidR="00501141">
        <w:rPr>
          <w:rFonts w:ascii="Arial" w:eastAsia="Times New Roman" w:hAnsi="Arial" w:cs="Arial"/>
          <w:color w:val="000000"/>
          <w:sz w:val="24"/>
          <w:szCs w:val="24"/>
          <w:lang w:val="en-AU" w:eastAsia="en-GB"/>
        </w:rPr>
        <w:t>ahead of us</w:t>
      </w:r>
      <w:r w:rsidR="007B2F24">
        <w:rPr>
          <w:rFonts w:ascii="Arial" w:eastAsia="Times New Roman" w:hAnsi="Arial" w:cs="Arial"/>
          <w:color w:val="000000"/>
          <w:sz w:val="24"/>
          <w:szCs w:val="24"/>
          <w:lang w:val="en-AU" w:eastAsia="en-GB"/>
        </w:rPr>
        <w:t>,</w:t>
      </w:r>
      <w:r w:rsidR="00934933">
        <w:rPr>
          <w:rFonts w:ascii="Arial" w:eastAsia="Times New Roman" w:hAnsi="Arial" w:cs="Arial"/>
          <w:color w:val="000000"/>
          <w:sz w:val="24"/>
          <w:szCs w:val="24"/>
          <w:lang w:val="en-AU" w:eastAsia="en-GB"/>
        </w:rPr>
        <w:t xml:space="preserve"> as </w:t>
      </w:r>
      <w:r w:rsidR="00934933" w:rsidRPr="00934933">
        <w:rPr>
          <w:rFonts w:ascii="Arial" w:eastAsia="Times New Roman" w:hAnsi="Arial" w:cs="Arial"/>
          <w:color w:val="000000"/>
          <w:sz w:val="24"/>
          <w:szCs w:val="24"/>
          <w:lang w:val="en-AU" w:eastAsia="en-GB"/>
        </w:rPr>
        <w:t>we build on the best of</w:t>
      </w:r>
      <w:r w:rsidR="00934933">
        <w:rPr>
          <w:rFonts w:ascii="Arial" w:eastAsia="Times New Roman" w:hAnsi="Arial" w:cs="Arial"/>
          <w:color w:val="000000"/>
          <w:sz w:val="24"/>
          <w:szCs w:val="24"/>
          <w:lang w:val="en-AU" w:eastAsia="en-GB"/>
        </w:rPr>
        <w:t xml:space="preserve"> </w:t>
      </w:r>
      <w:r w:rsidR="004C6949">
        <w:rPr>
          <w:rFonts w:ascii="Arial" w:eastAsia="Times New Roman" w:hAnsi="Arial" w:cs="Arial"/>
          <w:color w:val="000000"/>
          <w:sz w:val="24"/>
          <w:szCs w:val="24"/>
          <w:lang w:val="en-AU" w:eastAsia="en-GB"/>
        </w:rPr>
        <w:t xml:space="preserve">who </w:t>
      </w:r>
      <w:r w:rsidR="00A00D4B">
        <w:rPr>
          <w:rFonts w:ascii="Arial" w:eastAsia="Times New Roman" w:hAnsi="Arial" w:cs="Arial"/>
          <w:color w:val="000000"/>
          <w:sz w:val="24"/>
          <w:szCs w:val="24"/>
          <w:lang w:val="en-AU" w:eastAsia="en-GB"/>
        </w:rPr>
        <w:t xml:space="preserve">we </w:t>
      </w:r>
      <w:r w:rsidR="004C6949">
        <w:rPr>
          <w:rFonts w:ascii="Arial" w:eastAsia="Times New Roman" w:hAnsi="Arial" w:cs="Arial"/>
          <w:color w:val="000000"/>
          <w:sz w:val="24"/>
          <w:szCs w:val="24"/>
          <w:lang w:val="en-AU" w:eastAsia="en-GB"/>
        </w:rPr>
        <w:t xml:space="preserve">are and </w:t>
      </w:r>
      <w:r w:rsidR="00A00D4B">
        <w:rPr>
          <w:rFonts w:ascii="Arial" w:eastAsia="Times New Roman" w:hAnsi="Arial" w:cs="Arial"/>
          <w:color w:val="000000"/>
          <w:sz w:val="24"/>
          <w:szCs w:val="24"/>
          <w:lang w:val="en-AU" w:eastAsia="en-GB"/>
        </w:rPr>
        <w:t xml:space="preserve">create </w:t>
      </w:r>
      <w:r w:rsidR="004C6949">
        <w:rPr>
          <w:rFonts w:ascii="Arial" w:eastAsia="Times New Roman" w:hAnsi="Arial" w:cs="Arial"/>
          <w:color w:val="000000"/>
          <w:sz w:val="24"/>
          <w:szCs w:val="24"/>
          <w:lang w:val="en-AU" w:eastAsia="en-GB"/>
        </w:rPr>
        <w:t xml:space="preserve">a very </w:t>
      </w:r>
      <w:r w:rsidR="00934933" w:rsidRPr="00934933">
        <w:rPr>
          <w:rFonts w:ascii="Arial" w:eastAsia="Times New Roman" w:hAnsi="Arial" w:cs="Arial"/>
          <w:color w:val="000000"/>
          <w:sz w:val="24"/>
          <w:szCs w:val="24"/>
          <w:lang w:val="en-AU" w:eastAsia="en-GB"/>
        </w:rPr>
        <w:t>exciting future together</w:t>
      </w:r>
      <w:r w:rsidR="004C6949">
        <w:rPr>
          <w:rFonts w:ascii="Arial" w:eastAsia="Times New Roman" w:hAnsi="Arial" w:cs="Arial"/>
          <w:color w:val="000000"/>
          <w:sz w:val="24"/>
          <w:szCs w:val="24"/>
          <w:lang w:val="en-AU" w:eastAsia="en-GB"/>
        </w:rPr>
        <w:t>.”</w:t>
      </w:r>
    </w:p>
    <w:p w14:paraId="205AC4E7" w14:textId="3D26BE8F" w:rsidR="00C931FF" w:rsidRPr="00373CDB" w:rsidRDefault="007E2DB8" w:rsidP="00C245C2">
      <w:pPr>
        <w:spacing w:after="100" w:afterAutospacing="1" w:line="240" w:lineRule="auto"/>
        <w:textAlignment w:val="baseline"/>
        <w:rPr>
          <w:rFonts w:ascii="Arial" w:eastAsia="Times New Roman" w:hAnsi="Arial" w:cs="Arial"/>
          <w:b/>
          <w:bCs/>
          <w:color w:val="000000"/>
          <w:sz w:val="24"/>
          <w:szCs w:val="24"/>
          <w:lang w:val="en-AU" w:eastAsia="en-GB"/>
        </w:rPr>
      </w:pPr>
      <w:r>
        <w:rPr>
          <w:rFonts w:ascii="Arial" w:eastAsia="Times New Roman" w:hAnsi="Arial" w:cs="Arial"/>
          <w:b/>
          <w:bCs/>
          <w:color w:val="000000"/>
          <w:sz w:val="24"/>
          <w:szCs w:val="24"/>
          <w:lang w:val="en-AU" w:eastAsia="en-GB"/>
        </w:rPr>
        <w:t>F</w:t>
      </w:r>
      <w:r w:rsidR="00C931FF">
        <w:rPr>
          <w:rFonts w:ascii="Arial" w:eastAsia="Times New Roman" w:hAnsi="Arial" w:cs="Arial"/>
          <w:b/>
          <w:bCs/>
          <w:color w:val="000000"/>
          <w:sz w:val="24"/>
          <w:szCs w:val="24"/>
          <w:lang w:val="en-AU" w:eastAsia="en-GB"/>
        </w:rPr>
        <w:t xml:space="preserve">urther information </w:t>
      </w:r>
    </w:p>
    <w:p w14:paraId="55409175" w14:textId="77777777" w:rsidR="00C931FF" w:rsidRDefault="00627EA3" w:rsidP="00373CDB">
      <w:pPr>
        <w:spacing w:after="0" w:afterAutospacing="1" w:line="240" w:lineRule="auto"/>
        <w:textAlignment w:val="baseline"/>
        <w:rPr>
          <w:rFonts w:ascii="Arial" w:eastAsia="Times New Roman" w:hAnsi="Arial" w:cs="Arial"/>
          <w:color w:val="000000"/>
          <w:sz w:val="24"/>
          <w:szCs w:val="24"/>
          <w:lang w:val="en-AU" w:eastAsia="en-GB"/>
        </w:rPr>
      </w:pPr>
      <w:r>
        <w:rPr>
          <w:rFonts w:ascii="Arial" w:eastAsia="Times New Roman" w:hAnsi="Arial" w:cs="Arial"/>
          <w:color w:val="000000"/>
          <w:sz w:val="24"/>
          <w:szCs w:val="24"/>
          <w:lang w:val="en-AU" w:eastAsia="en-GB"/>
        </w:rPr>
        <w:t>For more information on the transaction, please see</w:t>
      </w:r>
      <w:r w:rsidR="00824E07">
        <w:rPr>
          <w:rFonts w:ascii="Arial" w:eastAsia="Times New Roman" w:hAnsi="Arial" w:cs="Arial"/>
          <w:color w:val="000000"/>
          <w:sz w:val="24"/>
          <w:szCs w:val="24"/>
          <w:lang w:val="en-AU" w:eastAsia="en-GB"/>
        </w:rPr>
        <w:t xml:space="preserve"> on our website</w:t>
      </w:r>
      <w:r w:rsidR="00C931FF">
        <w:rPr>
          <w:rFonts w:ascii="Arial" w:eastAsia="Times New Roman" w:hAnsi="Arial" w:cs="Arial"/>
          <w:color w:val="000000"/>
          <w:sz w:val="24"/>
          <w:szCs w:val="24"/>
          <w:lang w:val="en-AU" w:eastAsia="en-GB"/>
        </w:rPr>
        <w:t>:</w:t>
      </w:r>
    </w:p>
    <w:p w14:paraId="2919108B" w14:textId="540AA024" w:rsidR="00C931FF" w:rsidRDefault="007E325E" w:rsidP="00C931FF">
      <w:pPr>
        <w:pStyle w:val="ListParagraph"/>
        <w:numPr>
          <w:ilvl w:val="0"/>
          <w:numId w:val="11"/>
        </w:numPr>
        <w:spacing w:after="0" w:afterAutospacing="1" w:line="240" w:lineRule="auto"/>
        <w:textAlignment w:val="baseline"/>
        <w:rPr>
          <w:rFonts w:ascii="Arial" w:eastAsia="Times New Roman" w:hAnsi="Arial" w:cs="Arial"/>
          <w:color w:val="000000"/>
          <w:sz w:val="24"/>
          <w:szCs w:val="24"/>
          <w:lang w:val="en-AU" w:eastAsia="en-GB"/>
        </w:rPr>
      </w:pPr>
      <w:hyperlink r:id="rId13" w:history="1">
        <w:r w:rsidR="00C931FF" w:rsidRPr="00C931FF">
          <w:rPr>
            <w:rStyle w:val="Hyperlink"/>
            <w:rFonts w:ascii="Arial" w:eastAsia="Times New Roman" w:hAnsi="Arial" w:cs="Arial"/>
            <w:sz w:val="24"/>
            <w:szCs w:val="24"/>
            <w:lang w:val="en-AU" w:eastAsia="en-GB"/>
          </w:rPr>
          <w:t>Announcement of non-binding proposal to acquire CCL</w:t>
        </w:r>
      </w:hyperlink>
      <w:r w:rsidR="00C931FF">
        <w:rPr>
          <w:rFonts w:ascii="Arial" w:eastAsia="Times New Roman" w:hAnsi="Arial" w:cs="Arial"/>
          <w:color w:val="000000"/>
          <w:sz w:val="24"/>
          <w:szCs w:val="24"/>
          <w:lang w:val="en-AU" w:eastAsia="en-GB"/>
        </w:rPr>
        <w:t xml:space="preserve"> (25 October 2020) </w:t>
      </w:r>
    </w:p>
    <w:p w14:paraId="29E42F38" w14:textId="2E293B54" w:rsidR="00824E07" w:rsidRPr="001B5C3D" w:rsidRDefault="007E325E" w:rsidP="00373CDB">
      <w:pPr>
        <w:pStyle w:val="ListParagraph"/>
        <w:numPr>
          <w:ilvl w:val="0"/>
          <w:numId w:val="11"/>
        </w:numPr>
        <w:spacing w:after="0" w:afterAutospacing="1" w:line="240" w:lineRule="auto"/>
        <w:textAlignment w:val="baseline"/>
        <w:rPr>
          <w:rFonts w:ascii="Arial" w:eastAsia="Times New Roman" w:hAnsi="Arial" w:cs="Arial"/>
          <w:color w:val="000000"/>
          <w:sz w:val="24"/>
          <w:szCs w:val="24"/>
          <w:lang w:val="en-AU" w:eastAsia="en-GB"/>
        </w:rPr>
      </w:pPr>
      <w:hyperlink r:id="rId14" w:history="1">
        <w:r w:rsidR="001B5C3D">
          <w:rPr>
            <w:rStyle w:val="Hyperlink"/>
            <w:rFonts w:ascii="Arial" w:eastAsia="Times New Roman" w:hAnsi="Arial" w:cs="Arial"/>
            <w:sz w:val="24"/>
            <w:szCs w:val="24"/>
            <w:lang w:val="en-AU" w:eastAsia="en-GB"/>
          </w:rPr>
          <w:t>Analyst and Investor presentation</w:t>
        </w:r>
      </w:hyperlink>
      <w:r w:rsidR="001B5C3D">
        <w:rPr>
          <w:rFonts w:ascii="Arial" w:eastAsia="Times New Roman" w:hAnsi="Arial" w:cs="Arial"/>
          <w:color w:val="000000"/>
          <w:sz w:val="24"/>
          <w:szCs w:val="24"/>
          <w:lang w:val="en-AU" w:eastAsia="en-GB"/>
        </w:rPr>
        <w:t xml:space="preserve"> (25 October 2020)</w:t>
      </w:r>
    </w:p>
    <w:p w14:paraId="31F44B90" w14:textId="77777777" w:rsidR="00373CDB" w:rsidRPr="00373CDB" w:rsidRDefault="00373CDB" w:rsidP="00373CDB">
      <w:pPr>
        <w:spacing w:after="0" w:afterAutospacing="1" w:line="240" w:lineRule="auto"/>
        <w:textAlignment w:val="baseline"/>
        <w:rPr>
          <w:rFonts w:ascii="Arial" w:eastAsia="Times New Roman" w:hAnsi="Arial" w:cs="Arial"/>
          <w:b/>
          <w:bCs/>
          <w:color w:val="000000"/>
          <w:sz w:val="24"/>
          <w:szCs w:val="24"/>
          <w:lang w:val="en-AU" w:eastAsia="en-GB"/>
        </w:rPr>
      </w:pPr>
      <w:r w:rsidRPr="00373CDB">
        <w:rPr>
          <w:rFonts w:ascii="Arial" w:eastAsia="Times New Roman" w:hAnsi="Arial" w:cs="Arial"/>
          <w:b/>
          <w:bCs/>
          <w:color w:val="000000"/>
          <w:sz w:val="24"/>
          <w:szCs w:val="24"/>
          <w:lang w:val="en-AU" w:eastAsia="en-GB"/>
        </w:rPr>
        <w:t>Scheme Booklet</w:t>
      </w:r>
    </w:p>
    <w:p w14:paraId="6F55512F" w14:textId="77777777" w:rsidR="00662FE6" w:rsidRPr="00662FE6" w:rsidRDefault="00662FE6" w:rsidP="00662FE6">
      <w:pPr>
        <w:spacing w:after="0" w:afterAutospacing="1" w:line="240" w:lineRule="auto"/>
        <w:textAlignment w:val="baseline"/>
        <w:rPr>
          <w:rFonts w:ascii="Arial" w:eastAsia="Times New Roman" w:hAnsi="Arial" w:cs="Arial"/>
          <w:color w:val="000000"/>
          <w:sz w:val="24"/>
          <w:szCs w:val="24"/>
          <w:lang w:val="en-AU" w:eastAsia="en-GB"/>
        </w:rPr>
      </w:pPr>
      <w:r w:rsidRPr="00662FE6">
        <w:rPr>
          <w:rFonts w:ascii="Arial" w:eastAsia="Times New Roman" w:hAnsi="Arial" w:cs="Arial"/>
          <w:color w:val="000000"/>
          <w:sz w:val="24"/>
          <w:szCs w:val="24"/>
          <w:lang w:val="en-AU" w:eastAsia="en-GB"/>
        </w:rPr>
        <w:t>A Scheme Booklet is expected to be sent to CCL Independent Shareholders in February 2021. This will include a more detailed explanation of the Scheme, including reasons for the CCL Board’s recommendation and a copy of the independent expert’s report. CCL Independent Shareholders will be given the opportunity to vote on the Scheme at the Scheme meeting expected to be held in early-mid March 2021. Subject to the satisfaction of the conditions of the Scheme, the Scheme is expected to be implemented at the end of Q1 2021.</w:t>
      </w:r>
    </w:p>
    <w:p w14:paraId="55C10A4F" w14:textId="3F60625B" w:rsidR="006C72E2" w:rsidRPr="00F32A70" w:rsidRDefault="00373CDB" w:rsidP="00F32A70">
      <w:pPr>
        <w:spacing w:after="0" w:afterAutospacing="1" w:line="240" w:lineRule="auto"/>
        <w:textAlignment w:val="baseline"/>
        <w:rPr>
          <w:rFonts w:ascii="Arial" w:eastAsia="Times New Roman" w:hAnsi="Arial" w:cs="Arial"/>
          <w:color w:val="000000"/>
          <w:sz w:val="24"/>
          <w:szCs w:val="24"/>
          <w:lang w:val="en-AU" w:eastAsia="en-GB"/>
        </w:rPr>
      </w:pPr>
      <w:r>
        <w:rPr>
          <w:rFonts w:ascii="Arial" w:eastAsia="Times New Roman" w:hAnsi="Arial" w:cs="Arial"/>
          <w:color w:val="000000"/>
          <w:sz w:val="24"/>
          <w:szCs w:val="24"/>
          <w:lang w:val="en-AU" w:eastAsia="en-GB"/>
        </w:rPr>
        <w:t xml:space="preserve">These dates are indicative and subject to change. </w:t>
      </w:r>
      <w:bookmarkEnd w:id="0"/>
    </w:p>
    <w:p w14:paraId="69B56664" w14:textId="77777777" w:rsidR="005E643A" w:rsidRPr="00C32978" w:rsidRDefault="00160D14" w:rsidP="00817ABD">
      <w:pPr>
        <w:rPr>
          <w:rFonts w:ascii="Arial" w:eastAsia="Times New Roman" w:hAnsi="Arial" w:cs="Arial"/>
          <w:b/>
          <w:sz w:val="24"/>
          <w:szCs w:val="24"/>
        </w:rPr>
      </w:pPr>
      <w:r w:rsidRPr="00C32978">
        <w:rPr>
          <w:rFonts w:ascii="Arial" w:eastAsia="Times New Roman" w:hAnsi="Arial" w:cs="Arial"/>
          <w:b/>
          <w:sz w:val="24"/>
          <w:szCs w:val="24"/>
        </w:rPr>
        <w:t xml:space="preserve">Advisers </w:t>
      </w:r>
    </w:p>
    <w:p w14:paraId="20FBDA41" w14:textId="7F83AD76" w:rsidR="00FE29AC" w:rsidRPr="00F32A70" w:rsidRDefault="005E643A" w:rsidP="00F32A70">
      <w:pPr>
        <w:keepNext/>
        <w:spacing w:after="120"/>
        <w:rPr>
          <w:rFonts w:ascii="Arial" w:hAnsi="Arial" w:cs="Arial"/>
          <w:sz w:val="24"/>
          <w:szCs w:val="24"/>
        </w:rPr>
      </w:pPr>
      <w:r w:rsidRPr="00C32978">
        <w:rPr>
          <w:rFonts w:ascii="Arial" w:hAnsi="Arial" w:cs="Arial"/>
          <w:sz w:val="24"/>
          <w:szCs w:val="24"/>
        </w:rPr>
        <w:lastRenderedPageBreak/>
        <w:t xml:space="preserve">Rothschild </w:t>
      </w:r>
      <w:r w:rsidR="0060270C" w:rsidRPr="00C32978">
        <w:rPr>
          <w:rFonts w:ascii="Arial" w:hAnsi="Arial" w:cs="Arial"/>
          <w:sz w:val="24"/>
          <w:szCs w:val="24"/>
        </w:rPr>
        <w:t xml:space="preserve">&amp; Co </w:t>
      </w:r>
      <w:r w:rsidRPr="00C32978">
        <w:rPr>
          <w:rFonts w:ascii="Arial" w:hAnsi="Arial" w:cs="Arial"/>
          <w:sz w:val="24"/>
          <w:szCs w:val="24"/>
        </w:rPr>
        <w:t>a</w:t>
      </w:r>
      <w:r w:rsidR="0060270C" w:rsidRPr="00C32978">
        <w:rPr>
          <w:rFonts w:ascii="Arial" w:hAnsi="Arial" w:cs="Arial"/>
          <w:sz w:val="24"/>
          <w:szCs w:val="24"/>
        </w:rPr>
        <w:t>re acting</w:t>
      </w:r>
      <w:r w:rsidRPr="00C32978">
        <w:rPr>
          <w:rFonts w:ascii="Arial" w:hAnsi="Arial" w:cs="Arial"/>
          <w:sz w:val="24"/>
          <w:szCs w:val="24"/>
        </w:rPr>
        <w:t xml:space="preserve"> as lead financial adviser</w:t>
      </w:r>
      <w:r w:rsidR="007C530F">
        <w:rPr>
          <w:rFonts w:ascii="Arial" w:hAnsi="Arial" w:cs="Arial"/>
          <w:sz w:val="24"/>
          <w:szCs w:val="24"/>
        </w:rPr>
        <w:t xml:space="preserve"> and </w:t>
      </w:r>
      <w:r w:rsidR="007C530F" w:rsidRPr="00C32978">
        <w:rPr>
          <w:rFonts w:ascii="Arial" w:hAnsi="Arial" w:cs="Arial"/>
          <w:sz w:val="24"/>
          <w:szCs w:val="24"/>
        </w:rPr>
        <w:t xml:space="preserve">Credit Suisse are acting as financial adviser to the Affiliated Transaction Committee (ATC) of the Board of Directors of </w:t>
      </w:r>
      <w:r w:rsidR="00FF5648">
        <w:rPr>
          <w:rFonts w:ascii="Arial" w:hAnsi="Arial" w:cs="Arial"/>
          <w:sz w:val="24"/>
          <w:szCs w:val="24"/>
        </w:rPr>
        <w:t>CCEP</w:t>
      </w:r>
      <w:r w:rsidR="007C530F" w:rsidRPr="00C32978">
        <w:rPr>
          <w:rFonts w:ascii="Arial" w:hAnsi="Arial" w:cs="Arial"/>
          <w:sz w:val="24"/>
          <w:szCs w:val="24"/>
        </w:rPr>
        <w:t xml:space="preserve">. </w:t>
      </w:r>
      <w:r w:rsidRPr="00C32978">
        <w:rPr>
          <w:rFonts w:ascii="Arial" w:hAnsi="Arial" w:cs="Arial"/>
          <w:sz w:val="24"/>
          <w:szCs w:val="24"/>
        </w:rPr>
        <w:t xml:space="preserve">Slaughter and May and Corrs Chambers Westgarth </w:t>
      </w:r>
      <w:r w:rsidR="00966118" w:rsidRPr="00C32978">
        <w:rPr>
          <w:rFonts w:ascii="Arial" w:hAnsi="Arial" w:cs="Arial"/>
          <w:sz w:val="24"/>
          <w:szCs w:val="24"/>
        </w:rPr>
        <w:t>are acting</w:t>
      </w:r>
      <w:r w:rsidRPr="00C32978">
        <w:rPr>
          <w:rFonts w:ascii="Arial" w:hAnsi="Arial" w:cs="Arial"/>
          <w:sz w:val="24"/>
          <w:szCs w:val="24"/>
        </w:rPr>
        <w:t xml:space="preserve"> as legal counsel to </w:t>
      </w:r>
      <w:r w:rsidR="00FF5648">
        <w:rPr>
          <w:rFonts w:ascii="Arial" w:hAnsi="Arial" w:cs="Arial"/>
          <w:sz w:val="24"/>
          <w:szCs w:val="24"/>
        </w:rPr>
        <w:t>CCEP</w:t>
      </w:r>
      <w:r w:rsidRPr="00C32978">
        <w:rPr>
          <w:rFonts w:ascii="Arial" w:hAnsi="Arial" w:cs="Arial"/>
          <w:sz w:val="24"/>
          <w:szCs w:val="24"/>
        </w:rPr>
        <w:t xml:space="preserve">. </w:t>
      </w:r>
    </w:p>
    <w:p w14:paraId="78F0AE2D" w14:textId="77777777" w:rsidR="00373CDB" w:rsidRPr="000D638B" w:rsidRDefault="00373CDB" w:rsidP="00373CDB">
      <w:pPr>
        <w:spacing w:before="120" w:line="254" w:lineRule="auto"/>
        <w:rPr>
          <w:rFonts w:ascii="Arial" w:eastAsia="Times New Roman" w:hAnsi="Arial" w:cs="Arial"/>
          <w:b/>
          <w:sz w:val="24"/>
          <w:szCs w:val="24"/>
        </w:rPr>
      </w:pPr>
      <w:r w:rsidRPr="000D638B">
        <w:rPr>
          <w:rFonts w:ascii="Arial" w:eastAsia="Times New Roman" w:hAnsi="Arial" w:cs="Arial"/>
          <w:b/>
          <w:sz w:val="24"/>
          <w:szCs w:val="24"/>
        </w:rPr>
        <w:t>Enquiries</w:t>
      </w:r>
    </w:p>
    <w:p w14:paraId="4456E7E3" w14:textId="6AD87B4F" w:rsidR="00373CDB" w:rsidRDefault="00373CDB" w:rsidP="00373CDB">
      <w:pPr>
        <w:spacing w:before="120" w:line="254" w:lineRule="auto"/>
        <w:rPr>
          <w:rFonts w:ascii="Arial" w:eastAsia="Times New Roman" w:hAnsi="Arial" w:cs="Arial"/>
          <w:sz w:val="24"/>
          <w:szCs w:val="24"/>
        </w:rPr>
      </w:pPr>
      <w:r>
        <w:rPr>
          <w:rFonts w:ascii="Arial" w:eastAsia="Times New Roman" w:hAnsi="Arial" w:cs="Arial"/>
          <w:sz w:val="24"/>
          <w:szCs w:val="24"/>
        </w:rPr>
        <w:t xml:space="preserve">Clare Wardle, General Counsel and Company Secretary: </w:t>
      </w:r>
      <w:hyperlink r:id="rId15" w:history="1">
        <w:r w:rsidR="005B5DD2" w:rsidRPr="000001A1">
          <w:rPr>
            <w:rStyle w:val="Hyperlink"/>
            <w:rFonts w:ascii="Arial" w:eastAsia="Times New Roman" w:hAnsi="Arial" w:cs="Arial"/>
            <w:sz w:val="24"/>
            <w:szCs w:val="24"/>
          </w:rPr>
          <w:t>secretariat@ccep.com</w:t>
        </w:r>
      </w:hyperlink>
      <w:r>
        <w:rPr>
          <w:rFonts w:ascii="Arial" w:eastAsia="Times New Roman" w:hAnsi="Arial" w:cs="Arial"/>
          <w:sz w:val="24"/>
          <w:szCs w:val="24"/>
        </w:rPr>
        <w:t xml:space="preserve"> </w:t>
      </w:r>
    </w:p>
    <w:p w14:paraId="550ACCE6" w14:textId="2239C4BB" w:rsidR="00373CDB" w:rsidRDefault="00373CDB" w:rsidP="00373CDB">
      <w:pPr>
        <w:spacing w:before="120" w:line="254" w:lineRule="auto"/>
        <w:rPr>
          <w:rFonts w:ascii="Arial" w:eastAsia="Times New Roman" w:hAnsi="Arial" w:cs="Arial"/>
          <w:sz w:val="24"/>
          <w:szCs w:val="24"/>
        </w:rPr>
      </w:pPr>
      <w:r w:rsidRPr="000D638B">
        <w:rPr>
          <w:rFonts w:ascii="Arial" w:eastAsia="Times New Roman" w:hAnsi="Arial" w:cs="Arial"/>
          <w:sz w:val="24"/>
          <w:szCs w:val="24"/>
        </w:rPr>
        <w:t>Investor Relations</w:t>
      </w:r>
      <w:r>
        <w:rPr>
          <w:rFonts w:ascii="Arial" w:eastAsia="Times New Roman" w:hAnsi="Arial" w:cs="Arial"/>
          <w:sz w:val="24"/>
          <w:szCs w:val="24"/>
        </w:rPr>
        <w:t>: Sarah Willett:</w:t>
      </w:r>
      <w:r w:rsidRPr="000D638B">
        <w:rPr>
          <w:rFonts w:ascii="Arial" w:eastAsia="Times New Roman" w:hAnsi="Arial" w:cs="Arial"/>
          <w:sz w:val="24"/>
          <w:szCs w:val="24"/>
        </w:rPr>
        <w:t xml:space="preserve"> </w:t>
      </w:r>
      <w:hyperlink r:id="rId16" w:history="1">
        <w:r w:rsidR="005B5DD2" w:rsidRPr="000001A1">
          <w:rPr>
            <w:rStyle w:val="Hyperlink"/>
            <w:rFonts w:ascii="Arial" w:eastAsia="Times New Roman" w:hAnsi="Arial" w:cs="Arial"/>
            <w:sz w:val="24"/>
            <w:szCs w:val="24"/>
          </w:rPr>
          <w:t>sarah.willett@ccep.com</w:t>
        </w:r>
      </w:hyperlink>
      <w:r w:rsidRPr="000D638B">
        <w:rPr>
          <w:rFonts w:ascii="Arial" w:eastAsia="Times New Roman" w:hAnsi="Arial" w:cs="Arial"/>
          <w:sz w:val="24"/>
          <w:szCs w:val="24"/>
        </w:rPr>
        <w:t xml:space="preserve"> +44 7970 145 218</w:t>
      </w:r>
    </w:p>
    <w:p w14:paraId="1A6380CE" w14:textId="77777777" w:rsidR="00373CDB" w:rsidRDefault="00373CDB" w:rsidP="00373CDB">
      <w:pPr>
        <w:spacing w:before="120" w:line="254" w:lineRule="auto"/>
        <w:rPr>
          <w:rFonts w:ascii="Arial" w:eastAsia="Times New Roman" w:hAnsi="Arial" w:cs="Arial"/>
          <w:sz w:val="24"/>
          <w:szCs w:val="24"/>
        </w:rPr>
      </w:pPr>
      <w:r>
        <w:rPr>
          <w:rFonts w:ascii="Arial" w:eastAsia="Times New Roman" w:hAnsi="Arial" w:cs="Arial"/>
          <w:sz w:val="24"/>
          <w:szCs w:val="24"/>
        </w:rPr>
        <w:t xml:space="preserve">Media: </w:t>
      </w:r>
    </w:p>
    <w:p w14:paraId="76510BDD" w14:textId="77777777" w:rsidR="00373CDB" w:rsidRPr="00F32A70" w:rsidRDefault="00A00D4B" w:rsidP="00373CDB">
      <w:pPr>
        <w:spacing w:before="120" w:line="254" w:lineRule="auto"/>
        <w:rPr>
          <w:rFonts w:ascii="Arial" w:eastAsia="Times New Roman" w:hAnsi="Arial" w:cs="Arial"/>
          <w:sz w:val="24"/>
          <w:szCs w:val="24"/>
        </w:rPr>
      </w:pPr>
      <w:r w:rsidRPr="00F32A70">
        <w:rPr>
          <w:rFonts w:ascii="Arial" w:eastAsia="Times New Roman" w:hAnsi="Arial" w:cs="Arial"/>
          <w:sz w:val="24"/>
          <w:szCs w:val="24"/>
        </w:rPr>
        <w:t>Simon Evans</w:t>
      </w:r>
      <w:r w:rsidR="00373CDB" w:rsidRPr="00F32A70">
        <w:rPr>
          <w:rFonts w:ascii="Arial" w:eastAsia="Times New Roman" w:hAnsi="Arial" w:cs="Arial"/>
          <w:sz w:val="24"/>
          <w:szCs w:val="24"/>
        </w:rPr>
        <w:t xml:space="preserve">: </w:t>
      </w:r>
      <w:hyperlink r:id="rId17" w:history="1">
        <w:r w:rsidRPr="00400B29">
          <w:rPr>
            <w:rStyle w:val="Hyperlink"/>
            <w:rFonts w:ascii="Arial" w:eastAsia="Times New Roman" w:hAnsi="Arial" w:cs="Arial"/>
            <w:sz w:val="24"/>
            <w:szCs w:val="24"/>
          </w:rPr>
          <w:t>simon.evans@portland-communications.com</w:t>
        </w:r>
      </w:hyperlink>
      <w:r>
        <w:rPr>
          <w:rFonts w:ascii="Arial" w:eastAsia="Times New Roman" w:hAnsi="Arial" w:cs="Arial"/>
          <w:sz w:val="24"/>
          <w:szCs w:val="24"/>
        </w:rPr>
        <w:t xml:space="preserve"> </w:t>
      </w:r>
      <w:r w:rsidRPr="000D638B">
        <w:rPr>
          <w:rFonts w:ascii="Arial" w:eastAsia="Times New Roman" w:hAnsi="Arial" w:cs="Arial"/>
          <w:sz w:val="24"/>
          <w:szCs w:val="24"/>
        </w:rPr>
        <w:t xml:space="preserve">+44 </w:t>
      </w:r>
      <w:r>
        <w:rPr>
          <w:rFonts w:ascii="Arial" w:eastAsia="Times New Roman" w:hAnsi="Arial" w:cs="Arial"/>
          <w:sz w:val="24"/>
          <w:szCs w:val="24"/>
        </w:rPr>
        <w:t>7812 590 682</w:t>
      </w:r>
    </w:p>
    <w:p w14:paraId="1E4123DC" w14:textId="77777777" w:rsidR="00373CDB" w:rsidRDefault="00373CDB" w:rsidP="00373CDB">
      <w:pPr>
        <w:rPr>
          <w:lang w:val="en-AU"/>
        </w:rPr>
      </w:pPr>
      <w:r w:rsidRPr="000B7BBB">
        <w:rPr>
          <w:rFonts w:ascii="Arial" w:eastAsia="Times New Roman" w:hAnsi="Arial" w:cs="Arial"/>
          <w:sz w:val="24"/>
          <w:szCs w:val="24"/>
        </w:rPr>
        <w:t>Peter Brookes</w:t>
      </w:r>
      <w:r>
        <w:rPr>
          <w:rFonts w:ascii="Arial" w:eastAsia="Times New Roman" w:hAnsi="Arial" w:cs="Arial"/>
          <w:sz w:val="24"/>
          <w:szCs w:val="24"/>
        </w:rPr>
        <w:t>:</w:t>
      </w:r>
      <w:r w:rsidRPr="000B7BBB">
        <w:rPr>
          <w:rFonts w:ascii="Arial" w:eastAsia="Times New Roman" w:hAnsi="Arial" w:cs="Arial"/>
          <w:sz w:val="24"/>
          <w:szCs w:val="24"/>
        </w:rPr>
        <w:t xml:space="preserve"> </w:t>
      </w:r>
      <w:hyperlink r:id="rId18" w:history="1">
        <w:r w:rsidRPr="000B7BBB">
          <w:rPr>
            <w:rStyle w:val="Hyperlink"/>
            <w:rFonts w:ascii="Arial" w:eastAsia="Times New Roman" w:hAnsi="Arial" w:cs="Arial"/>
            <w:sz w:val="24"/>
            <w:szCs w:val="24"/>
          </w:rPr>
          <w:t>pbrookes@citadelmagnus.com</w:t>
        </w:r>
      </w:hyperlink>
      <w:r w:rsidRPr="000B7BBB">
        <w:rPr>
          <w:rStyle w:val="Hyperlink"/>
          <w:rFonts w:ascii="Arial" w:eastAsia="Times New Roman" w:hAnsi="Arial" w:cs="Arial"/>
          <w:sz w:val="24"/>
          <w:szCs w:val="24"/>
          <w:u w:val="none"/>
        </w:rPr>
        <w:t xml:space="preserve"> </w:t>
      </w:r>
      <w:r w:rsidRPr="003B14A1">
        <w:rPr>
          <w:rFonts w:ascii="Arial" w:eastAsia="Times New Roman" w:hAnsi="Arial" w:cs="Arial"/>
          <w:sz w:val="24"/>
          <w:szCs w:val="24"/>
        </w:rPr>
        <w:t>+61 407 911 389</w:t>
      </w:r>
    </w:p>
    <w:p w14:paraId="44096B17" w14:textId="77777777" w:rsidR="00373CDB" w:rsidRPr="00F32A70" w:rsidRDefault="00373CDB" w:rsidP="00373CDB">
      <w:pPr>
        <w:rPr>
          <w:lang w:val="nn-NO"/>
        </w:rPr>
      </w:pPr>
      <w:r w:rsidRPr="00F32A70">
        <w:rPr>
          <w:rFonts w:ascii="Arial" w:eastAsia="Times New Roman" w:hAnsi="Arial" w:cs="Arial"/>
          <w:sz w:val="24"/>
          <w:szCs w:val="24"/>
          <w:lang w:val="nn-NO"/>
        </w:rPr>
        <w:t xml:space="preserve">Brett </w:t>
      </w:r>
      <w:proofErr w:type="spellStart"/>
      <w:r w:rsidRPr="00F32A70">
        <w:rPr>
          <w:rFonts w:ascii="Arial" w:eastAsia="Times New Roman" w:hAnsi="Arial" w:cs="Arial"/>
          <w:sz w:val="24"/>
          <w:szCs w:val="24"/>
          <w:lang w:val="nn-NO"/>
        </w:rPr>
        <w:t>Clegg</w:t>
      </w:r>
      <w:proofErr w:type="spellEnd"/>
      <w:r w:rsidRPr="00F32A70">
        <w:rPr>
          <w:rFonts w:ascii="Arial" w:eastAsia="Times New Roman" w:hAnsi="Arial" w:cs="Arial"/>
          <w:sz w:val="24"/>
          <w:szCs w:val="24"/>
          <w:lang w:val="nn-NO"/>
        </w:rPr>
        <w:t xml:space="preserve">: </w:t>
      </w:r>
      <w:r w:rsidRPr="00F32A70">
        <w:rPr>
          <w:lang w:val="nn-NO"/>
        </w:rPr>
        <w:t xml:space="preserve"> </w:t>
      </w:r>
      <w:hyperlink r:id="rId19" w:history="1">
        <w:r w:rsidRPr="00F32A70">
          <w:rPr>
            <w:rStyle w:val="Hyperlink"/>
            <w:rFonts w:ascii="Arial" w:eastAsia="Times New Roman" w:hAnsi="Arial" w:cs="Arial"/>
            <w:sz w:val="24"/>
            <w:szCs w:val="24"/>
            <w:lang w:val="nn-NO"/>
          </w:rPr>
          <w:t>bclegg@citadelmagnus.com</w:t>
        </w:r>
      </w:hyperlink>
      <w:r w:rsidRPr="00F32A70">
        <w:rPr>
          <w:rStyle w:val="Hyperlink"/>
          <w:rFonts w:ascii="Arial" w:eastAsia="Times New Roman" w:hAnsi="Arial" w:cs="Arial"/>
          <w:sz w:val="24"/>
          <w:szCs w:val="24"/>
          <w:u w:val="none"/>
          <w:lang w:val="nn-NO"/>
        </w:rPr>
        <w:t xml:space="preserve"> </w:t>
      </w:r>
      <w:r w:rsidRPr="00F32A70">
        <w:rPr>
          <w:rFonts w:ascii="Arial" w:eastAsia="Times New Roman" w:hAnsi="Arial" w:cs="Arial"/>
          <w:sz w:val="24"/>
          <w:szCs w:val="24"/>
          <w:lang w:val="nn-NO"/>
        </w:rPr>
        <w:t>+61 487 436 985</w:t>
      </w:r>
    </w:p>
    <w:p w14:paraId="227A1C30" w14:textId="77777777" w:rsidR="00C245C2" w:rsidRPr="00F32A70" w:rsidRDefault="00C245C2" w:rsidP="003A6A42">
      <w:pPr>
        <w:rPr>
          <w:rFonts w:ascii="Arial" w:eastAsia="Times New Roman" w:hAnsi="Arial" w:cs="Arial"/>
          <w:b/>
          <w:sz w:val="24"/>
          <w:szCs w:val="24"/>
          <w:lang w:val="nn-NO"/>
        </w:rPr>
      </w:pPr>
    </w:p>
    <w:p w14:paraId="5FE22F1D" w14:textId="74A2BEAE" w:rsidR="004C64F7" w:rsidRPr="003A6A42" w:rsidRDefault="004C64F7" w:rsidP="003A6A42">
      <w:pPr>
        <w:rPr>
          <w:rFonts w:ascii="Arial" w:eastAsia="Times New Roman" w:hAnsi="Arial" w:cs="Arial"/>
          <w:b/>
          <w:sz w:val="24"/>
          <w:szCs w:val="24"/>
        </w:rPr>
      </w:pPr>
      <w:r w:rsidRPr="000D638B">
        <w:rPr>
          <w:rFonts w:ascii="Arial" w:eastAsia="Times New Roman" w:hAnsi="Arial" w:cs="Arial"/>
          <w:b/>
          <w:sz w:val="24"/>
          <w:szCs w:val="24"/>
        </w:rPr>
        <w:t xml:space="preserve">About </w:t>
      </w:r>
      <w:r w:rsidR="00FF5648">
        <w:rPr>
          <w:rFonts w:ascii="Arial" w:eastAsia="Times New Roman" w:hAnsi="Arial" w:cs="Arial"/>
          <w:b/>
          <w:sz w:val="24"/>
          <w:szCs w:val="24"/>
        </w:rPr>
        <w:t>CCEP</w:t>
      </w:r>
      <w:r w:rsidR="003A6A42">
        <w:rPr>
          <w:rFonts w:ascii="Arial" w:eastAsia="Times New Roman" w:hAnsi="Arial" w:cs="Arial"/>
          <w:b/>
          <w:sz w:val="24"/>
          <w:szCs w:val="24"/>
        </w:rPr>
        <w:t xml:space="preserve"> (LEI </w:t>
      </w:r>
      <w:r w:rsidR="003A6A42" w:rsidRPr="003A6A42">
        <w:rPr>
          <w:rFonts w:ascii="Arial" w:eastAsia="Times New Roman" w:hAnsi="Arial" w:cs="Arial"/>
          <w:b/>
          <w:sz w:val="24"/>
          <w:szCs w:val="24"/>
        </w:rPr>
        <w:t>549300LTH67W4GWMRF57</w:t>
      </w:r>
      <w:r w:rsidR="003A6A42">
        <w:rPr>
          <w:rFonts w:ascii="Arial" w:eastAsia="Times New Roman" w:hAnsi="Arial" w:cs="Arial"/>
          <w:b/>
          <w:sz w:val="24"/>
          <w:szCs w:val="24"/>
        </w:rPr>
        <w:t>)</w:t>
      </w:r>
    </w:p>
    <w:p w14:paraId="033644C7" w14:textId="479E0781" w:rsidR="000D638B" w:rsidRDefault="00FF5648" w:rsidP="00701E8F">
      <w:pPr>
        <w:spacing w:after="0" w:line="240" w:lineRule="auto"/>
        <w:rPr>
          <w:rFonts w:ascii="Arial" w:eastAsia="Times New Roman" w:hAnsi="Arial" w:cs="Arial"/>
          <w:sz w:val="24"/>
          <w:szCs w:val="24"/>
        </w:rPr>
      </w:pPr>
      <w:bookmarkStart w:id="1" w:name="_Hlk29976145"/>
      <w:bookmarkStart w:id="2" w:name="_Hlk29976146"/>
      <w:bookmarkStart w:id="3" w:name="_Hlk30775257"/>
      <w:bookmarkStart w:id="4" w:name="_Hlk30775258"/>
      <w:r>
        <w:rPr>
          <w:rFonts w:ascii="Arial" w:eastAsia="Times New Roman" w:hAnsi="Arial" w:cs="Arial"/>
          <w:sz w:val="24"/>
          <w:szCs w:val="24"/>
        </w:rPr>
        <w:t>C</w:t>
      </w:r>
      <w:r w:rsidR="003A6A42">
        <w:rPr>
          <w:rFonts w:ascii="Arial" w:eastAsia="Times New Roman" w:hAnsi="Arial" w:cs="Arial"/>
          <w:sz w:val="24"/>
          <w:szCs w:val="24"/>
        </w:rPr>
        <w:t>oca-Cola European</w:t>
      </w:r>
      <w:r w:rsidR="004E10F9">
        <w:rPr>
          <w:rFonts w:ascii="Arial" w:eastAsia="Times New Roman" w:hAnsi="Arial" w:cs="Arial"/>
          <w:sz w:val="24"/>
          <w:szCs w:val="24"/>
        </w:rPr>
        <w:t xml:space="preserve"> Partners</w:t>
      </w:r>
      <w:r w:rsidR="000D638B" w:rsidRPr="000D638B">
        <w:rPr>
          <w:rFonts w:ascii="Arial" w:eastAsia="Times New Roman" w:hAnsi="Arial" w:cs="Arial"/>
          <w:sz w:val="24"/>
          <w:szCs w:val="24"/>
        </w:rPr>
        <w:t xml:space="preserve"> plc is a leading consumer goods company in Western Europe, making, selling &amp; distributing an extensive range of non-alcoholic ready to drink beverages &amp; is the world's largest </w:t>
      </w:r>
      <w:r w:rsidR="00127C74">
        <w:rPr>
          <w:rFonts w:ascii="Arial" w:eastAsia="Times New Roman" w:hAnsi="Arial" w:cs="Arial"/>
          <w:sz w:val="24"/>
          <w:szCs w:val="24"/>
        </w:rPr>
        <w:t>Coke</w:t>
      </w:r>
      <w:r w:rsidR="000D638B" w:rsidRPr="000D638B">
        <w:rPr>
          <w:rFonts w:ascii="Arial" w:eastAsia="Times New Roman" w:hAnsi="Arial" w:cs="Arial"/>
          <w:sz w:val="24"/>
          <w:szCs w:val="24"/>
        </w:rPr>
        <w:t xml:space="preserve"> bottler based on revenue. </w:t>
      </w:r>
      <w:r>
        <w:rPr>
          <w:rFonts w:ascii="Arial" w:eastAsia="Times New Roman" w:hAnsi="Arial" w:cs="Arial"/>
          <w:sz w:val="24"/>
          <w:szCs w:val="24"/>
        </w:rPr>
        <w:t>CCEP</w:t>
      </w:r>
      <w:r w:rsidR="000D638B" w:rsidRPr="000D638B">
        <w:rPr>
          <w:rFonts w:ascii="Arial" w:eastAsia="Times New Roman" w:hAnsi="Arial" w:cs="Arial"/>
          <w:sz w:val="24"/>
          <w:szCs w:val="24"/>
        </w:rPr>
        <w:t xml:space="preserve"> serves a consumer population of over 300 million across Western Europe, including Andorra, Belgium, continental France, Germany, Great Britain, Iceland, Luxembourg, Monaco, the Netherlands, Norway, Portugal, Spain &amp; Sweden. The Company is listed on Euronext Amsterdam, the New York Stock Exchange, London Stock Exchange &amp; on the Spanish Stock Exchanges, trading under the symbol </w:t>
      </w:r>
      <w:r>
        <w:rPr>
          <w:rFonts w:ascii="Arial" w:eastAsia="Times New Roman" w:hAnsi="Arial" w:cs="Arial"/>
          <w:sz w:val="24"/>
          <w:szCs w:val="24"/>
        </w:rPr>
        <w:t>CCEP</w:t>
      </w:r>
      <w:r w:rsidR="000D638B" w:rsidRPr="000D638B">
        <w:rPr>
          <w:rFonts w:ascii="Arial" w:eastAsia="Times New Roman" w:hAnsi="Arial" w:cs="Arial"/>
          <w:sz w:val="24"/>
          <w:szCs w:val="24"/>
        </w:rPr>
        <w:t xml:space="preserve">. </w:t>
      </w:r>
      <w:r w:rsidR="000D638B" w:rsidRPr="00701E8F">
        <w:rPr>
          <w:rFonts w:ascii="Arial" w:eastAsia="Times New Roman" w:hAnsi="Arial" w:cs="Arial"/>
          <w:sz w:val="24"/>
          <w:szCs w:val="24"/>
        </w:rPr>
        <w:t xml:space="preserve">For more information about </w:t>
      </w:r>
      <w:r>
        <w:rPr>
          <w:rFonts w:ascii="Arial" w:eastAsia="Times New Roman" w:hAnsi="Arial" w:cs="Arial"/>
          <w:sz w:val="24"/>
          <w:szCs w:val="24"/>
        </w:rPr>
        <w:t>CCEP</w:t>
      </w:r>
      <w:r w:rsidR="000D638B" w:rsidRPr="00701E8F">
        <w:rPr>
          <w:rFonts w:ascii="Arial" w:eastAsia="Times New Roman" w:hAnsi="Arial" w:cs="Arial"/>
          <w:sz w:val="24"/>
          <w:szCs w:val="24"/>
        </w:rPr>
        <w:t xml:space="preserve">, please visit </w:t>
      </w:r>
      <w:hyperlink r:id="rId20" w:history="1">
        <w:r w:rsidR="00847413" w:rsidRPr="00400B29">
          <w:rPr>
            <w:rStyle w:val="Hyperlink"/>
            <w:rFonts w:ascii="Arial" w:eastAsia="Times New Roman" w:hAnsi="Arial" w:cs="Arial"/>
            <w:sz w:val="24"/>
            <w:szCs w:val="24"/>
          </w:rPr>
          <w:t>www.cocacolaep.com</w:t>
        </w:r>
      </w:hyperlink>
      <w:r w:rsidR="00847413">
        <w:rPr>
          <w:rFonts w:ascii="Arial" w:eastAsia="Times New Roman" w:hAnsi="Arial" w:cs="Arial"/>
          <w:sz w:val="24"/>
          <w:szCs w:val="24"/>
        </w:rPr>
        <w:t xml:space="preserve"> </w:t>
      </w:r>
      <w:r w:rsidR="000D638B" w:rsidRPr="00701E8F">
        <w:rPr>
          <w:rFonts w:ascii="Arial" w:eastAsia="Times New Roman" w:hAnsi="Arial" w:cs="Arial"/>
          <w:sz w:val="24"/>
          <w:szCs w:val="24"/>
        </w:rPr>
        <w:t xml:space="preserve">&amp; follow </w:t>
      </w:r>
      <w:r>
        <w:rPr>
          <w:rFonts w:ascii="Arial" w:eastAsia="Times New Roman" w:hAnsi="Arial" w:cs="Arial"/>
          <w:sz w:val="24"/>
          <w:szCs w:val="24"/>
        </w:rPr>
        <w:t>CCEP</w:t>
      </w:r>
      <w:r w:rsidR="000D638B" w:rsidRPr="00701E8F">
        <w:rPr>
          <w:rFonts w:ascii="Arial" w:eastAsia="Times New Roman" w:hAnsi="Arial" w:cs="Arial"/>
          <w:sz w:val="24"/>
          <w:szCs w:val="24"/>
        </w:rPr>
        <w:t xml:space="preserve"> on Twitter at @</w:t>
      </w:r>
      <w:r>
        <w:rPr>
          <w:rFonts w:ascii="Arial" w:eastAsia="Times New Roman" w:hAnsi="Arial" w:cs="Arial"/>
          <w:sz w:val="24"/>
          <w:szCs w:val="24"/>
        </w:rPr>
        <w:t>CCEP</w:t>
      </w:r>
      <w:r w:rsidR="000D638B" w:rsidRPr="00701E8F">
        <w:rPr>
          <w:rFonts w:ascii="Arial" w:eastAsia="Times New Roman" w:hAnsi="Arial" w:cs="Arial"/>
          <w:sz w:val="24"/>
          <w:szCs w:val="24"/>
        </w:rPr>
        <w:t>.</w:t>
      </w:r>
      <w:bookmarkEnd w:id="1"/>
      <w:bookmarkEnd w:id="2"/>
      <w:bookmarkEnd w:id="3"/>
      <w:bookmarkEnd w:id="4"/>
    </w:p>
    <w:p w14:paraId="04B9110F" w14:textId="77777777" w:rsidR="00C245C2" w:rsidRDefault="00C245C2" w:rsidP="003E4569">
      <w:pPr>
        <w:spacing w:before="120" w:line="254" w:lineRule="auto"/>
        <w:rPr>
          <w:rFonts w:ascii="Arial" w:eastAsia="Times New Roman" w:hAnsi="Arial" w:cs="Arial"/>
          <w:b/>
          <w:sz w:val="24"/>
          <w:szCs w:val="24"/>
        </w:rPr>
      </w:pPr>
    </w:p>
    <w:p w14:paraId="1D159621" w14:textId="41982465" w:rsidR="003E4569" w:rsidRPr="003E4569" w:rsidRDefault="003E4569" w:rsidP="003E4569">
      <w:pPr>
        <w:spacing w:before="120" w:line="254" w:lineRule="auto"/>
        <w:rPr>
          <w:rFonts w:ascii="Arial" w:eastAsia="Times New Roman" w:hAnsi="Arial" w:cs="Arial"/>
          <w:b/>
          <w:sz w:val="24"/>
          <w:szCs w:val="24"/>
        </w:rPr>
      </w:pPr>
      <w:r w:rsidRPr="003E4569">
        <w:rPr>
          <w:rFonts w:ascii="Arial" w:eastAsia="Times New Roman" w:hAnsi="Arial" w:cs="Arial"/>
          <w:b/>
          <w:sz w:val="24"/>
          <w:szCs w:val="24"/>
        </w:rPr>
        <w:t xml:space="preserve">About </w:t>
      </w:r>
      <w:r w:rsidR="00FF5648">
        <w:rPr>
          <w:rFonts w:ascii="Arial" w:eastAsia="Times New Roman" w:hAnsi="Arial" w:cs="Arial"/>
          <w:b/>
          <w:sz w:val="24"/>
          <w:szCs w:val="24"/>
        </w:rPr>
        <w:t>CCL</w:t>
      </w:r>
      <w:r w:rsidR="00DF2AF1">
        <w:rPr>
          <w:rFonts w:ascii="Arial" w:eastAsia="Times New Roman" w:hAnsi="Arial" w:cs="Arial"/>
          <w:b/>
          <w:sz w:val="24"/>
          <w:szCs w:val="24"/>
        </w:rPr>
        <w:t xml:space="preserve"> </w:t>
      </w:r>
    </w:p>
    <w:p w14:paraId="602D2BDB" w14:textId="77777777" w:rsidR="006C32CA" w:rsidRDefault="00FF5648" w:rsidP="00701E8F">
      <w:pPr>
        <w:spacing w:after="0" w:line="240" w:lineRule="auto"/>
        <w:rPr>
          <w:rFonts w:ascii="Arial" w:eastAsia="Times New Roman" w:hAnsi="Arial" w:cs="Arial"/>
          <w:sz w:val="24"/>
          <w:szCs w:val="24"/>
        </w:rPr>
      </w:pPr>
      <w:r>
        <w:rPr>
          <w:rFonts w:ascii="Arial" w:eastAsia="Times New Roman" w:hAnsi="Arial" w:cs="Arial"/>
          <w:sz w:val="24"/>
          <w:szCs w:val="24"/>
        </w:rPr>
        <w:t>C</w:t>
      </w:r>
      <w:r w:rsidR="003A6A42">
        <w:rPr>
          <w:rFonts w:ascii="Arial" w:eastAsia="Times New Roman" w:hAnsi="Arial" w:cs="Arial"/>
          <w:sz w:val="24"/>
          <w:szCs w:val="24"/>
        </w:rPr>
        <w:t>oca-Cola Amatil</w:t>
      </w:r>
      <w:r w:rsidR="003E4569" w:rsidRPr="003E4569">
        <w:rPr>
          <w:rFonts w:ascii="Arial" w:eastAsia="Times New Roman" w:hAnsi="Arial" w:cs="Arial"/>
          <w:sz w:val="24"/>
          <w:szCs w:val="24"/>
        </w:rPr>
        <w:t xml:space="preserve"> Limited (including subsidiaries, group entities and related bodies corporate) is one of the largest bottlers and distributors of</w:t>
      </w:r>
      <w:r w:rsidR="006C32CA">
        <w:rPr>
          <w:rFonts w:ascii="Arial" w:eastAsia="Times New Roman" w:hAnsi="Arial" w:cs="Arial"/>
          <w:sz w:val="24"/>
          <w:szCs w:val="24"/>
        </w:rPr>
        <w:t xml:space="preserve"> r</w:t>
      </w:r>
      <w:r w:rsidR="003E4569" w:rsidRPr="003E4569">
        <w:rPr>
          <w:rFonts w:ascii="Arial" w:eastAsia="Times New Roman" w:hAnsi="Arial" w:cs="Arial"/>
          <w:sz w:val="24"/>
          <w:szCs w:val="24"/>
        </w:rPr>
        <w:t xml:space="preserve">eady-to-drink non-alcohol and alcohol beverages and coffee in the Asia Pacific region. </w:t>
      </w:r>
      <w:r>
        <w:rPr>
          <w:rFonts w:ascii="Arial" w:eastAsia="Times New Roman" w:hAnsi="Arial" w:cs="Arial"/>
          <w:sz w:val="24"/>
          <w:szCs w:val="24"/>
        </w:rPr>
        <w:t>CCL</w:t>
      </w:r>
      <w:r w:rsidR="003E4569" w:rsidRPr="003E4569">
        <w:rPr>
          <w:rFonts w:ascii="Arial" w:eastAsia="Times New Roman" w:hAnsi="Arial" w:cs="Arial"/>
          <w:sz w:val="24"/>
          <w:szCs w:val="24"/>
        </w:rPr>
        <w:t xml:space="preserve"> is the </w:t>
      </w:r>
      <w:proofErr w:type="spellStart"/>
      <w:r w:rsidR="003E4569" w:rsidRPr="003E4569">
        <w:rPr>
          <w:rFonts w:ascii="Arial" w:eastAsia="Times New Roman" w:hAnsi="Arial" w:cs="Arial"/>
          <w:sz w:val="24"/>
          <w:szCs w:val="24"/>
        </w:rPr>
        <w:t>authorised</w:t>
      </w:r>
      <w:proofErr w:type="spellEnd"/>
      <w:r w:rsidR="003E4569" w:rsidRPr="003E4569">
        <w:rPr>
          <w:rFonts w:ascii="Arial" w:eastAsia="Times New Roman" w:hAnsi="Arial" w:cs="Arial"/>
          <w:sz w:val="24"/>
          <w:szCs w:val="24"/>
        </w:rPr>
        <w:t xml:space="preserve"> bottler and</w:t>
      </w:r>
      <w:r w:rsidR="006C32CA">
        <w:rPr>
          <w:rFonts w:ascii="Arial" w:eastAsia="Times New Roman" w:hAnsi="Arial" w:cs="Arial"/>
          <w:sz w:val="24"/>
          <w:szCs w:val="24"/>
        </w:rPr>
        <w:t xml:space="preserve"> </w:t>
      </w:r>
      <w:r w:rsidR="003E4569" w:rsidRPr="003E4569">
        <w:rPr>
          <w:rFonts w:ascii="Arial" w:eastAsia="Times New Roman" w:hAnsi="Arial" w:cs="Arial"/>
          <w:sz w:val="24"/>
          <w:szCs w:val="24"/>
        </w:rPr>
        <w:t xml:space="preserve">distributor of </w:t>
      </w:r>
      <w:r w:rsidR="00127C74">
        <w:rPr>
          <w:rFonts w:ascii="Arial" w:eastAsia="Times New Roman" w:hAnsi="Arial" w:cs="Arial"/>
          <w:sz w:val="24"/>
          <w:szCs w:val="24"/>
        </w:rPr>
        <w:t>KO</w:t>
      </w:r>
      <w:r w:rsidR="00966118">
        <w:rPr>
          <w:rFonts w:ascii="Arial" w:eastAsia="Times New Roman" w:hAnsi="Arial" w:cs="Arial"/>
          <w:sz w:val="24"/>
          <w:szCs w:val="24"/>
        </w:rPr>
        <w:t>’</w:t>
      </w:r>
      <w:r w:rsidR="003E4569" w:rsidRPr="003E4569">
        <w:rPr>
          <w:rFonts w:ascii="Arial" w:eastAsia="Times New Roman" w:hAnsi="Arial" w:cs="Arial"/>
          <w:sz w:val="24"/>
          <w:szCs w:val="24"/>
        </w:rPr>
        <w:t xml:space="preserve">s beverage brands in Australia, New Zealand, Fiji, Indonesia, Papua New Guinea and Samoa. </w:t>
      </w:r>
      <w:r>
        <w:rPr>
          <w:rFonts w:ascii="Arial" w:eastAsia="Times New Roman" w:hAnsi="Arial" w:cs="Arial"/>
          <w:sz w:val="24"/>
          <w:szCs w:val="24"/>
        </w:rPr>
        <w:t>CCL</w:t>
      </w:r>
      <w:r w:rsidR="003E4569" w:rsidRPr="003E4569">
        <w:rPr>
          <w:rFonts w:ascii="Arial" w:eastAsia="Times New Roman" w:hAnsi="Arial" w:cs="Arial"/>
          <w:sz w:val="24"/>
          <w:szCs w:val="24"/>
        </w:rPr>
        <w:t xml:space="preserve"> directly employs around 12,000 people and indirectly creates thousands more jobs across the supply chain, partnering with key</w:t>
      </w:r>
      <w:r w:rsidR="006C32CA">
        <w:rPr>
          <w:rFonts w:ascii="Arial" w:eastAsia="Times New Roman" w:hAnsi="Arial" w:cs="Arial"/>
          <w:sz w:val="24"/>
          <w:szCs w:val="24"/>
        </w:rPr>
        <w:t xml:space="preserve"> </w:t>
      </w:r>
      <w:r w:rsidR="003E4569" w:rsidRPr="003E4569">
        <w:rPr>
          <w:rFonts w:ascii="Arial" w:eastAsia="Times New Roman" w:hAnsi="Arial" w:cs="Arial"/>
          <w:sz w:val="24"/>
          <w:szCs w:val="24"/>
        </w:rPr>
        <w:t>suppliers to bottle, package, sell and distribute its products. With access to around 270 million potential consumers through more than</w:t>
      </w:r>
      <w:r w:rsidR="006C32CA">
        <w:rPr>
          <w:rFonts w:ascii="Arial" w:eastAsia="Times New Roman" w:hAnsi="Arial" w:cs="Arial"/>
          <w:sz w:val="24"/>
          <w:szCs w:val="24"/>
        </w:rPr>
        <w:t xml:space="preserve"> </w:t>
      </w:r>
      <w:r w:rsidR="003E4569" w:rsidRPr="003E4569">
        <w:rPr>
          <w:rFonts w:ascii="Arial" w:eastAsia="Times New Roman" w:hAnsi="Arial" w:cs="Arial"/>
          <w:sz w:val="24"/>
          <w:szCs w:val="24"/>
        </w:rPr>
        <w:t xml:space="preserve">630,000 active customers </w:t>
      </w:r>
      <w:r>
        <w:rPr>
          <w:rFonts w:ascii="Arial" w:eastAsia="Times New Roman" w:hAnsi="Arial" w:cs="Arial"/>
          <w:sz w:val="24"/>
          <w:szCs w:val="24"/>
        </w:rPr>
        <w:t>CCL</w:t>
      </w:r>
      <w:r w:rsidR="003E4569" w:rsidRPr="003E4569">
        <w:rPr>
          <w:rFonts w:ascii="Arial" w:eastAsia="Times New Roman" w:hAnsi="Arial" w:cs="Arial"/>
          <w:sz w:val="24"/>
          <w:szCs w:val="24"/>
        </w:rPr>
        <w:t xml:space="preserve"> is committed to leading through innovation, building a sustainable future and delivering long-term value, both to shareholders and to society. </w:t>
      </w:r>
      <w:r w:rsidR="003E4569" w:rsidRPr="003E4569">
        <w:rPr>
          <w:rFonts w:ascii="Arial" w:eastAsia="Times New Roman" w:hAnsi="Arial" w:cs="Arial"/>
          <w:sz w:val="24"/>
          <w:szCs w:val="24"/>
        </w:rPr>
        <w:cr/>
      </w:r>
    </w:p>
    <w:p w14:paraId="3FF84F6B" w14:textId="77777777" w:rsidR="00A41984" w:rsidRPr="004B158C" w:rsidRDefault="00FF5648" w:rsidP="00A41984">
      <w:pPr>
        <w:spacing w:after="100" w:afterAutospacing="1" w:line="240" w:lineRule="auto"/>
        <w:textAlignment w:val="baseline"/>
        <w:rPr>
          <w:rFonts w:ascii="Arial" w:eastAsia="Times New Roman" w:hAnsi="Arial" w:cs="Arial"/>
          <w:color w:val="000000"/>
          <w:sz w:val="24"/>
          <w:szCs w:val="24"/>
          <w:lang w:val="en-GB" w:eastAsia="en-GB"/>
        </w:rPr>
      </w:pPr>
      <w:bookmarkStart w:id="5" w:name="_Hlk53477334"/>
      <w:r>
        <w:rPr>
          <w:rFonts w:ascii="Arial" w:eastAsia="Times New Roman" w:hAnsi="Arial" w:cs="Arial"/>
          <w:color w:val="000000"/>
          <w:sz w:val="24"/>
          <w:szCs w:val="24"/>
          <w:lang w:val="en-GB" w:eastAsia="en-GB"/>
        </w:rPr>
        <w:t>CCL</w:t>
      </w:r>
      <w:r w:rsidR="00A41984">
        <w:rPr>
          <w:rFonts w:ascii="Arial" w:eastAsia="Times New Roman" w:hAnsi="Arial" w:cs="Arial"/>
          <w:color w:val="000000"/>
          <w:sz w:val="24"/>
          <w:szCs w:val="24"/>
          <w:lang w:val="en-GB" w:eastAsia="en-GB"/>
        </w:rPr>
        <w:t xml:space="preserve"> delivered FY19 revenue and EBITDA</w:t>
      </w:r>
      <w:r w:rsidR="00CE4C0F">
        <w:rPr>
          <w:rFonts w:ascii="Arial" w:eastAsia="Times New Roman" w:hAnsi="Arial" w:cs="Arial"/>
          <w:color w:val="000000"/>
          <w:sz w:val="24"/>
          <w:szCs w:val="24"/>
          <w:vertAlign w:val="superscript"/>
          <w:lang w:val="en-GB" w:eastAsia="en-GB"/>
        </w:rPr>
        <w:t>2</w:t>
      </w:r>
      <w:r w:rsidR="00A41984">
        <w:rPr>
          <w:rFonts w:ascii="Arial" w:eastAsia="Times New Roman" w:hAnsi="Arial" w:cs="Arial"/>
          <w:color w:val="000000"/>
          <w:sz w:val="24"/>
          <w:szCs w:val="24"/>
          <w:lang w:val="en-GB" w:eastAsia="en-GB"/>
        </w:rPr>
        <w:t xml:space="preserve"> of A$5.1bn (c.€3.</w:t>
      </w:r>
      <w:r w:rsidR="00510BA7">
        <w:rPr>
          <w:rFonts w:ascii="Arial" w:eastAsia="Times New Roman" w:hAnsi="Arial" w:cs="Arial"/>
          <w:color w:val="000000"/>
          <w:sz w:val="24"/>
          <w:szCs w:val="24"/>
          <w:lang w:val="en-GB" w:eastAsia="en-GB"/>
        </w:rPr>
        <w:t>1</w:t>
      </w:r>
      <w:r w:rsidR="00A41984">
        <w:rPr>
          <w:rFonts w:ascii="Arial" w:eastAsia="Times New Roman" w:hAnsi="Arial" w:cs="Arial"/>
          <w:color w:val="000000"/>
          <w:sz w:val="24"/>
          <w:szCs w:val="24"/>
          <w:lang w:val="en-GB" w:eastAsia="en-GB"/>
        </w:rPr>
        <w:t>bn</w:t>
      </w:r>
      <w:r w:rsidR="00A41984">
        <w:rPr>
          <w:rFonts w:ascii="Arial" w:eastAsia="Times New Roman" w:hAnsi="Arial" w:cs="Arial"/>
          <w:color w:val="000000"/>
          <w:sz w:val="24"/>
          <w:szCs w:val="24"/>
          <w:vertAlign w:val="superscript"/>
          <w:lang w:val="en-GB" w:eastAsia="en-GB"/>
        </w:rPr>
        <w:t>1</w:t>
      </w:r>
      <w:r w:rsidR="00A41984">
        <w:rPr>
          <w:rFonts w:ascii="Arial" w:eastAsia="Times New Roman" w:hAnsi="Arial" w:cs="Arial"/>
          <w:color w:val="000000"/>
          <w:sz w:val="24"/>
          <w:szCs w:val="24"/>
          <w:lang w:val="en-GB" w:eastAsia="en-GB"/>
        </w:rPr>
        <w:t>) and A$</w:t>
      </w:r>
      <w:r w:rsidR="00532D4D">
        <w:rPr>
          <w:rFonts w:ascii="Arial" w:eastAsia="Times New Roman" w:hAnsi="Arial" w:cs="Arial"/>
          <w:color w:val="000000"/>
          <w:sz w:val="24"/>
          <w:szCs w:val="24"/>
          <w:lang w:val="en-GB" w:eastAsia="en-GB"/>
        </w:rPr>
        <w:t>1.0</w:t>
      </w:r>
      <w:r w:rsidR="00A41984">
        <w:rPr>
          <w:rFonts w:ascii="Arial" w:eastAsia="Times New Roman" w:hAnsi="Arial" w:cs="Arial"/>
          <w:color w:val="000000"/>
          <w:sz w:val="24"/>
          <w:szCs w:val="24"/>
          <w:lang w:val="en-GB" w:eastAsia="en-GB"/>
        </w:rPr>
        <w:t>bn (c.€0.6bn</w:t>
      </w:r>
      <w:r w:rsidR="00A41984">
        <w:rPr>
          <w:rFonts w:ascii="Arial" w:eastAsia="Times New Roman" w:hAnsi="Arial" w:cs="Arial"/>
          <w:color w:val="000000"/>
          <w:sz w:val="24"/>
          <w:szCs w:val="24"/>
          <w:vertAlign w:val="superscript"/>
          <w:lang w:val="en-GB" w:eastAsia="en-GB"/>
        </w:rPr>
        <w:t>1</w:t>
      </w:r>
      <w:r w:rsidR="00A41984">
        <w:rPr>
          <w:rFonts w:ascii="Arial" w:eastAsia="Times New Roman" w:hAnsi="Arial" w:cs="Arial"/>
          <w:color w:val="000000"/>
          <w:sz w:val="24"/>
          <w:szCs w:val="24"/>
          <w:lang w:val="en-GB" w:eastAsia="en-GB"/>
        </w:rPr>
        <w:t xml:space="preserve">) respectively, of which </w:t>
      </w:r>
      <w:r w:rsidR="00BB0A0B">
        <w:rPr>
          <w:rFonts w:ascii="Arial" w:eastAsia="Times New Roman" w:hAnsi="Arial" w:cs="Arial"/>
          <w:color w:val="000000"/>
          <w:sz w:val="24"/>
          <w:szCs w:val="24"/>
          <w:lang w:val="en-GB" w:eastAsia="en-GB"/>
        </w:rPr>
        <w:t xml:space="preserve">approximately </w:t>
      </w:r>
      <w:r w:rsidR="00A41984">
        <w:rPr>
          <w:rFonts w:ascii="Arial" w:eastAsia="Times New Roman" w:hAnsi="Arial" w:cs="Arial"/>
          <w:color w:val="000000"/>
          <w:sz w:val="24"/>
          <w:szCs w:val="24"/>
          <w:lang w:val="en-GB" w:eastAsia="en-GB"/>
        </w:rPr>
        <w:t xml:space="preserve">three-quarters is generated by </w:t>
      </w:r>
      <w:r w:rsidR="00A41984" w:rsidRPr="003E4569">
        <w:rPr>
          <w:rFonts w:ascii="Arial" w:eastAsia="Times New Roman" w:hAnsi="Arial" w:cs="Arial"/>
          <w:sz w:val="24"/>
          <w:szCs w:val="24"/>
        </w:rPr>
        <w:t>Australia</w:t>
      </w:r>
      <w:r w:rsidR="00A41984">
        <w:rPr>
          <w:rFonts w:ascii="Arial" w:eastAsia="Times New Roman" w:hAnsi="Arial" w:cs="Arial"/>
          <w:sz w:val="24"/>
          <w:szCs w:val="24"/>
        </w:rPr>
        <w:t xml:space="preserve"> and</w:t>
      </w:r>
      <w:r w:rsidR="00A41984" w:rsidRPr="003E4569">
        <w:rPr>
          <w:rFonts w:ascii="Arial" w:eastAsia="Times New Roman" w:hAnsi="Arial" w:cs="Arial"/>
          <w:sz w:val="24"/>
          <w:szCs w:val="24"/>
        </w:rPr>
        <w:t xml:space="preserve"> New Zealand</w:t>
      </w:r>
      <w:bookmarkEnd w:id="5"/>
    </w:p>
    <w:p w14:paraId="340B9410" w14:textId="77777777" w:rsidR="003E4569" w:rsidRDefault="003E4569" w:rsidP="00701E8F">
      <w:pPr>
        <w:spacing w:after="0" w:line="240" w:lineRule="auto"/>
        <w:rPr>
          <w:rFonts w:ascii="Arial" w:eastAsia="Times New Roman" w:hAnsi="Arial" w:cs="Arial"/>
          <w:sz w:val="24"/>
          <w:szCs w:val="24"/>
        </w:rPr>
      </w:pPr>
      <w:r w:rsidRPr="003E4569">
        <w:rPr>
          <w:rFonts w:ascii="Arial" w:eastAsia="Times New Roman" w:hAnsi="Arial" w:cs="Arial"/>
          <w:sz w:val="24"/>
          <w:szCs w:val="24"/>
        </w:rPr>
        <w:t xml:space="preserve">For more information, visit </w:t>
      </w:r>
      <w:r w:rsidR="00A562E6">
        <w:rPr>
          <w:rStyle w:val="Hyperlink"/>
          <w:rFonts w:ascii="Arial" w:eastAsia="Times New Roman" w:hAnsi="Arial" w:cs="Arial"/>
          <w:sz w:val="24"/>
          <w:szCs w:val="24"/>
        </w:rPr>
        <w:t>www.ccamatil</w:t>
      </w:r>
      <w:r w:rsidR="00DF2AF1">
        <w:rPr>
          <w:rStyle w:val="Hyperlink"/>
          <w:rFonts w:ascii="Arial" w:eastAsia="Times New Roman" w:hAnsi="Arial" w:cs="Arial"/>
          <w:sz w:val="24"/>
          <w:szCs w:val="24"/>
        </w:rPr>
        <w:t>.com</w:t>
      </w:r>
      <w:r w:rsidR="00DF2AF1" w:rsidRPr="00FD6BD2">
        <w:rPr>
          <w:rStyle w:val="Hyperlink"/>
          <w:rFonts w:ascii="Arial" w:eastAsia="Times New Roman" w:hAnsi="Arial" w:cs="Arial"/>
          <w:sz w:val="24"/>
          <w:szCs w:val="24"/>
          <w:u w:val="none"/>
        </w:rPr>
        <w:t xml:space="preserve"> </w:t>
      </w:r>
    </w:p>
    <w:p w14:paraId="3B3BFBA3" w14:textId="77777777" w:rsidR="00400E16" w:rsidRDefault="00400E16" w:rsidP="00701E8F">
      <w:pPr>
        <w:spacing w:after="0" w:line="240" w:lineRule="auto"/>
        <w:rPr>
          <w:rFonts w:ascii="Arial" w:eastAsia="Times New Roman" w:hAnsi="Arial" w:cs="Arial"/>
          <w:sz w:val="24"/>
          <w:szCs w:val="24"/>
        </w:rPr>
      </w:pPr>
    </w:p>
    <w:p w14:paraId="07315D2E" w14:textId="77777777" w:rsidR="00480576" w:rsidRPr="00FA7BE5" w:rsidRDefault="00CE4C0F" w:rsidP="00CE4C0F">
      <w:pPr>
        <w:spacing w:after="100" w:afterAutospacing="1" w:line="240" w:lineRule="auto"/>
        <w:textAlignment w:val="baseline"/>
        <w:rPr>
          <w:rFonts w:ascii="Arial" w:eastAsia="Times New Roman" w:hAnsi="Arial" w:cs="Arial"/>
          <w:i/>
          <w:color w:val="000000"/>
          <w:sz w:val="18"/>
          <w:szCs w:val="24"/>
          <w:lang w:val="en-GB" w:eastAsia="en-GB"/>
        </w:rPr>
      </w:pPr>
      <w:r w:rsidRPr="00FA7BE5">
        <w:rPr>
          <w:rFonts w:ascii="Arial" w:eastAsia="Times New Roman" w:hAnsi="Arial" w:cs="Arial"/>
          <w:i/>
          <w:color w:val="000000"/>
          <w:sz w:val="18"/>
          <w:szCs w:val="24"/>
          <w:vertAlign w:val="superscript"/>
          <w:lang w:val="en-GB" w:eastAsia="en-GB"/>
        </w:rPr>
        <w:t>1</w:t>
      </w:r>
      <w:r w:rsidRPr="00FA7BE5">
        <w:rPr>
          <w:rFonts w:ascii="Arial" w:eastAsia="Times New Roman" w:hAnsi="Arial" w:cs="Arial"/>
          <w:i/>
          <w:color w:val="000000"/>
          <w:sz w:val="18"/>
          <w:szCs w:val="24"/>
          <w:lang w:val="en-GB" w:eastAsia="en-GB"/>
        </w:rPr>
        <w:t xml:space="preserve">A$ to € </w:t>
      </w:r>
      <w:r w:rsidR="00DB7F9F">
        <w:rPr>
          <w:rFonts w:ascii="Arial" w:eastAsia="Times New Roman" w:hAnsi="Arial" w:cs="Arial"/>
          <w:i/>
          <w:color w:val="000000"/>
          <w:sz w:val="18"/>
          <w:szCs w:val="24"/>
          <w:lang w:val="en-GB" w:eastAsia="en-GB"/>
        </w:rPr>
        <w:t xml:space="preserve">average FY19 </w:t>
      </w:r>
      <w:r w:rsidRPr="00FA7BE5">
        <w:rPr>
          <w:rFonts w:ascii="Arial" w:eastAsia="Times New Roman" w:hAnsi="Arial" w:cs="Arial"/>
          <w:i/>
          <w:color w:val="000000"/>
          <w:sz w:val="18"/>
          <w:szCs w:val="24"/>
          <w:lang w:val="en-GB" w:eastAsia="en-GB"/>
        </w:rPr>
        <w:t>exchange rate of 0.</w:t>
      </w:r>
      <w:r w:rsidR="00814C49">
        <w:rPr>
          <w:rFonts w:ascii="Arial" w:eastAsia="Times New Roman" w:hAnsi="Arial" w:cs="Arial"/>
          <w:i/>
          <w:color w:val="000000"/>
          <w:sz w:val="18"/>
          <w:szCs w:val="24"/>
          <w:lang w:val="en-GB" w:eastAsia="en-GB"/>
        </w:rPr>
        <w:t>6</w:t>
      </w:r>
      <w:r w:rsidR="00510BA7">
        <w:rPr>
          <w:rFonts w:ascii="Arial" w:eastAsia="Times New Roman" w:hAnsi="Arial" w:cs="Arial"/>
          <w:i/>
          <w:color w:val="000000"/>
          <w:sz w:val="18"/>
          <w:szCs w:val="24"/>
          <w:lang w:val="en-GB" w:eastAsia="en-GB"/>
        </w:rPr>
        <w:t>209</w:t>
      </w:r>
      <w:r w:rsidR="00480576" w:rsidRPr="00FA7BE5">
        <w:rPr>
          <w:rFonts w:ascii="Arial" w:eastAsia="Times New Roman" w:hAnsi="Arial" w:cs="Arial"/>
          <w:i/>
          <w:color w:val="000000"/>
          <w:sz w:val="18"/>
          <w:szCs w:val="24"/>
          <w:lang w:val="en-GB" w:eastAsia="en-GB"/>
        </w:rPr>
        <w:t xml:space="preserve">; </w:t>
      </w:r>
      <w:r w:rsidRPr="00FA7BE5">
        <w:rPr>
          <w:rFonts w:ascii="Arial" w:eastAsia="Times New Roman" w:hAnsi="Arial" w:cs="Arial"/>
          <w:i/>
          <w:color w:val="000000"/>
          <w:sz w:val="18"/>
          <w:szCs w:val="24"/>
          <w:vertAlign w:val="superscript"/>
          <w:lang w:val="en-GB" w:eastAsia="en-GB"/>
        </w:rPr>
        <w:t>2</w:t>
      </w:r>
      <w:r w:rsidRPr="00FA7BE5">
        <w:rPr>
          <w:rFonts w:ascii="Arial" w:eastAsia="Times New Roman" w:hAnsi="Arial" w:cs="Arial"/>
          <w:i/>
          <w:color w:val="000000"/>
          <w:sz w:val="18"/>
          <w:szCs w:val="24"/>
          <w:lang w:val="en-GB" w:eastAsia="en-GB"/>
        </w:rPr>
        <w:t>Earnings before interest, tax, depreciation and amortisation</w:t>
      </w:r>
      <w:r w:rsidR="00532D4D">
        <w:rPr>
          <w:rFonts w:ascii="Arial" w:eastAsia="Times New Roman" w:hAnsi="Arial" w:cs="Arial"/>
          <w:i/>
          <w:color w:val="000000"/>
          <w:sz w:val="18"/>
          <w:szCs w:val="24"/>
          <w:lang w:val="en-GB" w:eastAsia="en-GB"/>
        </w:rPr>
        <w:t xml:space="preserve"> (post AASB-16)</w:t>
      </w:r>
    </w:p>
    <w:p w14:paraId="0BD073B3" w14:textId="77777777" w:rsidR="006C72E2" w:rsidRDefault="006C72E2" w:rsidP="00701E8F">
      <w:pPr>
        <w:spacing w:before="120" w:line="254" w:lineRule="auto"/>
        <w:rPr>
          <w:rFonts w:ascii="Arial" w:eastAsia="Times New Roman" w:hAnsi="Arial" w:cs="Arial"/>
          <w:b/>
          <w:sz w:val="24"/>
          <w:szCs w:val="24"/>
        </w:rPr>
      </w:pPr>
      <w:bookmarkStart w:id="6" w:name="_GoBack"/>
      <w:bookmarkEnd w:id="6"/>
    </w:p>
    <w:p w14:paraId="56F3402A" w14:textId="77777777" w:rsidR="00234D93" w:rsidRDefault="00234D93" w:rsidP="00701E8F">
      <w:pPr>
        <w:spacing w:before="120" w:line="254" w:lineRule="auto"/>
        <w:rPr>
          <w:rFonts w:ascii="Arial" w:eastAsia="Times New Roman" w:hAnsi="Arial" w:cs="Arial"/>
          <w:b/>
          <w:sz w:val="24"/>
          <w:szCs w:val="24"/>
        </w:rPr>
      </w:pPr>
      <w:r>
        <w:rPr>
          <w:rFonts w:ascii="Arial" w:eastAsia="Times New Roman" w:hAnsi="Arial" w:cs="Arial"/>
          <w:b/>
          <w:sz w:val="24"/>
          <w:szCs w:val="24"/>
        </w:rPr>
        <w:t xml:space="preserve">No incorporation of website information </w:t>
      </w:r>
    </w:p>
    <w:p w14:paraId="3FBDC307" w14:textId="79A28E36" w:rsidR="006C72E2" w:rsidRPr="00F32A70" w:rsidRDefault="00234D93" w:rsidP="00F32A70">
      <w:pPr>
        <w:spacing w:after="0" w:line="240" w:lineRule="auto"/>
        <w:rPr>
          <w:rFonts w:ascii="Arial" w:eastAsia="Times New Roman" w:hAnsi="Arial" w:cs="Arial"/>
          <w:sz w:val="24"/>
          <w:szCs w:val="24"/>
        </w:rPr>
      </w:pPr>
      <w:r w:rsidRPr="00283B54">
        <w:rPr>
          <w:rFonts w:ascii="Arial" w:eastAsia="Times New Roman" w:hAnsi="Arial" w:cs="Arial"/>
          <w:sz w:val="24"/>
          <w:szCs w:val="24"/>
        </w:rPr>
        <w:t>The content of the websites referred to in this announcement is not incorporated into and does not form part of this announcement.</w:t>
      </w:r>
    </w:p>
    <w:p w14:paraId="2DBBD4E4" w14:textId="77777777" w:rsidR="00C245C2" w:rsidRDefault="00C245C2" w:rsidP="00701E8F">
      <w:pPr>
        <w:spacing w:before="120" w:line="254" w:lineRule="auto"/>
        <w:rPr>
          <w:rFonts w:ascii="Arial" w:eastAsia="Times New Roman" w:hAnsi="Arial" w:cs="Arial"/>
          <w:b/>
          <w:sz w:val="24"/>
          <w:szCs w:val="24"/>
        </w:rPr>
      </w:pPr>
    </w:p>
    <w:p w14:paraId="2118EC16" w14:textId="4AD0222C" w:rsidR="00E34EEF" w:rsidRPr="00701E8F" w:rsidRDefault="00E34EEF" w:rsidP="00701E8F">
      <w:pPr>
        <w:spacing w:before="120" w:line="254" w:lineRule="auto"/>
        <w:rPr>
          <w:rFonts w:ascii="Arial" w:eastAsia="Times New Roman" w:hAnsi="Arial" w:cs="Arial"/>
          <w:b/>
          <w:sz w:val="24"/>
          <w:szCs w:val="24"/>
        </w:rPr>
      </w:pPr>
      <w:r w:rsidRPr="00701E8F">
        <w:rPr>
          <w:rFonts w:ascii="Arial" w:eastAsia="Times New Roman" w:hAnsi="Arial" w:cs="Arial"/>
          <w:b/>
          <w:sz w:val="24"/>
          <w:szCs w:val="24"/>
        </w:rPr>
        <w:t>Forward-Looking Statements</w:t>
      </w:r>
    </w:p>
    <w:p w14:paraId="5425CE59" w14:textId="77777777" w:rsidR="00291512" w:rsidRPr="00D16C30" w:rsidRDefault="00291512" w:rsidP="00291512">
      <w:pPr>
        <w:spacing w:after="0" w:line="240" w:lineRule="auto"/>
        <w:rPr>
          <w:rFonts w:ascii="Arial" w:eastAsia="Times New Roman" w:hAnsi="Arial" w:cs="Arial"/>
          <w:i/>
          <w:sz w:val="20"/>
          <w:szCs w:val="20"/>
        </w:rPr>
      </w:pPr>
      <w:r w:rsidRPr="00D16C30">
        <w:rPr>
          <w:rFonts w:ascii="Arial" w:eastAsia="Times New Roman" w:hAnsi="Arial" w:cs="Arial"/>
          <w:i/>
          <w:sz w:val="20"/>
          <w:szCs w:val="20"/>
        </w:rPr>
        <w:t xml:space="preserve">This document contains statements, estimates or projections that constitute "forward-looking statements" concerning the financial condition, performance, results, strategy and objectives of </w:t>
      </w:r>
      <w:r w:rsidR="00FF5648">
        <w:rPr>
          <w:rFonts w:ascii="Arial" w:eastAsia="Times New Roman" w:hAnsi="Arial" w:cs="Arial"/>
          <w:i/>
          <w:sz w:val="20"/>
          <w:szCs w:val="20"/>
        </w:rPr>
        <w:t>CCEP</w:t>
      </w:r>
      <w:r w:rsidRPr="00D16C30">
        <w:rPr>
          <w:rFonts w:ascii="Arial" w:eastAsia="Times New Roman" w:hAnsi="Arial" w:cs="Arial"/>
          <w:i/>
          <w:sz w:val="20"/>
          <w:szCs w:val="20"/>
        </w:rPr>
        <w:t xml:space="preserve"> and its subsidiaries </w:t>
      </w:r>
      <w:r w:rsidR="008D3572">
        <w:rPr>
          <w:rFonts w:ascii="Arial" w:eastAsia="Times New Roman" w:hAnsi="Arial" w:cs="Arial"/>
          <w:i/>
          <w:sz w:val="20"/>
          <w:szCs w:val="20"/>
        </w:rPr>
        <w:t>(together “</w:t>
      </w:r>
      <w:r w:rsidR="00FF5648">
        <w:rPr>
          <w:rFonts w:ascii="Arial" w:eastAsia="Times New Roman" w:hAnsi="Arial" w:cs="Arial"/>
          <w:i/>
          <w:sz w:val="20"/>
          <w:szCs w:val="20"/>
        </w:rPr>
        <w:t>CCEP</w:t>
      </w:r>
      <w:r w:rsidR="008D3572">
        <w:rPr>
          <w:rFonts w:ascii="Arial" w:eastAsia="Times New Roman" w:hAnsi="Arial" w:cs="Arial"/>
          <w:i/>
          <w:sz w:val="20"/>
          <w:szCs w:val="20"/>
        </w:rPr>
        <w:t xml:space="preserve">”) </w:t>
      </w:r>
      <w:r w:rsidR="00E03C6A">
        <w:rPr>
          <w:rFonts w:ascii="Arial" w:eastAsia="Times New Roman" w:hAnsi="Arial" w:cs="Arial"/>
          <w:i/>
          <w:sz w:val="20"/>
          <w:szCs w:val="20"/>
        </w:rPr>
        <w:t xml:space="preserve">and </w:t>
      </w:r>
      <w:r w:rsidR="00FF5648">
        <w:rPr>
          <w:rFonts w:ascii="Arial" w:eastAsia="Times New Roman" w:hAnsi="Arial" w:cs="Arial"/>
          <w:i/>
          <w:sz w:val="20"/>
          <w:szCs w:val="20"/>
        </w:rPr>
        <w:t>CCL</w:t>
      </w:r>
      <w:r w:rsidRPr="00D16C30">
        <w:rPr>
          <w:rFonts w:ascii="Arial" w:eastAsia="Times New Roman" w:hAnsi="Arial" w:cs="Arial"/>
          <w:i/>
          <w:sz w:val="20"/>
          <w:szCs w:val="20"/>
        </w:rPr>
        <w:t xml:space="preserve"> and its subsidiaries (together "</w:t>
      </w:r>
      <w:r w:rsidR="00FF5648">
        <w:rPr>
          <w:rFonts w:ascii="Arial" w:eastAsia="Times New Roman" w:hAnsi="Arial" w:cs="Arial"/>
          <w:i/>
          <w:sz w:val="20"/>
          <w:szCs w:val="20"/>
        </w:rPr>
        <w:t>CCL</w:t>
      </w:r>
      <w:r w:rsidRPr="00D16C30">
        <w:rPr>
          <w:rFonts w:ascii="Arial" w:eastAsia="Times New Roman" w:hAnsi="Arial" w:cs="Arial"/>
          <w:i/>
          <w:sz w:val="20"/>
          <w:szCs w:val="20"/>
        </w:rPr>
        <w:t>")</w:t>
      </w:r>
      <w:r w:rsidR="00B865CB">
        <w:rPr>
          <w:rFonts w:ascii="Arial" w:eastAsia="Times New Roman" w:hAnsi="Arial" w:cs="Arial"/>
          <w:i/>
          <w:sz w:val="20"/>
          <w:szCs w:val="20"/>
        </w:rPr>
        <w:t xml:space="preserve"> and the integration of </w:t>
      </w:r>
      <w:r w:rsidR="00FF5648">
        <w:rPr>
          <w:rFonts w:ascii="Arial" w:eastAsia="Times New Roman" w:hAnsi="Arial" w:cs="Arial"/>
          <w:i/>
          <w:sz w:val="20"/>
          <w:szCs w:val="20"/>
        </w:rPr>
        <w:t>CCL</w:t>
      </w:r>
      <w:r w:rsidR="00B865CB">
        <w:rPr>
          <w:rFonts w:ascii="Arial" w:eastAsia="Times New Roman" w:hAnsi="Arial" w:cs="Arial"/>
          <w:i/>
          <w:sz w:val="20"/>
          <w:szCs w:val="20"/>
        </w:rPr>
        <w:t xml:space="preserve"> into </w:t>
      </w:r>
      <w:r w:rsidR="00FF5648">
        <w:rPr>
          <w:rFonts w:ascii="Arial" w:eastAsia="Times New Roman" w:hAnsi="Arial" w:cs="Arial"/>
          <w:i/>
          <w:sz w:val="20"/>
          <w:szCs w:val="20"/>
        </w:rPr>
        <w:t>CCEP</w:t>
      </w:r>
      <w:r w:rsidRPr="00D16C30">
        <w:rPr>
          <w:rFonts w:ascii="Arial" w:eastAsia="Times New Roman" w:hAnsi="Arial" w:cs="Arial"/>
          <w:i/>
          <w:sz w:val="20"/>
          <w:szCs w:val="20"/>
        </w:rPr>
        <w:t>. Generally, the words "believe," "expect," "intend," "estimate," "anticipate," "project," "plan," "seek," "may," "could," "would," "should," "might," "will," "forecast," "outlook," "guidance," "possible," "potential," "predict," "objective" and similar expressions identify forward-looking statements, which generally are not historical in nature.</w:t>
      </w:r>
    </w:p>
    <w:p w14:paraId="496A1BAD" w14:textId="77777777" w:rsidR="00291512" w:rsidRPr="00D16C30" w:rsidRDefault="00291512" w:rsidP="00291512">
      <w:pPr>
        <w:spacing w:after="0" w:line="240" w:lineRule="auto"/>
        <w:rPr>
          <w:rFonts w:ascii="Arial" w:eastAsia="Times New Roman" w:hAnsi="Arial" w:cs="Arial"/>
          <w:i/>
          <w:sz w:val="20"/>
          <w:szCs w:val="20"/>
        </w:rPr>
      </w:pPr>
    </w:p>
    <w:p w14:paraId="06B4928B" w14:textId="77777777" w:rsidR="00291512" w:rsidRPr="00D16C30" w:rsidRDefault="00291512" w:rsidP="00291512">
      <w:pPr>
        <w:spacing w:after="0" w:line="240" w:lineRule="auto"/>
        <w:rPr>
          <w:rFonts w:ascii="Arial" w:eastAsia="Times New Roman" w:hAnsi="Arial" w:cs="Arial"/>
          <w:i/>
          <w:sz w:val="20"/>
          <w:szCs w:val="20"/>
        </w:rPr>
      </w:pPr>
      <w:r w:rsidRPr="00D16C30">
        <w:rPr>
          <w:rFonts w:ascii="Arial" w:eastAsia="Times New Roman" w:hAnsi="Arial" w:cs="Arial"/>
          <w:i/>
          <w:sz w:val="20"/>
          <w:szCs w:val="20"/>
        </w:rPr>
        <w:t xml:space="preserve">Forward-looking statements are subject to certain risks that could cause actual results to differ materially from </w:t>
      </w:r>
      <w:r w:rsidR="00FF5648">
        <w:rPr>
          <w:rFonts w:ascii="Arial" w:eastAsia="Times New Roman" w:hAnsi="Arial" w:cs="Arial"/>
          <w:i/>
          <w:sz w:val="20"/>
          <w:szCs w:val="20"/>
        </w:rPr>
        <w:t>CCEP</w:t>
      </w:r>
      <w:r w:rsidR="00E03C6A">
        <w:rPr>
          <w:rFonts w:ascii="Arial" w:eastAsia="Times New Roman" w:hAnsi="Arial" w:cs="Arial"/>
          <w:i/>
          <w:sz w:val="20"/>
          <w:szCs w:val="20"/>
        </w:rPr>
        <w:t xml:space="preserve">’s and </w:t>
      </w:r>
      <w:r w:rsidR="00FF5648">
        <w:rPr>
          <w:rFonts w:ascii="Arial" w:eastAsia="Times New Roman" w:hAnsi="Arial" w:cs="Arial"/>
          <w:i/>
          <w:sz w:val="20"/>
          <w:szCs w:val="20"/>
        </w:rPr>
        <w:t>CCL</w:t>
      </w:r>
      <w:r w:rsidR="00E03C6A">
        <w:rPr>
          <w:rFonts w:ascii="Arial" w:eastAsia="Times New Roman" w:hAnsi="Arial" w:cs="Arial"/>
          <w:i/>
          <w:sz w:val="20"/>
          <w:szCs w:val="20"/>
        </w:rPr>
        <w:t xml:space="preserve">’s </w:t>
      </w:r>
      <w:r w:rsidRPr="00D16C30">
        <w:rPr>
          <w:rFonts w:ascii="Arial" w:eastAsia="Times New Roman" w:hAnsi="Arial" w:cs="Arial"/>
          <w:i/>
          <w:sz w:val="20"/>
          <w:szCs w:val="20"/>
        </w:rPr>
        <w:t xml:space="preserve">historical experience and present expectations or projections, including with respect to the acquisition of </w:t>
      </w:r>
      <w:r w:rsidR="00FF5648">
        <w:rPr>
          <w:rFonts w:ascii="Arial" w:eastAsia="Times New Roman" w:hAnsi="Arial" w:cs="Arial"/>
          <w:i/>
          <w:sz w:val="20"/>
          <w:szCs w:val="20"/>
        </w:rPr>
        <w:t>CCL</w:t>
      </w:r>
      <w:r w:rsidRPr="00D16C30">
        <w:rPr>
          <w:rFonts w:ascii="Arial" w:eastAsia="Times New Roman" w:hAnsi="Arial" w:cs="Arial"/>
          <w:i/>
          <w:sz w:val="20"/>
          <w:szCs w:val="20"/>
        </w:rPr>
        <w:t xml:space="preserve"> by </w:t>
      </w:r>
      <w:r w:rsidR="00FF5648">
        <w:rPr>
          <w:rFonts w:ascii="Arial" w:eastAsia="Times New Roman" w:hAnsi="Arial" w:cs="Arial"/>
          <w:i/>
          <w:sz w:val="20"/>
          <w:szCs w:val="20"/>
        </w:rPr>
        <w:t>CCEP</w:t>
      </w:r>
      <w:r w:rsidR="00B865CB">
        <w:rPr>
          <w:rFonts w:ascii="Arial" w:eastAsia="Times New Roman" w:hAnsi="Arial" w:cs="Arial"/>
          <w:i/>
          <w:sz w:val="20"/>
          <w:szCs w:val="20"/>
        </w:rPr>
        <w:t xml:space="preserve"> (the “Acquisition”)</w:t>
      </w:r>
      <w:r w:rsidRPr="00D16C30">
        <w:rPr>
          <w:rFonts w:ascii="Arial" w:eastAsia="Times New Roman" w:hAnsi="Arial" w:cs="Arial"/>
          <w:i/>
          <w:sz w:val="20"/>
          <w:szCs w:val="20"/>
        </w:rPr>
        <w:t>. As a result, undue reliance should not be placed on forward-looking statements, which speak only as of the date on which they are made. These risks include but are not limited to:</w:t>
      </w:r>
    </w:p>
    <w:p w14:paraId="5866980A" w14:textId="77777777" w:rsidR="00291512" w:rsidRPr="00D16C30" w:rsidRDefault="00291512" w:rsidP="00291512">
      <w:pPr>
        <w:spacing w:after="0" w:line="240" w:lineRule="auto"/>
        <w:rPr>
          <w:rFonts w:ascii="Arial" w:eastAsia="Times New Roman" w:hAnsi="Arial" w:cs="Arial"/>
          <w:i/>
          <w:sz w:val="20"/>
          <w:szCs w:val="20"/>
        </w:rPr>
      </w:pPr>
    </w:p>
    <w:p w14:paraId="72E3A4A7" w14:textId="77777777" w:rsidR="00291512" w:rsidRPr="00D16C30" w:rsidRDefault="00291512" w:rsidP="00DF2AF1">
      <w:pPr>
        <w:spacing w:after="0" w:line="240" w:lineRule="auto"/>
        <w:rPr>
          <w:rFonts w:ascii="Arial" w:eastAsia="Times New Roman" w:hAnsi="Arial" w:cs="Arial"/>
          <w:i/>
          <w:sz w:val="20"/>
          <w:szCs w:val="20"/>
        </w:rPr>
      </w:pPr>
      <w:r w:rsidRPr="00D16C30">
        <w:rPr>
          <w:rFonts w:ascii="Arial" w:eastAsia="Times New Roman" w:hAnsi="Arial" w:cs="Arial"/>
          <w:i/>
          <w:sz w:val="20"/>
          <w:szCs w:val="20"/>
        </w:rPr>
        <w:t>1.</w:t>
      </w:r>
      <w:r w:rsidRPr="00D16C30">
        <w:rPr>
          <w:rFonts w:ascii="Arial" w:eastAsia="Times New Roman" w:hAnsi="Arial" w:cs="Arial"/>
          <w:i/>
          <w:sz w:val="20"/>
          <w:szCs w:val="20"/>
        </w:rPr>
        <w:tab/>
        <w:t xml:space="preserve">those set forth in the "Risk Factors" section of </w:t>
      </w:r>
      <w:r w:rsidR="00FF5648">
        <w:rPr>
          <w:rFonts w:ascii="Arial" w:eastAsia="Times New Roman" w:hAnsi="Arial" w:cs="Arial"/>
          <w:i/>
          <w:sz w:val="20"/>
          <w:szCs w:val="20"/>
        </w:rPr>
        <w:t>CCEP</w:t>
      </w:r>
      <w:r w:rsidRPr="00D16C30">
        <w:rPr>
          <w:rFonts w:ascii="Arial" w:eastAsia="Times New Roman" w:hAnsi="Arial" w:cs="Arial"/>
          <w:i/>
          <w:sz w:val="20"/>
          <w:szCs w:val="20"/>
        </w:rPr>
        <w:t xml:space="preserve">’s 2019 Integrated Report / Annual Report on Form 20-F, including the statements under the following headings: Packaging (such as marine litter); Perceived health impacts of our beverages and ingredients, and changing consumer preferences (such as sugar alternatives); Legal, regulatory and tax change (such as the development of regulations regarding packaging, taxes and deposit return schemes); Market (such as disruption due to customer negotiations, customer consolidation and route to market); Cyber and social engineering attacks; Competitiveness and transformation; Climate change and water (such as net zero emission legislation and regulation, and resource scarcity); Economic and political conditions (such as continuing developments in relation to the UK's exit from the EU); The relationship with </w:t>
      </w:r>
      <w:r w:rsidR="007A356A">
        <w:rPr>
          <w:rFonts w:ascii="Arial" w:eastAsia="Times New Roman" w:hAnsi="Arial" w:cs="Arial"/>
          <w:i/>
          <w:sz w:val="20"/>
          <w:szCs w:val="20"/>
        </w:rPr>
        <w:t>KO</w:t>
      </w:r>
      <w:r w:rsidRPr="00D16C30">
        <w:rPr>
          <w:rFonts w:ascii="Arial" w:eastAsia="Times New Roman" w:hAnsi="Arial" w:cs="Arial"/>
          <w:i/>
          <w:sz w:val="20"/>
          <w:szCs w:val="20"/>
        </w:rPr>
        <w:t xml:space="preserve"> and other franchisors; Product quality; and Other risks, such as widespread outbreaks of infectious disease including the adverse impact that the COVID-19 pandemic and related social distancing measures implemented in many of our markets, and any associated economic downturn, may have on our financial results, operations, workforce and demand for our products;</w:t>
      </w:r>
    </w:p>
    <w:p w14:paraId="22307F86" w14:textId="77777777" w:rsidR="00291512" w:rsidRPr="00D16C30" w:rsidRDefault="00291512" w:rsidP="00291512">
      <w:pPr>
        <w:spacing w:after="0" w:line="240" w:lineRule="auto"/>
        <w:rPr>
          <w:rFonts w:ascii="Arial" w:eastAsia="Times New Roman" w:hAnsi="Arial" w:cs="Arial"/>
          <w:i/>
          <w:sz w:val="20"/>
          <w:szCs w:val="20"/>
        </w:rPr>
      </w:pPr>
      <w:r w:rsidRPr="00D16C30">
        <w:rPr>
          <w:rFonts w:ascii="Arial" w:eastAsia="Times New Roman" w:hAnsi="Arial" w:cs="Arial"/>
          <w:i/>
          <w:sz w:val="20"/>
          <w:szCs w:val="20"/>
        </w:rPr>
        <w:t>2.</w:t>
      </w:r>
      <w:r w:rsidRPr="00D16C30">
        <w:rPr>
          <w:rFonts w:ascii="Arial" w:eastAsia="Times New Roman" w:hAnsi="Arial" w:cs="Arial"/>
          <w:i/>
          <w:sz w:val="20"/>
          <w:szCs w:val="20"/>
        </w:rPr>
        <w:tab/>
        <w:t xml:space="preserve">those set forth in the "Principal Risks" section of </w:t>
      </w:r>
      <w:r w:rsidR="00FF5648">
        <w:rPr>
          <w:rFonts w:ascii="Arial" w:eastAsia="Times New Roman" w:hAnsi="Arial" w:cs="Arial"/>
          <w:i/>
          <w:sz w:val="20"/>
          <w:szCs w:val="20"/>
        </w:rPr>
        <w:t>CCEP</w:t>
      </w:r>
      <w:r w:rsidRPr="00D16C30">
        <w:rPr>
          <w:rFonts w:ascii="Arial" w:eastAsia="Times New Roman" w:hAnsi="Arial" w:cs="Arial"/>
          <w:i/>
          <w:sz w:val="20"/>
          <w:szCs w:val="20"/>
        </w:rPr>
        <w:t xml:space="preserve">’s 2019 Integrated Report / Annual Report on Form 20-F, as updated in </w:t>
      </w:r>
      <w:r w:rsidR="00FF5648">
        <w:rPr>
          <w:rFonts w:ascii="Arial" w:eastAsia="Times New Roman" w:hAnsi="Arial" w:cs="Arial"/>
          <w:i/>
          <w:sz w:val="20"/>
          <w:szCs w:val="20"/>
        </w:rPr>
        <w:t>CCEP</w:t>
      </w:r>
      <w:r w:rsidRPr="00D16C30">
        <w:rPr>
          <w:rFonts w:ascii="Arial" w:eastAsia="Times New Roman" w:hAnsi="Arial" w:cs="Arial"/>
          <w:i/>
          <w:sz w:val="20"/>
          <w:szCs w:val="20"/>
        </w:rPr>
        <w:t>’s Results for the six months ended 26 June 2020 &amp; COVID-19 update and including principal risks under the additional headings: Business continuity; People; and Stakeholders;</w:t>
      </w:r>
    </w:p>
    <w:p w14:paraId="3998FE0A" w14:textId="77777777" w:rsidR="00291512" w:rsidRPr="00D16C30" w:rsidRDefault="00291512" w:rsidP="00291512">
      <w:pPr>
        <w:spacing w:after="0" w:line="240" w:lineRule="auto"/>
        <w:rPr>
          <w:rFonts w:ascii="Arial" w:eastAsia="Times New Roman" w:hAnsi="Arial" w:cs="Arial"/>
          <w:i/>
          <w:sz w:val="20"/>
          <w:szCs w:val="20"/>
        </w:rPr>
      </w:pPr>
      <w:r w:rsidRPr="00D16C30">
        <w:rPr>
          <w:rFonts w:ascii="Arial" w:eastAsia="Times New Roman" w:hAnsi="Arial" w:cs="Arial"/>
          <w:i/>
          <w:sz w:val="20"/>
          <w:szCs w:val="20"/>
        </w:rPr>
        <w:t>3.</w:t>
      </w:r>
      <w:r w:rsidRPr="00D16C30">
        <w:rPr>
          <w:rFonts w:ascii="Arial" w:eastAsia="Times New Roman" w:hAnsi="Arial" w:cs="Arial"/>
          <w:i/>
          <w:sz w:val="20"/>
          <w:szCs w:val="20"/>
        </w:rPr>
        <w:tab/>
        <w:t xml:space="preserve">those set forth in the “Business and Sustainability Risks” section of </w:t>
      </w:r>
      <w:r w:rsidR="00FF5648">
        <w:rPr>
          <w:rFonts w:ascii="Arial" w:eastAsia="Times New Roman" w:hAnsi="Arial" w:cs="Arial"/>
          <w:i/>
          <w:sz w:val="20"/>
          <w:szCs w:val="20"/>
        </w:rPr>
        <w:t>CCL</w:t>
      </w:r>
      <w:r w:rsidRPr="00D16C30">
        <w:rPr>
          <w:rFonts w:ascii="Arial" w:eastAsia="Times New Roman" w:hAnsi="Arial" w:cs="Arial"/>
          <w:i/>
          <w:sz w:val="20"/>
          <w:szCs w:val="20"/>
        </w:rPr>
        <w:t xml:space="preserve">’s 2019 Annual Report including the statements under the following headings: Beverage industry risks; Economic and political risks; Cyber risk; The </w:t>
      </w:r>
      <w:r w:rsidR="00233CCD">
        <w:rPr>
          <w:rFonts w:ascii="Arial" w:eastAsia="Times New Roman" w:hAnsi="Arial" w:cs="Arial"/>
          <w:i/>
          <w:sz w:val="20"/>
          <w:szCs w:val="20"/>
        </w:rPr>
        <w:t>KO</w:t>
      </w:r>
      <w:r w:rsidRPr="00D16C30">
        <w:rPr>
          <w:rFonts w:ascii="Arial" w:eastAsia="Times New Roman" w:hAnsi="Arial" w:cs="Arial"/>
          <w:i/>
          <w:sz w:val="20"/>
          <w:szCs w:val="20"/>
        </w:rPr>
        <w:t xml:space="preserve"> and other brand partners relationship risk; Risk connected with loss of value to society; Regulatory risks; Climate change risk; Malicious product tampering risk; Litigation risk; Supply chain risk; Business interruption risk; Workplace Health and Safety risk; Foreign exchange risk; Quality risk; and People risk; and</w:t>
      </w:r>
    </w:p>
    <w:p w14:paraId="3D568E9D" w14:textId="77777777" w:rsidR="00291512" w:rsidRPr="00D16C30" w:rsidRDefault="00291512" w:rsidP="00291512">
      <w:pPr>
        <w:spacing w:after="0" w:line="240" w:lineRule="auto"/>
        <w:rPr>
          <w:rFonts w:ascii="Arial" w:eastAsia="Times New Roman" w:hAnsi="Arial" w:cs="Arial"/>
          <w:i/>
          <w:sz w:val="20"/>
          <w:szCs w:val="20"/>
        </w:rPr>
      </w:pPr>
      <w:r w:rsidRPr="00D16C30">
        <w:rPr>
          <w:rFonts w:ascii="Arial" w:eastAsia="Times New Roman" w:hAnsi="Arial" w:cs="Arial"/>
          <w:i/>
          <w:sz w:val="20"/>
          <w:szCs w:val="20"/>
        </w:rPr>
        <w:t>4.</w:t>
      </w:r>
      <w:r w:rsidRPr="00D16C30">
        <w:rPr>
          <w:rFonts w:ascii="Arial" w:eastAsia="Times New Roman" w:hAnsi="Arial" w:cs="Arial"/>
          <w:i/>
          <w:sz w:val="20"/>
          <w:szCs w:val="20"/>
        </w:rPr>
        <w:tab/>
        <w:t xml:space="preserve">risks and uncertainties relating to the </w:t>
      </w:r>
      <w:r w:rsidR="00B865CB">
        <w:rPr>
          <w:rFonts w:ascii="Arial" w:eastAsia="Times New Roman" w:hAnsi="Arial" w:cs="Arial"/>
          <w:i/>
          <w:sz w:val="20"/>
          <w:szCs w:val="20"/>
        </w:rPr>
        <w:t>A</w:t>
      </w:r>
      <w:r w:rsidRPr="00D16C30">
        <w:rPr>
          <w:rFonts w:ascii="Arial" w:eastAsia="Times New Roman" w:hAnsi="Arial" w:cs="Arial"/>
          <w:i/>
          <w:sz w:val="20"/>
          <w:szCs w:val="20"/>
        </w:rPr>
        <w:t>cquisition</w:t>
      </w:r>
      <w:r w:rsidR="00B865CB">
        <w:rPr>
          <w:rFonts w:ascii="Arial" w:eastAsia="Times New Roman" w:hAnsi="Arial" w:cs="Arial"/>
          <w:i/>
          <w:sz w:val="20"/>
          <w:szCs w:val="20"/>
        </w:rPr>
        <w:t>,</w:t>
      </w:r>
      <w:r w:rsidRPr="00D16C30">
        <w:rPr>
          <w:rFonts w:ascii="Arial" w:eastAsia="Times New Roman" w:hAnsi="Arial" w:cs="Arial"/>
          <w:i/>
          <w:sz w:val="20"/>
          <w:szCs w:val="20"/>
        </w:rPr>
        <w:t xml:space="preserve"> including the risk that the businesses will not be integrated successfully or such integration may be more difficult, time-consuming or costly than expected, which could result in additional demands on </w:t>
      </w:r>
      <w:r w:rsidR="00FF5648">
        <w:rPr>
          <w:rFonts w:ascii="Arial" w:eastAsia="Times New Roman" w:hAnsi="Arial" w:cs="Arial"/>
          <w:i/>
          <w:sz w:val="20"/>
          <w:szCs w:val="20"/>
        </w:rPr>
        <w:t>CCEP</w:t>
      </w:r>
      <w:r w:rsidRPr="00D16C30">
        <w:rPr>
          <w:rFonts w:ascii="Arial" w:eastAsia="Times New Roman" w:hAnsi="Arial" w:cs="Arial"/>
          <w:i/>
          <w:sz w:val="20"/>
          <w:szCs w:val="20"/>
        </w:rPr>
        <w:t xml:space="preserve">’s resources, systems, procedures and controls, disruption of its ongoing business and diversion of management’s attention from other business concerns; the possibility that certain assumptions with respect to </w:t>
      </w:r>
      <w:r w:rsidR="00FF5648">
        <w:rPr>
          <w:rFonts w:ascii="Arial" w:eastAsia="Times New Roman" w:hAnsi="Arial" w:cs="Arial"/>
          <w:i/>
          <w:sz w:val="20"/>
          <w:szCs w:val="20"/>
        </w:rPr>
        <w:t>CCL</w:t>
      </w:r>
      <w:r w:rsidRPr="00D16C30">
        <w:rPr>
          <w:rFonts w:ascii="Arial" w:eastAsia="Times New Roman" w:hAnsi="Arial" w:cs="Arial"/>
          <w:i/>
          <w:sz w:val="20"/>
          <w:szCs w:val="20"/>
        </w:rPr>
        <w:t xml:space="preserve"> or the </w:t>
      </w:r>
      <w:r w:rsidR="00B865CB">
        <w:rPr>
          <w:rFonts w:ascii="Arial" w:eastAsia="Times New Roman" w:hAnsi="Arial" w:cs="Arial"/>
          <w:i/>
          <w:sz w:val="20"/>
          <w:szCs w:val="20"/>
        </w:rPr>
        <w:t>A</w:t>
      </w:r>
      <w:r w:rsidRPr="00D16C30">
        <w:rPr>
          <w:rFonts w:ascii="Arial" w:eastAsia="Times New Roman" w:hAnsi="Arial" w:cs="Arial"/>
          <w:i/>
          <w:sz w:val="20"/>
          <w:szCs w:val="20"/>
        </w:rPr>
        <w:t>cquisition could prove to be inaccurate; the failure to receive, delays in the receipt of, or unacceptable or burdensome conditions imposed in connection with, all required regulatory approvals</w:t>
      </w:r>
      <w:r w:rsidR="00B865CB">
        <w:rPr>
          <w:rFonts w:ascii="Arial" w:eastAsia="Times New Roman" w:hAnsi="Arial" w:cs="Arial"/>
          <w:i/>
          <w:sz w:val="20"/>
          <w:szCs w:val="20"/>
        </w:rPr>
        <w:t>, shareholder approvals</w:t>
      </w:r>
      <w:r w:rsidRPr="00D16C30">
        <w:rPr>
          <w:rFonts w:ascii="Arial" w:eastAsia="Times New Roman" w:hAnsi="Arial" w:cs="Arial"/>
          <w:i/>
          <w:sz w:val="20"/>
          <w:szCs w:val="20"/>
        </w:rPr>
        <w:t xml:space="preserve"> and the satisfaction of closing conditions to the </w:t>
      </w:r>
      <w:r w:rsidR="00B865CB">
        <w:rPr>
          <w:rFonts w:ascii="Arial" w:eastAsia="Times New Roman" w:hAnsi="Arial" w:cs="Arial"/>
          <w:i/>
          <w:sz w:val="20"/>
          <w:szCs w:val="20"/>
        </w:rPr>
        <w:t>A</w:t>
      </w:r>
      <w:r w:rsidRPr="00D16C30">
        <w:rPr>
          <w:rFonts w:ascii="Arial" w:eastAsia="Times New Roman" w:hAnsi="Arial" w:cs="Arial"/>
          <w:i/>
          <w:sz w:val="20"/>
          <w:szCs w:val="20"/>
        </w:rPr>
        <w:t xml:space="preserve">cquisition; </w:t>
      </w:r>
      <w:r w:rsidR="00B865CB">
        <w:rPr>
          <w:rFonts w:ascii="Arial" w:eastAsia="Times New Roman" w:hAnsi="Arial" w:cs="Arial"/>
          <w:i/>
          <w:sz w:val="20"/>
          <w:szCs w:val="20"/>
        </w:rPr>
        <w:t xml:space="preserve">ability to raise financing; </w:t>
      </w:r>
      <w:r w:rsidR="000328DF">
        <w:rPr>
          <w:rFonts w:ascii="Arial" w:eastAsia="Times New Roman" w:hAnsi="Arial" w:cs="Arial"/>
          <w:i/>
          <w:sz w:val="20"/>
          <w:szCs w:val="20"/>
        </w:rPr>
        <w:t xml:space="preserve">the possibility that CCEP and CCL fail to agree upon a scheme implementation agreement; the potential that the Acquisition may involve unexpected liabilities for which there is no indemnity; </w:t>
      </w:r>
      <w:r w:rsidRPr="00D16C30">
        <w:rPr>
          <w:rFonts w:ascii="Arial" w:eastAsia="Times New Roman" w:hAnsi="Arial" w:cs="Arial"/>
          <w:i/>
          <w:sz w:val="20"/>
          <w:szCs w:val="20"/>
        </w:rPr>
        <w:t xml:space="preserve">the potential failure to retain key employees of </w:t>
      </w:r>
      <w:r w:rsidR="00FF5648">
        <w:rPr>
          <w:rFonts w:ascii="Arial" w:eastAsia="Times New Roman" w:hAnsi="Arial" w:cs="Arial"/>
          <w:i/>
          <w:sz w:val="20"/>
          <w:szCs w:val="20"/>
        </w:rPr>
        <w:t>CCEP</w:t>
      </w:r>
      <w:r w:rsidRPr="00D16C30">
        <w:rPr>
          <w:rFonts w:ascii="Arial" w:eastAsia="Times New Roman" w:hAnsi="Arial" w:cs="Arial"/>
          <w:i/>
          <w:sz w:val="20"/>
          <w:szCs w:val="20"/>
        </w:rPr>
        <w:t xml:space="preserve"> and </w:t>
      </w:r>
      <w:r w:rsidR="00FF5648">
        <w:rPr>
          <w:rFonts w:ascii="Arial" w:eastAsia="Times New Roman" w:hAnsi="Arial" w:cs="Arial"/>
          <w:i/>
          <w:sz w:val="20"/>
          <w:szCs w:val="20"/>
        </w:rPr>
        <w:t>CCL</w:t>
      </w:r>
      <w:r w:rsidRPr="00D16C30">
        <w:rPr>
          <w:rFonts w:ascii="Arial" w:eastAsia="Times New Roman" w:hAnsi="Arial" w:cs="Arial"/>
          <w:i/>
          <w:sz w:val="20"/>
          <w:szCs w:val="20"/>
        </w:rPr>
        <w:t xml:space="preserve"> as a result of the proposed </w:t>
      </w:r>
      <w:r w:rsidR="00B865CB">
        <w:rPr>
          <w:rFonts w:ascii="Arial" w:eastAsia="Times New Roman" w:hAnsi="Arial" w:cs="Arial"/>
          <w:i/>
          <w:sz w:val="20"/>
          <w:szCs w:val="20"/>
        </w:rPr>
        <w:t>A</w:t>
      </w:r>
      <w:r w:rsidRPr="00D16C30">
        <w:rPr>
          <w:rFonts w:ascii="Arial" w:eastAsia="Times New Roman" w:hAnsi="Arial" w:cs="Arial"/>
          <w:i/>
          <w:sz w:val="20"/>
          <w:szCs w:val="20"/>
        </w:rPr>
        <w:t xml:space="preserve">cquisition or during integration of the businesses and disruptions resulting from the proposed </w:t>
      </w:r>
      <w:r w:rsidR="00B865CB">
        <w:rPr>
          <w:rFonts w:ascii="Arial" w:eastAsia="Times New Roman" w:hAnsi="Arial" w:cs="Arial"/>
          <w:i/>
          <w:sz w:val="20"/>
          <w:szCs w:val="20"/>
        </w:rPr>
        <w:t>A</w:t>
      </w:r>
      <w:r w:rsidRPr="00D16C30">
        <w:rPr>
          <w:rFonts w:ascii="Arial" w:eastAsia="Times New Roman" w:hAnsi="Arial" w:cs="Arial"/>
          <w:i/>
          <w:sz w:val="20"/>
          <w:szCs w:val="20"/>
        </w:rPr>
        <w:t>cquisition, making it more difficult to maintain business relationships</w:t>
      </w:r>
      <w:r w:rsidR="00B865CB">
        <w:rPr>
          <w:rFonts w:ascii="Arial" w:eastAsia="Times New Roman" w:hAnsi="Arial" w:cs="Arial"/>
          <w:i/>
          <w:sz w:val="20"/>
          <w:szCs w:val="20"/>
        </w:rPr>
        <w:t>; the potential if the Acquisition is not completed in a timely manner or at all for (</w:t>
      </w:r>
      <w:proofErr w:type="spellStart"/>
      <w:r w:rsidR="00B865CB">
        <w:rPr>
          <w:rFonts w:ascii="Arial" w:eastAsia="Times New Roman" w:hAnsi="Arial" w:cs="Arial"/>
          <w:i/>
          <w:sz w:val="20"/>
          <w:szCs w:val="20"/>
        </w:rPr>
        <w:t>i</w:t>
      </w:r>
      <w:proofErr w:type="spellEnd"/>
      <w:r w:rsidR="00B865CB">
        <w:rPr>
          <w:rFonts w:ascii="Arial" w:eastAsia="Times New Roman" w:hAnsi="Arial" w:cs="Arial"/>
          <w:i/>
          <w:sz w:val="20"/>
          <w:szCs w:val="20"/>
        </w:rPr>
        <w:t xml:space="preserve">) negative reaction from financial markets, customers, regulators, </w:t>
      </w:r>
      <w:r w:rsidR="008D3572">
        <w:rPr>
          <w:rFonts w:ascii="Arial" w:eastAsia="Times New Roman" w:hAnsi="Arial" w:cs="Arial"/>
          <w:i/>
          <w:sz w:val="20"/>
          <w:szCs w:val="20"/>
        </w:rPr>
        <w:t>employees</w:t>
      </w:r>
      <w:r w:rsidR="000328DF">
        <w:rPr>
          <w:rFonts w:ascii="Arial" w:eastAsia="Times New Roman" w:hAnsi="Arial" w:cs="Arial"/>
          <w:i/>
          <w:sz w:val="20"/>
          <w:szCs w:val="20"/>
        </w:rPr>
        <w:t xml:space="preserve"> and other stakeholders</w:t>
      </w:r>
      <w:r w:rsidR="00B865CB">
        <w:rPr>
          <w:rFonts w:ascii="Arial" w:eastAsia="Times New Roman" w:hAnsi="Arial" w:cs="Arial"/>
          <w:i/>
          <w:sz w:val="20"/>
          <w:szCs w:val="20"/>
        </w:rPr>
        <w:t xml:space="preserve">, (ii) loss of time spent on an unsuccessful Acquisition, and (iii) litigation related to the Acquisition. </w:t>
      </w:r>
    </w:p>
    <w:p w14:paraId="3CA9F3BA" w14:textId="77777777" w:rsidR="00291512" w:rsidRPr="00D16C30" w:rsidRDefault="00291512" w:rsidP="00291512">
      <w:pPr>
        <w:spacing w:after="0" w:line="240" w:lineRule="auto"/>
        <w:rPr>
          <w:rFonts w:ascii="Arial" w:eastAsia="Times New Roman" w:hAnsi="Arial" w:cs="Arial"/>
          <w:i/>
          <w:sz w:val="20"/>
          <w:szCs w:val="20"/>
        </w:rPr>
      </w:pPr>
    </w:p>
    <w:p w14:paraId="5EF8067A" w14:textId="77777777" w:rsidR="00291512" w:rsidRPr="00D16C30" w:rsidRDefault="00291512" w:rsidP="00291512">
      <w:pPr>
        <w:spacing w:after="0" w:line="240" w:lineRule="auto"/>
        <w:rPr>
          <w:rFonts w:ascii="Arial" w:eastAsia="Times New Roman" w:hAnsi="Arial" w:cs="Arial"/>
          <w:i/>
          <w:sz w:val="20"/>
          <w:szCs w:val="20"/>
        </w:rPr>
      </w:pPr>
      <w:r w:rsidRPr="00D16C30">
        <w:rPr>
          <w:rFonts w:ascii="Arial" w:eastAsia="Times New Roman" w:hAnsi="Arial" w:cs="Arial"/>
          <w:i/>
          <w:sz w:val="20"/>
          <w:szCs w:val="20"/>
        </w:rPr>
        <w:t>The full extent to which the COVID-19 pandemic will negatively affect</w:t>
      </w:r>
      <w:r w:rsidR="00E03C6A">
        <w:rPr>
          <w:rFonts w:ascii="Arial" w:eastAsia="Times New Roman" w:hAnsi="Arial" w:cs="Arial"/>
          <w:i/>
          <w:sz w:val="20"/>
          <w:szCs w:val="20"/>
        </w:rPr>
        <w:t xml:space="preserve"> </w:t>
      </w:r>
      <w:r w:rsidR="00FF5648">
        <w:rPr>
          <w:rFonts w:ascii="Arial" w:eastAsia="Times New Roman" w:hAnsi="Arial" w:cs="Arial"/>
          <w:i/>
          <w:sz w:val="20"/>
          <w:szCs w:val="20"/>
        </w:rPr>
        <w:t>CCEP</w:t>
      </w:r>
      <w:r w:rsidR="00E03C6A">
        <w:rPr>
          <w:rFonts w:ascii="Arial" w:eastAsia="Times New Roman" w:hAnsi="Arial" w:cs="Arial"/>
          <w:i/>
          <w:sz w:val="20"/>
          <w:szCs w:val="20"/>
        </w:rPr>
        <w:t xml:space="preserve"> and/or </w:t>
      </w:r>
      <w:r w:rsidR="00FF5648">
        <w:rPr>
          <w:rFonts w:ascii="Arial" w:eastAsia="Times New Roman" w:hAnsi="Arial" w:cs="Arial"/>
          <w:i/>
          <w:sz w:val="20"/>
          <w:szCs w:val="20"/>
        </w:rPr>
        <w:t>CCL</w:t>
      </w:r>
      <w:r w:rsidR="00E03C6A">
        <w:rPr>
          <w:rFonts w:ascii="Arial" w:eastAsia="Times New Roman" w:hAnsi="Arial" w:cs="Arial"/>
          <w:i/>
          <w:sz w:val="20"/>
          <w:szCs w:val="20"/>
        </w:rPr>
        <w:t xml:space="preserve"> </w:t>
      </w:r>
      <w:r w:rsidR="00676C42">
        <w:rPr>
          <w:rFonts w:ascii="Arial" w:eastAsia="Times New Roman" w:hAnsi="Arial" w:cs="Arial"/>
          <w:i/>
          <w:sz w:val="20"/>
          <w:szCs w:val="20"/>
        </w:rPr>
        <w:t xml:space="preserve">and the results of </w:t>
      </w:r>
      <w:r w:rsidR="000328DF">
        <w:rPr>
          <w:rFonts w:ascii="Arial" w:eastAsia="Times New Roman" w:hAnsi="Arial" w:cs="Arial"/>
          <w:i/>
          <w:sz w:val="20"/>
          <w:szCs w:val="20"/>
        </w:rPr>
        <w:t>their</w:t>
      </w:r>
      <w:r w:rsidR="00676C42">
        <w:rPr>
          <w:rFonts w:ascii="Arial" w:eastAsia="Times New Roman" w:hAnsi="Arial" w:cs="Arial"/>
          <w:i/>
          <w:sz w:val="20"/>
          <w:szCs w:val="20"/>
        </w:rPr>
        <w:t xml:space="preserve"> </w:t>
      </w:r>
      <w:r w:rsidRPr="00D16C30">
        <w:rPr>
          <w:rFonts w:ascii="Arial" w:eastAsia="Times New Roman" w:hAnsi="Arial" w:cs="Arial"/>
          <w:i/>
          <w:sz w:val="20"/>
          <w:szCs w:val="20"/>
        </w:rPr>
        <w:t>operations, financial condition and cash flows will depend on future developments that are highly uncertain and cannot be predicted, including the scope and duration of the pandemic and actions taken by governmental authorities and other third parties in response to the pandemic.</w:t>
      </w:r>
    </w:p>
    <w:p w14:paraId="6C1D6357" w14:textId="77777777" w:rsidR="00291512" w:rsidRPr="00D16C30" w:rsidRDefault="00291512" w:rsidP="00291512">
      <w:pPr>
        <w:spacing w:after="0" w:line="240" w:lineRule="auto"/>
        <w:rPr>
          <w:rFonts w:ascii="Arial" w:eastAsia="Times New Roman" w:hAnsi="Arial" w:cs="Arial"/>
          <w:i/>
          <w:sz w:val="20"/>
          <w:szCs w:val="20"/>
        </w:rPr>
      </w:pPr>
    </w:p>
    <w:p w14:paraId="3E78E576" w14:textId="77777777" w:rsidR="000328DF" w:rsidRDefault="000328DF" w:rsidP="00E03C6A">
      <w:pPr>
        <w:spacing w:after="0" w:line="240" w:lineRule="auto"/>
        <w:rPr>
          <w:rFonts w:ascii="Arial" w:eastAsia="Times New Roman" w:hAnsi="Arial" w:cs="Arial"/>
          <w:i/>
          <w:sz w:val="20"/>
          <w:szCs w:val="20"/>
        </w:rPr>
      </w:pPr>
    </w:p>
    <w:p w14:paraId="3F07A63A" w14:textId="77777777" w:rsidR="00E03C6A" w:rsidRDefault="00E03C6A" w:rsidP="00E03C6A">
      <w:pPr>
        <w:spacing w:after="0" w:line="240" w:lineRule="auto"/>
        <w:rPr>
          <w:rFonts w:ascii="Arial" w:eastAsia="Times New Roman" w:hAnsi="Arial" w:cs="Arial"/>
          <w:i/>
          <w:sz w:val="20"/>
          <w:szCs w:val="20"/>
        </w:rPr>
      </w:pPr>
      <w:r w:rsidRPr="00D16C30">
        <w:rPr>
          <w:rFonts w:ascii="Arial" w:eastAsia="Times New Roman" w:hAnsi="Arial" w:cs="Arial"/>
          <w:i/>
          <w:sz w:val="20"/>
          <w:szCs w:val="20"/>
        </w:rPr>
        <w:t xml:space="preserve">Due to these risks, </w:t>
      </w:r>
      <w:r w:rsidR="00FF5648">
        <w:rPr>
          <w:rFonts w:ascii="Arial" w:eastAsia="Times New Roman" w:hAnsi="Arial" w:cs="Arial"/>
          <w:i/>
          <w:sz w:val="20"/>
          <w:szCs w:val="20"/>
        </w:rPr>
        <w:t>CCEP</w:t>
      </w:r>
      <w:r>
        <w:rPr>
          <w:rFonts w:ascii="Arial" w:eastAsia="Times New Roman" w:hAnsi="Arial" w:cs="Arial"/>
          <w:i/>
          <w:sz w:val="20"/>
          <w:szCs w:val="20"/>
        </w:rPr>
        <w:t xml:space="preserve">’s and </w:t>
      </w:r>
      <w:r w:rsidR="00FF5648">
        <w:rPr>
          <w:rFonts w:ascii="Arial" w:eastAsia="Times New Roman" w:hAnsi="Arial" w:cs="Arial"/>
          <w:i/>
          <w:sz w:val="20"/>
          <w:szCs w:val="20"/>
        </w:rPr>
        <w:t>CCL</w:t>
      </w:r>
      <w:r>
        <w:rPr>
          <w:rFonts w:ascii="Arial" w:eastAsia="Times New Roman" w:hAnsi="Arial" w:cs="Arial"/>
          <w:i/>
          <w:sz w:val="20"/>
          <w:szCs w:val="20"/>
        </w:rPr>
        <w:t xml:space="preserve">’s </w:t>
      </w:r>
      <w:r w:rsidRPr="00D16C30">
        <w:rPr>
          <w:rFonts w:ascii="Arial" w:eastAsia="Times New Roman" w:hAnsi="Arial" w:cs="Arial"/>
          <w:i/>
          <w:sz w:val="20"/>
          <w:szCs w:val="20"/>
        </w:rPr>
        <w:t>actual future results, dividend payments, and capital and leverage ratios may differ materially from the plans, goals, expectations and guidance set out in</w:t>
      </w:r>
      <w:r>
        <w:rPr>
          <w:rFonts w:ascii="Arial" w:eastAsia="Times New Roman" w:hAnsi="Arial" w:cs="Arial"/>
          <w:i/>
          <w:sz w:val="20"/>
          <w:szCs w:val="20"/>
        </w:rPr>
        <w:t xml:space="preserve"> </w:t>
      </w:r>
      <w:r w:rsidRPr="00D16C30">
        <w:rPr>
          <w:rFonts w:ascii="Arial" w:eastAsia="Times New Roman" w:hAnsi="Arial" w:cs="Arial"/>
          <w:i/>
          <w:sz w:val="20"/>
          <w:szCs w:val="20"/>
        </w:rPr>
        <w:t>forward-looking statements</w:t>
      </w:r>
      <w:r>
        <w:rPr>
          <w:rFonts w:ascii="Arial" w:eastAsia="Times New Roman" w:hAnsi="Arial" w:cs="Arial"/>
          <w:i/>
          <w:sz w:val="20"/>
          <w:szCs w:val="20"/>
        </w:rPr>
        <w:t xml:space="preserve"> (including those issued by </w:t>
      </w:r>
      <w:r w:rsidR="00FF5648">
        <w:rPr>
          <w:rFonts w:ascii="Arial" w:eastAsia="Times New Roman" w:hAnsi="Arial" w:cs="Arial"/>
          <w:i/>
          <w:sz w:val="20"/>
          <w:szCs w:val="20"/>
        </w:rPr>
        <w:t>CCL</w:t>
      </w:r>
      <w:r>
        <w:rPr>
          <w:rFonts w:ascii="Arial" w:eastAsia="Times New Roman" w:hAnsi="Arial" w:cs="Arial"/>
          <w:i/>
          <w:sz w:val="20"/>
          <w:szCs w:val="20"/>
        </w:rPr>
        <w:t xml:space="preserve"> prior to the Acquisition)</w:t>
      </w:r>
      <w:r w:rsidRPr="00D16C30">
        <w:rPr>
          <w:rFonts w:ascii="Arial" w:eastAsia="Times New Roman" w:hAnsi="Arial" w:cs="Arial"/>
          <w:i/>
          <w:sz w:val="20"/>
          <w:szCs w:val="20"/>
        </w:rPr>
        <w:t xml:space="preserve">. These risks may also adversely affect </w:t>
      </w:r>
      <w:r w:rsidR="00FF5648">
        <w:rPr>
          <w:rFonts w:ascii="Arial" w:eastAsia="Times New Roman" w:hAnsi="Arial" w:cs="Arial"/>
          <w:i/>
          <w:sz w:val="20"/>
          <w:szCs w:val="20"/>
        </w:rPr>
        <w:t>CCEP</w:t>
      </w:r>
      <w:r w:rsidRPr="00D16C30">
        <w:rPr>
          <w:rFonts w:ascii="Arial" w:eastAsia="Times New Roman" w:hAnsi="Arial" w:cs="Arial"/>
          <w:i/>
          <w:sz w:val="20"/>
          <w:szCs w:val="20"/>
        </w:rPr>
        <w:t xml:space="preserve">’s share price. Additional risks that may impact </w:t>
      </w:r>
      <w:r w:rsidR="00FF5648">
        <w:rPr>
          <w:rFonts w:ascii="Arial" w:eastAsia="Times New Roman" w:hAnsi="Arial" w:cs="Arial"/>
          <w:i/>
          <w:sz w:val="20"/>
          <w:szCs w:val="20"/>
        </w:rPr>
        <w:t>CCEP</w:t>
      </w:r>
      <w:r>
        <w:rPr>
          <w:rFonts w:ascii="Arial" w:eastAsia="Times New Roman" w:hAnsi="Arial" w:cs="Arial"/>
          <w:i/>
          <w:sz w:val="20"/>
          <w:szCs w:val="20"/>
        </w:rPr>
        <w:t xml:space="preserve">’s and </w:t>
      </w:r>
      <w:r w:rsidR="00FF5648">
        <w:rPr>
          <w:rFonts w:ascii="Arial" w:eastAsia="Times New Roman" w:hAnsi="Arial" w:cs="Arial"/>
          <w:i/>
          <w:sz w:val="20"/>
          <w:szCs w:val="20"/>
        </w:rPr>
        <w:t>CCL</w:t>
      </w:r>
      <w:r>
        <w:rPr>
          <w:rFonts w:ascii="Arial" w:eastAsia="Times New Roman" w:hAnsi="Arial" w:cs="Arial"/>
          <w:i/>
          <w:sz w:val="20"/>
          <w:szCs w:val="20"/>
        </w:rPr>
        <w:t>’s</w:t>
      </w:r>
      <w:r w:rsidRPr="00D16C30">
        <w:rPr>
          <w:rFonts w:ascii="Arial" w:eastAsia="Times New Roman" w:hAnsi="Arial" w:cs="Arial"/>
          <w:i/>
          <w:sz w:val="20"/>
          <w:szCs w:val="20"/>
        </w:rPr>
        <w:t xml:space="preserve"> future financial condition and performance are identified in filings with the </w:t>
      </w:r>
      <w:r w:rsidR="000328DF" w:rsidRPr="00D977A1">
        <w:rPr>
          <w:rFonts w:ascii="Arial" w:eastAsia="Times New Roman" w:hAnsi="Arial" w:cs="Arial"/>
          <w:i/>
          <w:sz w:val="20"/>
          <w:szCs w:val="20"/>
        </w:rPr>
        <w:t xml:space="preserve">United States Securities and Exchange Commission </w:t>
      </w:r>
      <w:r w:rsidR="000328DF">
        <w:rPr>
          <w:rFonts w:ascii="Arial" w:eastAsia="Times New Roman" w:hAnsi="Arial" w:cs="Arial"/>
          <w:i/>
          <w:sz w:val="20"/>
          <w:szCs w:val="20"/>
        </w:rPr>
        <w:t>(“</w:t>
      </w:r>
      <w:r w:rsidRPr="00D16C30">
        <w:rPr>
          <w:rFonts w:ascii="Arial" w:eastAsia="Times New Roman" w:hAnsi="Arial" w:cs="Arial"/>
          <w:i/>
          <w:sz w:val="20"/>
          <w:szCs w:val="20"/>
        </w:rPr>
        <w:t>SEC</w:t>
      </w:r>
      <w:r w:rsidR="000328DF">
        <w:rPr>
          <w:rFonts w:ascii="Arial" w:eastAsia="Times New Roman" w:hAnsi="Arial" w:cs="Arial"/>
          <w:i/>
          <w:sz w:val="20"/>
          <w:szCs w:val="20"/>
        </w:rPr>
        <w:t>”)</w:t>
      </w:r>
      <w:r w:rsidRPr="00D16C30">
        <w:rPr>
          <w:rFonts w:ascii="Arial" w:eastAsia="Times New Roman" w:hAnsi="Arial" w:cs="Arial"/>
          <w:i/>
          <w:sz w:val="20"/>
          <w:szCs w:val="20"/>
        </w:rPr>
        <w:t xml:space="preserve"> which are available on the SEC's website at </w:t>
      </w:r>
      <w:hyperlink r:id="rId21" w:history="1">
        <w:r w:rsidRPr="00EF0F22">
          <w:rPr>
            <w:rStyle w:val="Hyperlink"/>
            <w:rFonts w:ascii="Arial" w:eastAsia="Times New Roman" w:hAnsi="Arial" w:cs="Arial"/>
            <w:i/>
            <w:sz w:val="20"/>
            <w:szCs w:val="20"/>
          </w:rPr>
          <w:t>www.sec.gov</w:t>
        </w:r>
      </w:hyperlink>
      <w:r>
        <w:rPr>
          <w:rFonts w:ascii="Arial" w:eastAsia="Times New Roman" w:hAnsi="Arial" w:cs="Arial"/>
          <w:i/>
          <w:sz w:val="20"/>
          <w:szCs w:val="20"/>
        </w:rPr>
        <w:t xml:space="preserve"> and at the Australian Stock Exchange</w:t>
      </w:r>
      <w:r w:rsidRPr="00D16C30">
        <w:rPr>
          <w:rFonts w:ascii="Arial" w:eastAsia="Times New Roman" w:hAnsi="Arial" w:cs="Arial"/>
          <w:i/>
          <w:sz w:val="20"/>
          <w:szCs w:val="20"/>
        </w:rPr>
        <w:t xml:space="preserve"> which are available at </w:t>
      </w:r>
      <w:r>
        <w:rPr>
          <w:rFonts w:ascii="Arial" w:eastAsia="Times New Roman" w:hAnsi="Arial" w:cs="Arial"/>
          <w:i/>
          <w:sz w:val="20"/>
          <w:szCs w:val="20"/>
        </w:rPr>
        <w:t>www.asx.com.au</w:t>
      </w:r>
      <w:r w:rsidRPr="00D16C30">
        <w:rPr>
          <w:rFonts w:ascii="Arial" w:eastAsia="Times New Roman" w:hAnsi="Arial" w:cs="Arial"/>
          <w:i/>
          <w:sz w:val="20"/>
          <w:szCs w:val="20"/>
        </w:rPr>
        <w:t xml:space="preserve">. </w:t>
      </w:r>
      <w:r>
        <w:rPr>
          <w:rFonts w:ascii="Arial" w:eastAsia="Times New Roman" w:hAnsi="Arial" w:cs="Arial"/>
          <w:i/>
          <w:sz w:val="20"/>
          <w:szCs w:val="20"/>
        </w:rPr>
        <w:t xml:space="preserve">Neither </w:t>
      </w:r>
      <w:r w:rsidR="00FF5648">
        <w:rPr>
          <w:rFonts w:ascii="Arial" w:eastAsia="Times New Roman" w:hAnsi="Arial" w:cs="Arial"/>
          <w:i/>
          <w:sz w:val="20"/>
          <w:szCs w:val="20"/>
        </w:rPr>
        <w:t>CCEP</w:t>
      </w:r>
      <w:r>
        <w:rPr>
          <w:rFonts w:ascii="Arial" w:eastAsia="Times New Roman" w:hAnsi="Arial" w:cs="Arial"/>
          <w:i/>
          <w:sz w:val="20"/>
          <w:szCs w:val="20"/>
        </w:rPr>
        <w:t xml:space="preserve"> nor </w:t>
      </w:r>
      <w:r w:rsidR="00FF5648">
        <w:rPr>
          <w:rFonts w:ascii="Arial" w:eastAsia="Times New Roman" w:hAnsi="Arial" w:cs="Arial"/>
          <w:i/>
          <w:sz w:val="20"/>
          <w:szCs w:val="20"/>
        </w:rPr>
        <w:t>CCL</w:t>
      </w:r>
      <w:r>
        <w:rPr>
          <w:rFonts w:ascii="Arial" w:eastAsia="Times New Roman" w:hAnsi="Arial" w:cs="Arial"/>
          <w:i/>
          <w:sz w:val="20"/>
          <w:szCs w:val="20"/>
        </w:rPr>
        <w:t xml:space="preserve"> </w:t>
      </w:r>
      <w:r w:rsidRPr="00D16C30">
        <w:rPr>
          <w:rFonts w:ascii="Arial" w:eastAsia="Times New Roman" w:hAnsi="Arial" w:cs="Arial"/>
          <w:i/>
          <w:sz w:val="20"/>
          <w:szCs w:val="20"/>
        </w:rPr>
        <w:t xml:space="preserve">undertake any obligation to publicly update or revise any forward-looking statements, whether as a result of new information, future events, or otherwise, except as required under applicable rules, laws and regulations. </w:t>
      </w:r>
      <w:r>
        <w:rPr>
          <w:rFonts w:ascii="Arial" w:eastAsia="Times New Roman" w:hAnsi="Arial" w:cs="Arial"/>
          <w:i/>
          <w:sz w:val="20"/>
          <w:szCs w:val="20"/>
        </w:rPr>
        <w:t xml:space="preserve">Furthermore, neither </w:t>
      </w:r>
      <w:r w:rsidR="00FF5648">
        <w:rPr>
          <w:rFonts w:ascii="Arial" w:eastAsia="Times New Roman" w:hAnsi="Arial" w:cs="Arial"/>
          <w:i/>
          <w:sz w:val="20"/>
          <w:szCs w:val="20"/>
        </w:rPr>
        <w:t>CCEP</w:t>
      </w:r>
      <w:r>
        <w:rPr>
          <w:rFonts w:ascii="Arial" w:eastAsia="Times New Roman" w:hAnsi="Arial" w:cs="Arial"/>
          <w:i/>
          <w:sz w:val="20"/>
          <w:szCs w:val="20"/>
        </w:rPr>
        <w:t xml:space="preserve"> nor </w:t>
      </w:r>
      <w:r w:rsidR="00FF5648">
        <w:rPr>
          <w:rFonts w:ascii="Arial" w:eastAsia="Times New Roman" w:hAnsi="Arial" w:cs="Arial"/>
          <w:i/>
          <w:sz w:val="20"/>
          <w:szCs w:val="20"/>
        </w:rPr>
        <w:t>CCL</w:t>
      </w:r>
      <w:r w:rsidRPr="00D16C30">
        <w:rPr>
          <w:rFonts w:ascii="Arial" w:eastAsia="Times New Roman" w:hAnsi="Arial" w:cs="Arial"/>
          <w:i/>
          <w:sz w:val="20"/>
          <w:szCs w:val="20"/>
        </w:rPr>
        <w:t xml:space="preserve"> assumes </w:t>
      </w:r>
      <w:r>
        <w:rPr>
          <w:rFonts w:ascii="Arial" w:eastAsia="Times New Roman" w:hAnsi="Arial" w:cs="Arial"/>
          <w:i/>
          <w:sz w:val="20"/>
          <w:szCs w:val="20"/>
        </w:rPr>
        <w:t>any</w:t>
      </w:r>
      <w:r w:rsidRPr="00D16C30">
        <w:rPr>
          <w:rFonts w:ascii="Arial" w:eastAsia="Times New Roman" w:hAnsi="Arial" w:cs="Arial"/>
          <w:i/>
          <w:sz w:val="20"/>
          <w:szCs w:val="20"/>
        </w:rPr>
        <w:t xml:space="preserve"> responsibility for the accuracy and completeness of any forward-looking statements. Any or all of the forward-looking statements contained in this filing and in any other of </w:t>
      </w:r>
      <w:r w:rsidR="00FF5648">
        <w:rPr>
          <w:rFonts w:ascii="Arial" w:eastAsia="Times New Roman" w:hAnsi="Arial" w:cs="Arial"/>
          <w:i/>
          <w:sz w:val="20"/>
          <w:szCs w:val="20"/>
        </w:rPr>
        <w:t>CCEP</w:t>
      </w:r>
      <w:r>
        <w:rPr>
          <w:rFonts w:ascii="Arial" w:eastAsia="Times New Roman" w:hAnsi="Arial" w:cs="Arial"/>
          <w:i/>
          <w:sz w:val="20"/>
          <w:szCs w:val="20"/>
        </w:rPr>
        <w:t xml:space="preserve">’s or </w:t>
      </w:r>
      <w:r w:rsidR="00FF5648">
        <w:rPr>
          <w:rFonts w:ascii="Arial" w:eastAsia="Times New Roman" w:hAnsi="Arial" w:cs="Arial"/>
          <w:i/>
          <w:sz w:val="20"/>
          <w:szCs w:val="20"/>
        </w:rPr>
        <w:t>CCL</w:t>
      </w:r>
      <w:r>
        <w:rPr>
          <w:rFonts w:ascii="Arial" w:eastAsia="Times New Roman" w:hAnsi="Arial" w:cs="Arial"/>
          <w:i/>
          <w:sz w:val="20"/>
          <w:szCs w:val="20"/>
        </w:rPr>
        <w:t xml:space="preserve">’s </w:t>
      </w:r>
      <w:r w:rsidRPr="00D16C30">
        <w:rPr>
          <w:rFonts w:ascii="Arial" w:eastAsia="Times New Roman" w:hAnsi="Arial" w:cs="Arial"/>
          <w:i/>
          <w:sz w:val="20"/>
          <w:szCs w:val="20"/>
        </w:rPr>
        <w:t xml:space="preserve">respective public statements </w:t>
      </w:r>
      <w:r>
        <w:rPr>
          <w:rFonts w:ascii="Arial" w:eastAsia="Times New Roman" w:hAnsi="Arial" w:cs="Arial"/>
          <w:i/>
          <w:sz w:val="20"/>
          <w:szCs w:val="20"/>
        </w:rPr>
        <w:t xml:space="preserve">(whether prior or subsequent to the Acquisition) </w:t>
      </w:r>
      <w:r w:rsidRPr="00D16C30">
        <w:rPr>
          <w:rFonts w:ascii="Arial" w:eastAsia="Times New Roman" w:hAnsi="Arial" w:cs="Arial"/>
          <w:i/>
          <w:sz w:val="20"/>
          <w:szCs w:val="20"/>
        </w:rPr>
        <w:t>may prove to be incorrect.</w:t>
      </w:r>
    </w:p>
    <w:p w14:paraId="2380C80D" w14:textId="77777777" w:rsidR="000328DF" w:rsidRDefault="000328DF" w:rsidP="00E03C6A">
      <w:pPr>
        <w:spacing w:after="0" w:line="240" w:lineRule="auto"/>
        <w:rPr>
          <w:rFonts w:ascii="Arial" w:eastAsia="Times New Roman" w:hAnsi="Arial" w:cs="Arial"/>
          <w:i/>
          <w:sz w:val="20"/>
          <w:szCs w:val="20"/>
        </w:rPr>
      </w:pPr>
    </w:p>
    <w:p w14:paraId="1E87716B" w14:textId="77777777" w:rsidR="000328DF" w:rsidRPr="00D16C30" w:rsidRDefault="000328DF" w:rsidP="000328DF">
      <w:pPr>
        <w:spacing w:after="0" w:line="240" w:lineRule="auto"/>
        <w:rPr>
          <w:rFonts w:ascii="Arial" w:eastAsia="Times New Roman" w:hAnsi="Arial" w:cs="Arial"/>
          <w:i/>
          <w:sz w:val="20"/>
          <w:szCs w:val="20"/>
        </w:rPr>
      </w:pPr>
      <w:r w:rsidRPr="00D977A1">
        <w:rPr>
          <w:rFonts w:ascii="Arial" w:eastAsia="Times New Roman" w:hAnsi="Arial" w:cs="Arial"/>
          <w:i/>
          <w:sz w:val="20"/>
          <w:szCs w:val="20"/>
        </w:rPr>
        <w:t>This document does not constitute or form part of any offer for sale or solicitation of any offer to buy any securities in the United States or elsewhere nor shall it or any part of it form the basis of or be relied on in connection with any contract or commitment to purchase securities. Securities may not be offered or sold in the United States absent registration or an exemption from registration under the US Securities Act of 1933, as amended.</w:t>
      </w:r>
    </w:p>
    <w:p w14:paraId="4D16CF6A" w14:textId="77777777" w:rsidR="000328DF" w:rsidRPr="00D16C30" w:rsidRDefault="000328DF" w:rsidP="00E03C6A">
      <w:pPr>
        <w:spacing w:after="0" w:line="240" w:lineRule="auto"/>
        <w:rPr>
          <w:rFonts w:ascii="Arial" w:eastAsia="Times New Roman" w:hAnsi="Arial" w:cs="Arial"/>
          <w:i/>
          <w:sz w:val="20"/>
          <w:szCs w:val="20"/>
        </w:rPr>
      </w:pPr>
    </w:p>
    <w:p w14:paraId="7F200286" w14:textId="77777777" w:rsidR="00DF2AF1" w:rsidRDefault="00DF2AF1" w:rsidP="004F5A20">
      <w:pPr>
        <w:spacing w:after="0" w:line="240" w:lineRule="auto"/>
        <w:rPr>
          <w:rFonts w:ascii="Arial" w:eastAsia="Times New Roman" w:hAnsi="Arial" w:cs="Arial"/>
          <w:sz w:val="24"/>
          <w:szCs w:val="24"/>
        </w:rPr>
      </w:pPr>
    </w:p>
    <w:p w14:paraId="0A0DD9E6" w14:textId="77777777" w:rsidR="006C32CA" w:rsidRDefault="006C32CA" w:rsidP="004F5A20">
      <w:pPr>
        <w:spacing w:after="0" w:line="240" w:lineRule="auto"/>
        <w:rPr>
          <w:rFonts w:ascii="Arial" w:eastAsia="Times New Roman" w:hAnsi="Arial" w:cs="Arial"/>
          <w:sz w:val="24"/>
          <w:szCs w:val="24"/>
        </w:rPr>
      </w:pPr>
      <w:r>
        <w:rPr>
          <w:rFonts w:ascii="Arial" w:eastAsia="Times New Roman" w:hAnsi="Arial" w:cs="Arial"/>
          <w:sz w:val="24"/>
          <w:szCs w:val="24"/>
        </w:rPr>
        <w:t xml:space="preserve">End </w:t>
      </w:r>
    </w:p>
    <w:p w14:paraId="506D12E9" w14:textId="77777777" w:rsidR="00E34EEF" w:rsidRDefault="00E34EEF"/>
    <w:sectPr w:rsidR="00E34EEF" w:rsidSect="00F32A70">
      <w:footerReference w:type="default" r:id="rId22"/>
      <w:pgSz w:w="12240" w:h="15840"/>
      <w:pgMar w:top="12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79E6D" w14:textId="77777777" w:rsidR="00E72910" w:rsidRDefault="00E72910" w:rsidP="00E97EB9">
      <w:pPr>
        <w:spacing w:after="0" w:line="240" w:lineRule="auto"/>
      </w:pPr>
      <w:r>
        <w:separator/>
      </w:r>
    </w:p>
  </w:endnote>
  <w:endnote w:type="continuationSeparator" w:id="0">
    <w:p w14:paraId="4CAA00CA" w14:textId="77777777" w:rsidR="00E72910" w:rsidRDefault="00E72910" w:rsidP="00E97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573223"/>
      <w:docPartObj>
        <w:docPartGallery w:val="Page Numbers (Bottom of Page)"/>
        <w:docPartUnique/>
      </w:docPartObj>
    </w:sdtPr>
    <w:sdtEndPr>
      <w:rPr>
        <w:noProof/>
      </w:rPr>
    </w:sdtEndPr>
    <w:sdtContent>
      <w:p w14:paraId="40C71F4C" w14:textId="77777777" w:rsidR="003D7B9E" w:rsidRDefault="003D7B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08859F" w14:textId="77777777" w:rsidR="003D7B9E" w:rsidRDefault="003D7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B6EDB" w14:textId="77777777" w:rsidR="00E72910" w:rsidRDefault="00E72910" w:rsidP="00E97EB9">
      <w:pPr>
        <w:spacing w:after="0" w:line="240" w:lineRule="auto"/>
      </w:pPr>
      <w:r>
        <w:separator/>
      </w:r>
    </w:p>
  </w:footnote>
  <w:footnote w:type="continuationSeparator" w:id="0">
    <w:p w14:paraId="3064B8D6" w14:textId="77777777" w:rsidR="00E72910" w:rsidRDefault="00E72910" w:rsidP="00E97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6A4"/>
    <w:multiLevelType w:val="multilevel"/>
    <w:tmpl w:val="C492A34E"/>
    <w:lvl w:ilvl="0">
      <w:numFmt w:val="bullet"/>
      <w:lvlText w:val="·"/>
      <w:lvlJc w:val="left"/>
      <w:pPr>
        <w:tabs>
          <w:tab w:val="left" w:pos="360"/>
        </w:tabs>
      </w:pPr>
      <w:rPr>
        <w:rFonts w:ascii="Symbol" w:eastAsia="Symbol" w:hAnsi="Symbol"/>
        <w:b/>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D12896"/>
    <w:multiLevelType w:val="hybridMultilevel"/>
    <w:tmpl w:val="68E0D84A"/>
    <w:lvl w:ilvl="0" w:tplc="AC085F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42028"/>
    <w:multiLevelType w:val="hybridMultilevel"/>
    <w:tmpl w:val="C868B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8723CD"/>
    <w:multiLevelType w:val="hybridMultilevel"/>
    <w:tmpl w:val="6A50E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37243"/>
    <w:multiLevelType w:val="hybridMultilevel"/>
    <w:tmpl w:val="0726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24983"/>
    <w:multiLevelType w:val="multilevel"/>
    <w:tmpl w:val="DFB47F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7B6FB4"/>
    <w:multiLevelType w:val="multilevel"/>
    <w:tmpl w:val="3A683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E921D3"/>
    <w:multiLevelType w:val="hybridMultilevel"/>
    <w:tmpl w:val="F4B6A5D4"/>
    <w:lvl w:ilvl="0" w:tplc="08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E43D72"/>
    <w:multiLevelType w:val="hybridMultilevel"/>
    <w:tmpl w:val="1304D9EA"/>
    <w:lvl w:ilvl="0" w:tplc="AC085F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1D299B"/>
    <w:multiLevelType w:val="hybridMultilevel"/>
    <w:tmpl w:val="CB06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5A1635"/>
    <w:multiLevelType w:val="hybridMultilevel"/>
    <w:tmpl w:val="4FB2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2"/>
  </w:num>
  <w:num w:numId="6">
    <w:abstractNumId w:val="9"/>
  </w:num>
  <w:num w:numId="7">
    <w:abstractNumId w:val="3"/>
  </w:num>
  <w:num w:numId="8">
    <w:abstractNumId w:val="10"/>
  </w:num>
  <w:num w:numId="9">
    <w:abstractNumId w:val="6"/>
  </w:num>
  <w:num w:numId="10">
    <w:abstractNumId w:val="4"/>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06"/>
    <w:rsid w:val="00007F87"/>
    <w:rsid w:val="0002126F"/>
    <w:rsid w:val="000328DF"/>
    <w:rsid w:val="0003306A"/>
    <w:rsid w:val="00074C37"/>
    <w:rsid w:val="00085531"/>
    <w:rsid w:val="00097ED4"/>
    <w:rsid w:val="000A41F0"/>
    <w:rsid w:val="000B02D8"/>
    <w:rsid w:val="000B4556"/>
    <w:rsid w:val="000B493D"/>
    <w:rsid w:val="000B7BBB"/>
    <w:rsid w:val="000C3304"/>
    <w:rsid w:val="000D0AFF"/>
    <w:rsid w:val="000D20C8"/>
    <w:rsid w:val="000D525B"/>
    <w:rsid w:val="000D638B"/>
    <w:rsid w:val="000E4FAF"/>
    <w:rsid w:val="000F0DD7"/>
    <w:rsid w:val="000F722B"/>
    <w:rsid w:val="0010635A"/>
    <w:rsid w:val="00117644"/>
    <w:rsid w:val="00127C74"/>
    <w:rsid w:val="00130574"/>
    <w:rsid w:val="0013486D"/>
    <w:rsid w:val="00144810"/>
    <w:rsid w:val="00146ACE"/>
    <w:rsid w:val="0015230C"/>
    <w:rsid w:val="00160D14"/>
    <w:rsid w:val="00190C68"/>
    <w:rsid w:val="00193D8B"/>
    <w:rsid w:val="001B5C3D"/>
    <w:rsid w:val="001D048E"/>
    <w:rsid w:val="001D103F"/>
    <w:rsid w:val="001D47F4"/>
    <w:rsid w:val="002267AE"/>
    <w:rsid w:val="00233CCD"/>
    <w:rsid w:val="00234D93"/>
    <w:rsid w:val="00244D4D"/>
    <w:rsid w:val="0024759B"/>
    <w:rsid w:val="00253511"/>
    <w:rsid w:val="00253E57"/>
    <w:rsid w:val="0026251C"/>
    <w:rsid w:val="0026255C"/>
    <w:rsid w:val="002747CD"/>
    <w:rsid w:val="00283B54"/>
    <w:rsid w:val="002905BD"/>
    <w:rsid w:val="00291512"/>
    <w:rsid w:val="00292569"/>
    <w:rsid w:val="002A4C49"/>
    <w:rsid w:val="002B6B88"/>
    <w:rsid w:val="002B7029"/>
    <w:rsid w:val="002C2E1F"/>
    <w:rsid w:val="002D0C72"/>
    <w:rsid w:val="002D4DF4"/>
    <w:rsid w:val="002D7EAF"/>
    <w:rsid w:val="002E5600"/>
    <w:rsid w:val="002E61A4"/>
    <w:rsid w:val="002E6526"/>
    <w:rsid w:val="002F5D00"/>
    <w:rsid w:val="00302900"/>
    <w:rsid w:val="00307395"/>
    <w:rsid w:val="00313546"/>
    <w:rsid w:val="00320D7C"/>
    <w:rsid w:val="0033034D"/>
    <w:rsid w:val="0033176B"/>
    <w:rsid w:val="00332D93"/>
    <w:rsid w:val="003460CD"/>
    <w:rsid w:val="00351877"/>
    <w:rsid w:val="00354D44"/>
    <w:rsid w:val="00372044"/>
    <w:rsid w:val="00373CDB"/>
    <w:rsid w:val="00376857"/>
    <w:rsid w:val="00380D55"/>
    <w:rsid w:val="003846E8"/>
    <w:rsid w:val="003848E3"/>
    <w:rsid w:val="00385EBA"/>
    <w:rsid w:val="00386AED"/>
    <w:rsid w:val="00387561"/>
    <w:rsid w:val="00391917"/>
    <w:rsid w:val="003A2848"/>
    <w:rsid w:val="003A6A42"/>
    <w:rsid w:val="003B43D0"/>
    <w:rsid w:val="003B71EC"/>
    <w:rsid w:val="003C7CCE"/>
    <w:rsid w:val="003D7B9E"/>
    <w:rsid w:val="003E42F1"/>
    <w:rsid w:val="003E4569"/>
    <w:rsid w:val="003E4FF0"/>
    <w:rsid w:val="003F1B70"/>
    <w:rsid w:val="00400BCD"/>
    <w:rsid w:val="00400E16"/>
    <w:rsid w:val="00402909"/>
    <w:rsid w:val="0040649E"/>
    <w:rsid w:val="00427BFE"/>
    <w:rsid w:val="00436656"/>
    <w:rsid w:val="00446927"/>
    <w:rsid w:val="00467A0D"/>
    <w:rsid w:val="00480576"/>
    <w:rsid w:val="0048458B"/>
    <w:rsid w:val="0049244E"/>
    <w:rsid w:val="004A162C"/>
    <w:rsid w:val="004B158C"/>
    <w:rsid w:val="004B679A"/>
    <w:rsid w:val="004C64F7"/>
    <w:rsid w:val="004C6949"/>
    <w:rsid w:val="004D1F51"/>
    <w:rsid w:val="004D2F04"/>
    <w:rsid w:val="004E0899"/>
    <w:rsid w:val="004E10F9"/>
    <w:rsid w:val="004E7ADF"/>
    <w:rsid w:val="004F4608"/>
    <w:rsid w:val="004F5A20"/>
    <w:rsid w:val="00500C82"/>
    <w:rsid w:val="00501141"/>
    <w:rsid w:val="005013F3"/>
    <w:rsid w:val="0050379A"/>
    <w:rsid w:val="00510BA7"/>
    <w:rsid w:val="0051799F"/>
    <w:rsid w:val="00520F10"/>
    <w:rsid w:val="00521FEE"/>
    <w:rsid w:val="00525842"/>
    <w:rsid w:val="00532D4D"/>
    <w:rsid w:val="00551F2E"/>
    <w:rsid w:val="0056221A"/>
    <w:rsid w:val="00571AFE"/>
    <w:rsid w:val="00572528"/>
    <w:rsid w:val="005A3AED"/>
    <w:rsid w:val="005B0264"/>
    <w:rsid w:val="005B541F"/>
    <w:rsid w:val="005B5D53"/>
    <w:rsid w:val="005B5DD2"/>
    <w:rsid w:val="005E643A"/>
    <w:rsid w:val="0060270C"/>
    <w:rsid w:val="00602E61"/>
    <w:rsid w:val="00604EAA"/>
    <w:rsid w:val="006144E6"/>
    <w:rsid w:val="0062287B"/>
    <w:rsid w:val="00627EA3"/>
    <w:rsid w:val="00640A68"/>
    <w:rsid w:val="006420AB"/>
    <w:rsid w:val="0064288E"/>
    <w:rsid w:val="00647790"/>
    <w:rsid w:val="00662847"/>
    <w:rsid w:val="00662FE6"/>
    <w:rsid w:val="00672B94"/>
    <w:rsid w:val="00676242"/>
    <w:rsid w:val="00676C42"/>
    <w:rsid w:val="00687902"/>
    <w:rsid w:val="006924AC"/>
    <w:rsid w:val="00692AF1"/>
    <w:rsid w:val="00692E66"/>
    <w:rsid w:val="006937D7"/>
    <w:rsid w:val="006A0436"/>
    <w:rsid w:val="006A193A"/>
    <w:rsid w:val="006A381B"/>
    <w:rsid w:val="006B7C6C"/>
    <w:rsid w:val="006C32CA"/>
    <w:rsid w:val="006C72E2"/>
    <w:rsid w:val="006D0193"/>
    <w:rsid w:val="006D43E2"/>
    <w:rsid w:val="006D4AA5"/>
    <w:rsid w:val="006E2AE1"/>
    <w:rsid w:val="006F2529"/>
    <w:rsid w:val="006F382C"/>
    <w:rsid w:val="006F5192"/>
    <w:rsid w:val="0070168A"/>
    <w:rsid w:val="00701E8F"/>
    <w:rsid w:val="00712961"/>
    <w:rsid w:val="00731C19"/>
    <w:rsid w:val="00735403"/>
    <w:rsid w:val="007538EF"/>
    <w:rsid w:val="0075423C"/>
    <w:rsid w:val="00760BD0"/>
    <w:rsid w:val="0077360E"/>
    <w:rsid w:val="007821DE"/>
    <w:rsid w:val="0078545E"/>
    <w:rsid w:val="00791CB3"/>
    <w:rsid w:val="0079430B"/>
    <w:rsid w:val="007A356A"/>
    <w:rsid w:val="007B2F24"/>
    <w:rsid w:val="007C0340"/>
    <w:rsid w:val="007C35C6"/>
    <w:rsid w:val="007C530F"/>
    <w:rsid w:val="007D0E68"/>
    <w:rsid w:val="007E2DB8"/>
    <w:rsid w:val="00806380"/>
    <w:rsid w:val="0080788C"/>
    <w:rsid w:val="00814C49"/>
    <w:rsid w:val="00816BE4"/>
    <w:rsid w:val="00817ABD"/>
    <w:rsid w:val="00824E07"/>
    <w:rsid w:val="00825A57"/>
    <w:rsid w:val="00830845"/>
    <w:rsid w:val="00842038"/>
    <w:rsid w:val="00847413"/>
    <w:rsid w:val="00854CFD"/>
    <w:rsid w:val="00860969"/>
    <w:rsid w:val="008644FF"/>
    <w:rsid w:val="0087008B"/>
    <w:rsid w:val="008746A3"/>
    <w:rsid w:val="00875724"/>
    <w:rsid w:val="00883502"/>
    <w:rsid w:val="008930B7"/>
    <w:rsid w:val="008943CA"/>
    <w:rsid w:val="008B3316"/>
    <w:rsid w:val="008C587F"/>
    <w:rsid w:val="008C6921"/>
    <w:rsid w:val="008C6A1E"/>
    <w:rsid w:val="008C7600"/>
    <w:rsid w:val="008D1B6E"/>
    <w:rsid w:val="008D3572"/>
    <w:rsid w:val="008D38B6"/>
    <w:rsid w:val="008D689A"/>
    <w:rsid w:val="008E16E0"/>
    <w:rsid w:val="008E1D31"/>
    <w:rsid w:val="008E3885"/>
    <w:rsid w:val="0090145C"/>
    <w:rsid w:val="00903BF1"/>
    <w:rsid w:val="009125D5"/>
    <w:rsid w:val="00914A7C"/>
    <w:rsid w:val="00914F22"/>
    <w:rsid w:val="00923255"/>
    <w:rsid w:val="00925AC5"/>
    <w:rsid w:val="009314DD"/>
    <w:rsid w:val="00934933"/>
    <w:rsid w:val="009355FB"/>
    <w:rsid w:val="009372B5"/>
    <w:rsid w:val="00951222"/>
    <w:rsid w:val="00952853"/>
    <w:rsid w:val="009571B8"/>
    <w:rsid w:val="00966118"/>
    <w:rsid w:val="00970B24"/>
    <w:rsid w:val="0097403F"/>
    <w:rsid w:val="00974B23"/>
    <w:rsid w:val="0097556F"/>
    <w:rsid w:val="00976428"/>
    <w:rsid w:val="009844C4"/>
    <w:rsid w:val="00990719"/>
    <w:rsid w:val="0099141D"/>
    <w:rsid w:val="0099506D"/>
    <w:rsid w:val="00997BB3"/>
    <w:rsid w:val="009A33FF"/>
    <w:rsid w:val="009B425B"/>
    <w:rsid w:val="009D0272"/>
    <w:rsid w:val="009E263D"/>
    <w:rsid w:val="009E5113"/>
    <w:rsid w:val="009E690E"/>
    <w:rsid w:val="009E75D4"/>
    <w:rsid w:val="00A002F1"/>
    <w:rsid w:val="00A00D4B"/>
    <w:rsid w:val="00A01039"/>
    <w:rsid w:val="00A07BD0"/>
    <w:rsid w:val="00A13FF5"/>
    <w:rsid w:val="00A148B2"/>
    <w:rsid w:val="00A14CE5"/>
    <w:rsid w:val="00A150C4"/>
    <w:rsid w:val="00A25715"/>
    <w:rsid w:val="00A34A4D"/>
    <w:rsid w:val="00A41984"/>
    <w:rsid w:val="00A514FE"/>
    <w:rsid w:val="00A562E6"/>
    <w:rsid w:val="00A67A7A"/>
    <w:rsid w:val="00A77995"/>
    <w:rsid w:val="00AC05E4"/>
    <w:rsid w:val="00AC0CBC"/>
    <w:rsid w:val="00AC166F"/>
    <w:rsid w:val="00AD0888"/>
    <w:rsid w:val="00AE08BC"/>
    <w:rsid w:val="00AE6EFD"/>
    <w:rsid w:val="00AE7DAF"/>
    <w:rsid w:val="00AF1C38"/>
    <w:rsid w:val="00B019CE"/>
    <w:rsid w:val="00B127CC"/>
    <w:rsid w:val="00B3048C"/>
    <w:rsid w:val="00B462EC"/>
    <w:rsid w:val="00B863E8"/>
    <w:rsid w:val="00B865CB"/>
    <w:rsid w:val="00B93494"/>
    <w:rsid w:val="00BA5760"/>
    <w:rsid w:val="00BB0A0B"/>
    <w:rsid w:val="00BB135B"/>
    <w:rsid w:val="00BB309E"/>
    <w:rsid w:val="00BC14F7"/>
    <w:rsid w:val="00BD178F"/>
    <w:rsid w:val="00BE3E8E"/>
    <w:rsid w:val="00BF5868"/>
    <w:rsid w:val="00C207D9"/>
    <w:rsid w:val="00C213EF"/>
    <w:rsid w:val="00C245C2"/>
    <w:rsid w:val="00C24BED"/>
    <w:rsid w:val="00C2783B"/>
    <w:rsid w:val="00C32733"/>
    <w:rsid w:val="00C32978"/>
    <w:rsid w:val="00C4430F"/>
    <w:rsid w:val="00C71FB2"/>
    <w:rsid w:val="00C76BF9"/>
    <w:rsid w:val="00C82D3E"/>
    <w:rsid w:val="00C875FE"/>
    <w:rsid w:val="00C931FF"/>
    <w:rsid w:val="00C977D3"/>
    <w:rsid w:val="00CB53A6"/>
    <w:rsid w:val="00CB5997"/>
    <w:rsid w:val="00CB7258"/>
    <w:rsid w:val="00CB7BD0"/>
    <w:rsid w:val="00CB7F6D"/>
    <w:rsid w:val="00CC71FD"/>
    <w:rsid w:val="00CD1E87"/>
    <w:rsid w:val="00CE1A7D"/>
    <w:rsid w:val="00CE4C0F"/>
    <w:rsid w:val="00CF2DBE"/>
    <w:rsid w:val="00CF35BB"/>
    <w:rsid w:val="00CF36B6"/>
    <w:rsid w:val="00D10A93"/>
    <w:rsid w:val="00D14268"/>
    <w:rsid w:val="00D16C30"/>
    <w:rsid w:val="00D30BAD"/>
    <w:rsid w:val="00D53666"/>
    <w:rsid w:val="00D56160"/>
    <w:rsid w:val="00D578DC"/>
    <w:rsid w:val="00D85018"/>
    <w:rsid w:val="00D964EA"/>
    <w:rsid w:val="00DB3497"/>
    <w:rsid w:val="00DB4BA2"/>
    <w:rsid w:val="00DB7F9F"/>
    <w:rsid w:val="00DC252C"/>
    <w:rsid w:val="00DC341B"/>
    <w:rsid w:val="00DE40C7"/>
    <w:rsid w:val="00DF2AF1"/>
    <w:rsid w:val="00E03C6A"/>
    <w:rsid w:val="00E1456C"/>
    <w:rsid w:val="00E21206"/>
    <w:rsid w:val="00E33AAC"/>
    <w:rsid w:val="00E34EEF"/>
    <w:rsid w:val="00E359B8"/>
    <w:rsid w:val="00E60D5E"/>
    <w:rsid w:val="00E649E8"/>
    <w:rsid w:val="00E72910"/>
    <w:rsid w:val="00E87C57"/>
    <w:rsid w:val="00E9451D"/>
    <w:rsid w:val="00E97EB9"/>
    <w:rsid w:val="00EA0DB1"/>
    <w:rsid w:val="00EA25ED"/>
    <w:rsid w:val="00EA2E2A"/>
    <w:rsid w:val="00EB46DC"/>
    <w:rsid w:val="00EB487A"/>
    <w:rsid w:val="00EC1E83"/>
    <w:rsid w:val="00EC33F6"/>
    <w:rsid w:val="00EC3939"/>
    <w:rsid w:val="00EF1172"/>
    <w:rsid w:val="00F01BA3"/>
    <w:rsid w:val="00F02725"/>
    <w:rsid w:val="00F13444"/>
    <w:rsid w:val="00F154F8"/>
    <w:rsid w:val="00F32A70"/>
    <w:rsid w:val="00F44C6A"/>
    <w:rsid w:val="00F6477F"/>
    <w:rsid w:val="00F65BB9"/>
    <w:rsid w:val="00F76004"/>
    <w:rsid w:val="00F76CA3"/>
    <w:rsid w:val="00F80C33"/>
    <w:rsid w:val="00F9607C"/>
    <w:rsid w:val="00FA15D8"/>
    <w:rsid w:val="00FA4BEA"/>
    <w:rsid w:val="00FA6B22"/>
    <w:rsid w:val="00FA7BE5"/>
    <w:rsid w:val="00FB2126"/>
    <w:rsid w:val="00FC24ED"/>
    <w:rsid w:val="00FC519D"/>
    <w:rsid w:val="00FD06F6"/>
    <w:rsid w:val="00FD6BD2"/>
    <w:rsid w:val="00FE29AC"/>
    <w:rsid w:val="00FF0265"/>
    <w:rsid w:val="00FF4820"/>
    <w:rsid w:val="00FF4DA9"/>
    <w:rsid w:val="00FF51FF"/>
    <w:rsid w:val="00FF5538"/>
    <w:rsid w:val="00FF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472338"/>
  <w15:chartTrackingRefBased/>
  <w15:docId w15:val="{EEE68DA4-B94C-4576-83B7-AE76C330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97EB9"/>
    <w:rPr>
      <w:i/>
      <w:iCs/>
    </w:rPr>
  </w:style>
  <w:style w:type="paragraph" w:customStyle="1" w:styleId="bwalignc">
    <w:name w:val="bwalignc"/>
    <w:basedOn w:val="Normal"/>
    <w:rsid w:val="00E97E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E97E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97EB9"/>
    <w:rPr>
      <w:color w:val="0000FF"/>
      <w:u w:val="single"/>
    </w:rPr>
  </w:style>
  <w:style w:type="character" w:customStyle="1" w:styleId="bwuline">
    <w:name w:val="bwuline"/>
    <w:basedOn w:val="DefaultParagraphFont"/>
    <w:rsid w:val="00E97EB9"/>
  </w:style>
  <w:style w:type="paragraph" w:styleId="Header">
    <w:name w:val="header"/>
    <w:basedOn w:val="Normal"/>
    <w:link w:val="HeaderChar"/>
    <w:uiPriority w:val="99"/>
    <w:unhideWhenUsed/>
    <w:rsid w:val="00E97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EB9"/>
  </w:style>
  <w:style w:type="paragraph" w:styleId="Footer">
    <w:name w:val="footer"/>
    <w:basedOn w:val="Normal"/>
    <w:link w:val="FooterChar"/>
    <w:uiPriority w:val="99"/>
    <w:unhideWhenUsed/>
    <w:rsid w:val="00E97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EB9"/>
  </w:style>
  <w:style w:type="paragraph" w:styleId="ListParagraph">
    <w:name w:val="List Paragraph"/>
    <w:basedOn w:val="Normal"/>
    <w:uiPriority w:val="34"/>
    <w:qFormat/>
    <w:rsid w:val="00B127CC"/>
    <w:pPr>
      <w:ind w:left="720"/>
      <w:contextualSpacing/>
    </w:pPr>
  </w:style>
  <w:style w:type="character" w:styleId="UnresolvedMention">
    <w:name w:val="Unresolved Mention"/>
    <w:basedOn w:val="DefaultParagraphFont"/>
    <w:uiPriority w:val="99"/>
    <w:semiHidden/>
    <w:unhideWhenUsed/>
    <w:rsid w:val="000D638B"/>
    <w:rPr>
      <w:color w:val="605E5C"/>
      <w:shd w:val="clear" w:color="auto" w:fill="E1DFDD"/>
    </w:rPr>
  </w:style>
  <w:style w:type="table" w:styleId="TableGrid">
    <w:name w:val="Table Grid"/>
    <w:basedOn w:val="TableNormal"/>
    <w:uiPriority w:val="39"/>
    <w:rsid w:val="00D16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30F"/>
    <w:rPr>
      <w:rFonts w:ascii="Segoe UI" w:hAnsi="Segoe UI" w:cs="Segoe UI"/>
      <w:sz w:val="18"/>
      <w:szCs w:val="18"/>
    </w:rPr>
  </w:style>
  <w:style w:type="character" w:styleId="CommentReference">
    <w:name w:val="annotation reference"/>
    <w:basedOn w:val="DefaultParagraphFont"/>
    <w:uiPriority w:val="99"/>
    <w:semiHidden/>
    <w:unhideWhenUsed/>
    <w:rsid w:val="00C931FF"/>
    <w:rPr>
      <w:sz w:val="16"/>
      <w:szCs w:val="16"/>
    </w:rPr>
  </w:style>
  <w:style w:type="paragraph" w:styleId="CommentText">
    <w:name w:val="annotation text"/>
    <w:basedOn w:val="Normal"/>
    <w:link w:val="CommentTextChar"/>
    <w:uiPriority w:val="99"/>
    <w:semiHidden/>
    <w:unhideWhenUsed/>
    <w:rsid w:val="00C931FF"/>
    <w:pPr>
      <w:spacing w:line="240" w:lineRule="auto"/>
    </w:pPr>
    <w:rPr>
      <w:sz w:val="20"/>
      <w:szCs w:val="20"/>
    </w:rPr>
  </w:style>
  <w:style w:type="character" w:customStyle="1" w:styleId="CommentTextChar">
    <w:name w:val="Comment Text Char"/>
    <w:basedOn w:val="DefaultParagraphFont"/>
    <w:link w:val="CommentText"/>
    <w:uiPriority w:val="99"/>
    <w:semiHidden/>
    <w:rsid w:val="00C931FF"/>
    <w:rPr>
      <w:sz w:val="20"/>
      <w:szCs w:val="20"/>
    </w:rPr>
  </w:style>
  <w:style w:type="paragraph" w:styleId="CommentSubject">
    <w:name w:val="annotation subject"/>
    <w:basedOn w:val="CommentText"/>
    <w:next w:val="CommentText"/>
    <w:link w:val="CommentSubjectChar"/>
    <w:uiPriority w:val="99"/>
    <w:semiHidden/>
    <w:unhideWhenUsed/>
    <w:rsid w:val="00C931FF"/>
    <w:rPr>
      <w:b/>
      <w:bCs/>
    </w:rPr>
  </w:style>
  <w:style w:type="character" w:customStyle="1" w:styleId="CommentSubjectChar">
    <w:name w:val="Comment Subject Char"/>
    <w:basedOn w:val="CommentTextChar"/>
    <w:link w:val="CommentSubject"/>
    <w:uiPriority w:val="99"/>
    <w:semiHidden/>
    <w:rsid w:val="00C931FF"/>
    <w:rPr>
      <w:b/>
      <w:bCs/>
      <w:sz w:val="20"/>
      <w:szCs w:val="20"/>
    </w:rPr>
  </w:style>
  <w:style w:type="character" w:styleId="FollowedHyperlink">
    <w:name w:val="FollowedHyperlink"/>
    <w:basedOn w:val="DefaultParagraphFont"/>
    <w:uiPriority w:val="99"/>
    <w:semiHidden/>
    <w:unhideWhenUsed/>
    <w:rsid w:val="001B5C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9778">
      <w:bodyDiv w:val="1"/>
      <w:marLeft w:val="0"/>
      <w:marRight w:val="0"/>
      <w:marTop w:val="0"/>
      <w:marBottom w:val="0"/>
      <w:divBdr>
        <w:top w:val="none" w:sz="0" w:space="0" w:color="auto"/>
        <w:left w:val="none" w:sz="0" w:space="0" w:color="auto"/>
        <w:bottom w:val="none" w:sz="0" w:space="0" w:color="auto"/>
        <w:right w:val="none" w:sz="0" w:space="0" w:color="auto"/>
      </w:divBdr>
    </w:div>
    <w:div w:id="210772442">
      <w:bodyDiv w:val="1"/>
      <w:marLeft w:val="0"/>
      <w:marRight w:val="0"/>
      <w:marTop w:val="0"/>
      <w:marBottom w:val="0"/>
      <w:divBdr>
        <w:top w:val="none" w:sz="0" w:space="0" w:color="auto"/>
        <w:left w:val="none" w:sz="0" w:space="0" w:color="auto"/>
        <w:bottom w:val="none" w:sz="0" w:space="0" w:color="auto"/>
        <w:right w:val="none" w:sz="0" w:space="0" w:color="auto"/>
      </w:divBdr>
    </w:div>
    <w:div w:id="378864035">
      <w:bodyDiv w:val="1"/>
      <w:marLeft w:val="0"/>
      <w:marRight w:val="0"/>
      <w:marTop w:val="0"/>
      <w:marBottom w:val="0"/>
      <w:divBdr>
        <w:top w:val="none" w:sz="0" w:space="0" w:color="auto"/>
        <w:left w:val="none" w:sz="0" w:space="0" w:color="auto"/>
        <w:bottom w:val="none" w:sz="0" w:space="0" w:color="auto"/>
        <w:right w:val="none" w:sz="0" w:space="0" w:color="auto"/>
      </w:divBdr>
    </w:div>
    <w:div w:id="424882725">
      <w:bodyDiv w:val="1"/>
      <w:marLeft w:val="0"/>
      <w:marRight w:val="0"/>
      <w:marTop w:val="0"/>
      <w:marBottom w:val="0"/>
      <w:divBdr>
        <w:top w:val="none" w:sz="0" w:space="0" w:color="auto"/>
        <w:left w:val="none" w:sz="0" w:space="0" w:color="auto"/>
        <w:bottom w:val="none" w:sz="0" w:space="0" w:color="auto"/>
        <w:right w:val="none" w:sz="0" w:space="0" w:color="auto"/>
      </w:divBdr>
    </w:div>
    <w:div w:id="472602282">
      <w:bodyDiv w:val="1"/>
      <w:marLeft w:val="0"/>
      <w:marRight w:val="0"/>
      <w:marTop w:val="0"/>
      <w:marBottom w:val="0"/>
      <w:divBdr>
        <w:top w:val="none" w:sz="0" w:space="0" w:color="auto"/>
        <w:left w:val="none" w:sz="0" w:space="0" w:color="auto"/>
        <w:bottom w:val="none" w:sz="0" w:space="0" w:color="auto"/>
        <w:right w:val="none" w:sz="0" w:space="0" w:color="auto"/>
      </w:divBdr>
    </w:div>
    <w:div w:id="674266916">
      <w:bodyDiv w:val="1"/>
      <w:marLeft w:val="0"/>
      <w:marRight w:val="0"/>
      <w:marTop w:val="0"/>
      <w:marBottom w:val="0"/>
      <w:divBdr>
        <w:top w:val="none" w:sz="0" w:space="0" w:color="auto"/>
        <w:left w:val="none" w:sz="0" w:space="0" w:color="auto"/>
        <w:bottom w:val="none" w:sz="0" w:space="0" w:color="auto"/>
        <w:right w:val="none" w:sz="0" w:space="0" w:color="auto"/>
      </w:divBdr>
    </w:div>
    <w:div w:id="704868670">
      <w:bodyDiv w:val="1"/>
      <w:marLeft w:val="0"/>
      <w:marRight w:val="0"/>
      <w:marTop w:val="0"/>
      <w:marBottom w:val="0"/>
      <w:divBdr>
        <w:top w:val="none" w:sz="0" w:space="0" w:color="auto"/>
        <w:left w:val="none" w:sz="0" w:space="0" w:color="auto"/>
        <w:bottom w:val="none" w:sz="0" w:space="0" w:color="auto"/>
        <w:right w:val="none" w:sz="0" w:space="0" w:color="auto"/>
      </w:divBdr>
    </w:div>
    <w:div w:id="781999576">
      <w:bodyDiv w:val="1"/>
      <w:marLeft w:val="0"/>
      <w:marRight w:val="0"/>
      <w:marTop w:val="0"/>
      <w:marBottom w:val="0"/>
      <w:divBdr>
        <w:top w:val="none" w:sz="0" w:space="0" w:color="auto"/>
        <w:left w:val="none" w:sz="0" w:space="0" w:color="auto"/>
        <w:bottom w:val="none" w:sz="0" w:space="0" w:color="auto"/>
        <w:right w:val="none" w:sz="0" w:space="0" w:color="auto"/>
      </w:divBdr>
    </w:div>
    <w:div w:id="824905132">
      <w:bodyDiv w:val="1"/>
      <w:marLeft w:val="0"/>
      <w:marRight w:val="0"/>
      <w:marTop w:val="0"/>
      <w:marBottom w:val="0"/>
      <w:divBdr>
        <w:top w:val="none" w:sz="0" w:space="0" w:color="auto"/>
        <w:left w:val="none" w:sz="0" w:space="0" w:color="auto"/>
        <w:bottom w:val="none" w:sz="0" w:space="0" w:color="auto"/>
        <w:right w:val="none" w:sz="0" w:space="0" w:color="auto"/>
      </w:divBdr>
    </w:div>
    <w:div w:id="868877587">
      <w:bodyDiv w:val="1"/>
      <w:marLeft w:val="0"/>
      <w:marRight w:val="0"/>
      <w:marTop w:val="0"/>
      <w:marBottom w:val="0"/>
      <w:divBdr>
        <w:top w:val="none" w:sz="0" w:space="0" w:color="auto"/>
        <w:left w:val="none" w:sz="0" w:space="0" w:color="auto"/>
        <w:bottom w:val="none" w:sz="0" w:space="0" w:color="auto"/>
        <w:right w:val="none" w:sz="0" w:space="0" w:color="auto"/>
      </w:divBdr>
    </w:div>
    <w:div w:id="1125272691">
      <w:bodyDiv w:val="1"/>
      <w:marLeft w:val="0"/>
      <w:marRight w:val="0"/>
      <w:marTop w:val="0"/>
      <w:marBottom w:val="0"/>
      <w:divBdr>
        <w:top w:val="none" w:sz="0" w:space="0" w:color="auto"/>
        <w:left w:val="none" w:sz="0" w:space="0" w:color="auto"/>
        <w:bottom w:val="none" w:sz="0" w:space="0" w:color="auto"/>
        <w:right w:val="none" w:sz="0" w:space="0" w:color="auto"/>
      </w:divBdr>
    </w:div>
    <w:div w:id="1227495594">
      <w:bodyDiv w:val="1"/>
      <w:marLeft w:val="0"/>
      <w:marRight w:val="0"/>
      <w:marTop w:val="0"/>
      <w:marBottom w:val="0"/>
      <w:divBdr>
        <w:top w:val="none" w:sz="0" w:space="0" w:color="auto"/>
        <w:left w:val="none" w:sz="0" w:space="0" w:color="auto"/>
        <w:bottom w:val="none" w:sz="0" w:space="0" w:color="auto"/>
        <w:right w:val="none" w:sz="0" w:space="0" w:color="auto"/>
      </w:divBdr>
    </w:div>
    <w:div w:id="1234394658">
      <w:bodyDiv w:val="1"/>
      <w:marLeft w:val="0"/>
      <w:marRight w:val="0"/>
      <w:marTop w:val="0"/>
      <w:marBottom w:val="0"/>
      <w:divBdr>
        <w:top w:val="none" w:sz="0" w:space="0" w:color="auto"/>
        <w:left w:val="none" w:sz="0" w:space="0" w:color="auto"/>
        <w:bottom w:val="none" w:sz="0" w:space="0" w:color="auto"/>
        <w:right w:val="none" w:sz="0" w:space="0" w:color="auto"/>
      </w:divBdr>
    </w:div>
    <w:div w:id="1262300136">
      <w:bodyDiv w:val="1"/>
      <w:marLeft w:val="0"/>
      <w:marRight w:val="0"/>
      <w:marTop w:val="0"/>
      <w:marBottom w:val="0"/>
      <w:divBdr>
        <w:top w:val="none" w:sz="0" w:space="0" w:color="auto"/>
        <w:left w:val="none" w:sz="0" w:space="0" w:color="auto"/>
        <w:bottom w:val="none" w:sz="0" w:space="0" w:color="auto"/>
        <w:right w:val="none" w:sz="0" w:space="0" w:color="auto"/>
      </w:divBdr>
    </w:div>
    <w:div w:id="1316101632">
      <w:bodyDiv w:val="1"/>
      <w:marLeft w:val="0"/>
      <w:marRight w:val="0"/>
      <w:marTop w:val="0"/>
      <w:marBottom w:val="0"/>
      <w:divBdr>
        <w:top w:val="none" w:sz="0" w:space="0" w:color="auto"/>
        <w:left w:val="none" w:sz="0" w:space="0" w:color="auto"/>
        <w:bottom w:val="none" w:sz="0" w:space="0" w:color="auto"/>
        <w:right w:val="none" w:sz="0" w:space="0" w:color="auto"/>
      </w:divBdr>
    </w:div>
    <w:div w:id="1415007629">
      <w:bodyDiv w:val="1"/>
      <w:marLeft w:val="0"/>
      <w:marRight w:val="0"/>
      <w:marTop w:val="0"/>
      <w:marBottom w:val="0"/>
      <w:divBdr>
        <w:top w:val="none" w:sz="0" w:space="0" w:color="auto"/>
        <w:left w:val="none" w:sz="0" w:space="0" w:color="auto"/>
        <w:bottom w:val="none" w:sz="0" w:space="0" w:color="auto"/>
        <w:right w:val="none" w:sz="0" w:space="0" w:color="auto"/>
      </w:divBdr>
    </w:div>
    <w:div w:id="1628244618">
      <w:bodyDiv w:val="1"/>
      <w:marLeft w:val="0"/>
      <w:marRight w:val="0"/>
      <w:marTop w:val="0"/>
      <w:marBottom w:val="0"/>
      <w:divBdr>
        <w:top w:val="none" w:sz="0" w:space="0" w:color="auto"/>
        <w:left w:val="none" w:sz="0" w:space="0" w:color="auto"/>
        <w:bottom w:val="none" w:sz="0" w:space="0" w:color="auto"/>
        <w:right w:val="none" w:sz="0" w:space="0" w:color="auto"/>
      </w:divBdr>
    </w:div>
    <w:div w:id="1748385705">
      <w:bodyDiv w:val="1"/>
      <w:marLeft w:val="0"/>
      <w:marRight w:val="0"/>
      <w:marTop w:val="0"/>
      <w:marBottom w:val="0"/>
      <w:divBdr>
        <w:top w:val="none" w:sz="0" w:space="0" w:color="auto"/>
        <w:left w:val="none" w:sz="0" w:space="0" w:color="auto"/>
        <w:bottom w:val="none" w:sz="0" w:space="0" w:color="auto"/>
        <w:right w:val="none" w:sz="0" w:space="0" w:color="auto"/>
      </w:divBdr>
    </w:div>
    <w:div w:id="20743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cacolaep.com/assets/IR-Documents/MC-/94a62716a4/CCEP-Proposed-acquisition-of-Coca-Cola-Amatil.pdf" TargetMode="External"/><Relationship Id="rId18" Type="http://schemas.openxmlformats.org/officeDocument/2006/relationships/hyperlink" Target="mailto:pbrookes@citadelmagnus.com" TargetMode="External"/><Relationship Id="rId3" Type="http://schemas.openxmlformats.org/officeDocument/2006/relationships/customXml" Target="../customXml/item3.xml"/><Relationship Id="rId21" Type="http://schemas.openxmlformats.org/officeDocument/2006/relationships/hyperlink" Target="http://www.sec.gov" TargetMode="External"/><Relationship Id="rId7" Type="http://schemas.openxmlformats.org/officeDocument/2006/relationships/settings" Target="settings.xml"/><Relationship Id="rId12" Type="http://schemas.openxmlformats.org/officeDocument/2006/relationships/hyperlink" Target="https://urldefense.com/v3/__https:/www2.asx.com.au/markets/trade-our-cash-market/announcements.ccl__;!!JnGxnq7w!2o6OVB41FpS1vMNqBfQr0rAaf43XT_MNPCIc_ZSnxk35wBgcKx3MqkZ2schM3EVGOQ$" TargetMode="External"/><Relationship Id="rId17" Type="http://schemas.openxmlformats.org/officeDocument/2006/relationships/hyperlink" Target="mailto:simon.evans@portland-communications.com" TargetMode="External"/><Relationship Id="rId2" Type="http://schemas.openxmlformats.org/officeDocument/2006/relationships/customXml" Target="../customXml/item2.xml"/><Relationship Id="rId16" Type="http://schemas.openxmlformats.org/officeDocument/2006/relationships/hyperlink" Target="mailto:sarah.willett@ccep.com" TargetMode="External"/><Relationship Id="rId20" Type="http://schemas.openxmlformats.org/officeDocument/2006/relationships/hyperlink" Target="http://www.cocacolae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com/v3/__https:/www2.asx.com.au/markets/trade-our-cash-market/announcements.ccl__;!!JnGxnq7w!2o6OVB41FpS1vMNqBfQr0rAaf43XT_MNPCIc_ZSnxk35wBgcKx3MqkZ2schM3EVGOQ$"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ecretariat@ccep.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clegg@citadelmagnu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cacolaep.com/assets/IR-Documents/MC-/f8d580325d/CCEP.-Proposed-acquisition-of-Coca-Cola-Amatil-Q3-Trading-Update.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1C9265F01EB9468F2382EA9A4D1930" ma:contentTypeVersion="10" ma:contentTypeDescription="Create a new document." ma:contentTypeScope="" ma:versionID="2ed6b6245c32525b5c1664ed967a2ffe">
  <xsd:schema xmlns:xsd="http://www.w3.org/2001/XMLSchema" xmlns:xs="http://www.w3.org/2001/XMLSchema" xmlns:p="http://schemas.microsoft.com/office/2006/metadata/properties" xmlns:ns3="11aa0924-00a8-4115-bc1e-c019b798caa1" targetNamespace="http://schemas.microsoft.com/office/2006/metadata/properties" ma:root="true" ma:fieldsID="f2290a0abd4fd6cbd6f9cb3e8e8762c8" ns3:_="">
    <xsd:import namespace="11aa0924-00a8-4115-bc1e-c019b798ca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a0924-00a8-4115-bc1e-c019b798c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4793A-6F3B-475A-92F1-DF00B41527AA}">
  <ds:schemaRefs>
    <ds:schemaRef ds:uri="http://schemas.microsoft.com/sharepoint/v3/contenttype/forms"/>
  </ds:schemaRefs>
</ds:datastoreItem>
</file>

<file path=customXml/itemProps2.xml><?xml version="1.0" encoding="utf-8"?>
<ds:datastoreItem xmlns:ds="http://schemas.openxmlformats.org/officeDocument/2006/customXml" ds:itemID="{62A810DC-9C2D-4BE4-97BD-EBA0A5ACA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a0924-00a8-4115-bc1e-c019b798c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789E1-F876-430F-8C96-A93DA2A90431}">
  <ds:schemaRefs>
    <ds:schemaRef ds:uri="http://schemas.microsoft.com/office/2006/documentManagement/types"/>
    <ds:schemaRef ds:uri="http://purl.org/dc/elements/1.1/"/>
    <ds:schemaRef ds:uri="http://schemas.microsoft.com/office/2006/metadata/properties"/>
    <ds:schemaRef ds:uri="11aa0924-00a8-4115-bc1e-c019b798caa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AFF4FBD-33D9-4F8D-973B-9DF7AEE6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CCEP</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Willett</dc:creator>
  <cp:keywords/>
  <dc:description/>
  <cp:lastModifiedBy>Abigail Recker</cp:lastModifiedBy>
  <cp:revision>2</cp:revision>
  <cp:lastPrinted>2020-11-03T13:20:00Z</cp:lastPrinted>
  <dcterms:created xsi:type="dcterms:W3CDTF">2020-11-03T17:06:00Z</dcterms:created>
  <dcterms:modified xsi:type="dcterms:W3CDTF">2020-11-03T17:06:00Z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0x010100531C9265F01EB9468F2382EA9A4D1930</vt:lpwstr>
  </property>
</Properties>
</file>