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C5FA4" w14:textId="77777777" w:rsidR="00BE5FF8" w:rsidRDefault="00BE5FF8" w:rsidP="00155973">
      <w:pPr>
        <w:pStyle w:val="Title16"/>
        <w:rPr>
          <w:rFonts w:ascii="Calibri" w:eastAsia="MS Mincho" w:hAnsi="Calibri" w:cs="Calibri"/>
          <w:sz w:val="22"/>
          <w:szCs w:val="22"/>
        </w:rPr>
      </w:pPr>
    </w:p>
    <w:p w14:paraId="431A9FF4" w14:textId="16DF6006" w:rsidR="00155973" w:rsidRPr="004F70A6" w:rsidRDefault="00155973" w:rsidP="00155973">
      <w:pPr>
        <w:pStyle w:val="Title16"/>
        <w:rPr>
          <w:rFonts w:ascii="Verdana" w:eastAsia="MS Mincho" w:hAnsi="Verdana" w:cs="Calibri"/>
          <w:sz w:val="20"/>
          <w:szCs w:val="20"/>
        </w:rPr>
      </w:pPr>
      <w:r w:rsidRPr="004F70A6">
        <w:rPr>
          <w:rFonts w:ascii="Verdana" w:eastAsia="MS Mincho" w:hAnsi="Verdana" w:cs="Calibri"/>
          <w:sz w:val="20"/>
          <w:szCs w:val="20"/>
        </w:rPr>
        <w:t>PROSUS N.V.</w:t>
      </w:r>
    </w:p>
    <w:p w14:paraId="4AB9921D" w14:textId="0A330786"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(Incorporated in the Netherlands)</w:t>
      </w:r>
    </w:p>
    <w:p w14:paraId="4C273B7A" w14:textId="77777777"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(Legal Entity Identifier: 635400Z5LQ5F9OLVT688)</w:t>
      </w:r>
    </w:p>
    <w:p w14:paraId="1821821A" w14:textId="77777777"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ISIN: NL0013654783</w:t>
      </w:r>
    </w:p>
    <w:p w14:paraId="5888DD8F" w14:textId="77777777" w:rsidR="00155973" w:rsidRPr="004F70A6" w:rsidRDefault="00155973" w:rsidP="00155973">
      <w:pPr>
        <w:pStyle w:val="Title16"/>
        <w:spacing w:after="0" w:line="240" w:lineRule="auto"/>
        <w:rPr>
          <w:rFonts w:ascii="Verdana" w:eastAsia="MS Mincho" w:hAnsi="Verdana" w:cs="Calibri"/>
          <w:b w:val="0"/>
          <w:sz w:val="20"/>
          <w:szCs w:val="20"/>
        </w:rPr>
      </w:pPr>
      <w:r w:rsidRPr="004F70A6">
        <w:rPr>
          <w:rFonts w:ascii="Verdana" w:eastAsia="MS Mincho" w:hAnsi="Verdana" w:cs="Calibri"/>
          <w:b w:val="0"/>
          <w:sz w:val="20"/>
          <w:szCs w:val="20"/>
        </w:rPr>
        <w:t>Euronext Amsterdam and JSE Share code: PRX</w:t>
      </w:r>
    </w:p>
    <w:p w14:paraId="15A8A70B" w14:textId="77777777" w:rsidR="00155973" w:rsidRPr="004F70A6" w:rsidRDefault="00155973" w:rsidP="00155973">
      <w:pPr>
        <w:pStyle w:val="Title16"/>
        <w:spacing w:after="0" w:line="240" w:lineRule="auto"/>
        <w:rPr>
          <w:rFonts w:ascii="Verdana" w:eastAsia="MS Mincho" w:hAnsi="Verdana" w:cs="Calibri"/>
          <w:sz w:val="20"/>
          <w:szCs w:val="20"/>
        </w:rPr>
      </w:pPr>
      <w:r w:rsidRPr="004F70A6">
        <w:rPr>
          <w:rFonts w:ascii="Verdana" w:eastAsia="MS Mincho" w:hAnsi="Verdana" w:cs="Calibri"/>
          <w:b w:val="0"/>
          <w:sz w:val="20"/>
          <w:szCs w:val="20"/>
        </w:rPr>
        <w:t>("</w:t>
      </w:r>
      <w:r w:rsidRPr="004F70A6">
        <w:rPr>
          <w:rFonts w:ascii="Verdana" w:eastAsia="MS Mincho" w:hAnsi="Verdana" w:cs="Calibri"/>
          <w:sz w:val="20"/>
          <w:szCs w:val="20"/>
        </w:rPr>
        <w:t>Prosus</w:t>
      </w:r>
      <w:r w:rsidRPr="004F70A6">
        <w:rPr>
          <w:rFonts w:ascii="Verdana" w:eastAsia="MS Mincho" w:hAnsi="Verdana" w:cs="Calibri"/>
          <w:b w:val="0"/>
          <w:sz w:val="20"/>
          <w:szCs w:val="20"/>
        </w:rPr>
        <w:t>"</w:t>
      </w:r>
      <w:r w:rsidRPr="004F70A6">
        <w:rPr>
          <w:rFonts w:ascii="Verdana" w:eastAsia="MS Mincho" w:hAnsi="Verdana" w:cs="Calibri"/>
          <w:sz w:val="20"/>
          <w:szCs w:val="20"/>
        </w:rPr>
        <w:t xml:space="preserve"> </w:t>
      </w:r>
      <w:r w:rsidRPr="004F70A6">
        <w:rPr>
          <w:rFonts w:ascii="Verdana" w:eastAsia="MS Mincho" w:hAnsi="Verdana" w:cs="Calibri"/>
          <w:b w:val="0"/>
          <w:sz w:val="20"/>
          <w:szCs w:val="20"/>
        </w:rPr>
        <w:t>or</w:t>
      </w:r>
      <w:r w:rsidRPr="004F70A6">
        <w:rPr>
          <w:rFonts w:ascii="Verdana" w:eastAsia="MS Mincho" w:hAnsi="Verdana" w:cs="Calibri"/>
          <w:sz w:val="20"/>
          <w:szCs w:val="20"/>
        </w:rPr>
        <w:t xml:space="preserve"> </w:t>
      </w:r>
      <w:r w:rsidRPr="004F70A6">
        <w:rPr>
          <w:rFonts w:ascii="Verdana" w:eastAsia="MS Mincho" w:hAnsi="Verdana" w:cs="Calibri"/>
          <w:b w:val="0"/>
          <w:sz w:val="20"/>
          <w:szCs w:val="20"/>
        </w:rPr>
        <w:t>the "</w:t>
      </w:r>
      <w:r w:rsidRPr="004F70A6">
        <w:rPr>
          <w:rFonts w:ascii="Verdana" w:eastAsia="MS Mincho" w:hAnsi="Verdana" w:cs="Calibri"/>
          <w:sz w:val="20"/>
          <w:szCs w:val="20"/>
        </w:rPr>
        <w:t>Company</w:t>
      </w:r>
      <w:r w:rsidRPr="004F70A6">
        <w:rPr>
          <w:rFonts w:ascii="Verdana" w:eastAsia="MS Mincho" w:hAnsi="Verdana" w:cs="Calibri"/>
          <w:b w:val="0"/>
          <w:sz w:val="20"/>
          <w:szCs w:val="20"/>
        </w:rPr>
        <w:t>")</w:t>
      </w:r>
    </w:p>
    <w:p w14:paraId="3811E1DD" w14:textId="021D20A6" w:rsidR="00112278" w:rsidRPr="004F70A6" w:rsidRDefault="00112278" w:rsidP="000037D3">
      <w:pPr>
        <w:jc w:val="both"/>
        <w:rPr>
          <w:rFonts w:ascii="Verdana" w:hAnsi="Verdana"/>
          <w:sz w:val="20"/>
          <w:szCs w:val="20"/>
        </w:rPr>
      </w:pPr>
    </w:p>
    <w:p w14:paraId="02F634FC" w14:textId="7C8152EE" w:rsidR="00155973" w:rsidRPr="004F70A6" w:rsidRDefault="00E664FC" w:rsidP="00155973">
      <w:pPr>
        <w:jc w:val="center"/>
        <w:rPr>
          <w:rFonts w:ascii="Verdana" w:hAnsi="Verdana"/>
          <w:b/>
          <w:bCs/>
          <w:sz w:val="20"/>
          <w:szCs w:val="20"/>
        </w:rPr>
      </w:pPr>
      <w:r>
        <w:rPr>
          <w:rFonts w:ascii="Verdana" w:hAnsi="Verdana"/>
          <w:b/>
          <w:bCs/>
          <w:sz w:val="20"/>
          <w:szCs w:val="20"/>
        </w:rPr>
        <w:t>DISTRIBUTIONS TO SHAREHOLDERS</w:t>
      </w:r>
    </w:p>
    <w:p w14:paraId="3A5B5CAC" w14:textId="77777777" w:rsidR="00155973" w:rsidRPr="004F70A6" w:rsidRDefault="00155973" w:rsidP="00155973">
      <w:pPr>
        <w:jc w:val="both"/>
        <w:rPr>
          <w:rFonts w:ascii="Verdana" w:hAnsi="Verdana"/>
          <w:sz w:val="20"/>
          <w:szCs w:val="20"/>
        </w:rPr>
      </w:pPr>
    </w:p>
    <w:p w14:paraId="768C4AB4" w14:textId="3E7519A2" w:rsidR="001311B1" w:rsidRDefault="00FD7BDB" w:rsidP="002E246B">
      <w:pPr>
        <w:keepNext/>
        <w:jc w:val="both"/>
        <w:rPr>
          <w:rFonts w:ascii="Verdana" w:hAnsi="Verdana"/>
          <w:sz w:val="20"/>
          <w:szCs w:val="20"/>
          <w:lang w:val="en-GB"/>
        </w:rPr>
      </w:pPr>
      <w:r>
        <w:rPr>
          <w:rFonts w:ascii="Verdana" w:hAnsi="Verdana"/>
          <w:sz w:val="20"/>
          <w:szCs w:val="20"/>
          <w:lang w:val="en-GB"/>
        </w:rPr>
        <w:t xml:space="preserve">Further to the announcement on 24 August 2021, </w:t>
      </w:r>
      <w:r w:rsidR="001311B1">
        <w:rPr>
          <w:rFonts w:ascii="Verdana" w:hAnsi="Verdana"/>
          <w:sz w:val="20"/>
          <w:szCs w:val="20"/>
          <w:lang w:val="en-GB"/>
        </w:rPr>
        <w:t>shareholders are reminded</w:t>
      </w:r>
      <w:r w:rsidR="001311B1" w:rsidRPr="001311B1">
        <w:t xml:space="preserve"> </w:t>
      </w:r>
      <w:r w:rsidR="001311B1">
        <w:rPr>
          <w:rFonts w:ascii="Verdana" w:hAnsi="Verdana"/>
          <w:sz w:val="20"/>
          <w:szCs w:val="20"/>
          <w:lang w:val="en-GB"/>
        </w:rPr>
        <w:t>that h</w:t>
      </w:r>
      <w:r w:rsidR="001311B1" w:rsidRPr="001311B1">
        <w:rPr>
          <w:rFonts w:ascii="Verdana" w:hAnsi="Verdana"/>
          <w:sz w:val="20"/>
          <w:szCs w:val="20"/>
          <w:lang w:val="en-GB"/>
        </w:rPr>
        <w:t>olders of ordinary shares N as at Friday, 29 October 2021 (the dividend record date) who do not wish to receive a capital repayment can elect to receive a dividend instead. A choice for one option implies an opt-out of the other option. Elections to receive a dividend instead of a capital repayment will need to be made by holders of ordinary shares N by Monday, 15 November 2021. Capital repayments and dividends will be payable to shareholders recorded in the books on the dividend record date and paid on or after Tuesday, 23 November 2021.</w:t>
      </w:r>
    </w:p>
    <w:p w14:paraId="339E7542" w14:textId="77777777" w:rsidR="001311B1" w:rsidRDefault="001311B1" w:rsidP="002E246B">
      <w:pPr>
        <w:keepNext/>
        <w:jc w:val="both"/>
        <w:rPr>
          <w:rFonts w:ascii="Verdana" w:hAnsi="Verdana"/>
          <w:sz w:val="20"/>
          <w:szCs w:val="20"/>
          <w:lang w:val="en-GB"/>
        </w:rPr>
      </w:pPr>
    </w:p>
    <w:p w14:paraId="6C8A7FE5" w14:textId="10F7ECA4" w:rsidR="00FD7BDB" w:rsidRDefault="001311B1" w:rsidP="002E246B">
      <w:pPr>
        <w:keepNext/>
        <w:jc w:val="both"/>
        <w:rPr>
          <w:rFonts w:ascii="Verdana" w:hAnsi="Verdana"/>
          <w:sz w:val="20"/>
          <w:szCs w:val="20"/>
          <w:lang w:val="en-GB"/>
        </w:rPr>
      </w:pPr>
      <w:r>
        <w:rPr>
          <w:rFonts w:ascii="Verdana" w:hAnsi="Verdana"/>
          <w:sz w:val="20"/>
          <w:szCs w:val="20"/>
          <w:lang w:val="en-GB"/>
        </w:rPr>
        <w:t>H</w:t>
      </w:r>
      <w:r w:rsidR="002E246B" w:rsidRPr="002E246B">
        <w:rPr>
          <w:rFonts w:ascii="Verdana" w:hAnsi="Verdana"/>
          <w:sz w:val="20"/>
          <w:szCs w:val="20"/>
          <w:lang w:val="en-GB"/>
        </w:rPr>
        <w:t xml:space="preserve">olders holding their ordinary shares N in South Africa via </w:t>
      </w:r>
      <w:proofErr w:type="spellStart"/>
      <w:r w:rsidR="002E246B" w:rsidRPr="002E246B">
        <w:rPr>
          <w:rFonts w:ascii="Verdana" w:hAnsi="Verdana"/>
          <w:sz w:val="20"/>
          <w:szCs w:val="20"/>
          <w:lang w:val="en-GB"/>
        </w:rPr>
        <w:t>Strate</w:t>
      </w:r>
      <w:proofErr w:type="spellEnd"/>
      <w:r w:rsidR="002E246B" w:rsidRPr="002E246B">
        <w:rPr>
          <w:rFonts w:ascii="Verdana" w:hAnsi="Verdana"/>
          <w:sz w:val="20"/>
          <w:szCs w:val="20"/>
          <w:lang w:val="en-GB"/>
        </w:rPr>
        <w:t xml:space="preserve"> will receive a distribution of 247</w:t>
      </w:r>
      <w:r w:rsidR="00A41A9E">
        <w:rPr>
          <w:rFonts w:ascii="Verdana" w:hAnsi="Verdana"/>
          <w:sz w:val="20"/>
          <w:szCs w:val="20"/>
          <w:lang w:val="en-GB"/>
        </w:rPr>
        <w:t>.</w:t>
      </w:r>
      <w:r w:rsidR="002E246B" w:rsidRPr="002E246B">
        <w:rPr>
          <w:rFonts w:ascii="Verdana" w:hAnsi="Verdana"/>
          <w:sz w:val="20"/>
          <w:szCs w:val="20"/>
          <w:lang w:val="en-GB"/>
        </w:rPr>
        <w:t>7811 Rand cents per ordinary share N</w:t>
      </w:r>
      <w:r w:rsidR="00FD7BDB">
        <w:rPr>
          <w:rFonts w:ascii="Verdana" w:hAnsi="Verdana"/>
          <w:sz w:val="20"/>
          <w:szCs w:val="20"/>
          <w:lang w:val="en-GB"/>
        </w:rPr>
        <w:t xml:space="preserve"> </w:t>
      </w:r>
      <w:proofErr w:type="gramStart"/>
      <w:r w:rsidR="00FD7BDB">
        <w:rPr>
          <w:rFonts w:ascii="Verdana" w:hAnsi="Verdana"/>
          <w:sz w:val="20"/>
          <w:szCs w:val="20"/>
          <w:lang w:val="en-GB"/>
        </w:rPr>
        <w:t>in the event that</w:t>
      </w:r>
      <w:proofErr w:type="gramEnd"/>
      <w:r w:rsidR="00FD7BDB">
        <w:rPr>
          <w:rFonts w:ascii="Verdana" w:hAnsi="Verdana"/>
          <w:sz w:val="20"/>
          <w:szCs w:val="20"/>
          <w:lang w:val="en-GB"/>
        </w:rPr>
        <w:t xml:space="preserve"> they </w:t>
      </w:r>
      <w:r>
        <w:rPr>
          <w:rFonts w:ascii="Verdana" w:hAnsi="Verdana"/>
          <w:sz w:val="20"/>
          <w:szCs w:val="20"/>
          <w:lang w:val="en-GB"/>
        </w:rPr>
        <w:t>choose to</w:t>
      </w:r>
      <w:r w:rsidR="00FD7BDB">
        <w:rPr>
          <w:rFonts w:ascii="Verdana" w:hAnsi="Verdana"/>
          <w:sz w:val="20"/>
          <w:szCs w:val="20"/>
          <w:lang w:val="en-GB"/>
        </w:rPr>
        <w:t xml:space="preserve"> receive their distribution as repaid capital</w:t>
      </w:r>
      <w:r w:rsidR="002E246B" w:rsidRPr="002E246B">
        <w:rPr>
          <w:rFonts w:ascii="Verdana" w:hAnsi="Verdana"/>
          <w:sz w:val="20"/>
          <w:szCs w:val="20"/>
          <w:lang w:val="en-GB"/>
        </w:rPr>
        <w:t>.</w:t>
      </w:r>
      <w:r w:rsidR="002E246B">
        <w:rPr>
          <w:rFonts w:ascii="Verdana" w:hAnsi="Verdana"/>
          <w:sz w:val="20"/>
          <w:szCs w:val="20"/>
          <w:lang w:val="en-GB"/>
        </w:rPr>
        <w:t xml:space="preserve">  </w:t>
      </w:r>
    </w:p>
    <w:p w14:paraId="3A96BB3B" w14:textId="77777777" w:rsidR="00FD7BDB" w:rsidRDefault="00FD7BDB" w:rsidP="002E246B">
      <w:pPr>
        <w:keepNext/>
        <w:jc w:val="both"/>
        <w:rPr>
          <w:rFonts w:ascii="Verdana" w:hAnsi="Verdana"/>
          <w:sz w:val="20"/>
          <w:szCs w:val="20"/>
          <w:lang w:val="en-GB"/>
        </w:rPr>
      </w:pPr>
    </w:p>
    <w:p w14:paraId="0ABF42AA" w14:textId="6D8B4484" w:rsidR="008516A2" w:rsidRDefault="002E246B" w:rsidP="008516A2">
      <w:pPr>
        <w:keepNext/>
        <w:jc w:val="both"/>
        <w:rPr>
          <w:rFonts w:ascii="Verdana" w:hAnsi="Verdana"/>
          <w:sz w:val="20"/>
          <w:szCs w:val="20"/>
        </w:rPr>
      </w:pPr>
      <w:r>
        <w:rPr>
          <w:rFonts w:ascii="Verdana" w:hAnsi="Verdana"/>
          <w:sz w:val="20"/>
          <w:szCs w:val="20"/>
          <w:lang w:val="en-GB"/>
        </w:rPr>
        <w:t>Generally</w:t>
      </w:r>
      <w:r w:rsidR="00A41A9E">
        <w:rPr>
          <w:rFonts w:ascii="Verdana" w:hAnsi="Verdana"/>
          <w:sz w:val="20"/>
          <w:szCs w:val="20"/>
          <w:lang w:val="en-GB"/>
        </w:rPr>
        <w:t>,</w:t>
      </w:r>
      <w:r>
        <w:rPr>
          <w:rFonts w:ascii="Verdana" w:hAnsi="Verdana"/>
          <w:sz w:val="20"/>
          <w:szCs w:val="20"/>
          <w:lang w:val="en-GB"/>
        </w:rPr>
        <w:t xml:space="preserve"> s</w:t>
      </w:r>
      <w:r w:rsidR="00951E95" w:rsidRPr="00951E95">
        <w:rPr>
          <w:rFonts w:ascii="Verdana" w:hAnsi="Verdana"/>
          <w:sz w:val="20"/>
          <w:szCs w:val="20"/>
          <w:lang w:val="en-GB"/>
        </w:rPr>
        <w:t xml:space="preserve">hareholders holding their ordinary shares N on the South African register </w:t>
      </w:r>
      <w:r w:rsidR="009E26A4">
        <w:rPr>
          <w:rFonts w:ascii="Verdana" w:hAnsi="Verdana"/>
          <w:sz w:val="20"/>
          <w:szCs w:val="20"/>
          <w:lang w:val="en-GB"/>
        </w:rPr>
        <w:t xml:space="preserve">positively electing to receive a dividend </w:t>
      </w:r>
      <w:r w:rsidR="00951E95" w:rsidRPr="00951E95">
        <w:rPr>
          <w:rFonts w:ascii="Verdana" w:hAnsi="Verdana"/>
          <w:sz w:val="20"/>
          <w:szCs w:val="20"/>
          <w:lang w:val="en-GB"/>
        </w:rPr>
        <w:t xml:space="preserve">will receive a </w:t>
      </w:r>
      <w:r w:rsidR="009E26A4">
        <w:rPr>
          <w:rFonts w:ascii="Verdana" w:hAnsi="Verdana"/>
          <w:sz w:val="20"/>
          <w:szCs w:val="20"/>
          <w:lang w:val="en-GB"/>
        </w:rPr>
        <w:t xml:space="preserve">net </w:t>
      </w:r>
      <w:r w:rsidR="00951E95" w:rsidRPr="00951E95">
        <w:rPr>
          <w:rFonts w:ascii="Verdana" w:hAnsi="Verdana"/>
          <w:sz w:val="20"/>
          <w:szCs w:val="20"/>
          <w:lang w:val="en-GB"/>
        </w:rPr>
        <w:t>distribution of</w:t>
      </w:r>
      <w:r w:rsidR="00FD7BDB">
        <w:rPr>
          <w:rFonts w:ascii="Verdana" w:hAnsi="Verdana"/>
          <w:sz w:val="20"/>
          <w:szCs w:val="20"/>
          <w:lang w:val="en-GB"/>
        </w:rPr>
        <w:t xml:space="preserve"> </w:t>
      </w:r>
      <w:r w:rsidR="0066212F">
        <w:rPr>
          <w:rFonts w:ascii="Verdana" w:hAnsi="Verdana"/>
          <w:sz w:val="20"/>
          <w:szCs w:val="20"/>
          <w:lang w:val="en-GB"/>
        </w:rPr>
        <w:t>at least 161</w:t>
      </w:r>
      <w:r>
        <w:rPr>
          <w:rFonts w:ascii="Verdana" w:hAnsi="Verdana"/>
          <w:sz w:val="20"/>
          <w:szCs w:val="20"/>
          <w:lang w:val="en-GB"/>
        </w:rPr>
        <w:t>.</w:t>
      </w:r>
      <w:r w:rsidR="0066212F">
        <w:rPr>
          <w:rFonts w:ascii="Verdana" w:hAnsi="Verdana"/>
          <w:sz w:val="20"/>
          <w:szCs w:val="20"/>
          <w:lang w:val="en-GB"/>
        </w:rPr>
        <w:t xml:space="preserve">05771 </w:t>
      </w:r>
      <w:r w:rsidR="00FD7BDB">
        <w:rPr>
          <w:rFonts w:ascii="Verdana" w:hAnsi="Verdana"/>
          <w:sz w:val="20"/>
          <w:szCs w:val="20"/>
          <w:lang w:val="en-GB"/>
        </w:rPr>
        <w:t xml:space="preserve">Rand </w:t>
      </w:r>
      <w:r w:rsidR="00951E95" w:rsidRPr="00951E95">
        <w:rPr>
          <w:rFonts w:ascii="Verdana" w:hAnsi="Verdana"/>
          <w:sz w:val="20"/>
          <w:szCs w:val="20"/>
          <w:lang w:val="en-GB"/>
        </w:rPr>
        <w:t>cents per ordinary share N</w:t>
      </w:r>
      <w:r w:rsidR="00FD7BDB">
        <w:rPr>
          <w:rFonts w:ascii="Verdana" w:hAnsi="Verdana"/>
          <w:sz w:val="20"/>
          <w:szCs w:val="20"/>
          <w:lang w:val="en-GB"/>
        </w:rPr>
        <w:t xml:space="preserve">. </w:t>
      </w:r>
      <w:r w:rsidR="0066212F">
        <w:rPr>
          <w:rFonts w:ascii="Verdana" w:hAnsi="Verdana"/>
          <w:sz w:val="20"/>
          <w:szCs w:val="20"/>
          <w:lang w:val="en-GB"/>
        </w:rPr>
        <w:t xml:space="preserve">A maximum amount of </w:t>
      </w:r>
      <w:r w:rsidR="009C2EF1">
        <w:rPr>
          <w:rFonts w:ascii="Verdana" w:hAnsi="Verdana"/>
          <w:sz w:val="20"/>
          <w:szCs w:val="20"/>
          <w:lang w:val="en-GB"/>
        </w:rPr>
        <w:t>86.</w:t>
      </w:r>
      <w:r w:rsidR="00C72966">
        <w:rPr>
          <w:rFonts w:ascii="Verdana" w:hAnsi="Verdana"/>
          <w:sz w:val="20"/>
          <w:szCs w:val="20"/>
          <w:lang w:val="en-GB"/>
        </w:rPr>
        <w:t xml:space="preserve">72339 Rands will be withheld (being </w:t>
      </w:r>
      <w:r w:rsidR="008516A2">
        <w:rPr>
          <w:rFonts w:ascii="Verdana" w:hAnsi="Verdana"/>
          <w:sz w:val="20"/>
          <w:szCs w:val="20"/>
        </w:rPr>
        <w:t xml:space="preserve">15% </w:t>
      </w:r>
      <w:r w:rsidR="008516A2" w:rsidRPr="008516A2">
        <w:rPr>
          <w:rFonts w:ascii="Verdana" w:hAnsi="Verdana"/>
          <w:sz w:val="20"/>
          <w:szCs w:val="20"/>
        </w:rPr>
        <w:t xml:space="preserve">Dutch dividend </w:t>
      </w:r>
      <w:r w:rsidR="00C72966">
        <w:rPr>
          <w:rFonts w:ascii="Verdana" w:hAnsi="Verdana"/>
          <w:sz w:val="20"/>
          <w:szCs w:val="20"/>
        </w:rPr>
        <w:t xml:space="preserve">withholding </w:t>
      </w:r>
      <w:r w:rsidR="008516A2" w:rsidRPr="008516A2">
        <w:rPr>
          <w:rFonts w:ascii="Verdana" w:hAnsi="Verdana"/>
          <w:sz w:val="20"/>
          <w:szCs w:val="20"/>
        </w:rPr>
        <w:t>tax</w:t>
      </w:r>
      <w:r w:rsidR="00C72966">
        <w:rPr>
          <w:rFonts w:ascii="Verdana" w:hAnsi="Verdana"/>
          <w:sz w:val="20"/>
          <w:szCs w:val="20"/>
        </w:rPr>
        <w:t xml:space="preserve"> plus 20% SA dividend tax)</w:t>
      </w:r>
      <w:r w:rsidR="008516A2" w:rsidRPr="008516A2">
        <w:rPr>
          <w:rFonts w:ascii="Verdana" w:hAnsi="Verdana"/>
          <w:sz w:val="20"/>
          <w:szCs w:val="20"/>
        </w:rPr>
        <w:t xml:space="preserve">. </w:t>
      </w:r>
      <w:r w:rsidR="008516A2">
        <w:rPr>
          <w:rFonts w:ascii="Verdana" w:hAnsi="Verdana"/>
          <w:sz w:val="20"/>
          <w:szCs w:val="20"/>
        </w:rPr>
        <w:t xml:space="preserve"> </w:t>
      </w:r>
      <w:r w:rsidR="0066212F">
        <w:rPr>
          <w:rFonts w:ascii="Verdana" w:hAnsi="Verdana"/>
          <w:sz w:val="20"/>
          <w:szCs w:val="20"/>
        </w:rPr>
        <w:t xml:space="preserve">This 15% Dutch dividend withholding tax may be reduced if shareholders provide evidence via the ABN AMRO platform that they are entitled to tax treaty benefits.  </w:t>
      </w:r>
      <w:r w:rsidR="008516A2" w:rsidRPr="008516A2">
        <w:rPr>
          <w:rFonts w:ascii="Verdana" w:hAnsi="Verdana"/>
          <w:sz w:val="20"/>
          <w:szCs w:val="20"/>
        </w:rPr>
        <w:t>The amount of additional South African dividend tax payable will be calculated by deducting from the 20% South African dividend tax otherwise due, a rebate equal to the Dutch dividend</w:t>
      </w:r>
      <w:r w:rsidR="008516A2">
        <w:rPr>
          <w:rFonts w:ascii="Verdana" w:hAnsi="Verdana"/>
          <w:sz w:val="20"/>
          <w:szCs w:val="20"/>
        </w:rPr>
        <w:t xml:space="preserve"> withholding</w:t>
      </w:r>
      <w:r w:rsidR="008516A2" w:rsidRPr="008516A2">
        <w:rPr>
          <w:rFonts w:ascii="Verdana" w:hAnsi="Verdana"/>
          <w:sz w:val="20"/>
          <w:szCs w:val="20"/>
        </w:rPr>
        <w:t xml:space="preserve"> tax paid in respect of the dividend (without any right of recovery). </w:t>
      </w:r>
      <w:r w:rsidR="008516A2">
        <w:rPr>
          <w:rFonts w:ascii="Verdana" w:hAnsi="Verdana"/>
          <w:sz w:val="20"/>
          <w:szCs w:val="20"/>
        </w:rPr>
        <w:t xml:space="preserve"> </w:t>
      </w:r>
      <w:r w:rsidR="008516A2" w:rsidRPr="008516A2">
        <w:rPr>
          <w:rFonts w:ascii="Verdana" w:hAnsi="Verdana"/>
          <w:sz w:val="20"/>
          <w:szCs w:val="20"/>
        </w:rPr>
        <w:t xml:space="preserve">Those shareholders, unless exempt from paying dividend tax or entitled to a reduced withholding tax rate in terms of an applicable tax treaty, will </w:t>
      </w:r>
      <w:r w:rsidR="0066212F">
        <w:rPr>
          <w:rFonts w:ascii="Verdana" w:hAnsi="Verdana"/>
          <w:sz w:val="20"/>
          <w:szCs w:val="20"/>
        </w:rPr>
        <w:t xml:space="preserve">thus </w:t>
      </w:r>
      <w:r w:rsidR="008516A2" w:rsidRPr="008516A2">
        <w:rPr>
          <w:rFonts w:ascii="Verdana" w:hAnsi="Verdana"/>
          <w:sz w:val="20"/>
          <w:szCs w:val="20"/>
        </w:rPr>
        <w:t>be subject to a maximum of 20% total dividend tax</w:t>
      </w:r>
      <w:r w:rsidR="008516A2">
        <w:rPr>
          <w:rFonts w:ascii="Verdana" w:hAnsi="Verdana"/>
          <w:sz w:val="20"/>
          <w:szCs w:val="20"/>
        </w:rPr>
        <w:t xml:space="preserve"> which equals 49.55622 Rands</w:t>
      </w:r>
      <w:r w:rsidR="008516A2" w:rsidRPr="008516A2">
        <w:rPr>
          <w:rFonts w:ascii="Verdana" w:hAnsi="Verdana"/>
          <w:sz w:val="20"/>
          <w:szCs w:val="20"/>
        </w:rPr>
        <w:t xml:space="preserve">. </w:t>
      </w:r>
    </w:p>
    <w:p w14:paraId="056FCFFF" w14:textId="77777777" w:rsidR="008516A2" w:rsidRDefault="008516A2" w:rsidP="008516A2">
      <w:pPr>
        <w:keepNext/>
        <w:jc w:val="both"/>
        <w:rPr>
          <w:rFonts w:ascii="Verdana" w:hAnsi="Verdana"/>
          <w:sz w:val="20"/>
          <w:szCs w:val="20"/>
        </w:rPr>
      </w:pPr>
    </w:p>
    <w:p w14:paraId="67EDCE82" w14:textId="7A62DD3F" w:rsidR="008516A2" w:rsidRPr="008516A2" w:rsidRDefault="008516A2" w:rsidP="008516A2">
      <w:pPr>
        <w:keepNext/>
        <w:jc w:val="both"/>
        <w:rPr>
          <w:rFonts w:ascii="Verdana" w:hAnsi="Verdana"/>
          <w:sz w:val="20"/>
          <w:szCs w:val="20"/>
        </w:rPr>
      </w:pPr>
      <w:r w:rsidRPr="008516A2">
        <w:rPr>
          <w:rFonts w:ascii="Verdana" w:hAnsi="Verdana"/>
          <w:sz w:val="20"/>
          <w:szCs w:val="20"/>
        </w:rPr>
        <w:t xml:space="preserve">Holders of ordinary shares N that don’t elect for a dividend will automatically receive a capital repayment which will not be subject to Dutch </w:t>
      </w:r>
      <w:r w:rsidR="00797848">
        <w:rPr>
          <w:rFonts w:ascii="Verdana" w:hAnsi="Verdana"/>
          <w:sz w:val="20"/>
          <w:szCs w:val="20"/>
        </w:rPr>
        <w:t xml:space="preserve">dividend withholding tax </w:t>
      </w:r>
      <w:r w:rsidRPr="008516A2">
        <w:rPr>
          <w:rFonts w:ascii="Verdana" w:hAnsi="Verdana"/>
          <w:sz w:val="20"/>
          <w:szCs w:val="20"/>
        </w:rPr>
        <w:t>and South African dividend tax.</w:t>
      </w:r>
    </w:p>
    <w:p w14:paraId="50595DFF" w14:textId="0F77D7E8" w:rsidR="00A41A9E" w:rsidRDefault="00A41A9E" w:rsidP="002E246B">
      <w:pPr>
        <w:keepNext/>
        <w:jc w:val="both"/>
        <w:rPr>
          <w:rFonts w:ascii="Verdana" w:hAnsi="Verdana"/>
          <w:sz w:val="20"/>
          <w:szCs w:val="20"/>
          <w:lang w:val="en-GB"/>
        </w:rPr>
      </w:pPr>
    </w:p>
    <w:p w14:paraId="03A291B6" w14:textId="3E3E3407" w:rsidR="00A41A9E" w:rsidRDefault="00A41A9E" w:rsidP="002E246B">
      <w:pPr>
        <w:keepNext/>
        <w:jc w:val="both"/>
        <w:rPr>
          <w:rFonts w:ascii="Verdana" w:hAnsi="Verdana"/>
          <w:sz w:val="20"/>
          <w:szCs w:val="20"/>
          <w:lang w:val="en-GB"/>
        </w:rPr>
      </w:pPr>
      <w:r>
        <w:rPr>
          <w:rFonts w:ascii="Verdana" w:hAnsi="Verdana"/>
          <w:sz w:val="20"/>
          <w:szCs w:val="20"/>
          <w:lang w:val="en-GB"/>
        </w:rPr>
        <w:t>For more information regarding the tax implications of the Prosus distribution, please refer to the announcement on 24 August 2021.</w:t>
      </w:r>
    </w:p>
    <w:p w14:paraId="713CB419" w14:textId="77777777" w:rsidR="009E26A4" w:rsidRDefault="009E26A4" w:rsidP="005607E7">
      <w:pPr>
        <w:keepNext/>
        <w:jc w:val="both"/>
        <w:rPr>
          <w:rFonts w:ascii="Verdana" w:hAnsi="Verdana" w:cs="Calibri"/>
          <w:sz w:val="20"/>
          <w:szCs w:val="20"/>
          <w:lang w:val="en-GB"/>
        </w:rPr>
      </w:pPr>
    </w:p>
    <w:p w14:paraId="2F80FB00" w14:textId="73C54032" w:rsidR="00315E62" w:rsidRPr="00150E09" w:rsidRDefault="00315E62" w:rsidP="005607E7">
      <w:pPr>
        <w:keepNext/>
        <w:jc w:val="both"/>
        <w:rPr>
          <w:rFonts w:ascii="Verdana" w:hAnsi="Verdana" w:cs="Calibri"/>
          <w:sz w:val="20"/>
          <w:szCs w:val="20"/>
          <w:lang w:val="en-GB"/>
        </w:rPr>
      </w:pPr>
      <w:r w:rsidRPr="00150E09">
        <w:rPr>
          <w:rFonts w:ascii="Verdana" w:hAnsi="Verdana" w:cs="Calibri"/>
          <w:sz w:val="20"/>
          <w:szCs w:val="20"/>
          <w:lang w:val="en-GB"/>
        </w:rPr>
        <w:t>Amsterdam, the Netherlands</w:t>
      </w:r>
    </w:p>
    <w:p w14:paraId="0229F6C9" w14:textId="41C2281E" w:rsidR="00315E62" w:rsidRPr="00150E09" w:rsidRDefault="00DC3B41" w:rsidP="00315E62">
      <w:pPr>
        <w:jc w:val="both"/>
        <w:rPr>
          <w:rFonts w:ascii="Verdana" w:hAnsi="Verdana" w:cs="Calibri"/>
          <w:sz w:val="20"/>
          <w:szCs w:val="20"/>
          <w:lang w:val="en-GB"/>
        </w:rPr>
      </w:pPr>
      <w:r>
        <w:rPr>
          <w:rFonts w:ascii="Verdana" w:hAnsi="Verdana" w:cs="Calibri"/>
          <w:sz w:val="20"/>
          <w:szCs w:val="20"/>
          <w:lang w:val="en-GB"/>
        </w:rPr>
        <w:t>21</w:t>
      </w:r>
      <w:r w:rsidR="00080E83" w:rsidRPr="00150E09">
        <w:rPr>
          <w:rFonts w:ascii="Verdana" w:hAnsi="Verdana" w:cs="Calibri"/>
          <w:sz w:val="20"/>
          <w:szCs w:val="20"/>
          <w:lang w:val="en-GB"/>
        </w:rPr>
        <w:t xml:space="preserve"> </w:t>
      </w:r>
      <w:r>
        <w:rPr>
          <w:rFonts w:ascii="Verdana" w:hAnsi="Verdana" w:cs="Calibri"/>
          <w:sz w:val="20"/>
          <w:szCs w:val="20"/>
          <w:lang w:val="en-GB"/>
        </w:rPr>
        <w:t>October</w:t>
      </w:r>
      <w:r w:rsidR="00315E62" w:rsidRPr="00150E09">
        <w:rPr>
          <w:rFonts w:ascii="Verdana" w:hAnsi="Verdana" w:cs="Calibri"/>
          <w:sz w:val="20"/>
          <w:szCs w:val="20"/>
          <w:lang w:val="en-GB"/>
        </w:rPr>
        <w:t xml:space="preserve"> 202</w:t>
      </w:r>
      <w:r w:rsidR="00D97371">
        <w:rPr>
          <w:rFonts w:ascii="Verdana" w:hAnsi="Verdana" w:cs="Calibri"/>
          <w:sz w:val="20"/>
          <w:szCs w:val="20"/>
          <w:lang w:val="en-GB"/>
        </w:rPr>
        <w:t>1</w:t>
      </w:r>
    </w:p>
    <w:p w14:paraId="61E8A3CE" w14:textId="77777777" w:rsidR="00315E62" w:rsidRPr="00150E09" w:rsidRDefault="00315E62" w:rsidP="00315E62">
      <w:pPr>
        <w:jc w:val="both"/>
        <w:rPr>
          <w:rFonts w:ascii="Verdana" w:hAnsi="Verdana" w:cs="Calibri"/>
          <w:sz w:val="20"/>
          <w:szCs w:val="20"/>
          <w:lang w:val="en-GB"/>
        </w:rPr>
      </w:pPr>
    </w:p>
    <w:p w14:paraId="0C7B890A" w14:textId="77777777" w:rsidR="00315E62" w:rsidRPr="00150E09" w:rsidRDefault="00315E62" w:rsidP="00315E62">
      <w:pPr>
        <w:jc w:val="both"/>
        <w:rPr>
          <w:rFonts w:ascii="Verdana" w:hAnsi="Verdana" w:cs="Calibri"/>
          <w:b/>
          <w:bCs/>
          <w:sz w:val="20"/>
          <w:szCs w:val="20"/>
          <w:lang w:val="en-GB"/>
        </w:rPr>
      </w:pPr>
      <w:r w:rsidRPr="00150E09">
        <w:rPr>
          <w:rFonts w:ascii="Verdana" w:hAnsi="Verdana" w:cs="Calibri"/>
          <w:b/>
          <w:bCs/>
          <w:sz w:val="20"/>
          <w:szCs w:val="20"/>
          <w:lang w:val="en-GB"/>
        </w:rPr>
        <w:lastRenderedPageBreak/>
        <w:t>JSE sponsor to Prosus:</w:t>
      </w:r>
    </w:p>
    <w:p w14:paraId="7B774DDB" w14:textId="7A44F5EF" w:rsidR="002751E5" w:rsidRPr="00150E09" w:rsidRDefault="00315E62" w:rsidP="00315E62">
      <w:pPr>
        <w:jc w:val="both"/>
        <w:rPr>
          <w:rFonts w:ascii="Verdana" w:hAnsi="Verdana" w:cs="Calibri"/>
          <w:sz w:val="20"/>
          <w:szCs w:val="20"/>
          <w:lang w:val="en-GB"/>
        </w:rPr>
      </w:pPr>
      <w:r w:rsidRPr="00150E09">
        <w:rPr>
          <w:rFonts w:ascii="Verdana" w:hAnsi="Verdana" w:cs="Calibri"/>
          <w:sz w:val="20"/>
          <w:szCs w:val="20"/>
          <w:lang w:val="en-GB"/>
        </w:rPr>
        <w:t>Investec Bank Limited</w:t>
      </w:r>
    </w:p>
    <w:p w14:paraId="46E769D6" w14:textId="77777777" w:rsidR="00B5418C" w:rsidRPr="00150E09" w:rsidRDefault="00B5418C" w:rsidP="00BE5FF8">
      <w:pPr>
        <w:spacing w:line="240" w:lineRule="auto"/>
        <w:jc w:val="both"/>
        <w:rPr>
          <w:rFonts w:ascii="Verdana" w:hAnsi="Verdana" w:cstheme="minorHAnsi"/>
          <w:sz w:val="20"/>
          <w:szCs w:val="20"/>
        </w:rPr>
      </w:pPr>
    </w:p>
    <w:p w14:paraId="36D401AC" w14:textId="77777777" w:rsidR="00B5418C" w:rsidRPr="00150E09" w:rsidRDefault="00B5418C" w:rsidP="00B5418C">
      <w:pPr>
        <w:jc w:val="both"/>
        <w:rPr>
          <w:rFonts w:ascii="Verdana" w:hAnsi="Verdana" w:cs="Calibri"/>
          <w:b/>
          <w:bCs/>
          <w:sz w:val="20"/>
          <w:szCs w:val="20"/>
          <w:lang w:val="en-GB"/>
        </w:rPr>
      </w:pPr>
      <w:r w:rsidRPr="00150E09">
        <w:rPr>
          <w:rFonts w:ascii="Verdana" w:hAnsi="Verdana" w:cs="Calibri"/>
          <w:b/>
          <w:bCs/>
          <w:sz w:val="20"/>
          <w:szCs w:val="20"/>
          <w:lang w:val="en-GB"/>
        </w:rPr>
        <w:t>Euronext listing agent</w:t>
      </w:r>
    </w:p>
    <w:p w14:paraId="7E50EF88" w14:textId="77777777" w:rsidR="00B5418C" w:rsidRPr="00150E09" w:rsidRDefault="00B5418C" w:rsidP="00B5418C">
      <w:pPr>
        <w:spacing w:line="240" w:lineRule="auto"/>
        <w:ind w:left="3974" w:hanging="3974"/>
        <w:jc w:val="both"/>
        <w:rPr>
          <w:rFonts w:ascii="Verdana" w:hAnsi="Verdana" w:cstheme="minorHAnsi"/>
          <w:sz w:val="20"/>
          <w:szCs w:val="20"/>
        </w:rPr>
      </w:pPr>
      <w:r w:rsidRPr="00150E09">
        <w:rPr>
          <w:rFonts w:ascii="Verdana" w:hAnsi="Verdana" w:cstheme="minorHAnsi"/>
          <w:sz w:val="20"/>
          <w:szCs w:val="20"/>
        </w:rPr>
        <w:t>ING Bank N.V.</w:t>
      </w:r>
    </w:p>
    <w:p w14:paraId="020242A0" w14:textId="77777777" w:rsidR="00B5418C" w:rsidRPr="00150E09" w:rsidRDefault="00B5418C" w:rsidP="00B5418C">
      <w:pPr>
        <w:spacing w:line="240" w:lineRule="auto"/>
        <w:ind w:left="3974" w:hanging="3974"/>
        <w:jc w:val="both"/>
        <w:rPr>
          <w:rFonts w:ascii="Verdana" w:hAnsi="Verdana" w:cstheme="minorHAnsi"/>
          <w:sz w:val="20"/>
          <w:szCs w:val="20"/>
        </w:rPr>
      </w:pPr>
    </w:p>
    <w:p w14:paraId="2BC29E50" w14:textId="77777777" w:rsidR="00B5418C" w:rsidRPr="00150E09" w:rsidRDefault="00B5418C" w:rsidP="00B5418C">
      <w:pPr>
        <w:jc w:val="both"/>
        <w:rPr>
          <w:rFonts w:ascii="Verdana" w:hAnsi="Verdana" w:cs="Calibri"/>
          <w:b/>
          <w:bCs/>
          <w:sz w:val="20"/>
          <w:szCs w:val="20"/>
          <w:lang w:val="en-GB"/>
        </w:rPr>
      </w:pPr>
      <w:r w:rsidRPr="00150E09">
        <w:rPr>
          <w:rFonts w:ascii="Verdana" w:hAnsi="Verdana" w:cs="Calibri"/>
          <w:b/>
          <w:bCs/>
          <w:sz w:val="20"/>
          <w:szCs w:val="20"/>
          <w:lang w:val="en-GB"/>
        </w:rPr>
        <w:t>Euronext paying agent</w:t>
      </w:r>
    </w:p>
    <w:p w14:paraId="644020A7" w14:textId="77777777" w:rsidR="00B5418C" w:rsidRPr="00150E09" w:rsidRDefault="00B5418C" w:rsidP="00B5418C">
      <w:pPr>
        <w:spacing w:line="240" w:lineRule="auto"/>
        <w:ind w:left="3974" w:hanging="3974"/>
        <w:jc w:val="both"/>
        <w:rPr>
          <w:rFonts w:ascii="Verdana" w:hAnsi="Verdana" w:cstheme="minorHAnsi"/>
          <w:sz w:val="20"/>
          <w:szCs w:val="20"/>
          <w:lang w:val="de-DE"/>
        </w:rPr>
      </w:pPr>
      <w:r w:rsidRPr="00150E09">
        <w:rPr>
          <w:rFonts w:ascii="Verdana" w:hAnsi="Verdana" w:cstheme="minorHAnsi"/>
          <w:sz w:val="20"/>
          <w:szCs w:val="20"/>
          <w:lang w:val="de-DE"/>
        </w:rPr>
        <w:t>ABN AMRO Bank N.V.</w:t>
      </w:r>
    </w:p>
    <w:p w14:paraId="0B31A35A" w14:textId="77777777" w:rsidR="00B5418C" w:rsidRPr="00150E09" w:rsidRDefault="00B5418C" w:rsidP="00B5418C">
      <w:pPr>
        <w:spacing w:line="240" w:lineRule="auto"/>
        <w:ind w:left="3974" w:hanging="3974"/>
        <w:jc w:val="both"/>
        <w:rPr>
          <w:rFonts w:ascii="Verdana" w:hAnsi="Verdana" w:cstheme="minorHAnsi"/>
          <w:sz w:val="20"/>
          <w:szCs w:val="20"/>
          <w:lang w:val="de-DE"/>
        </w:rPr>
      </w:pPr>
    </w:p>
    <w:p w14:paraId="488BDB8A" w14:textId="77777777" w:rsidR="00CA57EF" w:rsidRPr="001869DA" w:rsidRDefault="00CA57EF" w:rsidP="00CA57EF">
      <w:pPr>
        <w:pStyle w:val="AODocTxt"/>
        <w:jc w:val="left"/>
        <w:rPr>
          <w:rFonts w:ascii="Verdana" w:hAnsi="Verdana"/>
          <w:sz w:val="20"/>
          <w:szCs w:val="20"/>
          <w:lang w:val="de-DE"/>
        </w:rPr>
      </w:pPr>
    </w:p>
    <w:p w14:paraId="38720A29" w14:textId="77777777" w:rsidR="00CA57EF" w:rsidRPr="00150E09" w:rsidRDefault="00CA57EF" w:rsidP="00CA57EF">
      <w:pPr>
        <w:jc w:val="both"/>
        <w:textAlignment w:val="baseline"/>
        <w:rPr>
          <w:rFonts w:ascii="Verdana" w:hAnsi="Verdana" w:cs="Segoe UI"/>
          <w:sz w:val="20"/>
          <w:szCs w:val="20"/>
        </w:rPr>
      </w:pPr>
      <w:r w:rsidRPr="00150E09">
        <w:rPr>
          <w:rFonts w:ascii="Verdana" w:hAnsi="Verdana" w:cs="Segoe UI"/>
          <w:b/>
          <w:bCs/>
          <w:sz w:val="20"/>
          <w:szCs w:val="20"/>
          <w:lang w:val="en-ZA"/>
        </w:rPr>
        <w:t>Enquiries</w:t>
      </w:r>
      <w:r w:rsidRPr="00150E09">
        <w:rPr>
          <w:rFonts w:ascii="Verdana" w:hAnsi="Verdana" w:cs="Segoe UI"/>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15"/>
        <w:gridCol w:w="4380"/>
      </w:tblGrid>
      <w:tr w:rsidR="00CA57EF" w:rsidRPr="00150E09" w14:paraId="62E762E2" w14:textId="77777777" w:rsidTr="00225364">
        <w:tc>
          <w:tcPr>
            <w:tcW w:w="4815" w:type="dxa"/>
            <w:tcBorders>
              <w:top w:val="nil"/>
              <w:left w:val="nil"/>
              <w:bottom w:val="nil"/>
              <w:right w:val="nil"/>
            </w:tcBorders>
            <w:shd w:val="clear" w:color="auto" w:fill="auto"/>
            <w:hideMark/>
          </w:tcPr>
          <w:p w14:paraId="09FC963F" w14:textId="77777777" w:rsidR="00CA57EF" w:rsidRPr="00150E09" w:rsidRDefault="00CA57EF" w:rsidP="00225364">
            <w:pPr>
              <w:jc w:val="both"/>
              <w:textAlignment w:val="baseline"/>
              <w:rPr>
                <w:rFonts w:ascii="Verdana" w:hAnsi="Verdana"/>
                <w:sz w:val="20"/>
                <w:szCs w:val="20"/>
              </w:rPr>
            </w:pPr>
            <w:r w:rsidRPr="00150E09">
              <w:rPr>
                <w:rFonts w:ascii="Verdana" w:hAnsi="Verdana"/>
                <w:b/>
                <w:bCs/>
                <w:sz w:val="20"/>
                <w:szCs w:val="20"/>
              </w:rPr>
              <w:t>Investor Enquiries</w:t>
            </w:r>
            <w:r w:rsidRPr="00150E09">
              <w:rPr>
                <w:rFonts w:ascii="Verdana" w:hAnsi="Verdana"/>
                <w:sz w:val="20"/>
                <w:szCs w:val="20"/>
              </w:rPr>
              <w:t> </w:t>
            </w:r>
          </w:p>
          <w:p w14:paraId="3A1CB013" w14:textId="77777777" w:rsidR="00CA57EF" w:rsidRPr="00150E09" w:rsidRDefault="00CA57EF" w:rsidP="00225364">
            <w:pPr>
              <w:jc w:val="both"/>
              <w:textAlignment w:val="baseline"/>
              <w:rPr>
                <w:rFonts w:ascii="Verdana" w:hAnsi="Verdana"/>
                <w:sz w:val="20"/>
                <w:szCs w:val="20"/>
              </w:rPr>
            </w:pPr>
            <w:r w:rsidRPr="00150E09">
              <w:rPr>
                <w:rFonts w:ascii="Verdana" w:hAnsi="Verdana"/>
                <w:sz w:val="20"/>
                <w:szCs w:val="20"/>
              </w:rPr>
              <w:t>Eoin Ryan, Head of Investor Relations </w:t>
            </w:r>
          </w:p>
        </w:tc>
        <w:tc>
          <w:tcPr>
            <w:tcW w:w="4380" w:type="dxa"/>
            <w:tcBorders>
              <w:top w:val="nil"/>
              <w:left w:val="nil"/>
              <w:bottom w:val="nil"/>
              <w:right w:val="nil"/>
            </w:tcBorders>
            <w:shd w:val="clear" w:color="auto" w:fill="auto"/>
            <w:hideMark/>
          </w:tcPr>
          <w:p w14:paraId="799BA3CA" w14:textId="77777777" w:rsidR="00CA57EF" w:rsidRPr="00150E09" w:rsidRDefault="00CA57EF" w:rsidP="00225364">
            <w:pPr>
              <w:jc w:val="both"/>
              <w:textAlignment w:val="baseline"/>
              <w:rPr>
                <w:rFonts w:ascii="Verdana" w:hAnsi="Verdana"/>
                <w:sz w:val="20"/>
                <w:szCs w:val="20"/>
              </w:rPr>
            </w:pPr>
            <w:r w:rsidRPr="00150E09">
              <w:rPr>
                <w:rFonts w:ascii="Verdana" w:hAnsi="Verdana"/>
                <w:sz w:val="20"/>
                <w:szCs w:val="20"/>
              </w:rPr>
              <w:t>+1 347-210-4305 </w:t>
            </w:r>
          </w:p>
        </w:tc>
      </w:tr>
      <w:tr w:rsidR="00CA57EF" w:rsidRPr="00150E09" w14:paraId="0EB0CF99" w14:textId="77777777" w:rsidTr="00225364">
        <w:trPr>
          <w:trHeight w:val="110"/>
        </w:trPr>
        <w:tc>
          <w:tcPr>
            <w:tcW w:w="4815" w:type="dxa"/>
            <w:tcBorders>
              <w:top w:val="nil"/>
              <w:left w:val="nil"/>
              <w:bottom w:val="nil"/>
              <w:right w:val="nil"/>
            </w:tcBorders>
            <w:shd w:val="clear" w:color="auto" w:fill="auto"/>
            <w:hideMark/>
          </w:tcPr>
          <w:p w14:paraId="61C96485" w14:textId="77777777" w:rsidR="00CA57EF" w:rsidRPr="00150E09" w:rsidRDefault="00CA57EF" w:rsidP="00225364">
            <w:pPr>
              <w:jc w:val="both"/>
              <w:textAlignment w:val="baseline"/>
              <w:rPr>
                <w:rFonts w:ascii="Verdana" w:hAnsi="Verdana"/>
                <w:sz w:val="20"/>
                <w:szCs w:val="20"/>
                <w:lang w:val="fr-FR"/>
              </w:rPr>
            </w:pPr>
            <w:r w:rsidRPr="00150E09">
              <w:rPr>
                <w:rFonts w:ascii="Verdana" w:hAnsi="Verdana"/>
                <w:b/>
                <w:bCs/>
                <w:sz w:val="20"/>
                <w:szCs w:val="20"/>
                <w:lang w:val="fr-FR"/>
              </w:rPr>
              <w:t>Media Enquiries</w:t>
            </w:r>
            <w:r w:rsidRPr="00150E09">
              <w:rPr>
                <w:rFonts w:ascii="Verdana" w:hAnsi="Verdana"/>
                <w:sz w:val="20"/>
                <w:szCs w:val="20"/>
                <w:lang w:val="fr-FR"/>
              </w:rPr>
              <w:t> </w:t>
            </w:r>
          </w:p>
          <w:p w14:paraId="06223C27" w14:textId="77777777" w:rsidR="00CA57EF" w:rsidRPr="00150E09" w:rsidRDefault="00CA57EF" w:rsidP="00225364">
            <w:pPr>
              <w:jc w:val="both"/>
              <w:textAlignment w:val="baseline"/>
              <w:rPr>
                <w:rFonts w:ascii="Verdana" w:hAnsi="Verdana"/>
                <w:sz w:val="20"/>
                <w:szCs w:val="20"/>
                <w:lang w:val="fr-FR"/>
              </w:rPr>
            </w:pPr>
            <w:r w:rsidRPr="00150E09">
              <w:rPr>
                <w:rFonts w:ascii="Verdana" w:hAnsi="Verdana"/>
                <w:sz w:val="20"/>
                <w:szCs w:val="20"/>
                <w:lang w:val="fr-FR"/>
              </w:rPr>
              <w:t>Sarah Ryan, International Media Relations </w:t>
            </w:r>
          </w:p>
        </w:tc>
        <w:tc>
          <w:tcPr>
            <w:tcW w:w="4380" w:type="dxa"/>
            <w:tcBorders>
              <w:top w:val="nil"/>
              <w:left w:val="nil"/>
              <w:bottom w:val="nil"/>
              <w:right w:val="nil"/>
            </w:tcBorders>
            <w:shd w:val="clear" w:color="auto" w:fill="auto"/>
            <w:hideMark/>
          </w:tcPr>
          <w:p w14:paraId="6A6A64FB" w14:textId="77777777" w:rsidR="00CA57EF" w:rsidRPr="00150E09" w:rsidRDefault="00CA57EF" w:rsidP="00225364">
            <w:pPr>
              <w:jc w:val="both"/>
              <w:textAlignment w:val="baseline"/>
              <w:rPr>
                <w:rFonts w:ascii="Verdana" w:hAnsi="Verdana"/>
                <w:sz w:val="20"/>
                <w:szCs w:val="20"/>
              </w:rPr>
            </w:pPr>
            <w:r w:rsidRPr="00150E09">
              <w:rPr>
                <w:rFonts w:ascii="Verdana" w:hAnsi="Verdana"/>
                <w:sz w:val="20"/>
                <w:szCs w:val="20"/>
              </w:rPr>
              <w:t>+ 31 6 29721038 </w:t>
            </w:r>
          </w:p>
        </w:tc>
      </w:tr>
    </w:tbl>
    <w:p w14:paraId="3018CEF7" w14:textId="77777777" w:rsidR="00CA57EF" w:rsidRPr="00D07F07" w:rsidRDefault="00CA57EF" w:rsidP="00CA57EF">
      <w:pPr>
        <w:jc w:val="both"/>
        <w:rPr>
          <w:rFonts w:ascii="Verdana" w:eastAsia="MS Mincho" w:hAnsi="Verdana"/>
          <w:b/>
          <w:sz w:val="20"/>
          <w:szCs w:val="20"/>
          <w:lang w:val="en-ZA"/>
        </w:rPr>
      </w:pPr>
    </w:p>
    <w:p w14:paraId="42C89DEA" w14:textId="77777777" w:rsidR="00CA57EF" w:rsidRDefault="00CA57EF" w:rsidP="00CA57EF">
      <w:pPr>
        <w:rPr>
          <w:rFonts w:ascii="Verdana" w:hAnsi="Verdana"/>
          <w:b/>
          <w:i/>
          <w:iCs/>
          <w:sz w:val="16"/>
          <w:szCs w:val="16"/>
        </w:rPr>
      </w:pPr>
    </w:p>
    <w:p w14:paraId="255EFF17" w14:textId="77777777" w:rsidR="00CA57EF" w:rsidRDefault="00CA57EF" w:rsidP="00CA57EF">
      <w:pPr>
        <w:jc w:val="both"/>
        <w:rPr>
          <w:rFonts w:ascii="Verdana" w:hAnsi="Verdana"/>
          <w:b/>
          <w:bCs/>
          <w:i/>
          <w:iCs/>
          <w:sz w:val="16"/>
          <w:szCs w:val="16"/>
        </w:rPr>
      </w:pPr>
      <w:r w:rsidRPr="002D33A9">
        <w:rPr>
          <w:rFonts w:ascii="Verdana" w:hAnsi="Verdana"/>
          <w:b/>
          <w:i/>
          <w:iCs/>
          <w:sz w:val="16"/>
          <w:szCs w:val="16"/>
        </w:rPr>
        <w:t xml:space="preserve">About </w:t>
      </w:r>
      <w:r w:rsidRPr="002D33A9">
        <w:rPr>
          <w:rFonts w:ascii="Verdana" w:hAnsi="Verdana"/>
          <w:b/>
          <w:bCs/>
          <w:i/>
          <w:iCs/>
          <w:sz w:val="16"/>
          <w:szCs w:val="16"/>
        </w:rPr>
        <w:t>Prosus</w:t>
      </w:r>
    </w:p>
    <w:p w14:paraId="77160DAA" w14:textId="77777777" w:rsidR="00B16338" w:rsidRPr="00B16338" w:rsidRDefault="00B16338" w:rsidP="00B16338">
      <w:pPr>
        <w:pStyle w:val="WWBodyText"/>
        <w:spacing w:line="240" w:lineRule="auto"/>
        <w:rPr>
          <w:rFonts w:ascii="Verdana" w:hAnsi="Verdana"/>
          <w:i/>
          <w:iCs/>
          <w:sz w:val="16"/>
          <w:szCs w:val="16"/>
          <w:lang w:val="en-US"/>
        </w:rPr>
      </w:pPr>
      <w:r w:rsidRPr="00B16338">
        <w:rPr>
          <w:rFonts w:ascii="Verdana" w:hAnsi="Verdana"/>
          <w:i/>
          <w:iCs/>
          <w:sz w:val="16"/>
          <w:szCs w:val="16"/>
          <w:lang w:val="en-US"/>
        </w:rPr>
        <w:t>Prosus is a global consumer internet group and one of the largest technology investors in the world. Operating and investing globally in markets with long-term growth potential, Prosus builds leading consumer internet companies that empower people and enrich communities.</w:t>
      </w:r>
    </w:p>
    <w:p w14:paraId="281963FB" w14:textId="77777777" w:rsidR="00B16338" w:rsidRPr="00B16338" w:rsidRDefault="00B16338" w:rsidP="00B16338">
      <w:pPr>
        <w:pStyle w:val="WWBodyText"/>
        <w:spacing w:line="240" w:lineRule="auto"/>
        <w:rPr>
          <w:rFonts w:ascii="Verdana" w:hAnsi="Verdana"/>
          <w:i/>
          <w:iCs/>
          <w:sz w:val="16"/>
          <w:szCs w:val="16"/>
          <w:lang w:val="en-US"/>
        </w:rPr>
      </w:pPr>
      <w:r w:rsidRPr="00B16338">
        <w:rPr>
          <w:rFonts w:ascii="Verdana" w:hAnsi="Verdana"/>
          <w:i/>
          <w:iCs/>
          <w:sz w:val="16"/>
          <w:szCs w:val="16"/>
          <w:lang w:val="en-US"/>
        </w:rPr>
        <w:t xml:space="preserve">The group is focused on building meaningful businesses in the online classifieds, food delivery, payments and fintech, and education technology sectors in markets including India, </w:t>
      </w:r>
      <w:proofErr w:type="gramStart"/>
      <w:r w:rsidRPr="00B16338">
        <w:rPr>
          <w:rFonts w:ascii="Verdana" w:hAnsi="Verdana"/>
          <w:i/>
          <w:iCs/>
          <w:sz w:val="16"/>
          <w:szCs w:val="16"/>
          <w:lang w:val="en-US"/>
        </w:rPr>
        <w:t>Russia</w:t>
      </w:r>
      <w:proofErr w:type="gramEnd"/>
      <w:r w:rsidRPr="00B16338">
        <w:rPr>
          <w:rFonts w:ascii="Verdana" w:hAnsi="Verdana"/>
          <w:i/>
          <w:iCs/>
          <w:sz w:val="16"/>
          <w:szCs w:val="16"/>
          <w:lang w:val="en-US"/>
        </w:rPr>
        <w:t xml:space="preserve"> and Brazil. Through its ventures team, Prosus invests in areas including health, logistics, blockchain, and social commerce. Prosus actively seeks new opportunities to partner with exceptional entrepreneurs who are using technology to improve people's everyday lives.</w:t>
      </w:r>
    </w:p>
    <w:p w14:paraId="0C6F8344" w14:textId="77777777" w:rsidR="00B16338" w:rsidRPr="00B16338" w:rsidRDefault="00B16338" w:rsidP="00B16338">
      <w:pPr>
        <w:pStyle w:val="WWBodyText"/>
        <w:spacing w:line="240" w:lineRule="auto"/>
        <w:rPr>
          <w:rFonts w:ascii="Verdana" w:hAnsi="Verdana"/>
          <w:i/>
          <w:iCs/>
          <w:sz w:val="16"/>
          <w:szCs w:val="16"/>
          <w:lang w:val="en-US"/>
        </w:rPr>
      </w:pPr>
      <w:r w:rsidRPr="00B16338">
        <w:rPr>
          <w:rFonts w:ascii="Verdana" w:hAnsi="Verdana"/>
          <w:i/>
          <w:iCs/>
          <w:sz w:val="16"/>
          <w:szCs w:val="16"/>
          <w:lang w:val="en-US"/>
        </w:rPr>
        <w:t xml:space="preserve">Every day, millions of people use the products and services of companies that Prosus has invested in, acquired or built, including </w:t>
      </w:r>
      <w:proofErr w:type="spellStart"/>
      <w:r w:rsidRPr="00B16338">
        <w:rPr>
          <w:rFonts w:ascii="Verdana" w:hAnsi="Verdana"/>
          <w:i/>
          <w:iCs/>
          <w:sz w:val="16"/>
          <w:szCs w:val="16"/>
          <w:lang w:val="en-US"/>
        </w:rPr>
        <w:t>Avito</w:t>
      </w:r>
      <w:proofErr w:type="spellEnd"/>
      <w:r w:rsidRPr="00B16338">
        <w:rPr>
          <w:rFonts w:ascii="Verdana" w:hAnsi="Verdana"/>
          <w:i/>
          <w:iCs/>
          <w:sz w:val="16"/>
          <w:szCs w:val="16"/>
          <w:lang w:val="en-US"/>
        </w:rPr>
        <w:t xml:space="preserve">, Brainly, BYJU'S, </w:t>
      </w:r>
      <w:proofErr w:type="spellStart"/>
      <w:r w:rsidRPr="00B16338">
        <w:rPr>
          <w:rFonts w:ascii="Verdana" w:hAnsi="Verdana"/>
          <w:i/>
          <w:iCs/>
          <w:sz w:val="16"/>
          <w:szCs w:val="16"/>
          <w:lang w:val="en-US"/>
        </w:rPr>
        <w:t>Bykea</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Codecademy</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DappRadar</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DeHaat</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dott</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ElasticRun</w:t>
      </w:r>
      <w:proofErr w:type="spellEnd"/>
      <w:r w:rsidRPr="00B16338">
        <w:rPr>
          <w:rFonts w:ascii="Verdana" w:hAnsi="Verdana"/>
          <w:i/>
          <w:iCs/>
          <w:sz w:val="16"/>
          <w:szCs w:val="16"/>
          <w:lang w:val="en-US"/>
        </w:rPr>
        <w:t xml:space="preserve">, eMAG, </w:t>
      </w:r>
      <w:proofErr w:type="spellStart"/>
      <w:r w:rsidRPr="00B16338">
        <w:rPr>
          <w:rFonts w:ascii="Verdana" w:hAnsi="Verdana"/>
          <w:i/>
          <w:iCs/>
          <w:sz w:val="16"/>
          <w:szCs w:val="16"/>
          <w:lang w:val="en-US"/>
        </w:rPr>
        <w:t>Eruditus</w:t>
      </w:r>
      <w:proofErr w:type="spellEnd"/>
      <w:r w:rsidRPr="00B16338">
        <w:rPr>
          <w:rFonts w:ascii="Verdana" w:hAnsi="Verdana"/>
          <w:i/>
          <w:iCs/>
          <w:sz w:val="16"/>
          <w:szCs w:val="16"/>
          <w:lang w:val="en-US"/>
        </w:rPr>
        <w:t xml:space="preserve">, Honor, </w:t>
      </w:r>
      <w:proofErr w:type="spellStart"/>
      <w:r w:rsidRPr="00B16338">
        <w:rPr>
          <w:rFonts w:ascii="Verdana" w:hAnsi="Verdana"/>
          <w:i/>
          <w:iCs/>
          <w:sz w:val="16"/>
          <w:szCs w:val="16"/>
          <w:lang w:val="en-US"/>
        </w:rPr>
        <w:t>iFood</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Klar</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LazyPay</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letgo</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Meesho</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Movile</w:t>
      </w:r>
      <w:proofErr w:type="spellEnd"/>
      <w:r w:rsidRPr="00B16338">
        <w:rPr>
          <w:rFonts w:ascii="Verdana" w:hAnsi="Verdana"/>
          <w:i/>
          <w:iCs/>
          <w:sz w:val="16"/>
          <w:szCs w:val="16"/>
          <w:lang w:val="en-US"/>
        </w:rPr>
        <w:t xml:space="preserve">, OLX, PayU, Quick Ride, Red Dot Payment, </w:t>
      </w:r>
      <w:proofErr w:type="spellStart"/>
      <w:r w:rsidRPr="00B16338">
        <w:rPr>
          <w:rFonts w:ascii="Verdana" w:hAnsi="Verdana"/>
          <w:i/>
          <w:iCs/>
          <w:sz w:val="16"/>
          <w:szCs w:val="16"/>
          <w:lang w:val="en-US"/>
        </w:rPr>
        <w:t>Remitly</w:t>
      </w:r>
      <w:proofErr w:type="spellEnd"/>
      <w:r w:rsidRPr="00B16338">
        <w:rPr>
          <w:rFonts w:ascii="Verdana" w:hAnsi="Verdana"/>
          <w:i/>
          <w:iCs/>
          <w:sz w:val="16"/>
          <w:szCs w:val="16"/>
          <w:lang w:val="en-US"/>
        </w:rPr>
        <w:t xml:space="preserve">, Republic, </w:t>
      </w:r>
      <w:proofErr w:type="spellStart"/>
      <w:r w:rsidRPr="00B16338">
        <w:rPr>
          <w:rFonts w:ascii="Verdana" w:hAnsi="Verdana"/>
          <w:i/>
          <w:iCs/>
          <w:sz w:val="16"/>
          <w:szCs w:val="16"/>
          <w:lang w:val="en-US"/>
        </w:rPr>
        <w:t>SimilarWeb</w:t>
      </w:r>
      <w:proofErr w:type="spellEnd"/>
      <w:r w:rsidRPr="00B16338">
        <w:rPr>
          <w:rFonts w:ascii="Verdana" w:hAnsi="Verdana"/>
          <w:i/>
          <w:iCs/>
          <w:sz w:val="16"/>
          <w:szCs w:val="16"/>
          <w:lang w:val="en-US"/>
        </w:rPr>
        <w:t xml:space="preserve">, Shipper, Skillsoft, </w:t>
      </w:r>
      <w:proofErr w:type="spellStart"/>
      <w:r w:rsidRPr="00B16338">
        <w:rPr>
          <w:rFonts w:ascii="Verdana" w:hAnsi="Verdana"/>
          <w:i/>
          <w:iCs/>
          <w:sz w:val="16"/>
          <w:szCs w:val="16"/>
          <w:lang w:val="en-US"/>
        </w:rPr>
        <w:t>SoloLearn</w:t>
      </w:r>
      <w:proofErr w:type="spellEnd"/>
      <w:r w:rsidRPr="00B16338">
        <w:rPr>
          <w:rFonts w:ascii="Verdana" w:hAnsi="Verdana"/>
          <w:i/>
          <w:iCs/>
          <w:sz w:val="16"/>
          <w:szCs w:val="16"/>
          <w:lang w:val="en-US"/>
        </w:rPr>
        <w:t xml:space="preserve">, </w:t>
      </w:r>
      <w:proofErr w:type="spellStart"/>
      <w:r w:rsidRPr="00B16338">
        <w:rPr>
          <w:rFonts w:ascii="Verdana" w:hAnsi="Verdana"/>
          <w:i/>
          <w:iCs/>
          <w:sz w:val="16"/>
          <w:szCs w:val="16"/>
          <w:lang w:val="en-US"/>
        </w:rPr>
        <w:t>Swiggy</w:t>
      </w:r>
      <w:proofErr w:type="spellEnd"/>
      <w:r w:rsidRPr="00B16338">
        <w:rPr>
          <w:rFonts w:ascii="Verdana" w:hAnsi="Verdana"/>
          <w:i/>
          <w:iCs/>
          <w:sz w:val="16"/>
          <w:szCs w:val="16"/>
          <w:lang w:val="en-US"/>
        </w:rPr>
        <w:t>, and Udemy.</w:t>
      </w:r>
    </w:p>
    <w:p w14:paraId="2E8C8DD9" w14:textId="77777777" w:rsidR="00B16338" w:rsidRPr="00B16338" w:rsidRDefault="00B16338" w:rsidP="00B16338">
      <w:pPr>
        <w:pStyle w:val="WWBodyText"/>
        <w:spacing w:line="240" w:lineRule="auto"/>
        <w:rPr>
          <w:rFonts w:ascii="Verdana" w:hAnsi="Verdana"/>
          <w:i/>
          <w:iCs/>
          <w:sz w:val="16"/>
          <w:szCs w:val="16"/>
          <w:lang w:val="en-US"/>
        </w:rPr>
      </w:pPr>
      <w:r w:rsidRPr="00B16338">
        <w:rPr>
          <w:rFonts w:ascii="Verdana" w:hAnsi="Verdana"/>
          <w:i/>
          <w:iCs/>
          <w:sz w:val="16"/>
          <w:szCs w:val="16"/>
          <w:lang w:val="en-US"/>
        </w:rPr>
        <w:t xml:space="preserve">Hundreds of millions of people have made the platforms of Prosus’s associates a part of their daily lives. For listed companies where we have an interest, please see: Tencent (www.tencent.com), Mail.ru (www.corp.mail.ru), Trip.com Group Limited (www.trip.com), and </w:t>
      </w:r>
      <w:proofErr w:type="spellStart"/>
      <w:r w:rsidRPr="00B16338">
        <w:rPr>
          <w:rFonts w:ascii="Verdana" w:hAnsi="Verdana"/>
          <w:i/>
          <w:iCs/>
          <w:sz w:val="16"/>
          <w:szCs w:val="16"/>
          <w:lang w:val="en-US"/>
        </w:rPr>
        <w:t>DeliveryHero</w:t>
      </w:r>
      <w:proofErr w:type="spellEnd"/>
      <w:r w:rsidRPr="00B16338">
        <w:rPr>
          <w:rFonts w:ascii="Verdana" w:hAnsi="Verdana"/>
          <w:i/>
          <w:iCs/>
          <w:sz w:val="16"/>
          <w:szCs w:val="16"/>
          <w:lang w:val="en-US"/>
        </w:rPr>
        <w:t xml:space="preserve"> (www.deliveryhero.com).</w:t>
      </w:r>
    </w:p>
    <w:p w14:paraId="612A8217" w14:textId="77777777" w:rsidR="00B16338" w:rsidRPr="00B16338" w:rsidRDefault="00B16338" w:rsidP="00B16338">
      <w:pPr>
        <w:pStyle w:val="WWBodyText"/>
        <w:spacing w:line="240" w:lineRule="auto"/>
        <w:rPr>
          <w:rFonts w:ascii="Verdana" w:hAnsi="Verdana"/>
          <w:i/>
          <w:iCs/>
          <w:sz w:val="16"/>
          <w:szCs w:val="16"/>
          <w:lang w:val="en-US"/>
        </w:rPr>
      </w:pPr>
      <w:r w:rsidRPr="00B16338">
        <w:rPr>
          <w:rFonts w:ascii="Verdana" w:hAnsi="Verdana"/>
          <w:i/>
          <w:iCs/>
          <w:sz w:val="16"/>
          <w:szCs w:val="16"/>
          <w:lang w:val="en-US"/>
        </w:rPr>
        <w:t>Today, Prosus companies and associates help improve the lives of around a fifth of the world's population.</w:t>
      </w:r>
    </w:p>
    <w:p w14:paraId="766599AC" w14:textId="085C7E6A" w:rsidR="00CA57EF" w:rsidRPr="00150E09" w:rsidRDefault="00B16338" w:rsidP="00B16338">
      <w:pPr>
        <w:pStyle w:val="WWBodyText"/>
        <w:spacing w:line="240" w:lineRule="auto"/>
        <w:rPr>
          <w:rFonts w:ascii="Verdana" w:hAnsi="Verdana"/>
          <w:i/>
          <w:iCs/>
          <w:sz w:val="16"/>
          <w:szCs w:val="16"/>
          <w:lang w:val="en-US"/>
        </w:rPr>
      </w:pPr>
      <w:r w:rsidRPr="00B16338">
        <w:rPr>
          <w:rFonts w:ascii="Verdana" w:hAnsi="Verdana"/>
          <w:i/>
          <w:iCs/>
          <w:sz w:val="16"/>
          <w:szCs w:val="16"/>
          <w:lang w:val="en-US"/>
        </w:rPr>
        <w:t xml:space="preserve">Prosus has a primary listing on Euronext Amsterdam (AEX:PRX) and secondary listings on the Johannesburg Stock Exchange (XJSE:PRX) and a2X Markets (PRX.AJ). Prosus is majority owned by Naspers. For more information, please visit </w:t>
      </w:r>
      <w:proofErr w:type="gramStart"/>
      <w:r w:rsidRPr="00B16338">
        <w:rPr>
          <w:rFonts w:ascii="Verdana" w:hAnsi="Verdana"/>
          <w:i/>
          <w:iCs/>
          <w:sz w:val="16"/>
          <w:szCs w:val="16"/>
          <w:lang w:val="en-US"/>
        </w:rPr>
        <w:t>www.prosus.com.</w:t>
      </w:r>
      <w:r w:rsidR="00CA57EF" w:rsidRPr="00150E09">
        <w:rPr>
          <w:rFonts w:ascii="Verdana" w:hAnsi="Verdana"/>
          <w:i/>
          <w:iCs/>
          <w:sz w:val="16"/>
          <w:szCs w:val="16"/>
          <w:lang w:val="en-US"/>
        </w:rPr>
        <w:t>.</w:t>
      </w:r>
      <w:proofErr w:type="gramEnd"/>
    </w:p>
    <w:p w14:paraId="57898555" w14:textId="322ECD6F" w:rsidR="002751E5" w:rsidRPr="00CA57EF" w:rsidRDefault="002751E5" w:rsidP="00CA57EF">
      <w:pPr>
        <w:pStyle w:val="DocText"/>
        <w:numPr>
          <w:ilvl w:val="0"/>
          <w:numId w:val="0"/>
        </w:numPr>
        <w:rPr>
          <w:rFonts w:cs="Calibri"/>
          <w:lang w:val="en-US"/>
        </w:rPr>
      </w:pPr>
    </w:p>
    <w:sectPr w:rsidR="002751E5" w:rsidRPr="00CA57EF" w:rsidSect="00BE5FF8">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C2FD3" w14:textId="77777777" w:rsidR="00AC096C" w:rsidRDefault="00AC096C" w:rsidP="00112278">
      <w:pPr>
        <w:spacing w:line="240" w:lineRule="auto"/>
      </w:pPr>
      <w:r>
        <w:separator/>
      </w:r>
    </w:p>
  </w:endnote>
  <w:endnote w:type="continuationSeparator" w:id="0">
    <w:p w14:paraId="446C26F4" w14:textId="77777777" w:rsidR="00AC096C" w:rsidRDefault="00AC096C" w:rsidP="00112278">
      <w:pPr>
        <w:spacing w:line="240" w:lineRule="auto"/>
      </w:pPr>
      <w:r>
        <w:continuationSeparator/>
      </w:r>
    </w:p>
  </w:endnote>
  <w:endnote w:type="continuationNotice" w:id="1">
    <w:p w14:paraId="3A7C32BD" w14:textId="77777777" w:rsidR="00AC096C" w:rsidRDefault="00AC096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604252"/>
      <w:docPartObj>
        <w:docPartGallery w:val="Page Numbers (Bottom of Page)"/>
        <w:docPartUnique/>
      </w:docPartObj>
    </w:sdtPr>
    <w:sdtEndPr>
      <w:rPr>
        <w:rStyle w:val="PageNumber"/>
      </w:rPr>
    </w:sdtEndPr>
    <w:sdtContent>
      <w:p w14:paraId="2062E966" w14:textId="6B18F9C2"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356BA" w14:textId="77777777" w:rsidR="007F59B7" w:rsidRDefault="007F5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3874648"/>
      <w:docPartObj>
        <w:docPartGallery w:val="Page Numbers (Bottom of Page)"/>
        <w:docPartUnique/>
      </w:docPartObj>
    </w:sdtPr>
    <w:sdtEndPr>
      <w:rPr>
        <w:rStyle w:val="PageNumber"/>
      </w:rPr>
    </w:sdtEndPr>
    <w:sdtContent>
      <w:p w14:paraId="40C0DFAD" w14:textId="562F289C" w:rsidR="007F59B7" w:rsidRDefault="007F59B7" w:rsidP="00B541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C4EC6">
          <w:rPr>
            <w:rStyle w:val="PageNumber"/>
            <w:noProof/>
          </w:rPr>
          <w:t>13</w:t>
        </w:r>
        <w:r>
          <w:rPr>
            <w:rStyle w:val="PageNumber"/>
          </w:rPr>
          <w:fldChar w:fldCharType="end"/>
        </w:r>
      </w:p>
    </w:sdtContent>
  </w:sdt>
  <w:p w14:paraId="7A2D8E81" w14:textId="77777777" w:rsidR="007F59B7" w:rsidRDefault="007F59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5B5A6" w14:textId="77777777" w:rsidR="003B4A00" w:rsidRDefault="003B4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0F9AE" w14:textId="77777777" w:rsidR="00AC096C" w:rsidRDefault="00AC096C" w:rsidP="00112278">
      <w:pPr>
        <w:spacing w:line="240" w:lineRule="auto"/>
      </w:pPr>
      <w:r>
        <w:separator/>
      </w:r>
    </w:p>
  </w:footnote>
  <w:footnote w:type="continuationSeparator" w:id="0">
    <w:p w14:paraId="54B62DA7" w14:textId="77777777" w:rsidR="00AC096C" w:rsidRDefault="00AC096C" w:rsidP="00112278">
      <w:pPr>
        <w:spacing w:line="240" w:lineRule="auto"/>
      </w:pPr>
      <w:r>
        <w:continuationSeparator/>
      </w:r>
    </w:p>
  </w:footnote>
  <w:footnote w:type="continuationNotice" w:id="1">
    <w:p w14:paraId="303655EE" w14:textId="77777777" w:rsidR="00AC096C" w:rsidRDefault="00AC096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1461B" w14:textId="77777777" w:rsidR="003B4A00" w:rsidRDefault="003B4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0068" w14:textId="77777777" w:rsidR="003B4A00" w:rsidRDefault="003B4A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5145F" w14:textId="77777777" w:rsidR="003B4A00" w:rsidRDefault="003B4A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536A81"/>
    <w:multiLevelType w:val="multilevel"/>
    <w:tmpl w:val="2CD4276C"/>
    <w:lvl w:ilvl="0">
      <w:start w:val="1"/>
      <w:numFmt w:val="none"/>
      <w:pStyle w:val="DocText"/>
      <w:suff w:val="nothing"/>
      <w:lvlText w:val=""/>
      <w:lvlJc w:val="left"/>
      <w:pPr>
        <w:ind w:left="0" w:firstLine="0"/>
      </w:pPr>
    </w:lvl>
    <w:lvl w:ilvl="1">
      <w:start w:val="1"/>
      <w:numFmt w:val="none"/>
      <w:pStyle w:val="DocTextL1"/>
      <w:suff w:val="nothing"/>
      <w:lvlText w:val=""/>
      <w:lvlJc w:val="left"/>
      <w:pPr>
        <w:ind w:left="720" w:firstLine="0"/>
      </w:pPr>
    </w:lvl>
    <w:lvl w:ilvl="2">
      <w:start w:val="1"/>
      <w:numFmt w:val="none"/>
      <w:pStyle w:val="DocTextL2"/>
      <w:suff w:val="nothing"/>
      <w:lvlText w:val=""/>
      <w:lvlJc w:val="left"/>
      <w:pPr>
        <w:ind w:left="1440" w:firstLine="0"/>
      </w:pPr>
    </w:lvl>
    <w:lvl w:ilvl="3">
      <w:start w:val="1"/>
      <w:numFmt w:val="none"/>
      <w:pStyle w:val="DocTextL3"/>
      <w:suff w:val="nothing"/>
      <w:lvlText w:val=""/>
      <w:lvlJc w:val="left"/>
      <w:pPr>
        <w:ind w:left="2160" w:firstLine="0"/>
      </w:pPr>
    </w:lvl>
    <w:lvl w:ilvl="4">
      <w:start w:val="1"/>
      <w:numFmt w:val="none"/>
      <w:pStyle w:val="DocTextL4"/>
      <w:suff w:val="nothing"/>
      <w:lvlText w:val=""/>
      <w:lvlJc w:val="left"/>
      <w:pPr>
        <w:ind w:left="2880" w:firstLine="0"/>
      </w:pPr>
    </w:lvl>
    <w:lvl w:ilvl="5">
      <w:start w:val="1"/>
      <w:numFmt w:val="none"/>
      <w:pStyle w:val="DocTextL5"/>
      <w:suff w:val="nothing"/>
      <w:lvlText w:val=""/>
      <w:lvlJc w:val="left"/>
      <w:pPr>
        <w:ind w:left="3600" w:firstLine="0"/>
      </w:pPr>
    </w:lvl>
    <w:lvl w:ilvl="6">
      <w:start w:val="1"/>
      <w:numFmt w:val="none"/>
      <w:pStyle w:val="DocTextL6"/>
      <w:suff w:val="nothing"/>
      <w:lvlText w:val=""/>
      <w:lvlJc w:val="left"/>
      <w:pPr>
        <w:ind w:left="4320" w:firstLine="0"/>
      </w:pPr>
    </w:lvl>
    <w:lvl w:ilvl="7">
      <w:start w:val="1"/>
      <w:numFmt w:val="none"/>
      <w:pStyle w:val="DocTextL7"/>
      <w:suff w:val="nothing"/>
      <w:lvlText w:val=""/>
      <w:lvlJc w:val="left"/>
      <w:pPr>
        <w:ind w:left="5040" w:firstLine="0"/>
      </w:pPr>
    </w:lvl>
    <w:lvl w:ilvl="8">
      <w:start w:val="1"/>
      <w:numFmt w:val="none"/>
      <w:pStyle w:val="DocTextL8"/>
      <w:suff w:val="nothing"/>
      <w:lvlText w:val=""/>
      <w:lvlJc w:val="left"/>
      <w:pPr>
        <w:ind w:left="5760" w:firstLine="0"/>
      </w:pPr>
    </w:lvl>
  </w:abstractNum>
  <w:abstractNum w:abstractNumId="1" w15:restartNumberingAfterBreak="0">
    <w:nsid w:val="3B7E14E9"/>
    <w:multiLevelType w:val="hybridMultilevel"/>
    <w:tmpl w:val="618A5F72"/>
    <w:lvl w:ilvl="0" w:tplc="853E0F94">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E095B"/>
    <w:multiLevelType w:val="hybridMultilevel"/>
    <w:tmpl w:val="808A8C24"/>
    <w:lvl w:ilvl="0" w:tplc="A80A1464">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073E4"/>
    <w:multiLevelType w:val="hybridMultilevel"/>
    <w:tmpl w:val="7C9614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5CE875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46A6756"/>
    <w:multiLevelType w:val="hybridMultilevel"/>
    <w:tmpl w:val="4EB611A8"/>
    <w:lvl w:ilvl="0" w:tplc="B178D3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7922F9"/>
    <w:multiLevelType w:val="hybridMultilevel"/>
    <w:tmpl w:val="C57CA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78"/>
    <w:rsid w:val="000037D3"/>
    <w:rsid w:val="0001272D"/>
    <w:rsid w:val="00027A6E"/>
    <w:rsid w:val="000307B1"/>
    <w:rsid w:val="0003391B"/>
    <w:rsid w:val="00034F3B"/>
    <w:rsid w:val="0007320D"/>
    <w:rsid w:val="00080E83"/>
    <w:rsid w:val="000A2148"/>
    <w:rsid w:val="000A4AFA"/>
    <w:rsid w:val="000C0418"/>
    <w:rsid w:val="000C1F8A"/>
    <w:rsid w:val="000D3A5C"/>
    <w:rsid w:val="000E4F49"/>
    <w:rsid w:val="000E6CBF"/>
    <w:rsid w:val="000F2165"/>
    <w:rsid w:val="000F59BC"/>
    <w:rsid w:val="00112278"/>
    <w:rsid w:val="001209FA"/>
    <w:rsid w:val="001311B1"/>
    <w:rsid w:val="00141834"/>
    <w:rsid w:val="001418BE"/>
    <w:rsid w:val="00143C32"/>
    <w:rsid w:val="00150E09"/>
    <w:rsid w:val="00155973"/>
    <w:rsid w:val="00180278"/>
    <w:rsid w:val="001869DA"/>
    <w:rsid w:val="001922CE"/>
    <w:rsid w:val="001C395F"/>
    <w:rsid w:val="001D02F7"/>
    <w:rsid w:val="001D1780"/>
    <w:rsid w:val="001E5956"/>
    <w:rsid w:val="00205723"/>
    <w:rsid w:val="0021286D"/>
    <w:rsid w:val="0021726D"/>
    <w:rsid w:val="00217E6D"/>
    <w:rsid w:val="002213D9"/>
    <w:rsid w:val="0022187B"/>
    <w:rsid w:val="0022639E"/>
    <w:rsid w:val="00234B91"/>
    <w:rsid w:val="00234EE3"/>
    <w:rsid w:val="00237273"/>
    <w:rsid w:val="00244D61"/>
    <w:rsid w:val="00256253"/>
    <w:rsid w:val="00256D98"/>
    <w:rsid w:val="00264CB2"/>
    <w:rsid w:val="002746BA"/>
    <w:rsid w:val="002751E5"/>
    <w:rsid w:val="0028198A"/>
    <w:rsid w:val="002C4EC6"/>
    <w:rsid w:val="002D75D7"/>
    <w:rsid w:val="002E246B"/>
    <w:rsid w:val="002E6589"/>
    <w:rsid w:val="00302E75"/>
    <w:rsid w:val="003045D9"/>
    <w:rsid w:val="00304CBF"/>
    <w:rsid w:val="00313A5F"/>
    <w:rsid w:val="00315E62"/>
    <w:rsid w:val="00316B00"/>
    <w:rsid w:val="00326DE5"/>
    <w:rsid w:val="00337BF0"/>
    <w:rsid w:val="00346DAB"/>
    <w:rsid w:val="00352765"/>
    <w:rsid w:val="003B4A00"/>
    <w:rsid w:val="003C1EB6"/>
    <w:rsid w:val="003E1151"/>
    <w:rsid w:val="003E63DF"/>
    <w:rsid w:val="003F6C3A"/>
    <w:rsid w:val="00413927"/>
    <w:rsid w:val="004304D6"/>
    <w:rsid w:val="00441E07"/>
    <w:rsid w:val="0048741C"/>
    <w:rsid w:val="00491455"/>
    <w:rsid w:val="004B4DFC"/>
    <w:rsid w:val="004B7A4C"/>
    <w:rsid w:val="004C38CF"/>
    <w:rsid w:val="004D6AC9"/>
    <w:rsid w:val="004F70A6"/>
    <w:rsid w:val="00511398"/>
    <w:rsid w:val="0053460D"/>
    <w:rsid w:val="00545C60"/>
    <w:rsid w:val="005578E4"/>
    <w:rsid w:val="005607E7"/>
    <w:rsid w:val="00573807"/>
    <w:rsid w:val="00573DC5"/>
    <w:rsid w:val="00615A98"/>
    <w:rsid w:val="00626B27"/>
    <w:rsid w:val="00640A03"/>
    <w:rsid w:val="00640B9A"/>
    <w:rsid w:val="00642906"/>
    <w:rsid w:val="00645F24"/>
    <w:rsid w:val="0066212F"/>
    <w:rsid w:val="00666903"/>
    <w:rsid w:val="00666F8D"/>
    <w:rsid w:val="0068619F"/>
    <w:rsid w:val="006B01C5"/>
    <w:rsid w:val="006B26B6"/>
    <w:rsid w:val="006B3081"/>
    <w:rsid w:val="006B583E"/>
    <w:rsid w:val="006C1FD3"/>
    <w:rsid w:val="006C3AAD"/>
    <w:rsid w:val="006F39BF"/>
    <w:rsid w:val="006F5B0B"/>
    <w:rsid w:val="00701A7D"/>
    <w:rsid w:val="007200EA"/>
    <w:rsid w:val="00746AEF"/>
    <w:rsid w:val="00752A23"/>
    <w:rsid w:val="00797848"/>
    <w:rsid w:val="007A6D1A"/>
    <w:rsid w:val="007B3F95"/>
    <w:rsid w:val="007B4021"/>
    <w:rsid w:val="007F2190"/>
    <w:rsid w:val="007F3524"/>
    <w:rsid w:val="007F59B7"/>
    <w:rsid w:val="00804127"/>
    <w:rsid w:val="00810752"/>
    <w:rsid w:val="0084086A"/>
    <w:rsid w:val="008516A2"/>
    <w:rsid w:val="00872C87"/>
    <w:rsid w:val="008A6C0D"/>
    <w:rsid w:val="008C7081"/>
    <w:rsid w:val="008E278A"/>
    <w:rsid w:val="008F5158"/>
    <w:rsid w:val="008F5E8C"/>
    <w:rsid w:val="00930169"/>
    <w:rsid w:val="00943BEB"/>
    <w:rsid w:val="00944651"/>
    <w:rsid w:val="00951E95"/>
    <w:rsid w:val="00954448"/>
    <w:rsid w:val="009779BF"/>
    <w:rsid w:val="009830A5"/>
    <w:rsid w:val="00992016"/>
    <w:rsid w:val="009A6BFA"/>
    <w:rsid w:val="009C2EF1"/>
    <w:rsid w:val="009C30E7"/>
    <w:rsid w:val="009C733E"/>
    <w:rsid w:val="009C7F89"/>
    <w:rsid w:val="009D691B"/>
    <w:rsid w:val="009E26A4"/>
    <w:rsid w:val="00A07AA4"/>
    <w:rsid w:val="00A171F1"/>
    <w:rsid w:val="00A41A9E"/>
    <w:rsid w:val="00A45253"/>
    <w:rsid w:val="00A64425"/>
    <w:rsid w:val="00A730D5"/>
    <w:rsid w:val="00A77A2D"/>
    <w:rsid w:val="00A90363"/>
    <w:rsid w:val="00A90EF0"/>
    <w:rsid w:val="00A9153C"/>
    <w:rsid w:val="00AA6E1D"/>
    <w:rsid w:val="00AC096C"/>
    <w:rsid w:val="00AC598F"/>
    <w:rsid w:val="00AF6133"/>
    <w:rsid w:val="00B16338"/>
    <w:rsid w:val="00B36C37"/>
    <w:rsid w:val="00B5418C"/>
    <w:rsid w:val="00B70EC0"/>
    <w:rsid w:val="00B77193"/>
    <w:rsid w:val="00B83F1C"/>
    <w:rsid w:val="00B913E3"/>
    <w:rsid w:val="00B930AD"/>
    <w:rsid w:val="00BB0061"/>
    <w:rsid w:val="00BC037B"/>
    <w:rsid w:val="00BE39B3"/>
    <w:rsid w:val="00BE5FF8"/>
    <w:rsid w:val="00C12AFE"/>
    <w:rsid w:val="00C225FC"/>
    <w:rsid w:val="00C3011E"/>
    <w:rsid w:val="00C40529"/>
    <w:rsid w:val="00C46B6F"/>
    <w:rsid w:val="00C6319C"/>
    <w:rsid w:val="00C72966"/>
    <w:rsid w:val="00C836E9"/>
    <w:rsid w:val="00C87234"/>
    <w:rsid w:val="00C91187"/>
    <w:rsid w:val="00C96E05"/>
    <w:rsid w:val="00CA57EF"/>
    <w:rsid w:val="00CE786D"/>
    <w:rsid w:val="00CF21F1"/>
    <w:rsid w:val="00CF79EC"/>
    <w:rsid w:val="00D12769"/>
    <w:rsid w:val="00D215A5"/>
    <w:rsid w:val="00D23038"/>
    <w:rsid w:val="00D2402D"/>
    <w:rsid w:val="00D37211"/>
    <w:rsid w:val="00D57904"/>
    <w:rsid w:val="00D727AA"/>
    <w:rsid w:val="00D77845"/>
    <w:rsid w:val="00D91B8C"/>
    <w:rsid w:val="00D97371"/>
    <w:rsid w:val="00DA2ADF"/>
    <w:rsid w:val="00DC3B41"/>
    <w:rsid w:val="00DD46B2"/>
    <w:rsid w:val="00DE6471"/>
    <w:rsid w:val="00DF77D9"/>
    <w:rsid w:val="00E03DE2"/>
    <w:rsid w:val="00E15076"/>
    <w:rsid w:val="00E2363C"/>
    <w:rsid w:val="00E40431"/>
    <w:rsid w:val="00E56E6A"/>
    <w:rsid w:val="00E664FC"/>
    <w:rsid w:val="00E91B75"/>
    <w:rsid w:val="00EB11D8"/>
    <w:rsid w:val="00EB2429"/>
    <w:rsid w:val="00EB6B9D"/>
    <w:rsid w:val="00ED7304"/>
    <w:rsid w:val="00EE2D9C"/>
    <w:rsid w:val="00F212E2"/>
    <w:rsid w:val="00F400D2"/>
    <w:rsid w:val="00F64F3C"/>
    <w:rsid w:val="00F66BC6"/>
    <w:rsid w:val="00F66D01"/>
    <w:rsid w:val="00FA02E0"/>
    <w:rsid w:val="00FA6731"/>
    <w:rsid w:val="00FC0AD9"/>
    <w:rsid w:val="00FC10B3"/>
    <w:rsid w:val="00FD0F2E"/>
    <w:rsid w:val="00FD7BDB"/>
    <w:rsid w:val="00FE288E"/>
    <w:rsid w:val="00FF2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BF55AE"/>
  <w15:chartTrackingRefBased/>
  <w15:docId w15:val="{8CD0A7A5-4240-684D-86F9-3D8F0F22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78"/>
    <w:pPr>
      <w:spacing w:line="360"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1">
    <w:name w:val="Bullets 1"/>
    <w:basedOn w:val="Normal"/>
    <w:uiPriority w:val="1"/>
    <w:qFormat/>
    <w:rsid w:val="00112278"/>
    <w:pPr>
      <w:numPr>
        <w:numId w:val="2"/>
      </w:numPr>
      <w:tabs>
        <w:tab w:val="num" w:pos="720"/>
      </w:tabs>
      <w:spacing w:after="60"/>
    </w:pPr>
    <w:rPr>
      <w:rFonts w:eastAsia="Calibri"/>
      <w:sz w:val="20"/>
      <w:szCs w:val="22"/>
      <w:lang w:val="en-GB"/>
    </w:rPr>
  </w:style>
  <w:style w:type="paragraph" w:styleId="Footer">
    <w:name w:val="footer"/>
    <w:basedOn w:val="Normal"/>
    <w:link w:val="FooterChar"/>
    <w:uiPriority w:val="99"/>
    <w:unhideWhenUsed/>
    <w:rsid w:val="00112278"/>
    <w:pPr>
      <w:tabs>
        <w:tab w:val="center" w:pos="4680"/>
        <w:tab w:val="right" w:pos="9360"/>
      </w:tabs>
      <w:spacing w:line="240" w:lineRule="auto"/>
    </w:pPr>
  </w:style>
  <w:style w:type="character" w:customStyle="1" w:styleId="FooterChar">
    <w:name w:val="Footer Char"/>
    <w:basedOn w:val="DefaultParagraphFont"/>
    <w:link w:val="Footer"/>
    <w:uiPriority w:val="99"/>
    <w:rsid w:val="00112278"/>
    <w:rPr>
      <w:rFonts w:ascii="Calibri" w:eastAsia="Times New Roman" w:hAnsi="Calibri" w:cs="Times New Roman"/>
      <w:lang w:val="en-US"/>
    </w:rPr>
  </w:style>
  <w:style w:type="character" w:styleId="PageNumber">
    <w:name w:val="page number"/>
    <w:basedOn w:val="DefaultParagraphFont"/>
    <w:uiPriority w:val="99"/>
    <w:semiHidden/>
    <w:unhideWhenUsed/>
    <w:rsid w:val="00112278"/>
  </w:style>
  <w:style w:type="paragraph" w:customStyle="1" w:styleId="Title16">
    <w:name w:val="Title16"/>
    <w:basedOn w:val="Normal"/>
    <w:rsid w:val="00155973"/>
    <w:pPr>
      <w:keepNext/>
      <w:keepLines/>
      <w:suppressAutoHyphens/>
      <w:spacing w:after="120" w:line="290" w:lineRule="auto"/>
      <w:jc w:val="center"/>
      <w:outlineLvl w:val="0"/>
    </w:pPr>
    <w:rPr>
      <w:rFonts w:ascii="Times New Roman" w:hAnsi="Times New Roman"/>
      <w:b/>
      <w:kern w:val="20"/>
      <w:sz w:val="32"/>
      <w:lang w:val="en-GB" w:eastAsia="en-GB"/>
    </w:rPr>
  </w:style>
  <w:style w:type="paragraph" w:styleId="NoSpacing">
    <w:name w:val="No Spacing"/>
    <w:qFormat/>
    <w:rsid w:val="00315E62"/>
    <w:pPr>
      <w:suppressAutoHyphens/>
    </w:pPr>
    <w:rPr>
      <w:rFonts w:ascii="Arial" w:eastAsia="Times New Roman" w:hAnsi="Arial" w:cs="Times New Roman"/>
      <w:sz w:val="22"/>
      <w:lang w:eastAsia="en-GB"/>
    </w:rPr>
  </w:style>
  <w:style w:type="paragraph" w:customStyle="1" w:styleId="DocText">
    <w:name w:val="DocText"/>
    <w:basedOn w:val="Normal"/>
    <w:qFormat/>
    <w:rsid w:val="00315E62"/>
    <w:pPr>
      <w:numPr>
        <w:numId w:val="3"/>
      </w:numPr>
      <w:spacing w:before="240" w:line="260" w:lineRule="atLeast"/>
      <w:jc w:val="both"/>
    </w:pPr>
    <w:rPr>
      <w:rFonts w:ascii="Arial" w:eastAsiaTheme="minorHAnsi" w:hAnsi="Arial"/>
      <w:sz w:val="20"/>
      <w:szCs w:val="22"/>
      <w:lang w:val="en-GB"/>
    </w:rPr>
  </w:style>
  <w:style w:type="paragraph" w:customStyle="1" w:styleId="DocTextL1">
    <w:name w:val="DocTextL1"/>
    <w:basedOn w:val="DocText"/>
    <w:qFormat/>
    <w:rsid w:val="00315E62"/>
    <w:pPr>
      <w:numPr>
        <w:ilvl w:val="1"/>
      </w:numPr>
    </w:pPr>
  </w:style>
  <w:style w:type="paragraph" w:customStyle="1" w:styleId="DocTextL2">
    <w:name w:val="DocTextL2"/>
    <w:basedOn w:val="DocText"/>
    <w:qFormat/>
    <w:rsid w:val="00315E62"/>
    <w:pPr>
      <w:numPr>
        <w:ilvl w:val="2"/>
      </w:numPr>
    </w:pPr>
  </w:style>
  <w:style w:type="paragraph" w:customStyle="1" w:styleId="DocTextL3">
    <w:name w:val="DocTextL3"/>
    <w:basedOn w:val="DocText"/>
    <w:qFormat/>
    <w:rsid w:val="00315E62"/>
    <w:pPr>
      <w:numPr>
        <w:ilvl w:val="3"/>
      </w:numPr>
    </w:pPr>
  </w:style>
  <w:style w:type="paragraph" w:customStyle="1" w:styleId="DocTextL4">
    <w:name w:val="DocTextL4"/>
    <w:basedOn w:val="DocText"/>
    <w:rsid w:val="00315E62"/>
    <w:pPr>
      <w:numPr>
        <w:ilvl w:val="4"/>
      </w:numPr>
    </w:pPr>
  </w:style>
  <w:style w:type="paragraph" w:customStyle="1" w:styleId="DocTextL5">
    <w:name w:val="DocTextL5"/>
    <w:basedOn w:val="DocText"/>
    <w:rsid w:val="00315E62"/>
    <w:pPr>
      <w:numPr>
        <w:ilvl w:val="5"/>
      </w:numPr>
    </w:pPr>
  </w:style>
  <w:style w:type="paragraph" w:customStyle="1" w:styleId="DocTextL6">
    <w:name w:val="DocTextL6"/>
    <w:basedOn w:val="DocText"/>
    <w:qFormat/>
    <w:rsid w:val="00315E62"/>
    <w:pPr>
      <w:numPr>
        <w:ilvl w:val="6"/>
      </w:numPr>
    </w:pPr>
  </w:style>
  <w:style w:type="paragraph" w:customStyle="1" w:styleId="DocTextL7">
    <w:name w:val="DocTextL7"/>
    <w:basedOn w:val="DocText"/>
    <w:qFormat/>
    <w:rsid w:val="00315E62"/>
    <w:pPr>
      <w:numPr>
        <w:ilvl w:val="7"/>
      </w:numPr>
    </w:pPr>
  </w:style>
  <w:style w:type="paragraph" w:customStyle="1" w:styleId="DocTextL8">
    <w:name w:val="DocTextL8"/>
    <w:basedOn w:val="DocText"/>
    <w:qFormat/>
    <w:rsid w:val="00315E62"/>
    <w:pPr>
      <w:numPr>
        <w:ilvl w:val="8"/>
      </w:numPr>
    </w:pPr>
  </w:style>
  <w:style w:type="table" w:styleId="TableGrid">
    <w:name w:val="Table Grid"/>
    <w:basedOn w:val="TableNormal"/>
    <w:uiPriority w:val="59"/>
    <w:qFormat/>
    <w:rsid w:val="00315E62"/>
    <w:rPr>
      <w:rFonts w:ascii="Times New Roman" w:hAnsi="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qFormat/>
    <w:rsid w:val="005607E7"/>
    <w:rPr>
      <w:rFonts w:eastAsiaTheme="minorEastAsia"/>
      <w:sz w:val="20"/>
      <w:szCs w:val="20"/>
      <w:lang w:val="en-US"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B5418C"/>
    <w:pPr>
      <w:autoSpaceDE w:val="0"/>
      <w:autoSpaceDN w:val="0"/>
      <w:adjustRightInd w:val="0"/>
    </w:pPr>
    <w:rPr>
      <w:rFonts w:ascii="Calibri" w:hAnsi="Calibri" w:cs="Calibri"/>
      <w:color w:val="000000"/>
      <w:lang w:val="en-ZA"/>
    </w:rPr>
  </w:style>
  <w:style w:type="paragraph" w:styleId="BalloonText">
    <w:name w:val="Balloon Text"/>
    <w:basedOn w:val="Normal"/>
    <w:link w:val="BalloonTextChar"/>
    <w:uiPriority w:val="99"/>
    <w:semiHidden/>
    <w:unhideWhenUsed/>
    <w:rsid w:val="008C70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081"/>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C7081"/>
    <w:rPr>
      <w:sz w:val="16"/>
      <w:szCs w:val="16"/>
    </w:rPr>
  </w:style>
  <w:style w:type="paragraph" w:styleId="CommentText">
    <w:name w:val="annotation text"/>
    <w:basedOn w:val="Normal"/>
    <w:link w:val="CommentTextChar"/>
    <w:uiPriority w:val="99"/>
    <w:semiHidden/>
    <w:unhideWhenUsed/>
    <w:rsid w:val="008C7081"/>
    <w:pPr>
      <w:spacing w:line="240" w:lineRule="auto"/>
    </w:pPr>
    <w:rPr>
      <w:sz w:val="20"/>
      <w:szCs w:val="20"/>
    </w:rPr>
  </w:style>
  <w:style w:type="character" w:customStyle="1" w:styleId="CommentTextChar">
    <w:name w:val="Comment Text Char"/>
    <w:basedOn w:val="DefaultParagraphFont"/>
    <w:link w:val="CommentText"/>
    <w:uiPriority w:val="99"/>
    <w:semiHidden/>
    <w:rsid w:val="008C708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C30E7"/>
    <w:rPr>
      <w:b/>
      <w:bCs/>
    </w:rPr>
  </w:style>
  <w:style w:type="character" w:customStyle="1" w:styleId="CommentSubjectChar">
    <w:name w:val="Comment Subject Char"/>
    <w:basedOn w:val="CommentTextChar"/>
    <w:link w:val="CommentSubject"/>
    <w:uiPriority w:val="99"/>
    <w:semiHidden/>
    <w:rsid w:val="009C30E7"/>
    <w:rPr>
      <w:rFonts w:ascii="Calibri" w:eastAsia="Times New Roman" w:hAnsi="Calibri" w:cs="Times New Roman"/>
      <w:b/>
      <w:bCs/>
      <w:sz w:val="20"/>
      <w:szCs w:val="20"/>
      <w:lang w:val="en-US"/>
    </w:rPr>
  </w:style>
  <w:style w:type="paragraph" w:styleId="ListParagraph">
    <w:name w:val="List Paragraph"/>
    <w:basedOn w:val="Normal"/>
    <w:uiPriority w:val="34"/>
    <w:qFormat/>
    <w:rsid w:val="00143C32"/>
    <w:pPr>
      <w:ind w:left="720"/>
      <w:contextualSpacing/>
    </w:pPr>
  </w:style>
  <w:style w:type="character" w:styleId="Hyperlink">
    <w:name w:val="Hyperlink"/>
    <w:basedOn w:val="DefaultParagraphFont"/>
    <w:uiPriority w:val="99"/>
    <w:unhideWhenUsed/>
    <w:rsid w:val="00A90EF0"/>
    <w:rPr>
      <w:color w:val="0563C1" w:themeColor="hyperlink"/>
      <w:u w:val="single"/>
    </w:rPr>
  </w:style>
  <w:style w:type="character" w:customStyle="1" w:styleId="UnresolvedMention1">
    <w:name w:val="Unresolved Mention1"/>
    <w:basedOn w:val="DefaultParagraphFont"/>
    <w:uiPriority w:val="99"/>
    <w:semiHidden/>
    <w:unhideWhenUsed/>
    <w:rsid w:val="00A90EF0"/>
    <w:rPr>
      <w:color w:val="605E5C"/>
      <w:shd w:val="clear" w:color="auto" w:fill="E1DFDD"/>
    </w:rPr>
  </w:style>
  <w:style w:type="character" w:styleId="FollowedHyperlink">
    <w:name w:val="FollowedHyperlink"/>
    <w:basedOn w:val="DefaultParagraphFont"/>
    <w:uiPriority w:val="99"/>
    <w:semiHidden/>
    <w:unhideWhenUsed/>
    <w:rsid w:val="00A90EF0"/>
    <w:rPr>
      <w:color w:val="954F72" w:themeColor="followedHyperlink"/>
      <w:u w:val="single"/>
    </w:rPr>
  </w:style>
  <w:style w:type="paragraph" w:styleId="FootnoteText">
    <w:name w:val="footnote text"/>
    <w:basedOn w:val="Normal"/>
    <w:link w:val="FootnoteTextChar"/>
    <w:uiPriority w:val="99"/>
    <w:semiHidden/>
    <w:unhideWhenUsed/>
    <w:rsid w:val="00AC598F"/>
    <w:pPr>
      <w:spacing w:line="240" w:lineRule="auto"/>
    </w:pPr>
    <w:rPr>
      <w:sz w:val="20"/>
      <w:szCs w:val="20"/>
    </w:rPr>
  </w:style>
  <w:style w:type="character" w:customStyle="1" w:styleId="FootnoteTextChar">
    <w:name w:val="Footnote Text Char"/>
    <w:basedOn w:val="DefaultParagraphFont"/>
    <w:link w:val="FootnoteText"/>
    <w:uiPriority w:val="99"/>
    <w:semiHidden/>
    <w:rsid w:val="00AC598F"/>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AC598F"/>
    <w:rPr>
      <w:vertAlign w:val="superscript"/>
    </w:rPr>
  </w:style>
  <w:style w:type="paragraph" w:styleId="Header">
    <w:name w:val="header"/>
    <w:basedOn w:val="Normal"/>
    <w:link w:val="HeaderChar"/>
    <w:uiPriority w:val="99"/>
    <w:unhideWhenUsed/>
    <w:rsid w:val="005578E4"/>
    <w:pPr>
      <w:tabs>
        <w:tab w:val="center" w:pos="4680"/>
        <w:tab w:val="right" w:pos="9360"/>
      </w:tabs>
      <w:spacing w:line="240" w:lineRule="auto"/>
    </w:pPr>
  </w:style>
  <w:style w:type="character" w:customStyle="1" w:styleId="HeaderChar">
    <w:name w:val="Header Char"/>
    <w:basedOn w:val="DefaultParagraphFont"/>
    <w:link w:val="Header"/>
    <w:uiPriority w:val="99"/>
    <w:rsid w:val="00645F24"/>
    <w:rPr>
      <w:rFonts w:ascii="Calibri" w:eastAsia="Times New Roman" w:hAnsi="Calibri" w:cs="Times New Roman"/>
      <w:lang w:val="en-US"/>
    </w:rPr>
  </w:style>
  <w:style w:type="paragraph" w:customStyle="1" w:styleId="WWBodyText">
    <w:name w:val="WW_BodyText"/>
    <w:basedOn w:val="Normal"/>
    <w:rsid w:val="00CA57EF"/>
    <w:pPr>
      <w:suppressAutoHyphens/>
      <w:spacing w:after="240"/>
      <w:jc w:val="both"/>
    </w:pPr>
    <w:rPr>
      <w:rFonts w:ascii="Arial" w:hAnsi="Arial"/>
      <w:sz w:val="22"/>
      <w:lang w:val="en-GB" w:eastAsia="en-GB"/>
    </w:rPr>
  </w:style>
  <w:style w:type="paragraph" w:customStyle="1" w:styleId="AODocTxt">
    <w:name w:val="AODocTxt"/>
    <w:basedOn w:val="Normal"/>
    <w:qFormat/>
    <w:rsid w:val="00CA57EF"/>
    <w:pPr>
      <w:spacing w:before="240" w:line="260" w:lineRule="atLeast"/>
      <w:jc w:val="both"/>
    </w:pPr>
    <w:rPr>
      <w:rFonts w:ascii="Times New Roman" w:eastAsiaTheme="minorHAnsi" w:hAnsi="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391117">
      <w:bodyDiv w:val="1"/>
      <w:marLeft w:val="0"/>
      <w:marRight w:val="0"/>
      <w:marTop w:val="0"/>
      <w:marBottom w:val="0"/>
      <w:divBdr>
        <w:top w:val="none" w:sz="0" w:space="0" w:color="auto"/>
        <w:left w:val="none" w:sz="0" w:space="0" w:color="auto"/>
        <w:bottom w:val="none" w:sz="0" w:space="0" w:color="auto"/>
        <w:right w:val="none" w:sz="0" w:space="0" w:color="auto"/>
      </w:divBdr>
    </w:div>
    <w:div w:id="788939715">
      <w:bodyDiv w:val="1"/>
      <w:marLeft w:val="0"/>
      <w:marRight w:val="0"/>
      <w:marTop w:val="0"/>
      <w:marBottom w:val="0"/>
      <w:divBdr>
        <w:top w:val="none" w:sz="0" w:space="0" w:color="auto"/>
        <w:left w:val="none" w:sz="0" w:space="0" w:color="auto"/>
        <w:bottom w:val="none" w:sz="0" w:space="0" w:color="auto"/>
        <w:right w:val="none" w:sz="0" w:space="0" w:color="auto"/>
      </w:divBdr>
    </w:div>
    <w:div w:id="927805699">
      <w:bodyDiv w:val="1"/>
      <w:marLeft w:val="0"/>
      <w:marRight w:val="0"/>
      <w:marTop w:val="0"/>
      <w:marBottom w:val="0"/>
      <w:divBdr>
        <w:top w:val="none" w:sz="0" w:space="0" w:color="auto"/>
        <w:left w:val="none" w:sz="0" w:space="0" w:color="auto"/>
        <w:bottom w:val="none" w:sz="0" w:space="0" w:color="auto"/>
        <w:right w:val="none" w:sz="0" w:space="0" w:color="auto"/>
      </w:divBdr>
    </w:div>
    <w:div w:id="122737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DCB0C64831414DABABF09C05DE95E2" ma:contentTypeVersion="13" ma:contentTypeDescription="Create a new document." ma:contentTypeScope="" ma:versionID="b69e1ebe0cbfb4e36d1816847a55f07a">
  <xsd:schema xmlns:xsd="http://www.w3.org/2001/XMLSchema" xmlns:xs="http://www.w3.org/2001/XMLSchema" xmlns:p="http://schemas.microsoft.com/office/2006/metadata/properties" xmlns:ns2="943f1af2-e785-4394-9b2d-dfaf95e92f60" xmlns:ns3="d830a163-2bd2-4904-a356-455e0fdb518a" targetNamespace="http://schemas.microsoft.com/office/2006/metadata/properties" ma:root="true" ma:fieldsID="03ae1803060afa6462f34f30f22db597" ns2:_="" ns3:_="">
    <xsd:import namespace="943f1af2-e785-4394-9b2d-dfaf95e92f60"/>
    <xsd:import namespace="d830a163-2bd2-4904-a356-455e0fdb51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f1af2-e785-4394-9b2d-dfaf95e92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0a163-2bd2-4904-a356-455e0fdb51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0E789-A794-4F58-86BF-0DD884639934}">
  <ds:schemaRefs>
    <ds:schemaRef ds:uri="http://schemas.microsoft.com/sharepoint/v3/contenttype/forms"/>
  </ds:schemaRefs>
</ds:datastoreItem>
</file>

<file path=customXml/itemProps2.xml><?xml version="1.0" encoding="utf-8"?>
<ds:datastoreItem xmlns:ds="http://schemas.openxmlformats.org/officeDocument/2006/customXml" ds:itemID="{771EE0E8-D926-4E74-A193-62B74E5BA5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0AE6E0-224D-4A3A-8862-234F7666D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f1af2-e785-4394-9b2d-dfaf95e92f60"/>
    <ds:schemaRef ds:uri="d830a163-2bd2-4904-a356-455e0fdb5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Carnelley</dc:creator>
  <cp:lastModifiedBy>Pieter Carnelley</cp:lastModifiedBy>
  <cp:revision>3</cp:revision>
  <cp:lastPrinted>1899-12-31T23:00:00Z</cp:lastPrinted>
  <dcterms:created xsi:type="dcterms:W3CDTF">2021-10-21T06:11:00Z</dcterms:created>
  <dcterms:modified xsi:type="dcterms:W3CDTF">2021-10-21T06:15:00Z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0x010100ABDCB0C64831414DABABF09C05DE95E2</vt:lpwstr>
  </property>
  <property fmtid="{D5CDD505-2E9C-101B-9397-08002B2CF9AE}" pid="3" name="Client">
    <vt:lpwstr>0086673</vt:lpwstr>
  </property>
  <property fmtid="{D5CDD505-2E9C-101B-9397-08002B2CF9AE}" pid="4" name="Matter">
    <vt:lpwstr>0000056</vt:lpwstr>
  </property>
  <property fmtid="{D5CDD505-2E9C-101B-9397-08002B2CF9AE}" pid="5" name="cpDocRef">
    <vt:lpwstr>EUO3: 2005503705.1</vt:lpwstr>
  </property>
  <property fmtid="{D5CDD505-2E9C-101B-9397-08002B2CF9AE}" pid="6" name="cpClientMatter">
    <vt:lpwstr>0086673-0000056</vt:lpwstr>
  </property>
  <property fmtid="{D5CDD505-2E9C-101B-9397-08002B2CF9AE}" pid="7" name="cpCombinedRef">
    <vt:lpwstr>0086673-0000056 EUO3: 2005503705.1</vt:lpwstr>
  </property>
</Properties>
</file>