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B" w:rsidRPr="005F4254" w:rsidRDefault="00C905BB" w:rsidP="00BE4503">
      <w:pPr>
        <w:pStyle w:val="Listenabsatz"/>
        <w:tabs>
          <w:tab w:val="left" w:pos="426"/>
        </w:tabs>
        <w:ind w:left="360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proofErr w:type="spellStart"/>
      <w:r w:rsidRPr="005F4254">
        <w:rPr>
          <w:rFonts w:ascii="Verdana" w:eastAsia="Times New Roman" w:hAnsi="Verdana" w:cs="Times New Roman"/>
          <w:b/>
          <w:sz w:val="24"/>
          <w:szCs w:val="24"/>
          <w:lang w:eastAsia="de-DE"/>
        </w:rPr>
        <w:t>ad</w:t>
      </w:r>
      <w:proofErr w:type="spellEnd"/>
      <w:r w:rsidRPr="005F4254"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 pepper media International N.V. generates EBITDA of EUR </w:t>
      </w: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>1.4</w:t>
      </w:r>
      <w:r w:rsidRPr="005F4254"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 million</w:t>
      </w:r>
    </w:p>
    <w:p w:rsidR="00C905BB" w:rsidRPr="00BC7A0A" w:rsidRDefault="00C905BB" w:rsidP="00C905BB">
      <w:pPr>
        <w:tabs>
          <w:tab w:val="left" w:pos="426"/>
        </w:tabs>
        <w:ind w:left="360"/>
        <w:rPr>
          <w:rFonts w:ascii="Verdana" w:hAnsi="Verdana"/>
          <w:sz w:val="20"/>
        </w:rPr>
      </w:pPr>
    </w:p>
    <w:p w:rsidR="00C905BB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  <w:r w:rsidRPr="00BC7A0A">
        <w:rPr>
          <w:rFonts w:ascii="Verdana" w:hAnsi="Verdana"/>
          <w:b/>
          <w:sz w:val="20"/>
        </w:rPr>
        <w:t>Nuremberg, Amsterdam, February</w:t>
      </w:r>
      <w:r w:rsidR="00C66284">
        <w:rPr>
          <w:rFonts w:ascii="Verdana" w:hAnsi="Verdana"/>
          <w:b/>
          <w:sz w:val="20"/>
        </w:rPr>
        <w:t xml:space="preserve"> </w:t>
      </w:r>
      <w:r w:rsidR="0003734B">
        <w:rPr>
          <w:rFonts w:ascii="Verdana" w:hAnsi="Verdana"/>
          <w:b/>
          <w:sz w:val="20"/>
        </w:rPr>
        <w:t>1</w:t>
      </w:r>
      <w:r w:rsidR="0003734B">
        <w:rPr>
          <w:rFonts w:ascii="Verdana" w:hAnsi="Verdana"/>
          <w:b/>
          <w:sz w:val="20"/>
        </w:rPr>
        <w:t>4</w:t>
      </w:r>
      <w:r w:rsidRPr="00BC7A0A">
        <w:rPr>
          <w:rFonts w:ascii="Verdana" w:hAnsi="Verdana"/>
          <w:b/>
          <w:sz w:val="20"/>
        </w:rPr>
        <w:t>, 2019</w:t>
      </w:r>
      <w:r w:rsidRPr="00BC7A0A">
        <w:rPr>
          <w:rFonts w:ascii="Verdana" w:hAnsi="Verdana"/>
          <w:sz w:val="20"/>
        </w:rPr>
        <w:t xml:space="preserve"> – Based on preliminary and unaudited figures, ad pepper media International N.V. concluded the past financial year with EBITDA of EUR</w:t>
      </w:r>
      <w:r w:rsidR="00C66284">
        <w:rPr>
          <w:rFonts w:ascii="Verdana" w:hAnsi="Verdana"/>
          <w:sz w:val="20"/>
        </w:rPr>
        <w:t xml:space="preserve"> 1,354</w:t>
      </w:r>
      <w:r w:rsidR="009B5B11">
        <w:rPr>
          <w:rFonts w:ascii="Verdana" w:hAnsi="Verdana"/>
          <w:sz w:val="20"/>
        </w:rPr>
        <w:t>k</w:t>
      </w:r>
      <w:r w:rsidRPr="00BC7A0A">
        <w:rPr>
          <w:rFonts w:ascii="Verdana" w:hAnsi="Verdana"/>
          <w:sz w:val="20"/>
        </w:rPr>
        <w:t xml:space="preserve"> (2017: EUR </w:t>
      </w:r>
      <w:r>
        <w:rPr>
          <w:rFonts w:ascii="Verdana" w:hAnsi="Verdana"/>
          <w:sz w:val="20"/>
        </w:rPr>
        <w:t>2,209</w:t>
      </w:r>
      <w:r w:rsidRPr="00BC7A0A">
        <w:rPr>
          <w:rFonts w:ascii="Verdana" w:hAnsi="Verdana"/>
          <w:sz w:val="20"/>
        </w:rPr>
        <w:t xml:space="preserve">k), </w:t>
      </w:r>
      <w:r>
        <w:rPr>
          <w:rFonts w:ascii="Verdana" w:hAnsi="Verdana"/>
          <w:sz w:val="20"/>
        </w:rPr>
        <w:t xml:space="preserve">one of the </w:t>
      </w:r>
      <w:r w:rsidRPr="00BC7A0A">
        <w:rPr>
          <w:rFonts w:ascii="Verdana" w:hAnsi="Verdana"/>
          <w:sz w:val="20"/>
        </w:rPr>
        <w:t>best result</w:t>
      </w:r>
      <w:r>
        <w:rPr>
          <w:rFonts w:ascii="Verdana" w:hAnsi="Verdana"/>
          <w:sz w:val="20"/>
        </w:rPr>
        <w:t>s</w:t>
      </w:r>
      <w:r w:rsidRPr="00BC7A0A">
        <w:rPr>
          <w:rFonts w:ascii="Verdana" w:hAnsi="Verdana"/>
          <w:sz w:val="20"/>
        </w:rPr>
        <w:t xml:space="preserve"> in the company’s 20-year history.</w:t>
      </w:r>
    </w:p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  <w:r w:rsidRPr="00BC7A0A">
        <w:rPr>
          <w:rFonts w:ascii="Verdana" w:hAnsi="Verdana"/>
          <w:sz w:val="20"/>
        </w:rPr>
        <w:t xml:space="preserve">To enhance comparability of the Group’s segment sales, for all three of its operating segments the company will distinguish in future between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generated (i.e. the amounts invoiced to our customers) and the net revenue to be determined pursuant to IFRS 15 (i.e.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less media costs).</w:t>
      </w:r>
    </w:p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C905BB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  <w:r w:rsidRPr="00BC7A0A">
        <w:rPr>
          <w:rFonts w:ascii="Verdana" w:hAnsi="Verdana"/>
          <w:sz w:val="20"/>
        </w:rPr>
        <w:t xml:space="preserve">Consistent with this approach, the Group’s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totaled EUR </w:t>
      </w:r>
      <w:r>
        <w:rPr>
          <w:rFonts w:ascii="Verdana" w:hAnsi="Verdana"/>
          <w:sz w:val="20"/>
        </w:rPr>
        <w:t>82,653</w:t>
      </w:r>
      <w:r w:rsidRPr="00BC7A0A">
        <w:rPr>
          <w:rFonts w:ascii="Verdana" w:hAnsi="Verdana"/>
          <w:sz w:val="20"/>
        </w:rPr>
        <w:t xml:space="preserve">k in the past financial year, corresponding to year-on-year growth of </w:t>
      </w:r>
      <w:r>
        <w:rPr>
          <w:rFonts w:ascii="Verdana" w:hAnsi="Verdana"/>
          <w:sz w:val="20"/>
        </w:rPr>
        <w:t xml:space="preserve">9.4 percent </w:t>
      </w:r>
      <w:r w:rsidRPr="00BC7A0A">
        <w:rPr>
          <w:rFonts w:ascii="Verdana" w:hAnsi="Verdana"/>
          <w:sz w:val="20"/>
        </w:rPr>
        <w:t xml:space="preserve">(2017: EUR </w:t>
      </w:r>
      <w:r>
        <w:rPr>
          <w:rFonts w:ascii="Verdana" w:hAnsi="Verdana"/>
          <w:sz w:val="20"/>
        </w:rPr>
        <w:t>75,563</w:t>
      </w:r>
      <w:r w:rsidRPr="00BC7A0A">
        <w:rPr>
          <w:rFonts w:ascii="Verdana" w:hAnsi="Verdana"/>
          <w:sz w:val="20"/>
        </w:rPr>
        <w:t>k). This represents the highest figure in the company’s history. Net revenue also reached a record level and amounted to EUR</w:t>
      </w:r>
      <w:r w:rsidR="008D3379">
        <w:rPr>
          <w:rFonts w:ascii="Verdana" w:hAnsi="Verdana"/>
          <w:sz w:val="20"/>
        </w:rPr>
        <w:t xml:space="preserve"> 20,273k</w:t>
      </w:r>
      <w:r>
        <w:rPr>
          <w:rFonts w:ascii="Verdana" w:hAnsi="Verdana"/>
          <w:sz w:val="20"/>
        </w:rPr>
        <w:t xml:space="preserve"> </w:t>
      </w:r>
      <w:r w:rsidRPr="00BC7A0A">
        <w:rPr>
          <w:rFonts w:ascii="Verdana" w:hAnsi="Verdana"/>
          <w:sz w:val="20"/>
        </w:rPr>
        <w:t xml:space="preserve">in 2018 (2017: EUR </w:t>
      </w:r>
      <w:r w:rsidR="008D3379">
        <w:rPr>
          <w:rFonts w:ascii="Verdana" w:hAnsi="Verdana"/>
          <w:sz w:val="20"/>
        </w:rPr>
        <w:t>18,724k</w:t>
      </w:r>
      <w:r w:rsidRPr="00BC7A0A">
        <w:rPr>
          <w:rFonts w:ascii="Verdana" w:hAnsi="Verdana"/>
          <w:sz w:val="20"/>
        </w:rPr>
        <w:t>).</w:t>
      </w:r>
      <w:r>
        <w:rPr>
          <w:rFonts w:ascii="Verdana" w:hAnsi="Verdana"/>
          <w:sz w:val="20"/>
        </w:rPr>
        <w:t xml:space="preserve"> </w:t>
      </w:r>
      <w:r w:rsidRPr="00BC7A0A">
        <w:rPr>
          <w:rFonts w:ascii="Verdana" w:hAnsi="Verdana"/>
          <w:sz w:val="20"/>
        </w:rPr>
        <w:t>Operating expenses came to EUR</w:t>
      </w:r>
      <w:r w:rsidR="00C66284">
        <w:rPr>
          <w:rFonts w:ascii="Verdana" w:hAnsi="Verdana"/>
          <w:sz w:val="20"/>
        </w:rPr>
        <w:t xml:space="preserve"> 18,519</w:t>
      </w:r>
      <w:r w:rsidR="009B5B11">
        <w:rPr>
          <w:rFonts w:ascii="Verdana" w:hAnsi="Verdana"/>
          <w:sz w:val="20"/>
        </w:rPr>
        <w:t>k</w:t>
      </w:r>
      <w:r w:rsidRPr="00BC7A0A">
        <w:rPr>
          <w:rFonts w:ascii="Verdana" w:hAnsi="Verdana"/>
          <w:sz w:val="20"/>
        </w:rPr>
        <w:t xml:space="preserve"> in the 2018 financial year (2017: EUR </w:t>
      </w:r>
      <w:r>
        <w:rPr>
          <w:rFonts w:ascii="Verdana" w:hAnsi="Verdana"/>
          <w:sz w:val="20"/>
        </w:rPr>
        <w:t>16,530</w:t>
      </w:r>
      <w:r w:rsidRPr="00BC7A0A">
        <w:rPr>
          <w:rFonts w:ascii="Verdana" w:hAnsi="Verdana"/>
          <w:sz w:val="20"/>
        </w:rPr>
        <w:t>k), equivalent to an increase of</w:t>
      </w:r>
      <w:r w:rsidR="009B5B11">
        <w:rPr>
          <w:rFonts w:ascii="Verdana" w:hAnsi="Verdana"/>
          <w:sz w:val="20"/>
        </w:rPr>
        <w:t xml:space="preserve"> 12.0</w:t>
      </w:r>
      <w:r w:rsidRPr="00BC7A0A">
        <w:rPr>
          <w:rFonts w:ascii="Verdana" w:hAnsi="Verdana"/>
          <w:sz w:val="20"/>
        </w:rPr>
        <w:t xml:space="preserve"> percent</w:t>
      </w:r>
      <w:r w:rsidR="00934377">
        <w:rPr>
          <w:rFonts w:ascii="Verdana" w:hAnsi="Verdana"/>
          <w:sz w:val="20"/>
        </w:rPr>
        <w:t xml:space="preserve">. </w:t>
      </w:r>
      <w:r w:rsidR="00F97318" w:rsidRPr="00F97318">
        <w:rPr>
          <w:rFonts w:ascii="Verdana" w:hAnsi="Verdana"/>
          <w:sz w:val="20"/>
        </w:rPr>
        <w:t>Further investments made in sales, marketing and technology activities as well as one-off ex</w:t>
      </w:r>
      <w:r w:rsidR="00F97318">
        <w:rPr>
          <w:rFonts w:ascii="Verdana" w:hAnsi="Verdana"/>
          <w:sz w:val="20"/>
        </w:rPr>
        <w:t xml:space="preserve">penses resulted in higher </w:t>
      </w:r>
      <w:r w:rsidR="00053200">
        <w:rPr>
          <w:rFonts w:ascii="Verdana" w:hAnsi="Verdana"/>
          <w:sz w:val="20"/>
        </w:rPr>
        <w:t>operating expenses</w:t>
      </w:r>
      <w:r w:rsidR="00F97318">
        <w:rPr>
          <w:rFonts w:ascii="Verdana" w:hAnsi="Verdana"/>
          <w:sz w:val="20"/>
        </w:rPr>
        <w:t xml:space="preserve">, </w:t>
      </w:r>
      <w:r w:rsidR="00F97318" w:rsidRPr="00F97318">
        <w:rPr>
          <w:rFonts w:ascii="Verdana" w:hAnsi="Verdana"/>
          <w:sz w:val="20"/>
        </w:rPr>
        <w:t xml:space="preserve">as a result of which the Group generated EBITDA of EUR </w:t>
      </w:r>
      <w:r w:rsidR="009B5B11">
        <w:rPr>
          <w:rFonts w:ascii="Verdana" w:hAnsi="Verdana"/>
          <w:sz w:val="20"/>
        </w:rPr>
        <w:t>1,354k</w:t>
      </w:r>
      <w:r w:rsidR="00F97318">
        <w:rPr>
          <w:rFonts w:ascii="Verdana" w:hAnsi="Verdana"/>
          <w:sz w:val="20"/>
        </w:rPr>
        <w:t xml:space="preserve">. </w:t>
      </w:r>
    </w:p>
    <w:p w:rsidR="00F2075C" w:rsidRDefault="00F2075C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  <w:r w:rsidRPr="00BC7A0A">
        <w:rPr>
          <w:rFonts w:ascii="Verdana" w:hAnsi="Verdana"/>
          <w:sz w:val="20"/>
        </w:rPr>
        <w:t xml:space="preserve">The three operating segments posted </w:t>
      </w:r>
      <w:r>
        <w:rPr>
          <w:rFonts w:ascii="Verdana" w:hAnsi="Verdana"/>
          <w:sz w:val="20"/>
        </w:rPr>
        <w:t xml:space="preserve">somewhat </w:t>
      </w:r>
      <w:r w:rsidRPr="00BC7A0A">
        <w:rPr>
          <w:rFonts w:ascii="Verdana" w:hAnsi="Verdana"/>
          <w:sz w:val="20"/>
        </w:rPr>
        <w:t>disparate developments. The ad pepper</w:t>
      </w:r>
      <w:r>
        <w:rPr>
          <w:rFonts w:ascii="Verdana" w:hAnsi="Verdana"/>
          <w:sz w:val="20"/>
        </w:rPr>
        <w:t xml:space="preserve"> media</w:t>
      </w:r>
      <w:r w:rsidRPr="00BC7A0A">
        <w:rPr>
          <w:rFonts w:ascii="Verdana" w:hAnsi="Verdana"/>
          <w:sz w:val="20"/>
        </w:rPr>
        <w:t xml:space="preserve"> segment reported its strongest performance in the company’s history, with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of EUR </w:t>
      </w:r>
      <w:r>
        <w:rPr>
          <w:rFonts w:ascii="Verdana" w:hAnsi="Verdana"/>
          <w:sz w:val="20"/>
        </w:rPr>
        <w:t>10,619</w:t>
      </w:r>
      <w:r w:rsidRPr="00BC7A0A">
        <w:rPr>
          <w:rFonts w:ascii="Verdana" w:hAnsi="Verdana"/>
          <w:sz w:val="20"/>
        </w:rPr>
        <w:t>k (+</w:t>
      </w:r>
      <w:r>
        <w:rPr>
          <w:rFonts w:ascii="Verdana" w:hAnsi="Verdana"/>
          <w:sz w:val="20"/>
        </w:rPr>
        <w:t>55.9</w:t>
      </w:r>
      <w:r w:rsidRPr="00BC7A0A">
        <w:rPr>
          <w:rFonts w:ascii="Verdana" w:hAnsi="Verdana"/>
          <w:sz w:val="20"/>
        </w:rPr>
        <w:t xml:space="preserve"> percent)</w:t>
      </w:r>
      <w:r>
        <w:rPr>
          <w:rFonts w:ascii="Verdana" w:hAnsi="Verdana"/>
          <w:sz w:val="20"/>
        </w:rPr>
        <w:t xml:space="preserve">, </w:t>
      </w:r>
      <w:r w:rsidRPr="00BC7A0A">
        <w:rPr>
          <w:rFonts w:ascii="Verdana" w:hAnsi="Verdana"/>
          <w:sz w:val="20"/>
        </w:rPr>
        <w:t xml:space="preserve">net revenue of EUR </w:t>
      </w:r>
      <w:r>
        <w:rPr>
          <w:rFonts w:ascii="Verdana" w:hAnsi="Verdana"/>
          <w:sz w:val="20"/>
        </w:rPr>
        <w:t>5,109</w:t>
      </w:r>
      <w:r w:rsidRPr="00BC7A0A">
        <w:rPr>
          <w:rFonts w:ascii="Verdana" w:hAnsi="Verdana"/>
          <w:sz w:val="20"/>
        </w:rPr>
        <w:t>k (+</w:t>
      </w:r>
      <w:r>
        <w:rPr>
          <w:rFonts w:ascii="Verdana" w:hAnsi="Verdana"/>
          <w:sz w:val="20"/>
        </w:rPr>
        <w:t>43.8</w:t>
      </w:r>
      <w:r w:rsidRPr="00BC7A0A">
        <w:rPr>
          <w:rFonts w:ascii="Verdana" w:hAnsi="Verdana"/>
          <w:sz w:val="20"/>
        </w:rPr>
        <w:t xml:space="preserve"> percent)</w:t>
      </w:r>
      <w:r>
        <w:rPr>
          <w:rFonts w:ascii="Verdana" w:hAnsi="Verdana"/>
          <w:sz w:val="20"/>
        </w:rPr>
        <w:t xml:space="preserve">, </w:t>
      </w:r>
      <w:r w:rsidRPr="00BC7A0A">
        <w:rPr>
          <w:rFonts w:ascii="Verdana" w:hAnsi="Verdana"/>
          <w:sz w:val="20"/>
        </w:rPr>
        <w:t xml:space="preserve">and EBITDA of EUR </w:t>
      </w:r>
      <w:r>
        <w:rPr>
          <w:rFonts w:ascii="Verdana" w:hAnsi="Verdana"/>
          <w:sz w:val="20"/>
        </w:rPr>
        <w:t>1,616</w:t>
      </w:r>
      <w:r w:rsidRPr="00BC7A0A">
        <w:rPr>
          <w:rFonts w:ascii="Verdana" w:hAnsi="Verdana"/>
          <w:sz w:val="20"/>
        </w:rPr>
        <w:t xml:space="preserve">k (2017: EUR </w:t>
      </w:r>
      <w:r>
        <w:rPr>
          <w:rFonts w:ascii="Verdana" w:hAnsi="Verdana"/>
          <w:sz w:val="20"/>
        </w:rPr>
        <w:t>973</w:t>
      </w:r>
      <w:r w:rsidRPr="00BC7A0A">
        <w:rPr>
          <w:rFonts w:ascii="Verdana" w:hAnsi="Verdana"/>
          <w:sz w:val="20"/>
        </w:rPr>
        <w:t xml:space="preserve">k) while results at the ad agents and Webgains segments fell short of </w:t>
      </w:r>
      <w:r w:rsidR="00485A86">
        <w:rPr>
          <w:rFonts w:ascii="Verdana" w:hAnsi="Verdana"/>
          <w:sz w:val="20"/>
        </w:rPr>
        <w:t>previous year`s figures</w:t>
      </w:r>
      <w:r w:rsidRPr="00BC7A0A">
        <w:rPr>
          <w:rFonts w:ascii="Verdana" w:hAnsi="Verdana"/>
          <w:sz w:val="20"/>
        </w:rPr>
        <w:t xml:space="preserve">. The ad agents segment generated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of EUR </w:t>
      </w:r>
      <w:r>
        <w:rPr>
          <w:rFonts w:ascii="Verdana" w:hAnsi="Verdana"/>
          <w:sz w:val="20"/>
        </w:rPr>
        <w:t>17,096</w:t>
      </w:r>
      <w:r w:rsidRPr="00BC7A0A">
        <w:rPr>
          <w:rFonts w:ascii="Verdana" w:hAnsi="Verdana"/>
          <w:sz w:val="20"/>
        </w:rPr>
        <w:t xml:space="preserve">k (2017: EUR </w:t>
      </w:r>
      <w:r>
        <w:rPr>
          <w:rFonts w:ascii="Verdana" w:hAnsi="Verdana"/>
          <w:sz w:val="20"/>
        </w:rPr>
        <w:t>17,354</w:t>
      </w:r>
      <w:r w:rsidRPr="00BC7A0A">
        <w:rPr>
          <w:rFonts w:ascii="Verdana" w:hAnsi="Verdana"/>
          <w:sz w:val="20"/>
        </w:rPr>
        <w:t>k) and net revenue</w:t>
      </w:r>
      <w:r>
        <w:rPr>
          <w:rFonts w:ascii="Verdana" w:hAnsi="Verdana"/>
          <w:sz w:val="20"/>
        </w:rPr>
        <w:t xml:space="preserve"> </w:t>
      </w:r>
      <w:r w:rsidRPr="00BC7A0A">
        <w:rPr>
          <w:rFonts w:ascii="Verdana" w:hAnsi="Verdana"/>
          <w:sz w:val="20"/>
        </w:rPr>
        <w:t>of EUR</w:t>
      </w:r>
      <w:r>
        <w:rPr>
          <w:rFonts w:ascii="Verdana" w:hAnsi="Verdana"/>
          <w:sz w:val="20"/>
        </w:rPr>
        <w:t xml:space="preserve"> </w:t>
      </w:r>
      <w:r w:rsidR="008D3379">
        <w:rPr>
          <w:rFonts w:ascii="Verdana" w:hAnsi="Verdana"/>
          <w:sz w:val="20"/>
        </w:rPr>
        <w:t>5,011k</w:t>
      </w:r>
      <w:r>
        <w:rPr>
          <w:rFonts w:ascii="Verdana" w:hAnsi="Verdana"/>
          <w:sz w:val="20"/>
        </w:rPr>
        <w:t xml:space="preserve"> </w:t>
      </w:r>
      <w:r w:rsidRPr="00BC7A0A">
        <w:rPr>
          <w:rFonts w:ascii="Verdana" w:hAnsi="Verdana"/>
          <w:sz w:val="20"/>
        </w:rPr>
        <w:t xml:space="preserve">(2017: EUR </w:t>
      </w:r>
      <w:r w:rsidR="008D3379">
        <w:rPr>
          <w:rFonts w:ascii="Verdana" w:hAnsi="Verdana"/>
          <w:sz w:val="20"/>
        </w:rPr>
        <w:t>5,422k</w:t>
      </w:r>
      <w:r w:rsidRPr="00BC7A0A">
        <w:rPr>
          <w:rFonts w:ascii="Verdana" w:hAnsi="Verdana"/>
          <w:sz w:val="20"/>
        </w:rPr>
        <w:t xml:space="preserve">), resulting in EBITDA of EUR </w:t>
      </w:r>
      <w:r>
        <w:rPr>
          <w:rFonts w:ascii="Verdana" w:hAnsi="Verdana"/>
          <w:sz w:val="20"/>
        </w:rPr>
        <w:t>40</w:t>
      </w:r>
      <w:r w:rsidRPr="00BC7A0A">
        <w:rPr>
          <w:rFonts w:ascii="Verdana" w:hAnsi="Verdana"/>
          <w:sz w:val="20"/>
        </w:rPr>
        <w:t xml:space="preserve">k and thus significantly lower than in the previous year (2017: EUR </w:t>
      </w:r>
      <w:r>
        <w:rPr>
          <w:rFonts w:ascii="Verdana" w:hAnsi="Verdana"/>
          <w:sz w:val="20"/>
        </w:rPr>
        <w:t>1,258k</w:t>
      </w:r>
      <w:r w:rsidRPr="00BC7A0A">
        <w:rPr>
          <w:rFonts w:ascii="Verdana" w:hAnsi="Verdana"/>
          <w:sz w:val="20"/>
        </w:rPr>
        <w:t xml:space="preserve">).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at Webgains amounted to EUR </w:t>
      </w:r>
      <w:r>
        <w:rPr>
          <w:rFonts w:ascii="Verdana" w:hAnsi="Verdana"/>
          <w:sz w:val="20"/>
        </w:rPr>
        <w:t>54,938</w:t>
      </w:r>
      <w:r w:rsidRPr="00BC7A0A">
        <w:rPr>
          <w:rFonts w:ascii="Verdana" w:hAnsi="Verdana"/>
          <w:sz w:val="20"/>
        </w:rPr>
        <w:t>k</w:t>
      </w:r>
      <w:r w:rsidR="009A4CE3" w:rsidRPr="009A4CE3">
        <w:rPr>
          <w:rFonts w:ascii="Verdana" w:hAnsi="Verdana"/>
          <w:sz w:val="20"/>
        </w:rPr>
        <w:t xml:space="preserve"> </w:t>
      </w:r>
      <w:r w:rsidR="009A4CE3" w:rsidRPr="00BC7A0A">
        <w:rPr>
          <w:rFonts w:ascii="Verdana" w:hAnsi="Verdana"/>
          <w:sz w:val="20"/>
        </w:rPr>
        <w:t>in the past financial</w:t>
      </w:r>
      <w:r w:rsidR="009A4CE3" w:rsidRPr="009A4CE3">
        <w:rPr>
          <w:rFonts w:ascii="Verdana" w:hAnsi="Verdana"/>
          <w:sz w:val="20"/>
        </w:rPr>
        <w:t xml:space="preserve"> </w:t>
      </w:r>
      <w:r w:rsidR="009A4CE3" w:rsidRPr="00BC7A0A">
        <w:rPr>
          <w:rFonts w:ascii="Verdana" w:hAnsi="Verdana"/>
          <w:sz w:val="20"/>
        </w:rPr>
        <w:t>year</w:t>
      </w:r>
      <w:r w:rsidR="009A4CE3">
        <w:rPr>
          <w:rFonts w:ascii="Verdana" w:hAnsi="Verdana"/>
          <w:sz w:val="20"/>
        </w:rPr>
        <w:t xml:space="preserve">, corresponding to year-on-year growth of 6.9 percent </w:t>
      </w:r>
      <w:r w:rsidRPr="00BC7A0A">
        <w:rPr>
          <w:rFonts w:ascii="Verdana" w:hAnsi="Verdana"/>
          <w:sz w:val="20"/>
        </w:rPr>
        <w:t xml:space="preserve">(2017: EUR </w:t>
      </w:r>
      <w:r>
        <w:rPr>
          <w:rFonts w:ascii="Verdana" w:hAnsi="Verdana"/>
          <w:sz w:val="20"/>
        </w:rPr>
        <w:t>51,399k</w:t>
      </w:r>
      <w:r w:rsidRPr="00BC7A0A">
        <w:rPr>
          <w:rFonts w:ascii="Verdana" w:hAnsi="Verdana"/>
          <w:sz w:val="20"/>
        </w:rPr>
        <w:t xml:space="preserve">), with net revenue coming to EUR </w:t>
      </w:r>
      <w:r>
        <w:rPr>
          <w:rFonts w:ascii="Verdana" w:hAnsi="Verdana"/>
          <w:sz w:val="20"/>
        </w:rPr>
        <w:t>10,153</w:t>
      </w:r>
      <w:r w:rsidRPr="00BC7A0A">
        <w:rPr>
          <w:rFonts w:ascii="Verdana" w:hAnsi="Verdana"/>
          <w:sz w:val="20"/>
        </w:rPr>
        <w:t xml:space="preserve">k (2017: EUR </w:t>
      </w:r>
      <w:r>
        <w:rPr>
          <w:rFonts w:ascii="Verdana" w:hAnsi="Verdana"/>
          <w:sz w:val="20"/>
        </w:rPr>
        <w:t>9,749k</w:t>
      </w:r>
      <w:r w:rsidRPr="00BC7A0A">
        <w:rPr>
          <w:rFonts w:ascii="Verdana" w:hAnsi="Verdana"/>
          <w:sz w:val="20"/>
        </w:rPr>
        <w:t xml:space="preserve">). </w:t>
      </w:r>
      <w:r w:rsidR="00F30F72">
        <w:rPr>
          <w:rFonts w:ascii="Verdana" w:hAnsi="Verdana"/>
          <w:sz w:val="20"/>
        </w:rPr>
        <w:t xml:space="preserve">Thanks to a successful fourth quarter with growth of </w:t>
      </w:r>
      <w:r w:rsidR="008D3379">
        <w:rPr>
          <w:rFonts w:ascii="Verdana" w:hAnsi="Verdana"/>
          <w:sz w:val="20"/>
        </w:rPr>
        <w:t xml:space="preserve">12,1 </w:t>
      </w:r>
      <w:r w:rsidR="00F30F72">
        <w:rPr>
          <w:rFonts w:ascii="Verdana" w:hAnsi="Verdana"/>
          <w:sz w:val="20"/>
        </w:rPr>
        <w:t xml:space="preserve">percent (gross sales) and EBITDA of EUR 406k, </w:t>
      </w:r>
      <w:r w:rsidRPr="00BC7A0A">
        <w:rPr>
          <w:rFonts w:ascii="Verdana" w:hAnsi="Verdana"/>
          <w:sz w:val="20"/>
        </w:rPr>
        <w:t xml:space="preserve">this segment generated EBITDA of EUR </w:t>
      </w:r>
      <w:r>
        <w:rPr>
          <w:rFonts w:ascii="Verdana" w:hAnsi="Verdana"/>
          <w:sz w:val="20"/>
        </w:rPr>
        <w:t>631</w:t>
      </w:r>
      <w:r w:rsidRPr="00BC7A0A">
        <w:rPr>
          <w:rFonts w:ascii="Verdana" w:hAnsi="Verdana"/>
          <w:sz w:val="20"/>
        </w:rPr>
        <w:t xml:space="preserve">k </w:t>
      </w:r>
      <w:r w:rsidR="00F30F72">
        <w:rPr>
          <w:rFonts w:ascii="Verdana" w:hAnsi="Verdana"/>
          <w:sz w:val="20"/>
        </w:rPr>
        <w:t xml:space="preserve">for the </w:t>
      </w:r>
      <w:r w:rsidR="00A408AE">
        <w:rPr>
          <w:rFonts w:ascii="Verdana" w:hAnsi="Verdana"/>
          <w:sz w:val="20"/>
        </w:rPr>
        <w:t>past</w:t>
      </w:r>
      <w:r w:rsidR="00A408AE" w:rsidRPr="00BC7A0A">
        <w:rPr>
          <w:rFonts w:ascii="Verdana" w:hAnsi="Verdana"/>
          <w:sz w:val="20"/>
        </w:rPr>
        <w:t xml:space="preserve"> </w:t>
      </w:r>
      <w:r w:rsidR="00F30F72">
        <w:rPr>
          <w:rFonts w:ascii="Verdana" w:hAnsi="Verdana"/>
          <w:sz w:val="20"/>
        </w:rPr>
        <w:t>financial year</w:t>
      </w:r>
      <w:r w:rsidRPr="00BC7A0A">
        <w:rPr>
          <w:rFonts w:ascii="Verdana" w:hAnsi="Verdana"/>
          <w:sz w:val="20"/>
        </w:rPr>
        <w:t xml:space="preserve"> (2017: EUR </w:t>
      </w:r>
      <w:r>
        <w:rPr>
          <w:rFonts w:ascii="Verdana" w:hAnsi="Verdana"/>
          <w:sz w:val="20"/>
        </w:rPr>
        <w:t>1,308</w:t>
      </w:r>
      <w:r w:rsidRPr="00BC7A0A">
        <w:rPr>
          <w:rFonts w:ascii="Verdana" w:hAnsi="Verdana"/>
          <w:sz w:val="20"/>
        </w:rPr>
        <w:t>k).</w:t>
      </w:r>
    </w:p>
    <w:p w:rsidR="00C905BB" w:rsidRPr="00BC7A0A" w:rsidRDefault="00C905BB" w:rsidP="00C905BB">
      <w:pPr>
        <w:pStyle w:val="KeinAbsatzformat"/>
        <w:tabs>
          <w:tab w:val="left" w:pos="426"/>
        </w:tabs>
        <w:spacing w:line="240" w:lineRule="auto"/>
        <w:ind w:left="360" w:right="284"/>
        <w:jc w:val="both"/>
        <w:rPr>
          <w:rFonts w:ascii="Verdana" w:hAnsi="Verdana"/>
          <w:i/>
          <w:sz w:val="20"/>
          <w:szCs w:val="20"/>
        </w:rPr>
      </w:pPr>
    </w:p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  <w:r w:rsidRPr="00BC7A0A">
        <w:rPr>
          <w:rFonts w:ascii="Verdana" w:hAnsi="Verdana"/>
          <w:sz w:val="20"/>
        </w:rPr>
        <w:t>Liquid funds (including securities measured at fair value)</w:t>
      </w:r>
      <w:r>
        <w:rPr>
          <w:rFonts w:ascii="Verdana" w:hAnsi="Verdana"/>
          <w:sz w:val="20"/>
        </w:rPr>
        <w:t xml:space="preserve"> amounted </w:t>
      </w:r>
      <w:r w:rsidRPr="00BC7A0A">
        <w:rPr>
          <w:rFonts w:ascii="Verdana" w:hAnsi="Verdana"/>
          <w:sz w:val="20"/>
        </w:rPr>
        <w:t>to EUR</w:t>
      </w:r>
      <w:r>
        <w:rPr>
          <w:rFonts w:ascii="Verdana" w:hAnsi="Verdana"/>
          <w:sz w:val="20"/>
        </w:rPr>
        <w:t xml:space="preserve"> 20,507</w:t>
      </w:r>
      <w:r w:rsidRPr="00BC7A0A">
        <w:rPr>
          <w:rFonts w:ascii="Verdana" w:hAnsi="Verdana"/>
          <w:sz w:val="20"/>
        </w:rPr>
        <w:t>k (December 31, 2017: EUR</w:t>
      </w:r>
      <w:r>
        <w:rPr>
          <w:rFonts w:ascii="Verdana" w:hAnsi="Verdana"/>
          <w:sz w:val="20"/>
        </w:rPr>
        <w:t xml:space="preserve"> 22,642</w:t>
      </w:r>
      <w:r w:rsidRPr="00BC7A0A">
        <w:rPr>
          <w:rFonts w:ascii="Verdana" w:hAnsi="Verdana"/>
          <w:sz w:val="20"/>
        </w:rPr>
        <w:t>k). The company still has no liabilities</w:t>
      </w:r>
      <w:r>
        <w:rPr>
          <w:rFonts w:ascii="Verdana" w:hAnsi="Verdana"/>
          <w:sz w:val="20"/>
        </w:rPr>
        <w:t xml:space="preserve"> </w:t>
      </w:r>
      <w:r w:rsidRPr="00BC7A0A">
        <w:rPr>
          <w:rFonts w:ascii="Verdana" w:hAnsi="Verdana"/>
          <w:sz w:val="20"/>
        </w:rPr>
        <w:t>to banks.</w:t>
      </w:r>
    </w:p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C905BB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  <w:r w:rsidRPr="00BC7A0A">
        <w:rPr>
          <w:rFonts w:ascii="Verdana" w:hAnsi="Verdana"/>
          <w:sz w:val="20"/>
        </w:rPr>
        <w:t xml:space="preserve">The 2018 Annual Report will be published on March </w:t>
      </w:r>
      <w:r>
        <w:rPr>
          <w:rFonts w:ascii="Verdana" w:hAnsi="Verdana"/>
          <w:sz w:val="20"/>
        </w:rPr>
        <w:t>28</w:t>
      </w:r>
      <w:r w:rsidRPr="00BC7A0A">
        <w:rPr>
          <w:rFonts w:ascii="Verdana" w:hAnsi="Verdana"/>
          <w:sz w:val="20"/>
        </w:rPr>
        <w:t>, 2019.</w:t>
      </w:r>
    </w:p>
    <w:p w:rsidR="00C905BB" w:rsidRPr="002B5924" w:rsidRDefault="00C905BB">
      <w:pPr>
        <w:spacing w:after="20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 w:type="page"/>
      </w:r>
    </w:p>
    <w:p w:rsidR="00C905BB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C905BB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C905BB" w:rsidRPr="00BC7A0A" w:rsidRDefault="00C905BB" w:rsidP="00C905BB">
      <w:pPr>
        <w:tabs>
          <w:tab w:val="left" w:pos="426"/>
        </w:tabs>
        <w:ind w:left="360"/>
        <w:rPr>
          <w:rFonts w:ascii="Verdana" w:hAnsi="Verdana"/>
          <w:b/>
          <w:sz w:val="20"/>
        </w:rPr>
      </w:pPr>
      <w:r w:rsidRPr="00BC7A0A">
        <w:rPr>
          <w:rFonts w:ascii="Verdana" w:hAnsi="Verdana"/>
          <w:b/>
          <w:sz w:val="20"/>
        </w:rPr>
        <w:t>Comparison of key figures (preliminary and unaudited) for 2018 and 2017:</w:t>
      </w:r>
    </w:p>
    <w:p w:rsidR="00C905BB" w:rsidRPr="00BC7A0A" w:rsidRDefault="00C905BB" w:rsidP="00C905BB">
      <w:pPr>
        <w:tabs>
          <w:tab w:val="left" w:pos="426"/>
        </w:tabs>
        <w:ind w:left="360"/>
        <w:rPr>
          <w:rFonts w:ascii="Verdana" w:hAnsi="Verdana"/>
          <w:sz w:val="20"/>
        </w:rPr>
      </w:pPr>
    </w:p>
    <w:tbl>
      <w:tblPr>
        <w:tblW w:w="8155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52"/>
        <w:gridCol w:w="1384"/>
        <w:gridCol w:w="1418"/>
        <w:gridCol w:w="1418"/>
      </w:tblGrid>
      <w:tr w:rsidR="00C905BB" w:rsidRPr="001E5368" w:rsidTr="002B5924">
        <w:trPr>
          <w:cantSplit/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 </w:t>
            </w:r>
          </w:p>
        </w:tc>
        <w:tc>
          <w:tcPr>
            <w:tcW w:w="1384" w:type="dxa"/>
            <w:shd w:val="clear" w:color="auto" w:fill="auto"/>
            <w:vAlign w:val="bottom"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2018</w:t>
            </w:r>
          </w:p>
        </w:tc>
        <w:tc>
          <w:tcPr>
            <w:tcW w:w="1418" w:type="dxa"/>
            <w:vAlign w:val="bottom"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% change</w:t>
            </w:r>
          </w:p>
        </w:tc>
      </w:tr>
      <w:tr w:rsidR="00C905BB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Gross sales*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C905BB" w:rsidRPr="00BC7A0A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82,653</w:t>
            </w:r>
          </w:p>
        </w:tc>
        <w:tc>
          <w:tcPr>
            <w:tcW w:w="1418" w:type="dxa"/>
            <w:vAlign w:val="bottom"/>
          </w:tcPr>
          <w:p w:rsidR="00C905BB" w:rsidRPr="00BC7A0A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75,563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05BB" w:rsidRPr="00BC7A0A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9.4</w:t>
            </w:r>
          </w:p>
        </w:tc>
      </w:tr>
      <w:tr w:rsidR="00C905BB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Net revenue**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C905BB" w:rsidRPr="00BC7A0A" w:rsidRDefault="008D3379" w:rsidP="008D3379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20,273</w:t>
            </w:r>
          </w:p>
        </w:tc>
        <w:tc>
          <w:tcPr>
            <w:tcW w:w="1418" w:type="dxa"/>
            <w:vAlign w:val="bottom"/>
          </w:tcPr>
          <w:p w:rsidR="00C905BB" w:rsidRPr="00BC7A0A" w:rsidRDefault="008D3379" w:rsidP="008D3379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18,724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05BB" w:rsidRPr="00BC7A0A" w:rsidRDefault="008D3379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8.3</w:t>
            </w:r>
          </w:p>
        </w:tc>
      </w:tr>
      <w:tr w:rsidR="00C905BB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Gross profit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C905BB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19,546</w:t>
            </w:r>
          </w:p>
        </w:tc>
        <w:tc>
          <w:tcPr>
            <w:tcW w:w="1418" w:type="dxa"/>
            <w:vAlign w:val="bottom"/>
          </w:tcPr>
          <w:p w:rsidR="00C905BB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18,348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05BB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6.5</w:t>
            </w:r>
          </w:p>
        </w:tc>
      </w:tr>
      <w:tr w:rsidR="00C905BB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EBITDA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C905BB" w:rsidRPr="00BC7A0A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1,354</w:t>
            </w:r>
          </w:p>
        </w:tc>
        <w:tc>
          <w:tcPr>
            <w:tcW w:w="1418" w:type="dxa"/>
            <w:vAlign w:val="bottom"/>
          </w:tcPr>
          <w:p w:rsidR="00C905BB" w:rsidRPr="00BC7A0A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2,209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05BB" w:rsidRPr="00BC7A0A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-38.7</w:t>
            </w:r>
          </w:p>
        </w:tc>
      </w:tr>
      <w:tr w:rsidR="00C905BB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EBIT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C905BB" w:rsidRPr="002B5924" w:rsidRDefault="00C905BB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C905BB" w:rsidRPr="00BC7A0A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1,027</w:t>
            </w:r>
          </w:p>
        </w:tc>
        <w:tc>
          <w:tcPr>
            <w:tcW w:w="1418" w:type="dxa"/>
            <w:vAlign w:val="bottom"/>
          </w:tcPr>
          <w:p w:rsidR="00C905BB" w:rsidRPr="00BC7A0A" w:rsidRDefault="00C905BB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1,818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905BB" w:rsidRPr="00BC7A0A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-43.5</w:t>
            </w:r>
          </w:p>
        </w:tc>
      </w:tr>
      <w:tr w:rsidR="006D3D62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</w:tcPr>
          <w:p w:rsidR="006D3D62" w:rsidRPr="002B5924" w:rsidRDefault="006D3D62" w:rsidP="00934FE2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EBT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6D3D62" w:rsidRPr="002B5924" w:rsidRDefault="006D3D62" w:rsidP="00934FE2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6D3D62" w:rsidRPr="00135DF4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838</w:t>
            </w:r>
          </w:p>
        </w:tc>
        <w:tc>
          <w:tcPr>
            <w:tcW w:w="1418" w:type="dxa"/>
            <w:vAlign w:val="bottom"/>
          </w:tcPr>
          <w:p w:rsidR="006D3D62" w:rsidRPr="00135DF4" w:rsidRDefault="006D3D62" w:rsidP="00934FE2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1,801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3D62" w:rsidRPr="00135DF4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-53.5</w:t>
            </w:r>
          </w:p>
        </w:tc>
      </w:tr>
      <w:tr w:rsidR="006D3D62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</w:tcPr>
          <w:p w:rsidR="006D3D62" w:rsidRPr="002B5924" w:rsidRDefault="006D3D62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6D3D62" w:rsidRPr="002B5924" w:rsidRDefault="006D3D62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6D3D62" w:rsidRPr="00BC7A0A" w:rsidRDefault="006D3D62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6D3D62" w:rsidRPr="00BC7A0A" w:rsidRDefault="006D3D62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3D62" w:rsidRPr="00BC7A0A" w:rsidRDefault="006D3D62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</w:p>
        </w:tc>
      </w:tr>
      <w:tr w:rsidR="006D3D62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</w:tcPr>
          <w:p w:rsidR="006D3D62" w:rsidRPr="002B5924" w:rsidRDefault="006D3D62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Equity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6D3D62" w:rsidRPr="002B5924" w:rsidRDefault="006D3D62" w:rsidP="00934FE2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 xml:space="preserve">EUR 000s 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6D3D62" w:rsidRPr="00135DF4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16,512</w:t>
            </w:r>
          </w:p>
        </w:tc>
        <w:tc>
          <w:tcPr>
            <w:tcW w:w="1418" w:type="dxa"/>
            <w:vAlign w:val="bottom"/>
          </w:tcPr>
          <w:p w:rsidR="006D3D62" w:rsidRPr="00135DF4" w:rsidRDefault="006D3D62" w:rsidP="00934FE2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16,517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3D62" w:rsidRPr="00135DF4" w:rsidRDefault="009B5B11" w:rsidP="009B5B11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-0.0</w:t>
            </w:r>
          </w:p>
        </w:tc>
      </w:tr>
      <w:tr w:rsidR="006D3D62" w:rsidRPr="00BC7A0A" w:rsidTr="002B5924">
        <w:trPr>
          <w:trHeight w:val="33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6D3D62" w:rsidRPr="002B5924" w:rsidRDefault="006D3D62" w:rsidP="008B3EC7">
            <w:pPr>
              <w:ind w:left="426"/>
              <w:jc w:val="both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Liquid funds***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6D3D62" w:rsidRPr="002B5924" w:rsidRDefault="006D3D62" w:rsidP="008B3EC7">
            <w:pPr>
              <w:ind w:left="426"/>
              <w:jc w:val="center"/>
              <w:rPr>
                <w:rFonts w:ascii="Verdana" w:hAnsi="Verdana"/>
                <w:b/>
                <w:sz w:val="20"/>
              </w:rPr>
            </w:pPr>
            <w:r w:rsidRPr="002B5924">
              <w:rPr>
                <w:rFonts w:ascii="Verdana" w:hAnsi="Verdana"/>
                <w:b/>
                <w:sz w:val="20"/>
              </w:rPr>
              <w:t>EUR 000s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6D3D62" w:rsidRPr="00BC7A0A" w:rsidRDefault="006D3D62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20,507</w:t>
            </w:r>
          </w:p>
        </w:tc>
        <w:tc>
          <w:tcPr>
            <w:tcW w:w="1418" w:type="dxa"/>
            <w:vAlign w:val="bottom"/>
          </w:tcPr>
          <w:p w:rsidR="006D3D62" w:rsidRPr="00BC7A0A" w:rsidRDefault="006D3D62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22,642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D3D62" w:rsidRPr="00BC7A0A" w:rsidRDefault="006D3D62" w:rsidP="008B3EC7">
            <w:pPr>
              <w:ind w:left="426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-9.4</w:t>
            </w:r>
          </w:p>
        </w:tc>
      </w:tr>
    </w:tbl>
    <w:p w:rsidR="00C905BB" w:rsidRDefault="00C905BB" w:rsidP="00C905BB">
      <w:pPr>
        <w:pStyle w:val="StandardWeb"/>
        <w:ind w:left="426"/>
        <w:rPr>
          <w:rFonts w:ascii="Verdana" w:hAnsi="Verdana"/>
          <w:sz w:val="20"/>
          <w:szCs w:val="20"/>
        </w:rPr>
      </w:pPr>
      <w:r w:rsidRPr="00BC7A0A">
        <w:rPr>
          <w:rFonts w:ascii="Verdana" w:hAnsi="Verdana"/>
          <w:sz w:val="20"/>
          <w:szCs w:val="20"/>
        </w:rPr>
        <w:t>*</w:t>
      </w:r>
      <w:r w:rsidRPr="00CE5345">
        <w:rPr>
          <w:rFonts w:ascii="Verdana" w:hAnsi="Verdana"/>
          <w:sz w:val="20"/>
          <w:szCs w:val="20"/>
        </w:rPr>
        <w:t xml:space="preserve"> Gross </w:t>
      </w:r>
      <w:r>
        <w:rPr>
          <w:rFonts w:ascii="Verdana" w:hAnsi="Verdana"/>
          <w:sz w:val="20"/>
          <w:szCs w:val="20"/>
        </w:rPr>
        <w:t>sales</w:t>
      </w:r>
      <w:r w:rsidRPr="00CE5345">
        <w:rPr>
          <w:rFonts w:ascii="Verdana" w:hAnsi="Verdana"/>
          <w:sz w:val="20"/>
          <w:szCs w:val="20"/>
        </w:rPr>
        <w:t xml:space="preserve"> represent the total amount billed to clients</w:t>
      </w:r>
      <w:r>
        <w:rPr>
          <w:rFonts w:ascii="Verdana" w:hAnsi="Verdana"/>
          <w:sz w:val="20"/>
          <w:szCs w:val="20"/>
        </w:rPr>
        <w:t xml:space="preserve"> by the Group, net of discounts and </w:t>
      </w:r>
      <w:r w:rsidRPr="00CE5345">
        <w:rPr>
          <w:rFonts w:ascii="Verdana" w:hAnsi="Verdana"/>
          <w:sz w:val="20"/>
          <w:szCs w:val="20"/>
        </w:rPr>
        <w:t>VAT</w:t>
      </w:r>
      <w:r>
        <w:rPr>
          <w:rFonts w:ascii="Verdana" w:hAnsi="Verdana"/>
          <w:sz w:val="20"/>
          <w:szCs w:val="20"/>
        </w:rPr>
        <w:t xml:space="preserve">. </w:t>
      </w:r>
    </w:p>
    <w:p w:rsidR="00C905BB" w:rsidRDefault="00C905BB" w:rsidP="00C905BB">
      <w:pPr>
        <w:pStyle w:val="StandardWeb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 </w:t>
      </w:r>
      <w:r>
        <w:rPr>
          <w:rFonts w:ascii="Verdana" w:hAnsi="Verdana"/>
          <w:sz w:val="20"/>
        </w:rPr>
        <w:t>N</w:t>
      </w:r>
      <w:r w:rsidRPr="00BC7A0A">
        <w:rPr>
          <w:rFonts w:ascii="Verdana" w:hAnsi="Verdana"/>
          <w:sz w:val="20"/>
        </w:rPr>
        <w:t xml:space="preserve">et revenue to be determined pursuant to IFRS 15 (i.e. gross </w:t>
      </w:r>
      <w:r>
        <w:rPr>
          <w:rFonts w:ascii="Verdana" w:hAnsi="Verdana"/>
          <w:sz w:val="20"/>
        </w:rPr>
        <w:t>sales</w:t>
      </w:r>
      <w:r w:rsidRPr="00BC7A0A">
        <w:rPr>
          <w:rFonts w:ascii="Verdana" w:hAnsi="Verdana"/>
          <w:sz w:val="20"/>
        </w:rPr>
        <w:t xml:space="preserve"> less media costs)</w:t>
      </w:r>
    </w:p>
    <w:p w:rsidR="00C905BB" w:rsidRDefault="00C905BB" w:rsidP="00C905BB">
      <w:pPr>
        <w:pStyle w:val="StandardWeb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*** </w:t>
      </w:r>
      <w:r w:rsidRPr="00BC7A0A">
        <w:rPr>
          <w:rFonts w:ascii="Verdana" w:hAnsi="Verdana"/>
          <w:sz w:val="20"/>
          <w:szCs w:val="20"/>
        </w:rPr>
        <w:t>Including securities measured at fair value</w:t>
      </w:r>
      <w:r>
        <w:rPr>
          <w:rFonts w:ascii="Verdana" w:hAnsi="Verdana"/>
          <w:sz w:val="20"/>
          <w:szCs w:val="20"/>
        </w:rPr>
        <w:br/>
      </w:r>
    </w:p>
    <w:p w:rsidR="00C905BB" w:rsidRDefault="00C905BB" w:rsidP="00C905BB">
      <w:pPr>
        <w:pStyle w:val="StandardWeb"/>
        <w:ind w:left="426"/>
        <w:rPr>
          <w:rFonts w:ascii="Verdana" w:hAnsi="Verdana"/>
          <w:sz w:val="20"/>
          <w:szCs w:val="20"/>
        </w:rPr>
      </w:pPr>
    </w:p>
    <w:p w:rsidR="00C905BB" w:rsidRPr="00BC7A0A" w:rsidRDefault="00C905BB" w:rsidP="00C905BB">
      <w:pPr>
        <w:pStyle w:val="StandardWeb"/>
        <w:ind w:left="426"/>
        <w:rPr>
          <w:rFonts w:ascii="Verdana" w:hAnsi="Verdana"/>
          <w:sz w:val="20"/>
          <w:szCs w:val="20"/>
        </w:rPr>
      </w:pPr>
    </w:p>
    <w:p w:rsidR="00C905BB" w:rsidRPr="00BC7A0A" w:rsidRDefault="00C905BB" w:rsidP="00C905BB">
      <w:pPr>
        <w:ind w:left="425" w:right="-109"/>
        <w:jc w:val="both"/>
        <w:rPr>
          <w:rFonts w:ascii="Verdana" w:hAnsi="Verdana"/>
          <w:b/>
          <w:sz w:val="20"/>
        </w:rPr>
      </w:pPr>
      <w:r w:rsidRPr="00BC7A0A">
        <w:rPr>
          <w:rFonts w:ascii="Verdana" w:hAnsi="Verdana"/>
          <w:b/>
          <w:sz w:val="20"/>
        </w:rPr>
        <w:t>For further information:</w:t>
      </w:r>
    </w:p>
    <w:p w:rsidR="00C905BB" w:rsidRPr="00BC7A0A" w:rsidRDefault="00C905BB" w:rsidP="00C905BB">
      <w:pPr>
        <w:pStyle w:val="Textkrper"/>
        <w:spacing w:line="240" w:lineRule="auto"/>
        <w:ind w:left="425"/>
        <w:rPr>
          <w:rFonts w:ascii="Verdana" w:hAnsi="Verdana"/>
          <w:snapToGrid/>
          <w:color w:val="auto"/>
          <w:sz w:val="20"/>
        </w:rPr>
      </w:pPr>
      <w:r w:rsidRPr="00BC7A0A">
        <w:rPr>
          <w:rFonts w:ascii="Verdana" w:hAnsi="Verdana"/>
          <w:snapToGrid/>
          <w:color w:val="auto"/>
          <w:sz w:val="20"/>
        </w:rPr>
        <w:t>Dr. Jens Körner (CEO)</w:t>
      </w:r>
    </w:p>
    <w:p w:rsidR="00C905BB" w:rsidRPr="00BC7A0A" w:rsidRDefault="00C905BB" w:rsidP="00C905BB">
      <w:pPr>
        <w:pStyle w:val="Textkrper"/>
        <w:spacing w:line="240" w:lineRule="auto"/>
        <w:ind w:left="425"/>
        <w:rPr>
          <w:rFonts w:ascii="Verdana" w:hAnsi="Verdana"/>
          <w:snapToGrid/>
          <w:color w:val="auto"/>
          <w:sz w:val="20"/>
        </w:rPr>
      </w:pPr>
      <w:proofErr w:type="spellStart"/>
      <w:r w:rsidRPr="00BC7A0A">
        <w:rPr>
          <w:rFonts w:ascii="Verdana" w:hAnsi="Verdana"/>
          <w:snapToGrid/>
          <w:color w:val="auto"/>
          <w:sz w:val="20"/>
        </w:rPr>
        <w:t>ad</w:t>
      </w:r>
      <w:proofErr w:type="spellEnd"/>
      <w:r w:rsidRPr="00BC7A0A">
        <w:rPr>
          <w:rFonts w:ascii="Verdana" w:hAnsi="Verdana"/>
          <w:snapToGrid/>
          <w:color w:val="auto"/>
          <w:sz w:val="20"/>
        </w:rPr>
        <w:t xml:space="preserve"> pepper media International N.V.</w:t>
      </w:r>
    </w:p>
    <w:p w:rsidR="00C905BB" w:rsidRPr="00BC7A0A" w:rsidRDefault="00C905BB" w:rsidP="00C905BB">
      <w:pPr>
        <w:pStyle w:val="Textkrper"/>
        <w:spacing w:line="240" w:lineRule="auto"/>
        <w:ind w:left="425"/>
        <w:rPr>
          <w:rFonts w:ascii="Verdana" w:hAnsi="Verdana"/>
          <w:snapToGrid/>
          <w:color w:val="auto"/>
          <w:sz w:val="20"/>
        </w:rPr>
      </w:pPr>
      <w:r w:rsidRPr="00BC7A0A">
        <w:rPr>
          <w:rFonts w:ascii="Verdana" w:hAnsi="Verdana"/>
          <w:snapToGrid/>
          <w:color w:val="auto"/>
          <w:sz w:val="20"/>
        </w:rPr>
        <w:t>+49 (0) 911 929057-0</w:t>
      </w:r>
    </w:p>
    <w:p w:rsidR="00C905BB" w:rsidRPr="00BC7A0A" w:rsidRDefault="00E81647" w:rsidP="00C905BB">
      <w:pPr>
        <w:pStyle w:val="Textkrper"/>
        <w:spacing w:line="240" w:lineRule="auto"/>
        <w:ind w:left="425"/>
        <w:rPr>
          <w:rFonts w:ascii="Verdana" w:hAnsi="Verdana"/>
          <w:snapToGrid/>
          <w:color w:val="auto"/>
          <w:sz w:val="20"/>
        </w:rPr>
      </w:pPr>
      <w:r w:rsidRPr="00E81647">
        <w:rPr>
          <w:rFonts w:ascii="Verdana" w:hAnsi="Verdana"/>
          <w:noProof/>
          <w:snapToGrid/>
          <w:sz w:val="20"/>
        </w:rPr>
        <w:t>ir@</w:t>
      </w:r>
      <w:bookmarkStart w:id="0" w:name="_GoBack"/>
      <w:bookmarkEnd w:id="0"/>
      <w:r w:rsidRPr="00E81647">
        <w:rPr>
          <w:rFonts w:ascii="Verdana" w:hAnsi="Verdana"/>
          <w:noProof/>
          <w:snapToGrid/>
          <w:sz w:val="20"/>
        </w:rPr>
        <w:t>adpepper.com</w:t>
      </w:r>
    </w:p>
    <w:p w:rsidR="00C905BB" w:rsidRPr="00BC7A0A" w:rsidRDefault="00E81647" w:rsidP="00C905BB">
      <w:pPr>
        <w:pStyle w:val="Textkrper"/>
        <w:spacing w:line="240" w:lineRule="auto"/>
        <w:ind w:left="425"/>
        <w:rPr>
          <w:rFonts w:ascii="Verdana" w:hAnsi="Verdana"/>
          <w:sz w:val="20"/>
        </w:rPr>
      </w:pPr>
      <w:r w:rsidRPr="00E81647">
        <w:rPr>
          <w:rFonts w:ascii="Verdana" w:hAnsi="Verdana"/>
          <w:noProof/>
          <w:snapToGrid/>
          <w:sz w:val="20"/>
        </w:rPr>
        <w:t>www.adpeppergroup.com</w:t>
      </w:r>
    </w:p>
    <w:p w:rsidR="00C905BB" w:rsidRDefault="00C905BB" w:rsidP="00C905BB"/>
    <w:p w:rsidR="00C905BB" w:rsidRPr="00BC7A0A" w:rsidRDefault="00C905BB" w:rsidP="00C905BB">
      <w:pPr>
        <w:tabs>
          <w:tab w:val="left" w:pos="426"/>
        </w:tabs>
        <w:ind w:left="360"/>
        <w:jc w:val="both"/>
        <w:rPr>
          <w:rFonts w:ascii="Verdana" w:hAnsi="Verdana"/>
          <w:sz w:val="20"/>
        </w:rPr>
      </w:pPr>
    </w:p>
    <w:p w:rsidR="00D212F9" w:rsidRDefault="00D212F9"/>
    <w:sectPr w:rsidR="00D21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vonne Rogers">
    <w15:presenceInfo w15:providerId="AD" w15:userId="S-1-5-21-217653622-1134572214-996637233-4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B"/>
    <w:rsid w:val="0003734B"/>
    <w:rsid w:val="00053200"/>
    <w:rsid w:val="000C0DB9"/>
    <w:rsid w:val="00140A07"/>
    <w:rsid w:val="001E5368"/>
    <w:rsid w:val="002863BE"/>
    <w:rsid w:val="002B5924"/>
    <w:rsid w:val="00485A86"/>
    <w:rsid w:val="00534C68"/>
    <w:rsid w:val="00604F36"/>
    <w:rsid w:val="006D3D62"/>
    <w:rsid w:val="006D3E98"/>
    <w:rsid w:val="00822BAF"/>
    <w:rsid w:val="00891BBA"/>
    <w:rsid w:val="008D3379"/>
    <w:rsid w:val="00934377"/>
    <w:rsid w:val="009A4CE3"/>
    <w:rsid w:val="009B5B11"/>
    <w:rsid w:val="00A408AE"/>
    <w:rsid w:val="00BE4503"/>
    <w:rsid w:val="00C66284"/>
    <w:rsid w:val="00C83C1D"/>
    <w:rsid w:val="00C905BB"/>
    <w:rsid w:val="00D212F9"/>
    <w:rsid w:val="00DF79DB"/>
    <w:rsid w:val="00E81647"/>
    <w:rsid w:val="00EB12AB"/>
    <w:rsid w:val="00F2075C"/>
    <w:rsid w:val="00F30F72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C905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C905B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semiHidden/>
    <w:rsid w:val="00C905BB"/>
    <w:rPr>
      <w:noProof/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905BB"/>
    <w:pPr>
      <w:spacing w:line="360" w:lineRule="auto"/>
    </w:pPr>
    <w:rPr>
      <w:rFonts w:ascii="Humnst777 Blk BT" w:hAnsi="Humnst777 Blk BT"/>
      <w:snapToGrid w:val="0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C905BB"/>
    <w:rPr>
      <w:rFonts w:ascii="Humnst777 Blk BT" w:eastAsia="Times New Roman" w:hAnsi="Humnst777 Blk BT" w:cs="Times New Roman"/>
      <w:snapToGrid w:val="0"/>
      <w:color w:val="000000"/>
      <w:sz w:val="24"/>
      <w:szCs w:val="20"/>
      <w:lang w:val="en-US" w:eastAsia="de-DE"/>
    </w:rPr>
  </w:style>
  <w:style w:type="paragraph" w:styleId="StandardWeb">
    <w:name w:val="Normal (Web)"/>
    <w:basedOn w:val="Standard"/>
    <w:uiPriority w:val="99"/>
    <w:semiHidden/>
    <w:rsid w:val="00C905BB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BAF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C905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C905B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semiHidden/>
    <w:rsid w:val="00C905BB"/>
    <w:rPr>
      <w:noProof/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905BB"/>
    <w:pPr>
      <w:spacing w:line="360" w:lineRule="auto"/>
    </w:pPr>
    <w:rPr>
      <w:rFonts w:ascii="Humnst777 Blk BT" w:hAnsi="Humnst777 Blk BT"/>
      <w:snapToGrid w:val="0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C905BB"/>
    <w:rPr>
      <w:rFonts w:ascii="Humnst777 Blk BT" w:eastAsia="Times New Roman" w:hAnsi="Humnst777 Blk BT" w:cs="Times New Roman"/>
      <w:snapToGrid w:val="0"/>
      <w:color w:val="000000"/>
      <w:sz w:val="24"/>
      <w:szCs w:val="20"/>
      <w:lang w:val="en-US" w:eastAsia="de-DE"/>
    </w:rPr>
  </w:style>
  <w:style w:type="paragraph" w:styleId="StandardWeb">
    <w:name w:val="Normal (Web)"/>
    <w:basedOn w:val="Standard"/>
    <w:uiPriority w:val="99"/>
    <w:semiHidden/>
    <w:rsid w:val="00C905BB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BAF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Talarowska</dc:creator>
  <cp:lastModifiedBy>Klaudia Talarowska</cp:lastModifiedBy>
  <cp:revision>11</cp:revision>
  <cp:lastPrinted>2019-02-14T06:26:00Z</cp:lastPrinted>
  <dcterms:created xsi:type="dcterms:W3CDTF">2019-02-11T08:00:00Z</dcterms:created>
  <dcterms:modified xsi:type="dcterms:W3CDTF">2019-02-14T06:31:00Z</dcterms:modified>
</cp:coreProperties>
</file>