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03537C" w:rsidRPr="00E1666B" w:rsidTr="0003537C">
        <w:trPr>
          <w:tblCellSpacing w:w="0" w:type="dxa"/>
        </w:trPr>
        <w:tc>
          <w:tcPr>
            <w:tcW w:w="0" w:type="auto"/>
            <w:shd w:val="clear" w:color="auto" w:fill="FFFFFF"/>
            <w:vAlign w:val="center"/>
            <w:hideMark/>
          </w:tcPr>
          <w:tbl>
            <w:tblPr>
              <w:tblW w:w="9735" w:type="dxa"/>
              <w:jc w:val="center"/>
              <w:tblCellSpacing w:w="0" w:type="dxa"/>
              <w:tblCellMar>
                <w:left w:w="0" w:type="dxa"/>
                <w:right w:w="0" w:type="dxa"/>
              </w:tblCellMar>
              <w:tblLook w:val="04A0" w:firstRow="1" w:lastRow="0" w:firstColumn="1" w:lastColumn="0" w:noHBand="0" w:noVBand="1"/>
            </w:tblPr>
            <w:tblGrid>
              <w:gridCol w:w="9735"/>
            </w:tblGrid>
            <w:tr w:rsidR="0003537C" w:rsidRPr="00E1666B">
              <w:trPr>
                <w:tblCellSpacing w:w="0" w:type="dxa"/>
                <w:jc w:val="center"/>
              </w:trPr>
              <w:tc>
                <w:tcPr>
                  <w:tcW w:w="0" w:type="auto"/>
                  <w:vAlign w:val="center"/>
                  <w:hideMark/>
                </w:tcPr>
                <w:p w:rsidR="0003537C" w:rsidRPr="0003537C" w:rsidRDefault="0003537C" w:rsidP="0003537C">
                  <w:pPr>
                    <w:spacing w:after="0" w:line="240" w:lineRule="auto"/>
                    <w:rPr>
                      <w:rFonts w:ascii="Times New Roman" w:eastAsia="Times New Roman" w:hAnsi="Times New Roman" w:cs="Times New Roman"/>
                      <w:sz w:val="24"/>
                      <w:szCs w:val="24"/>
                      <w:lang w:val="en-US"/>
                    </w:rPr>
                  </w:pPr>
                </w:p>
              </w:tc>
            </w:tr>
          </w:tbl>
          <w:p w:rsidR="0003537C" w:rsidRPr="0003537C" w:rsidRDefault="0003537C" w:rsidP="0003537C">
            <w:pPr>
              <w:spacing w:after="0" w:line="240" w:lineRule="auto"/>
              <w:rPr>
                <w:rFonts w:ascii="Times New Roman" w:eastAsia="Times New Roman" w:hAnsi="Times New Roman" w:cs="Times New Roman"/>
                <w:sz w:val="24"/>
                <w:szCs w:val="24"/>
                <w:lang w:val="en-US"/>
              </w:rPr>
            </w:pPr>
          </w:p>
        </w:tc>
      </w:tr>
    </w:tbl>
    <w:tbl>
      <w:tblPr>
        <w:tblStyle w:val="Tabelraster"/>
        <w:tblW w:w="0" w:type="auto"/>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none" w:sz="0" w:space="0" w:color="auto"/>
          <w:insideV w:val="none" w:sz="0" w:space="0" w:color="auto"/>
        </w:tblBorders>
        <w:tblLook w:val="04A0" w:firstRow="1" w:lastRow="0" w:firstColumn="1" w:lastColumn="0" w:noHBand="0" w:noVBand="1"/>
      </w:tblPr>
      <w:tblGrid>
        <w:gridCol w:w="9288"/>
      </w:tblGrid>
      <w:tr w:rsidR="00533290" w:rsidTr="00533290">
        <w:trPr>
          <w:jc w:val="center"/>
        </w:trPr>
        <w:tc>
          <w:tcPr>
            <w:tcW w:w="9288" w:type="dxa"/>
          </w:tcPr>
          <w:p w:rsidR="00533290" w:rsidRPr="00FE43ED" w:rsidRDefault="00374DB5" w:rsidP="008275B7">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B9FD73" wp14:editId="663D01D6">
                  <wp:extent cx="5760720" cy="16021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ressrelease.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602105"/>
                          </a:xfrm>
                          <a:prstGeom prst="rect">
                            <a:avLst/>
                          </a:prstGeom>
                        </pic:spPr>
                      </pic:pic>
                    </a:graphicData>
                  </a:graphic>
                </wp:inline>
              </w:drawing>
            </w:r>
          </w:p>
        </w:tc>
      </w:tr>
      <w:tr w:rsidR="00533290" w:rsidTr="00533290">
        <w:trPr>
          <w:jc w:val="center"/>
        </w:trPr>
        <w:tc>
          <w:tcPr>
            <w:tcW w:w="9288" w:type="dxa"/>
          </w:tcPr>
          <w:p w:rsidR="00533290" w:rsidRPr="00FE43ED" w:rsidRDefault="00D70486" w:rsidP="00540C86">
            <w:pPr>
              <w:spacing w:after="240"/>
              <w:rPr>
                <w:rFonts w:ascii="Times New Roman" w:eastAsia="Times New Roman" w:hAnsi="Times New Roman" w:cs="Times New Roman"/>
                <w:sz w:val="24"/>
                <w:szCs w:val="24"/>
              </w:rPr>
            </w:pPr>
            <w:r>
              <w:rPr>
                <w:rFonts w:ascii="Arial" w:eastAsia="Times New Roman" w:hAnsi="Arial" w:cs="Arial"/>
                <w:color w:val="377A94"/>
                <w:sz w:val="18"/>
                <w:szCs w:val="18"/>
              </w:rPr>
              <w:t>21</w:t>
            </w:r>
            <w:r w:rsidR="00540C86">
              <w:rPr>
                <w:rFonts w:ascii="Arial" w:eastAsia="Times New Roman" w:hAnsi="Arial" w:cs="Arial"/>
                <w:color w:val="377A94"/>
                <w:sz w:val="18"/>
                <w:szCs w:val="18"/>
              </w:rPr>
              <w:t xml:space="preserve"> </w:t>
            </w:r>
            <w:proofErr w:type="spellStart"/>
            <w:r w:rsidR="00540C86">
              <w:rPr>
                <w:rFonts w:ascii="Arial" w:eastAsia="Times New Roman" w:hAnsi="Arial" w:cs="Arial"/>
                <w:color w:val="377A94"/>
                <w:sz w:val="18"/>
                <w:szCs w:val="18"/>
              </w:rPr>
              <w:t>February</w:t>
            </w:r>
            <w:proofErr w:type="spellEnd"/>
            <w:r w:rsidR="00540C86">
              <w:rPr>
                <w:rFonts w:ascii="Arial" w:eastAsia="Times New Roman" w:hAnsi="Arial" w:cs="Arial"/>
                <w:color w:val="377A94"/>
                <w:sz w:val="18"/>
                <w:szCs w:val="18"/>
              </w:rPr>
              <w:t xml:space="preserve"> 201</w:t>
            </w:r>
            <w:r w:rsidR="008B14BB">
              <w:rPr>
                <w:rFonts w:ascii="Arial" w:eastAsia="Times New Roman" w:hAnsi="Arial" w:cs="Arial"/>
                <w:color w:val="377A94"/>
                <w:sz w:val="18"/>
                <w:szCs w:val="18"/>
              </w:rPr>
              <w:t>9</w:t>
            </w:r>
          </w:p>
        </w:tc>
      </w:tr>
      <w:tr w:rsidR="00533290" w:rsidRPr="007B11C4" w:rsidTr="00533290">
        <w:trPr>
          <w:jc w:val="center"/>
        </w:trPr>
        <w:tc>
          <w:tcPr>
            <w:tcW w:w="9288" w:type="dxa"/>
          </w:tcPr>
          <w:p w:rsidR="003B6520" w:rsidRPr="00AD1B7B" w:rsidRDefault="002459EC" w:rsidP="003B6520">
            <w:pPr>
              <w:rPr>
                <w:rFonts w:ascii="Arial" w:hAnsi="Arial" w:cs="Arial"/>
                <w:color w:val="57AB27"/>
                <w:sz w:val="36"/>
                <w:szCs w:val="36"/>
                <w:lang w:val="en-GB"/>
              </w:rPr>
            </w:pPr>
            <w:proofErr w:type="spellStart"/>
            <w:r w:rsidRPr="002459EC">
              <w:rPr>
                <w:rFonts w:ascii="Arial" w:hAnsi="Arial" w:cs="Arial"/>
                <w:color w:val="57AB27"/>
                <w:sz w:val="36"/>
                <w:szCs w:val="36"/>
                <w:lang w:val="en-GB"/>
              </w:rPr>
              <w:t>TenneT's</w:t>
            </w:r>
            <w:proofErr w:type="spellEnd"/>
            <w:r w:rsidRPr="002459EC">
              <w:rPr>
                <w:rFonts w:ascii="Arial" w:hAnsi="Arial" w:cs="Arial"/>
                <w:color w:val="57AB27"/>
                <w:sz w:val="36"/>
                <w:szCs w:val="36"/>
                <w:lang w:val="en-GB"/>
              </w:rPr>
              <w:t xml:space="preserve"> grids </w:t>
            </w:r>
            <w:r w:rsidR="00FF4B3A">
              <w:rPr>
                <w:rFonts w:ascii="Arial" w:hAnsi="Arial" w:cs="Arial"/>
                <w:color w:val="57AB27"/>
                <w:sz w:val="36"/>
                <w:szCs w:val="36"/>
                <w:lang w:val="en-GB"/>
              </w:rPr>
              <w:t xml:space="preserve">continue to perform excellently </w:t>
            </w:r>
            <w:r w:rsidRPr="002459EC">
              <w:rPr>
                <w:rFonts w:ascii="Arial" w:hAnsi="Arial" w:cs="Arial"/>
                <w:color w:val="57AB27"/>
                <w:sz w:val="36"/>
                <w:szCs w:val="36"/>
                <w:lang w:val="en-GB"/>
              </w:rPr>
              <w:t xml:space="preserve">in transition to much more solar and wind energy </w:t>
            </w:r>
          </w:p>
          <w:p w:rsidR="003B6520" w:rsidRPr="00AD1B7B" w:rsidRDefault="003B6520" w:rsidP="00533290">
            <w:pPr>
              <w:rPr>
                <w:rFonts w:ascii="Arial" w:eastAsia="Times New Roman" w:hAnsi="Arial" w:cs="Arial"/>
                <w:b/>
                <w:bCs/>
                <w:color w:val="004894"/>
                <w:sz w:val="21"/>
                <w:lang w:val="en-GB"/>
              </w:rPr>
            </w:pPr>
          </w:p>
          <w:p w:rsidR="00D136DF" w:rsidRPr="00D136DF" w:rsidRDefault="00D136DF" w:rsidP="00D136DF">
            <w:pPr>
              <w:numPr>
                <w:ilvl w:val="0"/>
                <w:numId w:val="1"/>
              </w:numPr>
              <w:rPr>
                <w:rFonts w:ascii="Arial" w:eastAsia="Times New Roman" w:hAnsi="Arial" w:cs="Arial"/>
                <w:b/>
                <w:bCs/>
                <w:color w:val="32768E"/>
                <w:sz w:val="21"/>
                <w:lang w:val="en-GB"/>
              </w:rPr>
            </w:pPr>
            <w:r w:rsidRPr="00D136DF">
              <w:rPr>
                <w:rFonts w:ascii="Arial" w:eastAsia="Times New Roman" w:hAnsi="Arial" w:cs="Arial"/>
                <w:b/>
                <w:bCs/>
                <w:color w:val="32768E"/>
                <w:sz w:val="21"/>
                <w:lang w:val="en-GB"/>
              </w:rPr>
              <w:t>TenneT invested EUR 2.3 billion in 2018 (2017: EUR 1.8 billion) in energy transition and security of supply (99.9988% grid availability in 2018)</w:t>
            </w:r>
          </w:p>
          <w:p w:rsidR="00D136DF" w:rsidRPr="00D136DF" w:rsidRDefault="00D136DF" w:rsidP="00D136DF">
            <w:pPr>
              <w:numPr>
                <w:ilvl w:val="0"/>
                <w:numId w:val="1"/>
              </w:numPr>
              <w:rPr>
                <w:rFonts w:ascii="Arial" w:eastAsia="Times New Roman" w:hAnsi="Arial" w:cs="Arial"/>
                <w:b/>
                <w:bCs/>
                <w:color w:val="32768E"/>
                <w:sz w:val="21"/>
                <w:lang w:val="en-GB"/>
              </w:rPr>
            </w:pPr>
            <w:r w:rsidRPr="00D136DF">
              <w:rPr>
                <w:rFonts w:ascii="Arial" w:eastAsia="Times New Roman" w:hAnsi="Arial" w:cs="Arial"/>
                <w:b/>
                <w:bCs/>
                <w:color w:val="32768E"/>
                <w:sz w:val="21"/>
                <w:lang w:val="en-GB"/>
              </w:rPr>
              <w:t>Underlying revenue amounted to EUR 4.2 billion; EBIT (excluding special items) amounted to EUR 819 million</w:t>
            </w:r>
          </w:p>
          <w:p w:rsidR="00D136DF" w:rsidRPr="00D136DF" w:rsidRDefault="00D136DF" w:rsidP="00D136DF">
            <w:pPr>
              <w:numPr>
                <w:ilvl w:val="0"/>
                <w:numId w:val="1"/>
              </w:numPr>
              <w:rPr>
                <w:rFonts w:ascii="Arial" w:eastAsia="Times New Roman" w:hAnsi="Arial" w:cs="Arial"/>
                <w:b/>
                <w:bCs/>
                <w:color w:val="32768E"/>
                <w:sz w:val="21"/>
                <w:lang w:val="en-GB"/>
              </w:rPr>
            </w:pPr>
            <w:r w:rsidRPr="00D136DF">
              <w:rPr>
                <w:rFonts w:ascii="Arial" w:eastAsia="Times New Roman" w:hAnsi="Arial" w:cs="Arial"/>
                <w:b/>
                <w:bCs/>
                <w:color w:val="32768E"/>
                <w:sz w:val="21"/>
                <w:lang w:val="en-GB"/>
              </w:rPr>
              <w:t>Stepping up innovation necessary for a flexible and affordable energy system based on solar &amp; wind energy and green hydrogen</w:t>
            </w:r>
          </w:p>
          <w:p w:rsidR="00D136DF" w:rsidRPr="00623E38" w:rsidRDefault="00D136DF" w:rsidP="00533290">
            <w:pPr>
              <w:spacing w:line="315" w:lineRule="atLeast"/>
              <w:rPr>
                <w:rFonts w:ascii="Arial" w:eastAsia="Times New Roman" w:hAnsi="Arial" w:cs="Arial"/>
                <w:color w:val="4B5255"/>
                <w:sz w:val="18"/>
                <w:szCs w:val="18"/>
                <w:lang w:val="en-GB"/>
              </w:rPr>
            </w:pPr>
          </w:p>
          <w:p w:rsidR="00D136DF" w:rsidRPr="00D136DF" w:rsidRDefault="00D136DF" w:rsidP="00D136DF">
            <w:pPr>
              <w:spacing w:after="200" w:line="360" w:lineRule="auto"/>
              <w:rPr>
                <w:rFonts w:ascii="Arial" w:hAnsi="Arial"/>
                <w:b/>
                <w:color w:val="000000" w:themeColor="text1"/>
                <w:sz w:val="18"/>
                <w:szCs w:val="18"/>
                <w:lang w:val="en-GB"/>
              </w:rPr>
            </w:pPr>
            <w:r w:rsidRPr="00D136DF">
              <w:rPr>
                <w:rFonts w:ascii="Arial" w:hAnsi="Arial"/>
                <w:b/>
                <w:bCs/>
                <w:color w:val="000000" w:themeColor="text1"/>
                <w:sz w:val="18"/>
                <w:szCs w:val="18"/>
                <w:lang w:val="en-GB"/>
              </w:rPr>
              <w:t xml:space="preserve">TenneT wants to focus more intensively on innovations and the optimisation of existing high-voltage grids in addition to large-scale national and international grid expansions. This is stated in the integrated annual report for the 2018 reporting year that is being presented today by the Dutch/German high-voltage transmission system operator TenneT. The annual report also shows that the total availability of the high-voltage grids (security of supply) continued to remain high with 99.9988 percent in 2018. This keeps TenneT's high-voltage grids in the Netherlands and Germany among the most reliable in the world. </w:t>
            </w:r>
          </w:p>
          <w:p w:rsidR="00D136DF" w:rsidRPr="00D136DF" w:rsidRDefault="00D136DF" w:rsidP="00D136DF">
            <w:pPr>
              <w:spacing w:after="200" w:line="360" w:lineRule="auto"/>
              <w:rPr>
                <w:rFonts w:ascii="Arial" w:eastAsia="Times New Roman" w:hAnsi="Arial" w:cs="Arial"/>
                <w:b/>
                <w:color w:val="000000" w:themeColor="text1"/>
                <w:sz w:val="18"/>
                <w:szCs w:val="18"/>
                <w:lang w:val="en-GB"/>
              </w:rPr>
            </w:pPr>
            <w:r w:rsidRPr="00D136DF">
              <w:rPr>
                <w:rFonts w:ascii="Arial" w:hAnsi="Arial"/>
                <w:b/>
                <w:bCs/>
                <w:color w:val="000000" w:themeColor="text1"/>
                <w:sz w:val="18"/>
                <w:szCs w:val="18"/>
                <w:lang w:val="en-GB"/>
              </w:rPr>
              <w:t xml:space="preserve">TenneT again managed to attain strong financial results and invested EUR 2.3 billion in the Netherlands and Germany to accelerate the energy transition, while maintaining the high level of grid availability. </w:t>
            </w:r>
          </w:p>
          <w:p w:rsidR="00D136DF" w:rsidRPr="00D136DF" w:rsidRDefault="00D136DF" w:rsidP="00D136DF">
            <w:pPr>
              <w:spacing w:after="200" w:line="315" w:lineRule="atLeast"/>
              <w:rPr>
                <w:rFonts w:ascii="Arial" w:eastAsia="Times New Roman" w:hAnsi="Arial" w:cs="Arial"/>
                <w:color w:val="000000" w:themeColor="text1"/>
                <w:sz w:val="18"/>
                <w:szCs w:val="18"/>
                <w:lang w:val="en-GB"/>
              </w:rPr>
            </w:pPr>
            <w:r w:rsidRPr="00D136DF">
              <w:rPr>
                <w:rFonts w:ascii="Arial" w:eastAsia="Times New Roman" w:hAnsi="Arial" w:cs="Arial"/>
                <w:color w:val="000000" w:themeColor="text1"/>
                <w:sz w:val="18"/>
                <w:szCs w:val="18"/>
                <w:lang w:val="en-GB"/>
              </w:rPr>
              <w:t>Manon van Beek, CEO TenneT: "Our societal duty and our mission are to keep the energy system as reliable and affordable as possible during and after the energy transition. We must continue to expand and reinforce our grids both onshore and offshore to achieve this, but we must also use the capacity of this infrastructure better, more flexibly and efficiently with the help of technology. This is needed to prevent unnecessary additional investments and societal costs on top of our already considerable investment portfolio. In order to make rapid progress in the implementation of our extensive project agenda, cooperation at all levels and beyond the electricity domain is necessary. TenneT will therefore continue to actively engage in dialogue with our stakeholders in order to gain and obtain the right incentives for a greater focus on sustainability and reliability through digital innovation and energy system thinking, next to the current, sometimes one-dimensional focus on investments in assets."</w:t>
            </w:r>
          </w:p>
          <w:p w:rsidR="00D136DF" w:rsidRPr="00D136DF" w:rsidRDefault="00D136DF" w:rsidP="00D136DF">
            <w:pPr>
              <w:spacing w:after="200" w:line="315" w:lineRule="atLeast"/>
              <w:rPr>
                <w:rFonts w:ascii="Arial" w:eastAsia="Times New Roman" w:hAnsi="Arial" w:cs="Arial"/>
                <w:color w:val="000000" w:themeColor="text1"/>
                <w:sz w:val="18"/>
                <w:szCs w:val="18"/>
                <w:lang w:val="en-GB"/>
              </w:rPr>
            </w:pPr>
            <w:r w:rsidRPr="00D136DF">
              <w:rPr>
                <w:rFonts w:ascii="Arial" w:eastAsia="Times New Roman" w:hAnsi="Arial" w:cs="Arial"/>
                <w:b/>
                <w:bCs/>
                <w:color w:val="000000" w:themeColor="text1"/>
                <w:sz w:val="18"/>
                <w:szCs w:val="18"/>
                <w:lang w:val="en-GB"/>
              </w:rPr>
              <w:t xml:space="preserve">FURTHER </w:t>
            </w:r>
            <w:r w:rsidR="00AD0736" w:rsidRPr="00D136DF">
              <w:rPr>
                <w:rFonts w:ascii="Arial" w:eastAsia="Times New Roman" w:hAnsi="Arial" w:cs="Arial"/>
                <w:b/>
                <w:bCs/>
                <w:color w:val="000000" w:themeColor="text1"/>
                <w:sz w:val="18"/>
                <w:szCs w:val="18"/>
                <w:lang w:val="en-GB"/>
              </w:rPr>
              <w:t>INTEGRATION NORTH</w:t>
            </w:r>
            <w:r w:rsidRPr="00D136DF">
              <w:rPr>
                <w:rFonts w:ascii="Arial" w:eastAsia="Times New Roman" w:hAnsi="Arial" w:cs="Arial"/>
                <w:b/>
                <w:bCs/>
                <w:color w:val="000000" w:themeColor="text1"/>
                <w:sz w:val="18"/>
                <w:szCs w:val="18"/>
                <w:lang w:val="en-GB"/>
              </w:rPr>
              <w:t>-WEST EUROPEAN ELECTRICITY MARKET</w:t>
            </w:r>
            <w:r>
              <w:rPr>
                <w:rFonts w:ascii="Arial" w:eastAsia="Times New Roman" w:hAnsi="Arial" w:cs="Arial"/>
                <w:b/>
                <w:bCs/>
                <w:color w:val="000000" w:themeColor="text1"/>
                <w:sz w:val="18"/>
                <w:szCs w:val="18"/>
                <w:lang w:val="en-GB"/>
              </w:rPr>
              <w:br/>
            </w:r>
            <w:r w:rsidRPr="00D136DF">
              <w:rPr>
                <w:rFonts w:ascii="Arial" w:eastAsia="Times New Roman" w:hAnsi="Arial" w:cs="Arial"/>
                <w:bCs/>
                <w:color w:val="000000" w:themeColor="text1"/>
                <w:sz w:val="18"/>
                <w:szCs w:val="18"/>
                <w:lang w:val="en-GB"/>
              </w:rPr>
              <w:t xml:space="preserve">With the knowledge that the energy transition is only possible with a high level of international connectivity, good progress </w:t>
            </w:r>
            <w:r w:rsidRPr="00D136DF">
              <w:rPr>
                <w:rFonts w:ascii="Arial" w:eastAsia="Times New Roman" w:hAnsi="Arial" w:cs="Arial"/>
                <w:color w:val="000000" w:themeColor="text1"/>
                <w:sz w:val="18"/>
                <w:szCs w:val="18"/>
                <w:lang w:val="en-GB"/>
              </w:rPr>
              <w:t xml:space="preserve">has also been achieved in 2018 with the integration of the North-West European electricity markets. The interconnector between the Netherlands and Germany (Doetinchem-Wesel) was commissioned in September. The subsea COBRA cable between the Netherlands and Denmark has 'landed' at the connection point in Eemshaven and will be put in operation later this year. The German and Norwegian markets will be connected to </w:t>
            </w:r>
            <w:r w:rsidRPr="00D136DF">
              <w:rPr>
                <w:rFonts w:ascii="Arial" w:eastAsia="Times New Roman" w:hAnsi="Arial" w:cs="Arial"/>
                <w:color w:val="000000" w:themeColor="text1"/>
                <w:sz w:val="18"/>
                <w:szCs w:val="18"/>
                <w:lang w:val="en-GB"/>
              </w:rPr>
              <w:lastRenderedPageBreak/>
              <w:t xml:space="preserve">each other directly for the first time with the NordLink cable connection that is currently being built. It is expected that this 624 km interconnector will be ready for operation in 2021. International connections provide extra security of supply in the connected markets and contribute to an interconnected European market for sustainable energy. With the COBRA cable in 2019 and NordLink added in 2021, TenneT will be operating 16 interconnectors in total. This means that the TenneT high-voltage grid will represent a crucial link in the European electricity system. </w:t>
            </w:r>
          </w:p>
          <w:p w:rsidR="00D136DF" w:rsidRPr="00D136DF" w:rsidRDefault="00D136DF" w:rsidP="00D136DF">
            <w:pPr>
              <w:spacing w:after="200" w:line="315" w:lineRule="atLeast"/>
              <w:rPr>
                <w:rFonts w:ascii="Arial" w:eastAsia="Times New Roman" w:hAnsi="Arial" w:cs="Arial"/>
                <w:sz w:val="18"/>
                <w:szCs w:val="18"/>
                <w:lang w:val="en-GB"/>
              </w:rPr>
            </w:pPr>
            <w:r w:rsidRPr="00D136DF">
              <w:rPr>
                <w:rFonts w:ascii="Arial" w:eastAsia="Times New Roman" w:hAnsi="Arial" w:cs="Arial"/>
                <w:b/>
                <w:bCs/>
                <w:sz w:val="18"/>
                <w:szCs w:val="18"/>
                <w:lang w:val="en-GB"/>
              </w:rPr>
              <w:t xml:space="preserve">STRONG </w:t>
            </w:r>
            <w:r w:rsidR="00AD0736" w:rsidRPr="00D136DF">
              <w:rPr>
                <w:rFonts w:ascii="Arial" w:eastAsia="Times New Roman" w:hAnsi="Arial" w:cs="Arial"/>
                <w:b/>
                <w:bCs/>
                <w:sz w:val="18"/>
                <w:szCs w:val="18"/>
                <w:lang w:val="en-GB"/>
              </w:rPr>
              <w:t>GROWTH OFFSHORE</w:t>
            </w:r>
            <w:r w:rsidRPr="00D136DF">
              <w:rPr>
                <w:rFonts w:ascii="Arial" w:eastAsia="Times New Roman" w:hAnsi="Arial" w:cs="Arial"/>
                <w:b/>
                <w:bCs/>
                <w:sz w:val="18"/>
                <w:szCs w:val="18"/>
                <w:lang w:val="en-GB"/>
              </w:rPr>
              <w:t xml:space="preserve"> WIND FARM CONNECTIONS</w:t>
            </w:r>
            <w:r>
              <w:rPr>
                <w:rFonts w:ascii="Arial" w:eastAsia="Times New Roman" w:hAnsi="Arial" w:cs="Arial"/>
                <w:b/>
                <w:bCs/>
                <w:sz w:val="18"/>
                <w:szCs w:val="18"/>
                <w:lang w:val="en-GB"/>
              </w:rPr>
              <w:br/>
            </w:r>
            <w:r w:rsidRPr="00D136DF">
              <w:rPr>
                <w:rFonts w:ascii="Arial" w:eastAsia="Times New Roman" w:hAnsi="Arial" w:cs="Arial"/>
                <w:sz w:val="18"/>
                <w:szCs w:val="18"/>
                <w:lang w:val="en-GB"/>
              </w:rPr>
              <w:t xml:space="preserve">TenneT reached a new milestone in Germany by bringing onshore nearly 17 terawatt hours (TWh) of offshore wind energy in 2018. This equals 1.5 times the annual electricity consumption of Deutsche Bahn, one of the largest electricity consumers in Germany. The total connection capacity of TenneT for offshore wind farms grew to 6,232 megawatts (MW), which means that the objective of the German government has already been achieved now. Also, the BorWin3 and DolWin6 projects will be ready in 2019 and 2023, respectively, increasing the transport capacity for wind farms to more than 8,000 MW. </w:t>
            </w:r>
          </w:p>
          <w:p w:rsidR="00D136DF" w:rsidRPr="00D136DF" w:rsidRDefault="00D136DF" w:rsidP="00D136DF">
            <w:pPr>
              <w:spacing w:after="200" w:line="315" w:lineRule="atLeast"/>
              <w:rPr>
                <w:rFonts w:ascii="Arial" w:eastAsia="Times New Roman" w:hAnsi="Arial" w:cs="Arial"/>
                <w:sz w:val="18"/>
                <w:szCs w:val="18"/>
                <w:lang w:val="en-GB"/>
              </w:rPr>
            </w:pPr>
            <w:r w:rsidRPr="00D136DF">
              <w:rPr>
                <w:rFonts w:ascii="Arial" w:eastAsia="Times New Roman" w:hAnsi="Arial" w:cs="Arial"/>
                <w:sz w:val="18"/>
                <w:szCs w:val="18"/>
                <w:lang w:val="en-GB"/>
              </w:rPr>
              <w:t xml:space="preserve">The development of an offshore grid in the Dutch North Sea is progressing as planned. The jacket (sub structure) of the Borssele Alpha transformer platform has been installed at sea and the platform itself is currently in the final construction phase. Until 2023 TenneT will be constructing the offshore grid connections for the Borssele, Hollandse Kust Zuid and Hollandse Kust Noord wind energy zones, which together will provide a capacity of 3,500 MW. </w:t>
            </w:r>
          </w:p>
          <w:p w:rsidR="00D136DF" w:rsidRPr="00D136DF" w:rsidRDefault="00D136DF" w:rsidP="00D136DF">
            <w:pPr>
              <w:spacing w:after="200" w:line="315" w:lineRule="atLeast"/>
              <w:rPr>
                <w:rFonts w:ascii="Arial" w:eastAsia="Times New Roman" w:hAnsi="Arial" w:cs="Arial"/>
                <w:sz w:val="18"/>
                <w:szCs w:val="18"/>
                <w:lang w:val="en-GB"/>
              </w:rPr>
            </w:pPr>
            <w:r w:rsidRPr="00D136DF">
              <w:rPr>
                <w:rFonts w:ascii="Arial" w:hAnsi="Arial" w:cs="Arial"/>
                <w:sz w:val="18"/>
                <w:szCs w:val="18"/>
                <w:lang w:val="en-GB"/>
              </w:rPr>
              <w:t>In the meantime, TenneT has also been assigned by the Dutch government to connect the following phase of offshore wind energy</w:t>
            </w:r>
            <w:r w:rsidRPr="00D136DF">
              <w:rPr>
                <w:rFonts w:ascii="Arial" w:eastAsia="Times New Roman" w:hAnsi="Arial" w:cs="Arial"/>
                <w:sz w:val="18"/>
                <w:szCs w:val="18"/>
                <w:vertAlign w:val="superscript"/>
                <w:lang w:val="en-GB"/>
              </w:rPr>
              <w:footnoteReference w:id="1"/>
            </w:r>
            <w:r w:rsidRPr="00D136DF">
              <w:rPr>
                <w:rFonts w:ascii="Arial" w:hAnsi="Arial" w:cs="Arial"/>
                <w:sz w:val="18"/>
                <w:szCs w:val="18"/>
                <w:lang w:val="en-GB"/>
              </w:rPr>
              <w:t xml:space="preserve"> to the Dutch high-voltage grid until 2030. This will result in an additional capacity of 6,100 MW. It is foreseen that the large IJmuiden Ver wind zone will be connected by TenneT by two DC connections instead of AC connections; each with a capacity of 2,000 MW (2 GW), which has never been done before. This ensures that optimum use is made of the area's scale. This also fits in with the preference of the wind industry to have larger wind farms. The new technologies save on costs and ensure a smaller spatial footprint. </w:t>
            </w:r>
            <w:r w:rsidR="00623E38" w:rsidRPr="00623E38">
              <w:rPr>
                <w:rFonts w:ascii="Arial" w:hAnsi="Arial" w:cs="Arial"/>
                <w:sz w:val="18"/>
                <w:szCs w:val="18"/>
                <w:lang w:val="en-GB"/>
              </w:rPr>
              <w:t>The Ministry of Economic Affairs will shortly be deciding on the connection method to be used.</w:t>
            </w:r>
          </w:p>
          <w:p w:rsidR="00D136DF" w:rsidRPr="00D136DF" w:rsidRDefault="00D136DF" w:rsidP="00D136DF">
            <w:pPr>
              <w:spacing w:after="200" w:line="315" w:lineRule="atLeast"/>
              <w:rPr>
                <w:rFonts w:ascii="Arial" w:hAnsi="Arial"/>
                <w:color w:val="000000" w:themeColor="text1"/>
                <w:sz w:val="18"/>
                <w:szCs w:val="18"/>
                <w:lang w:val="en-GB"/>
              </w:rPr>
            </w:pPr>
            <w:r w:rsidRPr="00D136DF">
              <w:rPr>
                <w:rFonts w:ascii="Arial" w:hAnsi="Arial"/>
                <w:b/>
                <w:bCs/>
                <w:color w:val="000000" w:themeColor="text1"/>
                <w:sz w:val="18"/>
                <w:szCs w:val="18"/>
                <w:lang w:val="en-GB"/>
              </w:rPr>
              <w:t>INNOVATION TO BETTER UTILIZE EXISTING AND FUTURE INFRASTRUCTURE</w:t>
            </w:r>
            <w:r>
              <w:rPr>
                <w:rFonts w:ascii="Arial" w:hAnsi="Arial"/>
                <w:b/>
                <w:bCs/>
                <w:color w:val="000000" w:themeColor="text1"/>
                <w:sz w:val="18"/>
                <w:szCs w:val="18"/>
                <w:lang w:val="en-GB"/>
              </w:rPr>
              <w:br/>
            </w:r>
            <w:r w:rsidRPr="00D136DF">
              <w:rPr>
                <w:rFonts w:ascii="Arial" w:hAnsi="Arial"/>
                <w:color w:val="000000" w:themeColor="text1"/>
                <w:sz w:val="18"/>
                <w:szCs w:val="18"/>
                <w:lang w:val="en-GB"/>
              </w:rPr>
              <w:t>The energy transition and the rapidly changing energy landscape encourage TenneT to make smarter use of existing assets, use new technologies and enter into relevant innovation partnerships.</w:t>
            </w:r>
          </w:p>
          <w:p w:rsidR="00D136DF" w:rsidRPr="00D136DF" w:rsidRDefault="00D136DF" w:rsidP="00D136DF">
            <w:pPr>
              <w:spacing w:after="200" w:line="315" w:lineRule="atLeast"/>
              <w:rPr>
                <w:rFonts w:ascii="Arial" w:hAnsi="Arial"/>
                <w:color w:val="000000" w:themeColor="text1"/>
                <w:sz w:val="18"/>
                <w:szCs w:val="18"/>
                <w:lang w:val="en-GB"/>
              </w:rPr>
            </w:pPr>
            <w:r w:rsidRPr="00D136DF">
              <w:rPr>
                <w:rFonts w:ascii="Arial" w:hAnsi="Arial"/>
                <w:color w:val="000000" w:themeColor="text1"/>
                <w:sz w:val="18"/>
                <w:szCs w:val="18"/>
                <w:lang w:val="en-GB"/>
              </w:rPr>
              <w:t xml:space="preserve">An example of this is the </w:t>
            </w:r>
            <w:r w:rsidRPr="00D136DF">
              <w:rPr>
                <w:rFonts w:ascii="Arial" w:hAnsi="Arial"/>
                <w:i/>
                <w:iCs/>
                <w:color w:val="000000" w:themeColor="text1"/>
                <w:sz w:val="18"/>
                <w:szCs w:val="18"/>
                <w:lang w:val="en-GB"/>
              </w:rPr>
              <w:t>InnoSys</w:t>
            </w:r>
            <w:r w:rsidRPr="00D136DF">
              <w:rPr>
                <w:rFonts w:ascii="Arial" w:hAnsi="Arial"/>
                <w:color w:val="000000" w:themeColor="text1"/>
                <w:sz w:val="18"/>
                <w:szCs w:val="18"/>
                <w:lang w:val="en-GB"/>
              </w:rPr>
              <w:t xml:space="preserve"> project in Germany. TenneT, together with the three other German transmission system operators (TSOs), four distribution system operators (DSOs), universities and market parties, is investigating new IT solutions that will ensure that the transport capacity of its existing high-voltage grid can be better used for the significantly growing need of sustainable electricity transport. Such an automated grid control system could prevent additional grid investments.</w:t>
            </w:r>
          </w:p>
          <w:p w:rsidR="00D136DF" w:rsidRPr="00D136DF" w:rsidRDefault="00D136DF" w:rsidP="00D136DF">
            <w:pPr>
              <w:spacing w:after="200" w:line="315" w:lineRule="atLeast"/>
              <w:rPr>
                <w:rFonts w:ascii="Arial" w:hAnsi="Arial"/>
                <w:color w:val="000000" w:themeColor="text1"/>
                <w:sz w:val="18"/>
                <w:szCs w:val="18"/>
                <w:lang w:val="en-GB"/>
              </w:rPr>
            </w:pPr>
            <w:r w:rsidRPr="00D136DF">
              <w:rPr>
                <w:rFonts w:ascii="Arial" w:hAnsi="Arial"/>
                <w:color w:val="000000" w:themeColor="text1"/>
                <w:sz w:val="18"/>
                <w:szCs w:val="18"/>
                <w:lang w:val="en-GB"/>
              </w:rPr>
              <w:t xml:space="preserve">Next to the growth in the volume of renewable energy sources, fewer conventional power stations will be available in the future to provide the necessary flexibility for maintaining the balance between the demand and supply of electricity. TenneT is actively looking for new (decentralised) sources for balancing that can offer flexibility such as batteries, wind and solar energy, industrial installations and cogeneration plants. TenneT will be expanding its successful pilots with Vandebron in the Netherlands and Sonnen in Germany in 2019 with ENGIE, Escozon &amp; </w:t>
            </w:r>
            <w:r w:rsidRPr="00D136DF">
              <w:rPr>
                <w:rFonts w:ascii="Arial" w:hAnsi="Arial"/>
                <w:color w:val="000000" w:themeColor="text1"/>
                <w:sz w:val="18"/>
                <w:szCs w:val="18"/>
                <w:lang w:val="en-GB"/>
              </w:rPr>
              <w:lastRenderedPageBreak/>
              <w:t xml:space="preserve">Energie Samen, Scholt Energy &amp; Enervalis and again Vandebron. </w:t>
            </w:r>
          </w:p>
          <w:p w:rsidR="00D136DF" w:rsidRPr="00D136DF" w:rsidRDefault="00D136DF" w:rsidP="00D136DF">
            <w:pPr>
              <w:spacing w:after="200" w:line="315" w:lineRule="atLeast"/>
              <w:rPr>
                <w:rFonts w:ascii="Arial" w:hAnsi="Arial"/>
                <w:color w:val="000000" w:themeColor="text1"/>
                <w:sz w:val="18"/>
                <w:szCs w:val="18"/>
                <w:lang w:val="en-GB"/>
              </w:rPr>
            </w:pPr>
            <w:r w:rsidRPr="00D136DF">
              <w:rPr>
                <w:rFonts w:ascii="Arial" w:hAnsi="Arial"/>
                <w:color w:val="000000" w:themeColor="text1"/>
                <w:sz w:val="18"/>
                <w:szCs w:val="18"/>
                <w:lang w:val="en-GB"/>
              </w:rPr>
              <w:t xml:space="preserve">TenneT and Daimler AG (Mercedes-Benz Energy GmbH) have jointly researched the feasibility of innovative system services for the high voltage transmission system. The study, </w:t>
            </w:r>
            <w:r w:rsidR="008B14BB">
              <w:rPr>
                <w:rFonts w:ascii="Arial" w:hAnsi="Arial"/>
                <w:color w:val="000000" w:themeColor="text1"/>
                <w:sz w:val="18"/>
                <w:szCs w:val="18"/>
                <w:lang w:val="en-GB"/>
              </w:rPr>
              <w:t xml:space="preserve">published </w:t>
            </w:r>
            <w:r w:rsidR="008B14BB" w:rsidRPr="00D136DF">
              <w:rPr>
                <w:rFonts w:ascii="Arial" w:hAnsi="Arial"/>
                <w:color w:val="000000" w:themeColor="text1"/>
                <w:sz w:val="18"/>
                <w:szCs w:val="18"/>
                <w:lang w:val="en-GB"/>
              </w:rPr>
              <w:t xml:space="preserve"> </w:t>
            </w:r>
            <w:r w:rsidRPr="00D136DF">
              <w:rPr>
                <w:rFonts w:ascii="Arial" w:hAnsi="Arial"/>
                <w:color w:val="000000" w:themeColor="text1"/>
                <w:sz w:val="18"/>
                <w:szCs w:val="18"/>
                <w:lang w:val="en-GB"/>
              </w:rPr>
              <w:t>early 2019, shows that automotive battery storage systems can take over the tasks of large power plants and make a significant contribution to grid stabilization (balancing) and system reconstruction after power outages.</w:t>
            </w:r>
          </w:p>
          <w:p w:rsidR="00D136DF" w:rsidRPr="00D136DF" w:rsidRDefault="00D136DF" w:rsidP="00D136DF">
            <w:pPr>
              <w:spacing w:after="200" w:line="315" w:lineRule="atLeast"/>
              <w:rPr>
                <w:rFonts w:ascii="Arial" w:hAnsi="Arial"/>
                <w:color w:val="000000" w:themeColor="text1"/>
                <w:sz w:val="18"/>
                <w:szCs w:val="18"/>
                <w:lang w:val="en-GB"/>
              </w:rPr>
            </w:pPr>
            <w:r w:rsidRPr="00D136DF">
              <w:rPr>
                <w:rFonts w:ascii="Arial" w:hAnsi="Arial"/>
                <w:color w:val="000000" w:themeColor="text1"/>
                <w:sz w:val="18"/>
                <w:szCs w:val="18"/>
                <w:lang w:val="en-GB"/>
              </w:rPr>
              <w:t xml:space="preserve">After 2030, further innovation with regard to the development of offshore wind energy will be needed. In view of international climate goals and goals for offshore wind of national governments, this involves large scale developments. TenneT's vision of the </w:t>
            </w:r>
            <w:hyperlink r:id="rId10" w:history="1">
              <w:r w:rsidRPr="00D136DF">
                <w:rPr>
                  <w:rFonts w:ascii="Arial" w:hAnsi="Arial"/>
                  <w:color w:val="0000FF"/>
                  <w:sz w:val="18"/>
                  <w:szCs w:val="18"/>
                  <w:u w:val="single"/>
                  <w:lang w:val="en-GB"/>
                </w:rPr>
                <w:t>North Sea Wind Power Hub</w:t>
              </w:r>
            </w:hyperlink>
            <w:r w:rsidRPr="00D136DF">
              <w:rPr>
                <w:rFonts w:ascii="Arial" w:hAnsi="Arial"/>
                <w:color w:val="000000" w:themeColor="text1"/>
                <w:sz w:val="18"/>
                <w:szCs w:val="18"/>
                <w:lang w:val="en-GB"/>
              </w:rPr>
              <w:t xml:space="preserve"> will be further elaborated within the consortium with Energinet, Gasunie and the Port of Rotterdam. Technical designs, the economic rationale, possible locations and regulatory and market requirements are currently being analysed and will be published later this year. </w:t>
            </w:r>
          </w:p>
          <w:p w:rsidR="00D136DF" w:rsidRPr="00D136DF" w:rsidRDefault="00D136DF" w:rsidP="00D136DF">
            <w:pPr>
              <w:spacing w:after="200" w:line="315" w:lineRule="atLeast"/>
              <w:rPr>
                <w:rFonts w:ascii="Arial" w:hAnsi="Arial"/>
                <w:color w:val="000000" w:themeColor="text1"/>
                <w:sz w:val="18"/>
                <w:szCs w:val="18"/>
                <w:lang w:val="en-GB"/>
              </w:rPr>
            </w:pPr>
            <w:r w:rsidRPr="00D136DF">
              <w:rPr>
                <w:rFonts w:ascii="Arial" w:hAnsi="Arial"/>
                <w:color w:val="000000" w:themeColor="text1"/>
                <w:sz w:val="18"/>
                <w:szCs w:val="18"/>
                <w:lang w:val="en-GB"/>
              </w:rPr>
              <w:t xml:space="preserve">In addition to green electricity, green hydrogen is also likely to play an important role in the energy system of the future as a solution for energy storage (through electrolysis). TenneT and Gasunie have jointly undertaken a study on the future energy infrastructure for the first time: the </w:t>
            </w:r>
            <w:r w:rsidRPr="00D136DF">
              <w:rPr>
                <w:rFonts w:ascii="Arial" w:hAnsi="Arial"/>
                <w:i/>
                <w:iCs/>
                <w:color w:val="000000" w:themeColor="text1"/>
                <w:sz w:val="18"/>
                <w:szCs w:val="18"/>
                <w:lang w:val="en-GB"/>
              </w:rPr>
              <w:t>2050 Infrastructure Outlook.</w:t>
            </w:r>
            <w:r w:rsidRPr="00D136DF">
              <w:rPr>
                <w:rFonts w:ascii="Arial" w:hAnsi="Arial"/>
                <w:color w:val="000000" w:themeColor="text1"/>
                <w:sz w:val="18"/>
                <w:szCs w:val="18"/>
                <w:lang w:val="en-GB"/>
              </w:rPr>
              <w:t xml:space="preserve"> </w:t>
            </w:r>
          </w:p>
          <w:p w:rsidR="00D136DF" w:rsidRPr="00D136DF" w:rsidRDefault="00D136DF" w:rsidP="00D136DF">
            <w:pPr>
              <w:spacing w:after="200" w:line="315" w:lineRule="atLeast"/>
              <w:rPr>
                <w:rFonts w:ascii="Arial" w:hAnsi="Arial"/>
                <w:color w:val="000000" w:themeColor="text1"/>
                <w:sz w:val="18"/>
                <w:szCs w:val="18"/>
                <w:lang w:val="en-GB"/>
              </w:rPr>
            </w:pPr>
            <w:r w:rsidRPr="00D136DF">
              <w:rPr>
                <w:rFonts w:ascii="Arial" w:hAnsi="Arial"/>
                <w:color w:val="000000" w:themeColor="text1"/>
                <w:sz w:val="18"/>
                <w:szCs w:val="18"/>
                <w:lang w:val="en-GB"/>
              </w:rPr>
              <w:t>Together with Thyssen Gas and Gasunie Germany, TenneT is working on the realisation of a 100 MW electrolysis plant that can deliver green hydrogen for industry in phases as from 2022 and can serve as storage of sustainable energy in the form of gas. With Shell and Siemens, TenneT has taken the initiative to explore the possibilities of combining a tender to develop a power to gas (hydrogen) system with an offshore 900 MW wind energy tender in Germany in the period 2026 to 2030.</w:t>
            </w:r>
          </w:p>
          <w:p w:rsidR="00D136DF" w:rsidRPr="00D136DF" w:rsidRDefault="00D136DF" w:rsidP="00D136DF">
            <w:pPr>
              <w:spacing w:after="200" w:line="315" w:lineRule="atLeast"/>
              <w:rPr>
                <w:rFonts w:ascii="Arial" w:hAnsi="Arial"/>
                <w:b/>
                <w:color w:val="000000" w:themeColor="text1"/>
                <w:sz w:val="18"/>
                <w:szCs w:val="18"/>
                <w:lang w:val="en-GB"/>
              </w:rPr>
            </w:pPr>
            <w:r w:rsidRPr="00D136DF">
              <w:rPr>
                <w:rFonts w:ascii="Arial" w:hAnsi="Arial"/>
                <w:color w:val="000000" w:themeColor="text1"/>
                <w:sz w:val="18"/>
                <w:szCs w:val="18"/>
                <w:lang w:val="en-GB"/>
              </w:rPr>
              <w:t xml:space="preserve">The desired and necessary shift from focus on investments in assets to more focus on innovation is also reflected in the first draft of the joint German grid development plan for 2030 (Netzentwicklungsplan), drawn up by the 4 German TSO's. This plan foresees technological innovations to optimize the usage of the grid. </w:t>
            </w:r>
          </w:p>
          <w:p w:rsidR="00D136DF" w:rsidRPr="00D136DF" w:rsidRDefault="00D136DF" w:rsidP="00D136DF">
            <w:pPr>
              <w:spacing w:after="200" w:line="315" w:lineRule="atLeast"/>
              <w:rPr>
                <w:rFonts w:ascii="Arial" w:hAnsi="Arial"/>
                <w:sz w:val="18"/>
                <w:szCs w:val="18"/>
                <w:lang w:val="en-GB"/>
              </w:rPr>
            </w:pPr>
            <w:r w:rsidRPr="00D136DF">
              <w:rPr>
                <w:rFonts w:ascii="Arial" w:hAnsi="Arial"/>
                <w:b/>
                <w:sz w:val="18"/>
                <w:szCs w:val="18"/>
                <w:lang w:val="en-GB"/>
              </w:rPr>
              <w:t xml:space="preserve">FINANCIAL RESULTS IN LINE WITH EXPECTATIONS </w:t>
            </w:r>
            <w:r w:rsidRPr="00D136DF">
              <w:rPr>
                <w:rFonts w:ascii="Arial" w:hAnsi="Arial"/>
                <w:b/>
                <w:sz w:val="18"/>
                <w:szCs w:val="18"/>
                <w:lang w:val="en-GB"/>
              </w:rPr>
              <w:br/>
            </w:r>
          </w:p>
          <w:tbl>
            <w:tblPr>
              <w:tblStyle w:val="Lichtearcering-accent1"/>
              <w:tblW w:w="8187" w:type="dxa"/>
              <w:tblLook w:val="04A0" w:firstRow="1" w:lastRow="0" w:firstColumn="1" w:lastColumn="0" w:noHBand="0" w:noVBand="1"/>
            </w:tblPr>
            <w:tblGrid>
              <w:gridCol w:w="5353"/>
              <w:gridCol w:w="1559"/>
              <w:gridCol w:w="1275"/>
            </w:tblGrid>
            <w:tr w:rsidR="00D136DF" w:rsidRPr="00D136DF" w:rsidTr="00682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D136DF" w:rsidRPr="00D136DF" w:rsidRDefault="00D136DF" w:rsidP="00D136DF">
                  <w:pPr>
                    <w:rPr>
                      <w:rFonts w:ascii="Arial" w:hAnsi="Arial"/>
                      <w:color w:val="auto"/>
                      <w:sz w:val="18"/>
                      <w:szCs w:val="18"/>
                      <w:lang w:val="en-GB"/>
                    </w:rPr>
                  </w:pPr>
                  <w:r w:rsidRPr="00D136DF">
                    <w:rPr>
                      <w:rFonts w:ascii="Arial" w:eastAsiaTheme="minorHAnsi" w:hAnsi="Arial"/>
                      <w:color w:val="auto"/>
                      <w:sz w:val="18"/>
                      <w:szCs w:val="18"/>
                      <w:lang w:val="en-GB" w:eastAsia="en-US"/>
                    </w:rPr>
                    <w:t>Key underlying</w:t>
                  </w:r>
                  <w:r w:rsidRPr="007B11C4">
                    <w:rPr>
                      <w:rFonts w:ascii="Arial" w:hAnsi="Arial"/>
                      <w:color w:val="auto"/>
                      <w:sz w:val="16"/>
                      <w:szCs w:val="16"/>
                      <w:vertAlign w:val="superscript"/>
                    </w:rPr>
                    <w:footnoteReference w:id="2"/>
                  </w:r>
                  <w:r w:rsidRPr="00D136DF">
                    <w:rPr>
                      <w:rFonts w:ascii="Arial" w:eastAsiaTheme="minorHAnsi" w:hAnsi="Arial"/>
                      <w:color w:val="auto"/>
                      <w:sz w:val="18"/>
                      <w:szCs w:val="18"/>
                      <w:lang w:val="en-GB" w:eastAsia="en-US"/>
                    </w:rPr>
                    <w:t xml:space="preserve"> financial figures (in millions of euros) </w:t>
                  </w:r>
                </w:p>
              </w:tc>
              <w:tc>
                <w:tcPr>
                  <w:tcW w:w="1559" w:type="dxa"/>
                </w:tcPr>
                <w:p w:rsidR="00D136DF" w:rsidRPr="00D136DF" w:rsidRDefault="00D136DF" w:rsidP="00D136DF">
                  <w:pPr>
                    <w:jc w:val="right"/>
                    <w:cnfStyle w:val="100000000000" w:firstRow="1" w:lastRow="0" w:firstColumn="0" w:lastColumn="0" w:oddVBand="0" w:evenVBand="0" w:oddHBand="0" w:evenHBand="0" w:firstRowFirstColumn="0" w:firstRowLastColumn="0" w:lastRowFirstColumn="0" w:lastRowLastColumn="0"/>
                    <w:rPr>
                      <w:rFonts w:ascii="Arial" w:hAnsi="Arial"/>
                      <w:color w:val="auto"/>
                      <w:sz w:val="18"/>
                      <w:szCs w:val="18"/>
                    </w:rPr>
                  </w:pPr>
                  <w:r w:rsidRPr="00D136DF">
                    <w:rPr>
                      <w:rFonts w:ascii="Arial" w:hAnsi="Arial"/>
                      <w:color w:val="auto"/>
                      <w:sz w:val="18"/>
                      <w:szCs w:val="18"/>
                    </w:rPr>
                    <w:t>2018</w:t>
                  </w:r>
                </w:p>
              </w:tc>
              <w:tc>
                <w:tcPr>
                  <w:tcW w:w="1275" w:type="dxa"/>
                </w:tcPr>
                <w:p w:rsidR="00D136DF" w:rsidRPr="00D136DF" w:rsidRDefault="00D136DF" w:rsidP="00D136DF">
                  <w:pPr>
                    <w:jc w:val="right"/>
                    <w:cnfStyle w:val="100000000000" w:firstRow="1" w:lastRow="0" w:firstColumn="0" w:lastColumn="0" w:oddVBand="0" w:evenVBand="0" w:oddHBand="0" w:evenHBand="0" w:firstRowFirstColumn="0" w:firstRowLastColumn="0" w:lastRowFirstColumn="0" w:lastRowLastColumn="0"/>
                    <w:rPr>
                      <w:rFonts w:ascii="Arial" w:hAnsi="Arial"/>
                      <w:color w:val="auto"/>
                      <w:sz w:val="18"/>
                      <w:szCs w:val="18"/>
                    </w:rPr>
                  </w:pPr>
                  <w:r w:rsidRPr="00D136DF">
                    <w:rPr>
                      <w:rFonts w:ascii="Arial" w:hAnsi="Arial"/>
                      <w:color w:val="auto"/>
                      <w:sz w:val="18"/>
                      <w:szCs w:val="18"/>
                    </w:rPr>
                    <w:t>2017</w:t>
                  </w:r>
                </w:p>
              </w:tc>
            </w:tr>
            <w:tr w:rsidR="00D136DF" w:rsidRPr="00D136DF" w:rsidTr="0068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D136DF" w:rsidRPr="00D136DF" w:rsidRDefault="00D136DF" w:rsidP="00D136DF">
                  <w:pPr>
                    <w:rPr>
                      <w:rFonts w:ascii="Arial" w:hAnsi="Arial"/>
                      <w:color w:val="auto"/>
                      <w:sz w:val="18"/>
                      <w:szCs w:val="18"/>
                    </w:rPr>
                  </w:pPr>
                </w:p>
              </w:tc>
              <w:tc>
                <w:tcPr>
                  <w:tcW w:w="1559" w:type="dxa"/>
                </w:tcPr>
                <w:p w:rsidR="00D136DF" w:rsidRPr="00D136DF" w:rsidRDefault="00D136DF" w:rsidP="00D136DF">
                  <w:pPr>
                    <w:jc w:val="right"/>
                    <w:cnfStyle w:val="000000100000" w:firstRow="0" w:lastRow="0" w:firstColumn="0" w:lastColumn="0" w:oddVBand="0" w:evenVBand="0" w:oddHBand="1" w:evenHBand="0" w:firstRowFirstColumn="0" w:firstRowLastColumn="0" w:lastRowFirstColumn="0" w:lastRowLastColumn="0"/>
                    <w:rPr>
                      <w:rFonts w:ascii="Arial" w:hAnsi="Arial"/>
                      <w:color w:val="auto"/>
                      <w:sz w:val="18"/>
                      <w:szCs w:val="18"/>
                    </w:rPr>
                  </w:pPr>
                </w:p>
              </w:tc>
              <w:tc>
                <w:tcPr>
                  <w:tcW w:w="1275" w:type="dxa"/>
                </w:tcPr>
                <w:p w:rsidR="00D136DF" w:rsidRPr="00D136DF" w:rsidRDefault="00D136DF" w:rsidP="00D136DF">
                  <w:pPr>
                    <w:jc w:val="right"/>
                    <w:cnfStyle w:val="000000100000" w:firstRow="0" w:lastRow="0" w:firstColumn="0" w:lastColumn="0" w:oddVBand="0" w:evenVBand="0" w:oddHBand="1" w:evenHBand="0" w:firstRowFirstColumn="0" w:firstRowLastColumn="0" w:lastRowFirstColumn="0" w:lastRowLastColumn="0"/>
                    <w:rPr>
                      <w:rFonts w:ascii="Arial" w:hAnsi="Arial"/>
                      <w:color w:val="auto"/>
                      <w:sz w:val="18"/>
                      <w:szCs w:val="18"/>
                    </w:rPr>
                  </w:pPr>
                </w:p>
              </w:tc>
            </w:tr>
            <w:tr w:rsidR="00D136DF" w:rsidRPr="00D136DF" w:rsidTr="00682181">
              <w:tc>
                <w:tcPr>
                  <w:cnfStyle w:val="001000000000" w:firstRow="0" w:lastRow="0" w:firstColumn="1" w:lastColumn="0" w:oddVBand="0" w:evenVBand="0" w:oddHBand="0" w:evenHBand="0" w:firstRowFirstColumn="0" w:firstRowLastColumn="0" w:lastRowFirstColumn="0" w:lastRowLastColumn="0"/>
                  <w:tcW w:w="5353" w:type="dxa"/>
                </w:tcPr>
                <w:p w:rsidR="00D136DF" w:rsidRPr="00D136DF" w:rsidRDefault="00D136DF" w:rsidP="00D136DF">
                  <w:pPr>
                    <w:rPr>
                      <w:rFonts w:ascii="Arial" w:hAnsi="Arial"/>
                      <w:b w:val="0"/>
                      <w:color w:val="auto"/>
                      <w:sz w:val="18"/>
                      <w:szCs w:val="18"/>
                    </w:rPr>
                  </w:pPr>
                  <w:r w:rsidRPr="00D136DF">
                    <w:rPr>
                      <w:rFonts w:ascii="Arial" w:hAnsi="Arial"/>
                      <w:b w:val="0"/>
                      <w:color w:val="auto"/>
                      <w:sz w:val="18"/>
                      <w:szCs w:val="18"/>
                    </w:rPr>
                    <w:t>Revenue</w:t>
                  </w:r>
                </w:p>
              </w:tc>
              <w:tc>
                <w:tcPr>
                  <w:tcW w:w="1559" w:type="dxa"/>
                </w:tcPr>
                <w:p w:rsidR="00D136DF" w:rsidRPr="00D136DF" w:rsidRDefault="00D136DF" w:rsidP="00D136DF">
                  <w:pPr>
                    <w:jc w:val="right"/>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D136DF">
                    <w:rPr>
                      <w:rFonts w:ascii="Arial" w:hAnsi="Arial"/>
                      <w:color w:val="auto"/>
                      <w:sz w:val="18"/>
                      <w:szCs w:val="18"/>
                    </w:rPr>
                    <w:t>4,176</w:t>
                  </w:r>
                </w:p>
              </w:tc>
              <w:tc>
                <w:tcPr>
                  <w:tcW w:w="1275" w:type="dxa"/>
                </w:tcPr>
                <w:p w:rsidR="00D136DF" w:rsidRPr="00D136DF" w:rsidRDefault="00D136DF" w:rsidP="00D136DF">
                  <w:pPr>
                    <w:jc w:val="right"/>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D136DF">
                    <w:rPr>
                      <w:rFonts w:ascii="Arial" w:hAnsi="Arial"/>
                      <w:color w:val="auto"/>
                      <w:sz w:val="18"/>
                      <w:szCs w:val="18"/>
                    </w:rPr>
                    <w:t>3,948</w:t>
                  </w:r>
                </w:p>
              </w:tc>
            </w:tr>
            <w:tr w:rsidR="00D136DF" w:rsidRPr="00D136DF" w:rsidTr="0068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D136DF" w:rsidRPr="00D136DF" w:rsidRDefault="00D136DF" w:rsidP="00D136DF">
                  <w:pPr>
                    <w:rPr>
                      <w:rFonts w:ascii="Arial" w:hAnsi="Arial"/>
                      <w:b w:val="0"/>
                      <w:color w:val="auto"/>
                      <w:sz w:val="18"/>
                      <w:szCs w:val="18"/>
                      <w:lang w:val="en-GB"/>
                    </w:rPr>
                  </w:pPr>
                  <w:r w:rsidRPr="00D136DF">
                    <w:rPr>
                      <w:rFonts w:ascii="Arial" w:eastAsiaTheme="minorHAnsi" w:hAnsi="Arial"/>
                      <w:b w:val="0"/>
                      <w:color w:val="auto"/>
                      <w:sz w:val="18"/>
                      <w:szCs w:val="18"/>
                      <w:lang w:val="en-GB" w:eastAsia="en-US"/>
                    </w:rPr>
                    <w:t>Earnings before interest and taxes (EBIT)</w:t>
                  </w:r>
                </w:p>
              </w:tc>
              <w:tc>
                <w:tcPr>
                  <w:tcW w:w="1559" w:type="dxa"/>
                </w:tcPr>
                <w:p w:rsidR="00D136DF" w:rsidRPr="00D136DF" w:rsidRDefault="00D136DF" w:rsidP="00D136DF">
                  <w:pPr>
                    <w:jc w:val="right"/>
                    <w:cnfStyle w:val="000000100000" w:firstRow="0" w:lastRow="0" w:firstColumn="0" w:lastColumn="0" w:oddVBand="0" w:evenVBand="0" w:oddHBand="1" w:evenHBand="0" w:firstRowFirstColumn="0" w:firstRowLastColumn="0" w:lastRowFirstColumn="0" w:lastRowLastColumn="0"/>
                    <w:rPr>
                      <w:rFonts w:ascii="Arial" w:hAnsi="Arial"/>
                      <w:color w:val="auto"/>
                      <w:sz w:val="18"/>
                      <w:szCs w:val="18"/>
                    </w:rPr>
                  </w:pPr>
                  <w:r w:rsidRPr="00D136DF">
                    <w:rPr>
                      <w:rFonts w:ascii="Arial" w:hAnsi="Arial"/>
                      <w:color w:val="auto"/>
                      <w:sz w:val="18"/>
                      <w:szCs w:val="18"/>
                    </w:rPr>
                    <w:t>806</w:t>
                  </w:r>
                </w:p>
              </w:tc>
              <w:tc>
                <w:tcPr>
                  <w:tcW w:w="1275" w:type="dxa"/>
                </w:tcPr>
                <w:p w:rsidR="00D136DF" w:rsidRPr="00D136DF" w:rsidRDefault="00D136DF" w:rsidP="00D136DF">
                  <w:pPr>
                    <w:jc w:val="right"/>
                    <w:cnfStyle w:val="000000100000" w:firstRow="0" w:lastRow="0" w:firstColumn="0" w:lastColumn="0" w:oddVBand="0" w:evenVBand="0" w:oddHBand="1" w:evenHBand="0" w:firstRowFirstColumn="0" w:firstRowLastColumn="0" w:lastRowFirstColumn="0" w:lastRowLastColumn="0"/>
                    <w:rPr>
                      <w:rFonts w:ascii="Arial" w:hAnsi="Arial"/>
                      <w:color w:val="auto"/>
                      <w:sz w:val="18"/>
                      <w:szCs w:val="18"/>
                    </w:rPr>
                  </w:pPr>
                  <w:r w:rsidRPr="00D136DF">
                    <w:rPr>
                      <w:rFonts w:ascii="Arial" w:hAnsi="Arial"/>
                      <w:color w:val="auto"/>
                      <w:sz w:val="18"/>
                      <w:szCs w:val="18"/>
                    </w:rPr>
                    <w:t>897</w:t>
                  </w:r>
                </w:p>
              </w:tc>
            </w:tr>
            <w:tr w:rsidR="00D136DF" w:rsidRPr="007B11C4" w:rsidTr="00682181">
              <w:tc>
                <w:tcPr>
                  <w:cnfStyle w:val="001000000000" w:firstRow="0" w:lastRow="0" w:firstColumn="1" w:lastColumn="0" w:oddVBand="0" w:evenVBand="0" w:oddHBand="0" w:evenHBand="0" w:firstRowFirstColumn="0" w:firstRowLastColumn="0" w:lastRowFirstColumn="0" w:lastRowLastColumn="0"/>
                  <w:tcW w:w="5353" w:type="dxa"/>
                </w:tcPr>
                <w:p w:rsidR="00D136DF" w:rsidRPr="00D136DF" w:rsidRDefault="00D136DF" w:rsidP="00D136DF">
                  <w:pPr>
                    <w:rPr>
                      <w:rFonts w:ascii="Arial" w:hAnsi="Arial"/>
                      <w:b w:val="0"/>
                      <w:color w:val="auto"/>
                      <w:sz w:val="18"/>
                      <w:szCs w:val="18"/>
                      <w:lang w:val="en-GB"/>
                    </w:rPr>
                  </w:pPr>
                  <w:r w:rsidRPr="00D136DF">
                    <w:rPr>
                      <w:rFonts w:ascii="Arial" w:eastAsiaTheme="minorHAnsi" w:hAnsi="Arial"/>
                      <w:b w:val="0"/>
                      <w:color w:val="auto"/>
                      <w:sz w:val="18"/>
                      <w:szCs w:val="18"/>
                      <w:lang w:val="en-GB" w:eastAsia="en-US"/>
                    </w:rPr>
                    <w:t>EBIT, corrected for special items</w:t>
                  </w:r>
                </w:p>
              </w:tc>
              <w:tc>
                <w:tcPr>
                  <w:tcW w:w="1559" w:type="dxa"/>
                </w:tcPr>
                <w:p w:rsidR="00D136DF" w:rsidRPr="00722C42" w:rsidRDefault="00D136DF" w:rsidP="00D136DF">
                  <w:pPr>
                    <w:jc w:val="right"/>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lang w:val="en-GB"/>
                    </w:rPr>
                  </w:pPr>
                  <w:r w:rsidRPr="00722C42">
                    <w:rPr>
                      <w:rFonts w:ascii="Arial" w:hAnsi="Arial"/>
                      <w:color w:val="auto"/>
                      <w:sz w:val="18"/>
                      <w:szCs w:val="18"/>
                      <w:lang w:val="en-GB"/>
                    </w:rPr>
                    <w:t>819</w:t>
                  </w:r>
                </w:p>
              </w:tc>
              <w:tc>
                <w:tcPr>
                  <w:tcW w:w="1275" w:type="dxa"/>
                </w:tcPr>
                <w:p w:rsidR="00D136DF" w:rsidRPr="00722C42" w:rsidRDefault="00D136DF" w:rsidP="00D136DF">
                  <w:pPr>
                    <w:jc w:val="right"/>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lang w:val="en-GB"/>
                    </w:rPr>
                  </w:pPr>
                  <w:r w:rsidRPr="00722C42">
                    <w:rPr>
                      <w:rFonts w:ascii="Arial" w:hAnsi="Arial"/>
                      <w:color w:val="auto"/>
                      <w:sz w:val="18"/>
                      <w:szCs w:val="18"/>
                      <w:lang w:val="en-GB"/>
                    </w:rPr>
                    <w:t>742</w:t>
                  </w:r>
                </w:p>
              </w:tc>
            </w:tr>
            <w:tr w:rsidR="00D136DF" w:rsidRPr="007B11C4" w:rsidTr="0068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D136DF" w:rsidRPr="00D136DF" w:rsidRDefault="00D136DF" w:rsidP="00722C42">
                  <w:pPr>
                    <w:rPr>
                      <w:rFonts w:ascii="Arial" w:hAnsi="Arial"/>
                      <w:b w:val="0"/>
                      <w:color w:val="auto"/>
                      <w:sz w:val="18"/>
                      <w:szCs w:val="18"/>
                      <w:lang w:val="en-GB"/>
                    </w:rPr>
                  </w:pPr>
                  <w:r w:rsidRPr="00D136DF">
                    <w:rPr>
                      <w:rFonts w:ascii="Arial" w:eastAsiaTheme="minorHAnsi" w:hAnsi="Arial"/>
                      <w:b w:val="0"/>
                      <w:color w:val="auto"/>
                      <w:sz w:val="18"/>
                      <w:szCs w:val="18"/>
                      <w:lang w:val="en-GB" w:eastAsia="en-US"/>
                    </w:rPr>
                    <w:t>Investments in</w:t>
                  </w:r>
                  <w:r w:rsidR="00722C42">
                    <w:rPr>
                      <w:rFonts w:ascii="Arial" w:eastAsiaTheme="minorHAnsi" w:hAnsi="Arial"/>
                      <w:b w:val="0"/>
                      <w:color w:val="auto"/>
                      <w:sz w:val="18"/>
                      <w:szCs w:val="18"/>
                      <w:lang w:val="en-GB" w:eastAsia="en-US"/>
                    </w:rPr>
                    <w:t xml:space="preserve"> </w:t>
                  </w:r>
                  <w:r w:rsidRPr="00D136DF">
                    <w:rPr>
                      <w:rFonts w:ascii="Arial" w:eastAsiaTheme="minorHAnsi" w:hAnsi="Arial"/>
                      <w:b w:val="0"/>
                      <w:color w:val="auto"/>
                      <w:sz w:val="18"/>
                      <w:szCs w:val="18"/>
                      <w:lang w:val="en-GB" w:eastAsia="en-US"/>
                    </w:rPr>
                    <w:t>fixed assets</w:t>
                  </w:r>
                </w:p>
              </w:tc>
              <w:tc>
                <w:tcPr>
                  <w:tcW w:w="1559" w:type="dxa"/>
                </w:tcPr>
                <w:p w:rsidR="00D136DF" w:rsidRPr="00D136DF" w:rsidRDefault="00D136DF" w:rsidP="00D136DF">
                  <w:pPr>
                    <w:jc w:val="right"/>
                    <w:cnfStyle w:val="000000100000" w:firstRow="0" w:lastRow="0" w:firstColumn="0" w:lastColumn="0" w:oddVBand="0" w:evenVBand="0" w:oddHBand="1" w:evenHBand="0" w:firstRowFirstColumn="0" w:firstRowLastColumn="0" w:lastRowFirstColumn="0" w:lastRowLastColumn="0"/>
                    <w:rPr>
                      <w:rFonts w:ascii="Arial" w:hAnsi="Arial"/>
                      <w:color w:val="auto"/>
                      <w:sz w:val="18"/>
                      <w:szCs w:val="18"/>
                      <w:lang w:val="en-GB"/>
                    </w:rPr>
                  </w:pPr>
                  <w:r w:rsidRPr="00D136DF">
                    <w:rPr>
                      <w:rFonts w:ascii="Arial" w:eastAsiaTheme="minorHAnsi" w:hAnsi="Arial"/>
                      <w:color w:val="auto"/>
                      <w:sz w:val="18"/>
                      <w:szCs w:val="18"/>
                      <w:lang w:val="en-GB" w:eastAsia="en-US"/>
                    </w:rPr>
                    <w:t>2,253</w:t>
                  </w:r>
                </w:p>
              </w:tc>
              <w:tc>
                <w:tcPr>
                  <w:tcW w:w="1275" w:type="dxa"/>
                </w:tcPr>
                <w:p w:rsidR="00D136DF" w:rsidRPr="00D136DF" w:rsidRDefault="00D136DF" w:rsidP="00722C42">
                  <w:pPr>
                    <w:jc w:val="right"/>
                    <w:cnfStyle w:val="000000100000" w:firstRow="0" w:lastRow="0" w:firstColumn="0" w:lastColumn="0" w:oddVBand="0" w:evenVBand="0" w:oddHBand="1" w:evenHBand="0" w:firstRowFirstColumn="0" w:firstRowLastColumn="0" w:lastRowFirstColumn="0" w:lastRowLastColumn="0"/>
                    <w:rPr>
                      <w:rFonts w:ascii="Arial" w:hAnsi="Arial"/>
                      <w:color w:val="auto"/>
                      <w:sz w:val="18"/>
                      <w:szCs w:val="18"/>
                      <w:lang w:val="en-GB"/>
                    </w:rPr>
                  </w:pPr>
                  <w:r w:rsidRPr="00D136DF">
                    <w:rPr>
                      <w:rFonts w:ascii="Arial" w:eastAsiaTheme="minorHAnsi" w:hAnsi="Arial"/>
                      <w:color w:val="auto"/>
                      <w:sz w:val="18"/>
                      <w:szCs w:val="18"/>
                      <w:lang w:val="en-GB" w:eastAsia="en-US"/>
                    </w:rPr>
                    <w:t>1,77</w:t>
                  </w:r>
                  <w:r w:rsidR="00722C42">
                    <w:rPr>
                      <w:rFonts w:ascii="Arial" w:eastAsiaTheme="minorHAnsi" w:hAnsi="Arial"/>
                      <w:color w:val="auto"/>
                      <w:sz w:val="18"/>
                      <w:szCs w:val="18"/>
                      <w:lang w:val="en-GB" w:eastAsia="en-US"/>
                    </w:rPr>
                    <w:t>4</w:t>
                  </w:r>
                </w:p>
              </w:tc>
            </w:tr>
            <w:tr w:rsidR="00D136DF" w:rsidRPr="007B11C4" w:rsidTr="00682181">
              <w:tc>
                <w:tcPr>
                  <w:cnfStyle w:val="001000000000" w:firstRow="0" w:lastRow="0" w:firstColumn="1" w:lastColumn="0" w:oddVBand="0" w:evenVBand="0" w:oddHBand="0" w:evenHBand="0" w:firstRowFirstColumn="0" w:firstRowLastColumn="0" w:lastRowFirstColumn="0" w:lastRowLastColumn="0"/>
                  <w:tcW w:w="5353" w:type="dxa"/>
                </w:tcPr>
                <w:p w:rsidR="00D136DF" w:rsidRPr="00D136DF" w:rsidRDefault="00D136DF" w:rsidP="00D136DF">
                  <w:pPr>
                    <w:rPr>
                      <w:rFonts w:ascii="Arial" w:hAnsi="Arial"/>
                      <w:b w:val="0"/>
                      <w:color w:val="auto"/>
                      <w:sz w:val="18"/>
                      <w:szCs w:val="18"/>
                      <w:lang w:val="en-GB"/>
                    </w:rPr>
                  </w:pPr>
                  <w:r w:rsidRPr="00D136DF">
                    <w:rPr>
                      <w:rFonts w:ascii="Arial" w:eastAsiaTheme="minorHAnsi" w:hAnsi="Arial"/>
                      <w:b w:val="0"/>
                      <w:color w:val="auto"/>
                      <w:sz w:val="18"/>
                      <w:szCs w:val="18"/>
                      <w:lang w:val="en-GB" w:eastAsia="en-US"/>
                    </w:rPr>
                    <w:t>Total assets</w:t>
                  </w:r>
                </w:p>
              </w:tc>
              <w:tc>
                <w:tcPr>
                  <w:tcW w:w="1559" w:type="dxa"/>
                </w:tcPr>
                <w:p w:rsidR="00D136DF" w:rsidRPr="00D136DF" w:rsidRDefault="00D136DF" w:rsidP="00D136DF">
                  <w:pPr>
                    <w:jc w:val="right"/>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lang w:val="en-GB"/>
                    </w:rPr>
                  </w:pPr>
                  <w:r w:rsidRPr="00D136DF">
                    <w:rPr>
                      <w:rFonts w:ascii="Arial" w:eastAsiaTheme="minorHAnsi" w:hAnsi="Arial"/>
                      <w:color w:val="auto"/>
                      <w:sz w:val="18"/>
                      <w:szCs w:val="18"/>
                      <w:lang w:val="en-GB" w:eastAsia="en-US"/>
                    </w:rPr>
                    <w:t>21,783</w:t>
                  </w:r>
                </w:p>
              </w:tc>
              <w:tc>
                <w:tcPr>
                  <w:tcW w:w="1275" w:type="dxa"/>
                </w:tcPr>
                <w:p w:rsidR="00D136DF" w:rsidRPr="00D136DF" w:rsidRDefault="00D136DF" w:rsidP="00D136DF">
                  <w:pPr>
                    <w:jc w:val="right"/>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lang w:val="en-GB"/>
                    </w:rPr>
                  </w:pPr>
                  <w:r w:rsidRPr="00D136DF">
                    <w:rPr>
                      <w:rFonts w:ascii="Arial" w:eastAsiaTheme="minorHAnsi" w:hAnsi="Arial"/>
                      <w:color w:val="auto"/>
                      <w:sz w:val="18"/>
                      <w:szCs w:val="18"/>
                      <w:lang w:val="en-GB" w:eastAsia="en-US"/>
                    </w:rPr>
                    <w:t>20,412</w:t>
                  </w:r>
                </w:p>
              </w:tc>
            </w:tr>
            <w:tr w:rsidR="00D136DF" w:rsidRPr="007B11C4" w:rsidTr="0068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D136DF" w:rsidRPr="00D136DF" w:rsidRDefault="00D136DF" w:rsidP="00D136DF">
                  <w:pPr>
                    <w:rPr>
                      <w:rFonts w:ascii="Arial" w:hAnsi="Arial"/>
                      <w:b w:val="0"/>
                      <w:color w:val="auto"/>
                      <w:sz w:val="18"/>
                      <w:szCs w:val="18"/>
                      <w:lang w:val="en-GB"/>
                    </w:rPr>
                  </w:pPr>
                  <w:r w:rsidRPr="00D136DF">
                    <w:rPr>
                      <w:rFonts w:ascii="Arial" w:eastAsiaTheme="minorHAnsi" w:hAnsi="Arial"/>
                      <w:b w:val="0"/>
                      <w:color w:val="auto"/>
                      <w:sz w:val="18"/>
                      <w:szCs w:val="18"/>
                      <w:lang w:val="en-GB" w:eastAsia="en-US"/>
                    </w:rPr>
                    <w:t xml:space="preserve">Net interest-bearing debt </w:t>
                  </w:r>
                </w:p>
              </w:tc>
              <w:tc>
                <w:tcPr>
                  <w:tcW w:w="1559" w:type="dxa"/>
                </w:tcPr>
                <w:p w:rsidR="00D136DF" w:rsidRPr="00D136DF" w:rsidRDefault="00D136DF" w:rsidP="00D136DF">
                  <w:pPr>
                    <w:jc w:val="right"/>
                    <w:cnfStyle w:val="000000100000" w:firstRow="0" w:lastRow="0" w:firstColumn="0" w:lastColumn="0" w:oddVBand="0" w:evenVBand="0" w:oddHBand="1" w:evenHBand="0" w:firstRowFirstColumn="0" w:firstRowLastColumn="0" w:lastRowFirstColumn="0" w:lastRowLastColumn="0"/>
                    <w:rPr>
                      <w:rFonts w:ascii="Arial" w:hAnsi="Arial"/>
                      <w:color w:val="auto"/>
                      <w:sz w:val="18"/>
                      <w:szCs w:val="18"/>
                      <w:lang w:val="en-GB"/>
                    </w:rPr>
                  </w:pPr>
                  <w:r w:rsidRPr="00D136DF">
                    <w:rPr>
                      <w:rFonts w:ascii="Arial" w:eastAsiaTheme="minorHAnsi" w:hAnsi="Arial"/>
                      <w:color w:val="auto"/>
                      <w:sz w:val="18"/>
                      <w:szCs w:val="18"/>
                      <w:lang w:val="en-GB" w:eastAsia="en-US"/>
                    </w:rPr>
                    <w:t>8,712</w:t>
                  </w:r>
                </w:p>
              </w:tc>
              <w:tc>
                <w:tcPr>
                  <w:tcW w:w="1275" w:type="dxa"/>
                </w:tcPr>
                <w:p w:rsidR="00D136DF" w:rsidRPr="00D136DF" w:rsidRDefault="00D136DF" w:rsidP="00D136DF">
                  <w:pPr>
                    <w:jc w:val="right"/>
                    <w:cnfStyle w:val="000000100000" w:firstRow="0" w:lastRow="0" w:firstColumn="0" w:lastColumn="0" w:oddVBand="0" w:evenVBand="0" w:oddHBand="1" w:evenHBand="0" w:firstRowFirstColumn="0" w:firstRowLastColumn="0" w:lastRowFirstColumn="0" w:lastRowLastColumn="0"/>
                    <w:rPr>
                      <w:rFonts w:ascii="Arial" w:hAnsi="Arial"/>
                      <w:color w:val="auto"/>
                      <w:sz w:val="18"/>
                      <w:szCs w:val="18"/>
                      <w:lang w:val="en-GB"/>
                    </w:rPr>
                  </w:pPr>
                  <w:r w:rsidRPr="00D136DF">
                    <w:rPr>
                      <w:rFonts w:ascii="Arial" w:eastAsiaTheme="minorHAnsi" w:hAnsi="Arial"/>
                      <w:color w:val="auto"/>
                      <w:sz w:val="18"/>
                      <w:szCs w:val="18"/>
                      <w:lang w:val="en-GB" w:eastAsia="en-US"/>
                    </w:rPr>
                    <w:t>7,687</w:t>
                  </w:r>
                </w:p>
              </w:tc>
            </w:tr>
            <w:tr w:rsidR="00D136DF" w:rsidRPr="007B11C4" w:rsidTr="00682181">
              <w:tc>
                <w:tcPr>
                  <w:cnfStyle w:val="001000000000" w:firstRow="0" w:lastRow="0" w:firstColumn="1" w:lastColumn="0" w:oddVBand="0" w:evenVBand="0" w:oddHBand="0" w:evenHBand="0" w:firstRowFirstColumn="0" w:firstRowLastColumn="0" w:lastRowFirstColumn="0" w:lastRowLastColumn="0"/>
                  <w:tcW w:w="5353" w:type="dxa"/>
                </w:tcPr>
                <w:p w:rsidR="00D136DF" w:rsidRPr="00D136DF" w:rsidRDefault="00D136DF" w:rsidP="00D136DF">
                  <w:pPr>
                    <w:rPr>
                      <w:rFonts w:ascii="Arial" w:hAnsi="Arial"/>
                      <w:b w:val="0"/>
                      <w:color w:val="auto"/>
                      <w:sz w:val="18"/>
                      <w:szCs w:val="18"/>
                      <w:lang w:val="en-GB"/>
                    </w:rPr>
                  </w:pPr>
                  <w:r w:rsidRPr="00D136DF">
                    <w:rPr>
                      <w:rFonts w:ascii="Arial" w:eastAsiaTheme="minorHAnsi" w:hAnsi="Arial"/>
                      <w:b w:val="0"/>
                      <w:color w:val="auto"/>
                      <w:sz w:val="18"/>
                      <w:szCs w:val="18"/>
                      <w:lang w:val="en-GB" w:eastAsia="en-US"/>
                    </w:rPr>
                    <w:t>Dividend to Dutch State</w:t>
                  </w:r>
                </w:p>
              </w:tc>
              <w:tc>
                <w:tcPr>
                  <w:tcW w:w="1559" w:type="dxa"/>
                </w:tcPr>
                <w:p w:rsidR="00D136DF" w:rsidRPr="00D136DF" w:rsidRDefault="000B0EE1" w:rsidP="000B0EE1">
                  <w:pPr>
                    <w:jc w:val="right"/>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lang w:val="en-GB"/>
                    </w:rPr>
                  </w:pPr>
                  <w:r>
                    <w:rPr>
                      <w:rFonts w:ascii="Arial" w:eastAsiaTheme="minorHAnsi" w:hAnsi="Arial"/>
                      <w:color w:val="auto"/>
                      <w:sz w:val="18"/>
                      <w:szCs w:val="18"/>
                      <w:lang w:val="en-GB" w:eastAsia="en-US"/>
                    </w:rPr>
                    <w:t>120</w:t>
                  </w:r>
                  <w:r w:rsidR="008B14BB" w:rsidRPr="00D136DF">
                    <w:rPr>
                      <w:rFonts w:ascii="Arial" w:eastAsiaTheme="minorHAnsi" w:hAnsi="Arial"/>
                      <w:color w:val="auto"/>
                      <w:sz w:val="18"/>
                      <w:szCs w:val="18"/>
                      <w:lang w:val="en-GB" w:eastAsia="en-US"/>
                    </w:rPr>
                    <w:t xml:space="preserve"> </w:t>
                  </w:r>
                </w:p>
              </w:tc>
              <w:tc>
                <w:tcPr>
                  <w:tcW w:w="1275" w:type="dxa"/>
                </w:tcPr>
                <w:p w:rsidR="00D136DF" w:rsidRPr="00D136DF" w:rsidRDefault="00D136DF" w:rsidP="00D136DF">
                  <w:pPr>
                    <w:jc w:val="right"/>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lang w:val="en-GB"/>
                    </w:rPr>
                  </w:pPr>
                  <w:r w:rsidRPr="00D136DF">
                    <w:rPr>
                      <w:rFonts w:ascii="Arial" w:eastAsiaTheme="minorHAnsi" w:hAnsi="Arial"/>
                      <w:color w:val="auto"/>
                      <w:sz w:val="18"/>
                      <w:szCs w:val="18"/>
                      <w:lang w:val="en-GB" w:eastAsia="en-US"/>
                    </w:rPr>
                    <w:t>147</w:t>
                  </w:r>
                </w:p>
              </w:tc>
            </w:tr>
            <w:tr w:rsidR="00D136DF" w:rsidRPr="007B11C4" w:rsidTr="00682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D136DF" w:rsidRPr="00D136DF" w:rsidRDefault="00D136DF" w:rsidP="00D136DF">
                  <w:pPr>
                    <w:rPr>
                      <w:rFonts w:ascii="Arial" w:hAnsi="Arial"/>
                      <w:color w:val="auto"/>
                      <w:sz w:val="18"/>
                      <w:szCs w:val="18"/>
                      <w:lang w:val="en-GB"/>
                    </w:rPr>
                  </w:pPr>
                </w:p>
              </w:tc>
              <w:tc>
                <w:tcPr>
                  <w:tcW w:w="1559" w:type="dxa"/>
                </w:tcPr>
                <w:p w:rsidR="00D136DF" w:rsidRPr="00D136DF" w:rsidRDefault="00D136DF" w:rsidP="00D136DF">
                  <w:pPr>
                    <w:jc w:val="right"/>
                    <w:cnfStyle w:val="000000100000" w:firstRow="0" w:lastRow="0" w:firstColumn="0" w:lastColumn="0" w:oddVBand="0" w:evenVBand="0" w:oddHBand="1" w:evenHBand="0" w:firstRowFirstColumn="0" w:firstRowLastColumn="0" w:lastRowFirstColumn="0" w:lastRowLastColumn="0"/>
                    <w:rPr>
                      <w:rFonts w:ascii="Arial" w:hAnsi="Arial"/>
                      <w:color w:val="auto"/>
                      <w:sz w:val="18"/>
                      <w:szCs w:val="18"/>
                      <w:lang w:val="en-GB"/>
                    </w:rPr>
                  </w:pPr>
                </w:p>
              </w:tc>
              <w:tc>
                <w:tcPr>
                  <w:tcW w:w="1275" w:type="dxa"/>
                </w:tcPr>
                <w:p w:rsidR="00D136DF" w:rsidRPr="00D136DF" w:rsidRDefault="00D136DF" w:rsidP="00D136DF">
                  <w:pPr>
                    <w:jc w:val="right"/>
                    <w:cnfStyle w:val="000000100000" w:firstRow="0" w:lastRow="0" w:firstColumn="0" w:lastColumn="0" w:oddVBand="0" w:evenVBand="0" w:oddHBand="1" w:evenHBand="0" w:firstRowFirstColumn="0" w:firstRowLastColumn="0" w:lastRowFirstColumn="0" w:lastRowLastColumn="0"/>
                    <w:rPr>
                      <w:rFonts w:ascii="Arial" w:hAnsi="Arial"/>
                      <w:color w:val="auto"/>
                      <w:sz w:val="18"/>
                      <w:szCs w:val="18"/>
                      <w:lang w:val="en-GB"/>
                    </w:rPr>
                  </w:pPr>
                </w:p>
              </w:tc>
            </w:tr>
          </w:tbl>
          <w:p w:rsidR="00D136DF" w:rsidRPr="00D136DF" w:rsidRDefault="00D136DF" w:rsidP="00D136DF">
            <w:pPr>
              <w:rPr>
                <w:rFonts w:ascii="Arial" w:hAnsi="Arial"/>
                <w:sz w:val="18"/>
                <w:szCs w:val="18"/>
                <w:lang w:val="en-GB"/>
              </w:rPr>
            </w:pPr>
            <w:bookmarkStart w:id="0" w:name="_GoBack"/>
            <w:bookmarkEnd w:id="0"/>
          </w:p>
          <w:p w:rsidR="00D136DF" w:rsidRPr="00D136DF" w:rsidRDefault="00D136DF" w:rsidP="00D136DF">
            <w:pPr>
              <w:spacing w:line="360" w:lineRule="auto"/>
              <w:rPr>
                <w:rFonts w:ascii="Arial" w:hAnsi="Arial"/>
                <w:b/>
                <w:sz w:val="18"/>
                <w:szCs w:val="18"/>
                <w:lang w:val="en-GB"/>
              </w:rPr>
            </w:pPr>
            <w:r w:rsidRPr="00D136DF">
              <w:rPr>
                <w:rFonts w:ascii="Arial" w:hAnsi="Arial"/>
                <w:b/>
                <w:sz w:val="18"/>
                <w:szCs w:val="18"/>
                <w:lang w:val="en-GB"/>
              </w:rPr>
              <w:t>Underlying revenue and EBIT</w:t>
            </w:r>
          </w:p>
          <w:p w:rsidR="00D136DF" w:rsidRPr="00D136DF" w:rsidRDefault="00D136DF" w:rsidP="00D136DF">
            <w:pPr>
              <w:spacing w:line="360" w:lineRule="auto"/>
              <w:rPr>
                <w:rFonts w:ascii="Arial" w:hAnsi="Arial"/>
                <w:sz w:val="18"/>
                <w:szCs w:val="18"/>
                <w:lang w:val="en-GB"/>
              </w:rPr>
            </w:pPr>
            <w:r w:rsidRPr="00D136DF">
              <w:rPr>
                <w:rFonts w:ascii="Arial" w:hAnsi="Arial"/>
                <w:sz w:val="18"/>
                <w:szCs w:val="18"/>
                <w:lang w:val="en-GB"/>
              </w:rPr>
              <w:t>TenneT’s 2018 underlying revenue of EUR 4,176 million increased with 6% compared to 2017, mainly due to higher reimbursements for grid expenses and additional revenue generated by a growing asset base. Underlying EBIT decreased from EUR 897 million in 2017 to EUR 806 million in 2018. Excluding special items, underlying EBIT increased by 10% to EUR 819 million in 2018.  EBIT growth was mainly driven by the increase in our asset base, causing a higher return on capital reimbursement.</w:t>
            </w:r>
          </w:p>
          <w:p w:rsidR="00D136DF" w:rsidRPr="00D136DF" w:rsidRDefault="00D136DF" w:rsidP="00D136DF">
            <w:pPr>
              <w:spacing w:line="360" w:lineRule="auto"/>
              <w:rPr>
                <w:rFonts w:ascii="Arial" w:hAnsi="Arial"/>
                <w:sz w:val="18"/>
                <w:szCs w:val="18"/>
                <w:lang w:val="en-GB"/>
              </w:rPr>
            </w:pPr>
          </w:p>
          <w:p w:rsidR="00D136DF" w:rsidRPr="00D136DF" w:rsidRDefault="00D136DF" w:rsidP="00D136DF">
            <w:pPr>
              <w:rPr>
                <w:rFonts w:ascii="Arial" w:hAnsi="Arial"/>
                <w:b/>
                <w:sz w:val="18"/>
                <w:szCs w:val="18"/>
                <w:lang w:val="en-GB"/>
              </w:rPr>
            </w:pPr>
            <w:r w:rsidRPr="00D136DF">
              <w:rPr>
                <w:rFonts w:ascii="Arial" w:hAnsi="Arial"/>
                <w:b/>
                <w:sz w:val="18"/>
                <w:szCs w:val="18"/>
                <w:lang w:val="en-GB"/>
              </w:rPr>
              <w:lastRenderedPageBreak/>
              <w:t>Investments &amp; financing</w:t>
            </w:r>
          </w:p>
          <w:p w:rsidR="00D136DF" w:rsidRPr="00D136DF" w:rsidRDefault="00D136DF" w:rsidP="00D136DF">
            <w:pPr>
              <w:spacing w:after="200" w:line="315" w:lineRule="atLeast"/>
              <w:rPr>
                <w:rFonts w:ascii="Arial" w:hAnsi="Arial"/>
                <w:sz w:val="18"/>
                <w:szCs w:val="18"/>
                <w:lang w:val="en-GB"/>
              </w:rPr>
            </w:pPr>
            <w:r w:rsidRPr="00D136DF">
              <w:rPr>
                <w:rFonts w:ascii="Arial" w:hAnsi="Arial"/>
                <w:sz w:val="18"/>
                <w:szCs w:val="18"/>
                <w:lang w:val="en-GB"/>
              </w:rPr>
              <w:t>Otto Jager, TenneT's CFO: "TenneT delivered a financial performance in line with the expectations of our capital providers. To carry out our extensive investment programme, which also requires additional equity funding, we need to maintain full access to the financial markets."</w:t>
            </w:r>
          </w:p>
          <w:p w:rsidR="00D136DF" w:rsidRPr="00D136DF" w:rsidRDefault="00D136DF" w:rsidP="00D136DF">
            <w:pPr>
              <w:spacing w:after="200" w:line="315" w:lineRule="atLeast"/>
              <w:rPr>
                <w:rFonts w:ascii="Arial" w:hAnsi="Arial"/>
                <w:sz w:val="18"/>
                <w:szCs w:val="18"/>
                <w:lang w:val="en-GB"/>
              </w:rPr>
            </w:pPr>
            <w:r w:rsidRPr="00D136DF">
              <w:rPr>
                <w:rFonts w:ascii="Arial" w:hAnsi="Arial"/>
                <w:sz w:val="18"/>
                <w:szCs w:val="18"/>
                <w:lang w:val="en-GB"/>
              </w:rPr>
              <w:t>Capex (investments) totalled EUR 2,253 million in 2018, of which EUR 876 million in the Netherlands and EUR 1,370 million in Germany. As a result of these investments, the net interest-bearing debt position increased by 13% to EUR 8,712 million at 31 December 2018.</w:t>
            </w:r>
          </w:p>
          <w:p w:rsidR="00D136DF" w:rsidRPr="00D136DF" w:rsidRDefault="00D136DF" w:rsidP="00D136DF">
            <w:pPr>
              <w:spacing w:after="200" w:line="315" w:lineRule="atLeast"/>
              <w:rPr>
                <w:rFonts w:ascii="Arial" w:hAnsi="Arial"/>
                <w:sz w:val="18"/>
                <w:szCs w:val="18"/>
                <w:lang w:val="en-GB"/>
              </w:rPr>
            </w:pPr>
            <w:r w:rsidRPr="00D136DF">
              <w:rPr>
                <w:rFonts w:ascii="Arial" w:hAnsi="Arial"/>
                <w:sz w:val="18"/>
                <w:szCs w:val="18"/>
                <w:lang w:val="en-GB"/>
              </w:rPr>
              <w:t xml:space="preserve">TenneT values its position as a leader in the sustainable finance arena. </w:t>
            </w:r>
            <w:r w:rsidR="008B14BB">
              <w:rPr>
                <w:rFonts w:ascii="Arial" w:hAnsi="Arial"/>
                <w:sz w:val="18"/>
                <w:szCs w:val="18"/>
                <w:lang w:val="en-GB"/>
              </w:rPr>
              <w:t xml:space="preserve">As part of </w:t>
            </w:r>
            <w:proofErr w:type="spellStart"/>
            <w:r w:rsidR="00147D24">
              <w:rPr>
                <w:rFonts w:ascii="Arial" w:hAnsi="Arial"/>
                <w:sz w:val="18"/>
                <w:szCs w:val="18"/>
                <w:lang w:val="en-GB"/>
              </w:rPr>
              <w:t>TenneT's</w:t>
            </w:r>
            <w:proofErr w:type="spellEnd"/>
            <w:r w:rsidR="00147D24">
              <w:rPr>
                <w:rFonts w:ascii="Arial" w:hAnsi="Arial"/>
                <w:sz w:val="18"/>
                <w:szCs w:val="18"/>
                <w:lang w:val="en-GB"/>
              </w:rPr>
              <w:t xml:space="preserve"> </w:t>
            </w:r>
            <w:r w:rsidR="008B14BB">
              <w:rPr>
                <w:rFonts w:ascii="Arial" w:hAnsi="Arial"/>
                <w:sz w:val="18"/>
                <w:szCs w:val="18"/>
                <w:lang w:val="en-GB"/>
              </w:rPr>
              <w:t xml:space="preserve"> Corporate Social Responsibility efforts in 2018</w:t>
            </w:r>
            <w:r w:rsidRPr="00D136DF">
              <w:rPr>
                <w:rFonts w:ascii="Arial" w:hAnsi="Arial"/>
                <w:sz w:val="18"/>
                <w:szCs w:val="18"/>
                <w:lang w:val="en-GB"/>
              </w:rPr>
              <w:t>, the company successfully completed another Green Bond issue, worth EUR 1.25 billion, under its Green Bond programme and raised EUR 500 million through a green United States Private Placement (USPP) transaction. In addition TenneT raised EUR 100 million of green hybrid capital from the European Investment Bank and received an equity contribution from the Dutch State of EUR 350 million.</w:t>
            </w:r>
          </w:p>
          <w:p w:rsidR="00D136DF" w:rsidRPr="00D136DF" w:rsidRDefault="00D136DF" w:rsidP="00D136DF">
            <w:pPr>
              <w:spacing w:after="200" w:line="315" w:lineRule="atLeast"/>
              <w:rPr>
                <w:rFonts w:ascii="Arial" w:hAnsi="Arial"/>
                <w:b/>
                <w:sz w:val="18"/>
                <w:szCs w:val="18"/>
                <w:lang w:val="en-GB"/>
              </w:rPr>
            </w:pPr>
            <w:r w:rsidRPr="00D136DF">
              <w:rPr>
                <w:rFonts w:ascii="Arial" w:hAnsi="Arial"/>
                <w:b/>
                <w:sz w:val="18"/>
                <w:szCs w:val="18"/>
                <w:lang w:val="en-GB"/>
              </w:rPr>
              <w:t xml:space="preserve">Senior unsecured credit ratings as of 31 December 2018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3169"/>
              <w:gridCol w:w="3413"/>
            </w:tblGrid>
            <w:tr w:rsidR="00D136DF" w:rsidRPr="007B11C4" w:rsidTr="00D136DF">
              <w:tc>
                <w:tcPr>
                  <w:tcW w:w="2490" w:type="dxa"/>
                </w:tcPr>
                <w:p w:rsidR="00D136DF" w:rsidRPr="00D136DF" w:rsidRDefault="00D136DF" w:rsidP="00D136DF">
                  <w:pPr>
                    <w:spacing w:line="315" w:lineRule="atLeast"/>
                    <w:rPr>
                      <w:rFonts w:ascii="Arial" w:hAnsi="Arial"/>
                      <w:sz w:val="18"/>
                      <w:szCs w:val="18"/>
                      <w:lang w:val="en-GB"/>
                    </w:rPr>
                  </w:pPr>
                </w:p>
              </w:tc>
              <w:tc>
                <w:tcPr>
                  <w:tcW w:w="3169" w:type="dxa"/>
                </w:tcPr>
                <w:p w:rsidR="00D136DF" w:rsidRPr="00D136DF" w:rsidRDefault="00D136DF" w:rsidP="00D136DF">
                  <w:pPr>
                    <w:spacing w:line="315" w:lineRule="atLeast"/>
                    <w:rPr>
                      <w:rFonts w:ascii="Arial" w:hAnsi="Arial"/>
                      <w:sz w:val="18"/>
                      <w:szCs w:val="18"/>
                      <w:lang w:val="en-GB"/>
                    </w:rPr>
                  </w:pPr>
                  <w:r w:rsidRPr="00D136DF">
                    <w:rPr>
                      <w:rFonts w:ascii="Arial" w:hAnsi="Arial"/>
                      <w:sz w:val="18"/>
                      <w:szCs w:val="18"/>
                      <w:lang w:val="en-GB"/>
                    </w:rPr>
                    <w:t>Long-term rating</w:t>
                  </w:r>
                </w:p>
              </w:tc>
              <w:tc>
                <w:tcPr>
                  <w:tcW w:w="3413" w:type="dxa"/>
                </w:tcPr>
                <w:p w:rsidR="00D136DF" w:rsidRPr="00D136DF" w:rsidRDefault="00D136DF" w:rsidP="00D136DF">
                  <w:pPr>
                    <w:spacing w:line="315" w:lineRule="atLeast"/>
                    <w:rPr>
                      <w:rFonts w:ascii="Arial" w:hAnsi="Arial"/>
                      <w:sz w:val="18"/>
                      <w:szCs w:val="18"/>
                      <w:lang w:val="en-GB"/>
                    </w:rPr>
                  </w:pPr>
                  <w:r w:rsidRPr="00D136DF">
                    <w:rPr>
                      <w:rFonts w:ascii="Arial" w:hAnsi="Arial"/>
                      <w:sz w:val="18"/>
                      <w:szCs w:val="18"/>
                      <w:lang w:val="en-GB"/>
                    </w:rPr>
                    <w:t>Short-term rating</w:t>
                  </w:r>
                </w:p>
              </w:tc>
            </w:tr>
            <w:tr w:rsidR="00D136DF" w:rsidRPr="007B11C4" w:rsidTr="00D136DF">
              <w:tc>
                <w:tcPr>
                  <w:tcW w:w="2490" w:type="dxa"/>
                </w:tcPr>
                <w:p w:rsidR="00D136DF" w:rsidRPr="00D136DF" w:rsidRDefault="00D136DF" w:rsidP="00D136DF">
                  <w:pPr>
                    <w:spacing w:line="315" w:lineRule="atLeast"/>
                    <w:rPr>
                      <w:rFonts w:ascii="Arial" w:hAnsi="Arial"/>
                      <w:sz w:val="18"/>
                      <w:szCs w:val="18"/>
                      <w:lang w:val="en-GB"/>
                    </w:rPr>
                  </w:pPr>
                  <w:r w:rsidRPr="00D136DF">
                    <w:rPr>
                      <w:rFonts w:ascii="Arial" w:hAnsi="Arial"/>
                      <w:sz w:val="18"/>
                      <w:szCs w:val="18"/>
                      <w:lang w:val="en-GB"/>
                    </w:rPr>
                    <w:t>Standard &amp; Poor’s</w:t>
                  </w:r>
                </w:p>
              </w:tc>
              <w:tc>
                <w:tcPr>
                  <w:tcW w:w="3169" w:type="dxa"/>
                </w:tcPr>
                <w:p w:rsidR="00D136DF" w:rsidRPr="00D136DF" w:rsidRDefault="00D136DF" w:rsidP="00D136DF">
                  <w:pPr>
                    <w:spacing w:line="315" w:lineRule="atLeast"/>
                    <w:rPr>
                      <w:rFonts w:ascii="Arial" w:hAnsi="Arial"/>
                      <w:sz w:val="18"/>
                      <w:szCs w:val="18"/>
                      <w:lang w:val="en-GB"/>
                    </w:rPr>
                  </w:pPr>
                  <w:r w:rsidRPr="00D136DF">
                    <w:rPr>
                      <w:rFonts w:ascii="Arial" w:hAnsi="Arial"/>
                      <w:sz w:val="18"/>
                      <w:szCs w:val="18"/>
                      <w:lang w:val="en-GB"/>
                    </w:rPr>
                    <w:t>A- (stable outlook)</w:t>
                  </w:r>
                </w:p>
              </w:tc>
              <w:tc>
                <w:tcPr>
                  <w:tcW w:w="3413" w:type="dxa"/>
                </w:tcPr>
                <w:p w:rsidR="00D136DF" w:rsidRPr="00D136DF" w:rsidRDefault="00D136DF" w:rsidP="00D136DF">
                  <w:pPr>
                    <w:spacing w:line="315" w:lineRule="atLeast"/>
                    <w:rPr>
                      <w:rFonts w:ascii="Arial" w:hAnsi="Arial"/>
                      <w:sz w:val="18"/>
                      <w:szCs w:val="18"/>
                      <w:lang w:val="en-GB"/>
                    </w:rPr>
                  </w:pPr>
                  <w:r w:rsidRPr="00D136DF">
                    <w:rPr>
                      <w:rFonts w:ascii="Arial" w:hAnsi="Arial"/>
                      <w:sz w:val="18"/>
                      <w:szCs w:val="18"/>
                      <w:lang w:val="en-GB"/>
                    </w:rPr>
                    <w:t>A-2</w:t>
                  </w:r>
                </w:p>
              </w:tc>
            </w:tr>
            <w:tr w:rsidR="00D136DF" w:rsidRPr="007B11C4" w:rsidTr="00D136DF">
              <w:tc>
                <w:tcPr>
                  <w:tcW w:w="2490" w:type="dxa"/>
                </w:tcPr>
                <w:p w:rsidR="00D136DF" w:rsidRPr="00D136DF" w:rsidRDefault="00D136DF" w:rsidP="00D136DF">
                  <w:pPr>
                    <w:spacing w:line="315" w:lineRule="atLeast"/>
                    <w:rPr>
                      <w:rFonts w:ascii="Arial" w:hAnsi="Arial"/>
                      <w:sz w:val="18"/>
                      <w:szCs w:val="18"/>
                      <w:lang w:val="en-GB"/>
                    </w:rPr>
                  </w:pPr>
                  <w:r w:rsidRPr="00D136DF">
                    <w:rPr>
                      <w:rFonts w:ascii="Arial" w:hAnsi="Arial"/>
                      <w:sz w:val="18"/>
                      <w:szCs w:val="18"/>
                      <w:lang w:val="en-GB"/>
                    </w:rPr>
                    <w:t>Moody’s Investor Service</w:t>
                  </w:r>
                </w:p>
              </w:tc>
              <w:tc>
                <w:tcPr>
                  <w:tcW w:w="3169" w:type="dxa"/>
                </w:tcPr>
                <w:p w:rsidR="00D136DF" w:rsidRPr="00D136DF" w:rsidRDefault="00D136DF" w:rsidP="00D136DF">
                  <w:pPr>
                    <w:spacing w:line="315" w:lineRule="atLeast"/>
                    <w:rPr>
                      <w:rFonts w:ascii="Arial" w:hAnsi="Arial"/>
                      <w:sz w:val="18"/>
                      <w:szCs w:val="18"/>
                      <w:lang w:val="en-GB"/>
                    </w:rPr>
                  </w:pPr>
                  <w:r w:rsidRPr="00D136DF">
                    <w:rPr>
                      <w:rFonts w:ascii="Arial" w:hAnsi="Arial"/>
                      <w:sz w:val="18"/>
                      <w:szCs w:val="18"/>
                      <w:lang w:val="en-GB"/>
                    </w:rPr>
                    <w:t>A3 (stable outlook)</w:t>
                  </w:r>
                </w:p>
              </w:tc>
              <w:tc>
                <w:tcPr>
                  <w:tcW w:w="3413" w:type="dxa"/>
                </w:tcPr>
                <w:p w:rsidR="00D136DF" w:rsidRPr="00D136DF" w:rsidRDefault="00D136DF" w:rsidP="00D136DF">
                  <w:pPr>
                    <w:spacing w:line="315" w:lineRule="atLeast"/>
                    <w:rPr>
                      <w:rFonts w:ascii="Arial" w:hAnsi="Arial"/>
                      <w:sz w:val="18"/>
                      <w:szCs w:val="18"/>
                      <w:lang w:val="en-GB"/>
                    </w:rPr>
                  </w:pPr>
                  <w:r w:rsidRPr="00D136DF">
                    <w:rPr>
                      <w:rFonts w:ascii="Arial" w:hAnsi="Arial"/>
                      <w:sz w:val="18"/>
                      <w:szCs w:val="18"/>
                      <w:lang w:val="en-GB"/>
                    </w:rPr>
                    <w:t>P-2</w:t>
                  </w:r>
                </w:p>
              </w:tc>
            </w:tr>
          </w:tbl>
          <w:p w:rsidR="00D136DF" w:rsidRDefault="00D136DF" w:rsidP="00D136DF">
            <w:pPr>
              <w:spacing w:after="200" w:line="315" w:lineRule="atLeast"/>
              <w:rPr>
                <w:rFonts w:ascii="Arial" w:hAnsi="Arial"/>
                <w:b/>
                <w:sz w:val="18"/>
                <w:szCs w:val="18"/>
                <w:lang w:val="en-GB"/>
              </w:rPr>
            </w:pPr>
          </w:p>
          <w:p w:rsidR="00D136DF" w:rsidRPr="00D136DF" w:rsidRDefault="00D136DF" w:rsidP="00D136DF">
            <w:pPr>
              <w:spacing w:after="200" w:line="315" w:lineRule="atLeast"/>
              <w:rPr>
                <w:rFonts w:ascii="Arial" w:hAnsi="Arial"/>
                <w:sz w:val="18"/>
                <w:szCs w:val="18"/>
                <w:lang w:val="en-GB"/>
              </w:rPr>
            </w:pPr>
            <w:r>
              <w:rPr>
                <w:rFonts w:ascii="Arial" w:hAnsi="Arial"/>
                <w:b/>
                <w:sz w:val="18"/>
                <w:szCs w:val="18"/>
                <w:lang w:val="en-GB"/>
              </w:rPr>
              <w:t>INVESTMENT OUTLOOK</w:t>
            </w:r>
            <w:r>
              <w:rPr>
                <w:rFonts w:ascii="Arial" w:hAnsi="Arial"/>
                <w:b/>
                <w:sz w:val="18"/>
                <w:szCs w:val="18"/>
                <w:lang w:val="en-GB"/>
              </w:rPr>
              <w:br/>
            </w:r>
            <w:r w:rsidRPr="00D136DF">
              <w:rPr>
                <w:rFonts w:ascii="Arial" w:hAnsi="Arial"/>
                <w:sz w:val="18"/>
                <w:szCs w:val="18"/>
                <w:lang w:val="en-GB"/>
              </w:rPr>
              <w:t xml:space="preserve">TenneT expects to invest approximately EUR 35 billion in the next 10 years, of which EUR 12 billion in the Netherlands and EUR 23 billion in Germany. The increase in the portfolio compared to the previous year primarily relates to an anticipated EUR 5 billion investment in offshore grid connections as part of phase 2 of the expansion of offshore wind energy in the Dutch part of the North Sea. </w:t>
            </w:r>
          </w:p>
          <w:p w:rsidR="00D136DF" w:rsidRPr="00D136DF" w:rsidRDefault="00D136DF" w:rsidP="00D136DF">
            <w:pPr>
              <w:spacing w:after="200" w:line="315" w:lineRule="atLeast"/>
              <w:rPr>
                <w:rFonts w:ascii="Arial" w:eastAsia="Times New Roman" w:hAnsi="Arial" w:cs="Arial"/>
                <w:color w:val="FF0000"/>
                <w:sz w:val="18"/>
                <w:szCs w:val="18"/>
                <w:lang w:val="en-GB"/>
              </w:rPr>
            </w:pPr>
            <w:r w:rsidRPr="00D136DF">
              <w:rPr>
                <w:rFonts w:ascii="Arial" w:hAnsi="Arial"/>
                <w:sz w:val="18"/>
                <w:szCs w:val="18"/>
                <w:lang w:val="en-GB"/>
              </w:rPr>
              <w:t xml:space="preserve">Other large onshore projects in the Netherlands are ‘Randstad 380 kV Noordring’, ‘Zuidwest 380 kV’, ‘Noordwest 380 kV’ and the upgrade of the national 380 kV ring. In Germany the largest projects are the long-distance, underground direct current connections called SuedLink and SuedOstLink, connecting the northern part of the country with the south. </w:t>
            </w:r>
          </w:p>
          <w:p w:rsidR="00D136DF" w:rsidRDefault="00D136DF" w:rsidP="00D136DF">
            <w:pPr>
              <w:spacing w:after="200" w:line="315" w:lineRule="atLeast"/>
              <w:rPr>
                <w:rFonts w:ascii="Arial" w:hAnsi="Arial"/>
                <w:b/>
                <w:bCs/>
                <w:color w:val="000000" w:themeColor="text1"/>
                <w:sz w:val="18"/>
                <w:szCs w:val="18"/>
                <w:lang w:val="en-GB"/>
              </w:rPr>
            </w:pPr>
          </w:p>
          <w:p w:rsidR="00D136DF" w:rsidRPr="00D136DF" w:rsidRDefault="00D136DF" w:rsidP="00D136DF">
            <w:pPr>
              <w:spacing w:after="200" w:line="315" w:lineRule="atLeast"/>
              <w:rPr>
                <w:rFonts w:ascii="Arial" w:eastAsia="Times New Roman" w:hAnsi="Arial" w:cs="Arial"/>
                <w:b/>
                <w:bCs/>
                <w:color w:val="000000" w:themeColor="text1"/>
                <w:sz w:val="18"/>
                <w:szCs w:val="18"/>
                <w:lang w:val="en-GB"/>
              </w:rPr>
            </w:pPr>
            <w:r w:rsidRPr="00D136DF">
              <w:rPr>
                <w:rFonts w:ascii="Arial" w:hAnsi="Arial"/>
                <w:b/>
                <w:bCs/>
                <w:color w:val="000000" w:themeColor="text1"/>
                <w:sz w:val="18"/>
                <w:szCs w:val="18"/>
                <w:lang w:val="en-GB"/>
              </w:rPr>
              <w:t>2018 Integrated Annual Report and 2018 Green Finance Report</w:t>
            </w:r>
          </w:p>
          <w:p w:rsidR="00D136DF" w:rsidRPr="00D136DF" w:rsidRDefault="00D136DF" w:rsidP="00D136DF">
            <w:pPr>
              <w:spacing w:after="200" w:line="315" w:lineRule="atLeast"/>
              <w:rPr>
                <w:rFonts w:ascii="Arial" w:eastAsia="Times New Roman" w:hAnsi="Arial" w:cs="Arial"/>
                <w:color w:val="000000" w:themeColor="text1"/>
                <w:sz w:val="18"/>
                <w:szCs w:val="18"/>
                <w:lang w:val="en-GB"/>
              </w:rPr>
            </w:pPr>
            <w:r w:rsidRPr="00D136DF">
              <w:rPr>
                <w:rFonts w:ascii="Arial" w:hAnsi="Arial"/>
                <w:color w:val="000000" w:themeColor="text1"/>
                <w:sz w:val="18"/>
                <w:szCs w:val="18"/>
                <w:lang w:val="en-GB"/>
              </w:rPr>
              <w:t xml:space="preserve">For more information about TenneT, please refer to the 2018 Integrated Annual Report, which is available on the </w:t>
            </w:r>
            <w:hyperlink r:id="rId11" w:history="1">
              <w:r w:rsidRPr="00D136DF">
                <w:rPr>
                  <w:rFonts w:ascii="Arial" w:hAnsi="Arial"/>
                  <w:color w:val="0000FF"/>
                  <w:sz w:val="18"/>
                  <w:szCs w:val="18"/>
                  <w:u w:val="single"/>
                  <w:lang w:val="en-GB"/>
                </w:rPr>
                <w:t>https://annual report.tennet.eu/</w:t>
              </w:r>
            </w:hyperlink>
            <w:r w:rsidRPr="00D136DF">
              <w:rPr>
                <w:rFonts w:ascii="Arial" w:hAnsi="Arial"/>
                <w:color w:val="000000" w:themeColor="text1"/>
                <w:sz w:val="18"/>
                <w:szCs w:val="18"/>
                <w:lang w:val="en-GB"/>
              </w:rPr>
              <w:t xml:space="preserve"> website.  </w:t>
            </w:r>
          </w:p>
          <w:p w:rsidR="00533290" w:rsidRPr="00623E38" w:rsidRDefault="00D136DF" w:rsidP="00D136DF">
            <w:pPr>
              <w:spacing w:line="315" w:lineRule="atLeast"/>
              <w:rPr>
                <w:rFonts w:ascii="Arial" w:eastAsia="Times New Roman" w:hAnsi="Arial" w:cs="Arial"/>
                <w:color w:val="58585A"/>
                <w:sz w:val="18"/>
                <w:szCs w:val="18"/>
                <w:lang w:val="en-GB"/>
              </w:rPr>
            </w:pPr>
            <w:r w:rsidRPr="00D136DF">
              <w:rPr>
                <w:rFonts w:ascii="Arial" w:hAnsi="Arial"/>
                <w:color w:val="000000" w:themeColor="text1"/>
                <w:sz w:val="18"/>
                <w:szCs w:val="18"/>
                <w:lang w:val="en-GB"/>
              </w:rPr>
              <w:t xml:space="preserve">TenneT has published the </w:t>
            </w:r>
            <w:hyperlink r:id="rId12" w:history="1">
              <w:r w:rsidRPr="00D136DF">
                <w:rPr>
                  <w:rFonts w:ascii="Arial" w:hAnsi="Arial"/>
                  <w:color w:val="0000FF"/>
                  <w:sz w:val="18"/>
                  <w:szCs w:val="18"/>
                  <w:u w:val="single"/>
                  <w:lang w:val="en-GB"/>
                </w:rPr>
                <w:t>2018 Green Finance Report</w:t>
              </w:r>
            </w:hyperlink>
            <w:r w:rsidRPr="00D136DF">
              <w:rPr>
                <w:rFonts w:ascii="Arial" w:hAnsi="Arial"/>
                <w:color w:val="0000FF"/>
                <w:sz w:val="18"/>
                <w:szCs w:val="18"/>
                <w:u w:val="single"/>
                <w:lang w:val="en-GB"/>
              </w:rPr>
              <w:t>,</w:t>
            </w:r>
            <w:r w:rsidRPr="00D136DF">
              <w:rPr>
                <w:rFonts w:ascii="Arial" w:hAnsi="Arial"/>
                <w:color w:val="000000" w:themeColor="text1"/>
                <w:sz w:val="18"/>
                <w:szCs w:val="18"/>
                <w:lang w:val="en-GB"/>
              </w:rPr>
              <w:t xml:space="preserve"> in relation to the 'green' financing of TenneT's investment portfolio by issuing green bonds (since 2015).</w:t>
            </w:r>
          </w:p>
        </w:tc>
      </w:tr>
      <w:tr w:rsidR="00533290" w:rsidRPr="007B11C4" w:rsidTr="00533290">
        <w:trPr>
          <w:jc w:val="center"/>
        </w:trPr>
        <w:tc>
          <w:tcPr>
            <w:tcW w:w="9288" w:type="dxa"/>
          </w:tcPr>
          <w:p w:rsidR="00533290" w:rsidRPr="00623E38" w:rsidRDefault="00533290" w:rsidP="00533290">
            <w:pPr>
              <w:spacing w:line="315" w:lineRule="atLeast"/>
              <w:rPr>
                <w:rFonts w:ascii="Times New Roman" w:eastAsia="Times New Roman" w:hAnsi="Times New Roman" w:cs="Times New Roman"/>
                <w:sz w:val="24"/>
                <w:szCs w:val="24"/>
                <w:lang w:val="en-GB"/>
              </w:rPr>
            </w:pPr>
          </w:p>
        </w:tc>
      </w:tr>
      <w:tr w:rsidR="00533290" w:rsidRPr="007B11C4" w:rsidTr="00533290">
        <w:trPr>
          <w:jc w:val="center"/>
        </w:trPr>
        <w:tc>
          <w:tcPr>
            <w:tcW w:w="9288" w:type="dxa"/>
          </w:tcPr>
          <w:p w:rsidR="00533290" w:rsidRPr="00623E38" w:rsidRDefault="00533290" w:rsidP="00D136DF">
            <w:pPr>
              <w:spacing w:line="315" w:lineRule="atLeast"/>
              <w:rPr>
                <w:rFonts w:ascii="Times New Roman" w:eastAsia="Times New Roman" w:hAnsi="Times New Roman" w:cs="Times New Roman"/>
                <w:sz w:val="24"/>
                <w:szCs w:val="24"/>
                <w:lang w:val="en-GB"/>
              </w:rPr>
            </w:pPr>
          </w:p>
        </w:tc>
      </w:tr>
      <w:tr w:rsidR="00395F6D" w:rsidRPr="00277354" w:rsidTr="007F3065">
        <w:trPr>
          <w:jc w:val="center"/>
        </w:trPr>
        <w:tc>
          <w:tcPr>
            <w:tcW w:w="9288" w:type="dxa"/>
          </w:tcPr>
          <w:tbl>
            <w:tblPr>
              <w:tblW w:w="9067" w:type="dxa"/>
              <w:shd w:val="clear" w:color="auto" w:fill="75A8C1"/>
              <w:tblCellMar>
                <w:left w:w="0" w:type="dxa"/>
                <w:right w:w="0" w:type="dxa"/>
              </w:tblCellMar>
              <w:tblLook w:val="04A0" w:firstRow="1" w:lastRow="0" w:firstColumn="1" w:lastColumn="0" w:noHBand="0" w:noVBand="1"/>
            </w:tblPr>
            <w:tblGrid>
              <w:gridCol w:w="91"/>
              <w:gridCol w:w="8976"/>
            </w:tblGrid>
            <w:tr w:rsidR="00126E5A" w:rsidTr="00D136DF">
              <w:trPr>
                <w:trHeight w:val="68"/>
              </w:trPr>
              <w:tc>
                <w:tcPr>
                  <w:tcW w:w="0" w:type="auto"/>
                  <w:tcBorders>
                    <w:top w:val="nil"/>
                    <w:left w:val="nil"/>
                    <w:bottom w:val="single" w:sz="8" w:space="0" w:color="8BA5D6"/>
                    <w:right w:val="single" w:sz="8" w:space="0" w:color="8BA5D6"/>
                  </w:tcBorders>
                  <w:shd w:val="clear" w:color="auto" w:fill="75A8C1"/>
                  <w:tcMar>
                    <w:top w:w="28" w:type="dxa"/>
                    <w:left w:w="28" w:type="dxa"/>
                    <w:bottom w:w="28" w:type="dxa"/>
                    <w:right w:w="57" w:type="dxa"/>
                  </w:tcMar>
                </w:tcPr>
                <w:p w:rsidR="00126E5A" w:rsidRPr="00126E5A" w:rsidRDefault="00126E5A">
                  <w:pPr>
                    <w:pStyle w:val="Readmore"/>
                    <w:spacing w:before="120" w:line="276" w:lineRule="auto"/>
                    <w:rPr>
                      <w:lang w:val="en-GB"/>
                    </w:rPr>
                  </w:pPr>
                </w:p>
              </w:tc>
              <w:tc>
                <w:tcPr>
                  <w:tcW w:w="8976" w:type="dxa"/>
                  <w:tcBorders>
                    <w:top w:val="nil"/>
                    <w:left w:val="nil"/>
                    <w:bottom w:val="single" w:sz="8" w:space="0" w:color="8BA5D6"/>
                    <w:right w:val="nil"/>
                  </w:tcBorders>
                  <w:shd w:val="clear" w:color="auto" w:fill="75A8C1"/>
                  <w:tcMar>
                    <w:top w:w="28" w:type="dxa"/>
                    <w:left w:w="28" w:type="dxa"/>
                    <w:bottom w:w="28" w:type="dxa"/>
                    <w:right w:w="57" w:type="dxa"/>
                  </w:tcMar>
                  <w:hideMark/>
                </w:tcPr>
                <w:p w:rsidR="00AE0822" w:rsidRDefault="00D136DF" w:rsidP="00E2169D">
                  <w:pPr>
                    <w:pStyle w:val="Readmore"/>
                    <w:spacing w:before="120" w:line="276" w:lineRule="auto"/>
                    <w:rPr>
                      <w:b/>
                      <w:bCs/>
                      <w:lang w:val="en-GB"/>
                    </w:rPr>
                  </w:pPr>
                  <w:r w:rsidRPr="00D136DF">
                    <w:rPr>
                      <w:color w:val="FFFFFF"/>
                      <w:sz w:val="14"/>
                      <w:szCs w:val="14"/>
                      <w:lang w:val="en-GB"/>
                    </w:rPr>
                    <w:t>TenneT is a leading European grid operator (Tra</w:t>
                  </w:r>
                  <w:r>
                    <w:rPr>
                      <w:color w:val="FFFFFF"/>
                      <w:sz w:val="14"/>
                      <w:szCs w:val="14"/>
                      <w:lang w:val="en-GB"/>
                    </w:rPr>
                    <w:t>nsmission System Operator (TSO)</w:t>
                  </w:r>
                  <w:r w:rsidRPr="00D136DF">
                    <w:rPr>
                      <w:color w:val="FFFFFF"/>
                      <w:sz w:val="14"/>
                      <w:szCs w:val="14"/>
                      <w:lang w:val="en-GB"/>
                    </w:rPr>
                    <w:t xml:space="preserve"> that has its most important activities in the Netherlands and Germany. With 23,000 kilometres of high-voltage connections, we ensure a reliable and secure electricity supply to the 41 million end users in the markets that we serve. With more than 4,000 employees, we achieve a turnover of 4.2 billion euros and a total asset value of 21.</w:t>
                  </w:r>
                  <w:r w:rsidR="00E2169D">
                    <w:rPr>
                      <w:color w:val="FFFFFF"/>
                      <w:sz w:val="14"/>
                      <w:szCs w:val="14"/>
                      <w:lang w:val="en-GB"/>
                    </w:rPr>
                    <w:t>8</w:t>
                  </w:r>
                  <w:r w:rsidRPr="00D136DF">
                    <w:rPr>
                      <w:color w:val="FFFFFF"/>
                      <w:sz w:val="14"/>
                      <w:szCs w:val="14"/>
                      <w:lang w:val="en-GB"/>
                    </w:rPr>
                    <w:t xml:space="preserve"> billion euros. TenneT is one of the largest investors in national and international onshore and offshore electricity grids. Our focus is on bringing together the North Western European energy markets and facilitating </w:t>
                  </w:r>
                  <w:r>
                    <w:rPr>
                      <w:color w:val="FFFFFF"/>
                      <w:sz w:val="14"/>
                      <w:szCs w:val="14"/>
                      <w:lang w:val="en-GB"/>
                    </w:rPr>
                    <w:t xml:space="preserve">the </w:t>
                  </w:r>
                  <w:r w:rsidRPr="00D136DF">
                    <w:rPr>
                      <w:color w:val="FFFFFF"/>
                      <w:sz w:val="14"/>
                      <w:szCs w:val="14"/>
                      <w:lang w:val="en-GB"/>
                    </w:rPr>
                    <w:t xml:space="preserve">energy transition. TenneT makes every effort to meet the needs of society by being responsible, engaged and connected. </w:t>
                  </w:r>
                  <w:r w:rsidRPr="00D136DF">
                    <w:rPr>
                      <w:b/>
                      <w:bCs/>
                      <w:color w:val="FFFFFF"/>
                      <w:sz w:val="14"/>
                      <w:szCs w:val="14"/>
                      <w:lang w:val="en-GB"/>
                    </w:rPr>
                    <w:t>Taking power further</w:t>
                  </w:r>
                  <w:r w:rsidR="00AD3BB8" w:rsidRPr="00AD3BB8">
                    <w:rPr>
                      <w:b/>
                      <w:color w:val="FFFFFF"/>
                      <w:sz w:val="14"/>
                      <w:szCs w:val="14"/>
                      <w:lang w:val="en-GB"/>
                    </w:rPr>
                    <w:t>.</w:t>
                  </w:r>
                  <w:r w:rsidR="00AD3BB8">
                    <w:rPr>
                      <w:b/>
                      <w:bCs/>
                      <w:lang w:val="en-GB"/>
                    </w:rPr>
                    <w:t xml:space="preserve"> </w:t>
                  </w:r>
                </w:p>
              </w:tc>
            </w:tr>
            <w:tr w:rsidR="00126E5A" w:rsidTr="00D136DF">
              <w:trPr>
                <w:trHeight w:val="68"/>
              </w:trPr>
              <w:tc>
                <w:tcPr>
                  <w:tcW w:w="0" w:type="auto"/>
                  <w:shd w:val="clear" w:color="auto" w:fill="FFFFFF"/>
                  <w:tcMar>
                    <w:top w:w="28" w:type="dxa"/>
                    <w:left w:w="28" w:type="dxa"/>
                    <w:bottom w:w="28" w:type="dxa"/>
                    <w:right w:w="57" w:type="dxa"/>
                  </w:tcMar>
                </w:tcPr>
                <w:p w:rsidR="00126E5A" w:rsidRDefault="00126E5A">
                  <w:pPr>
                    <w:pStyle w:val="Readmore"/>
                    <w:spacing w:before="120" w:line="276" w:lineRule="auto"/>
                    <w:rPr>
                      <w:lang w:val="en-GB"/>
                    </w:rPr>
                  </w:pPr>
                </w:p>
              </w:tc>
              <w:tc>
                <w:tcPr>
                  <w:tcW w:w="8976" w:type="dxa"/>
                  <w:shd w:val="clear" w:color="auto" w:fill="FFFFFF"/>
                  <w:tcMar>
                    <w:top w:w="28" w:type="dxa"/>
                    <w:left w:w="28" w:type="dxa"/>
                    <w:bottom w:w="28" w:type="dxa"/>
                    <w:right w:w="57" w:type="dxa"/>
                  </w:tcMar>
                </w:tcPr>
                <w:p w:rsidR="00126E5A" w:rsidRDefault="00126E5A">
                  <w:pPr>
                    <w:pStyle w:val="Readmore"/>
                    <w:spacing w:before="120" w:line="276" w:lineRule="auto"/>
                    <w:rPr>
                      <w:color w:val="FFFFFF"/>
                      <w:lang w:val="en-GB"/>
                    </w:rPr>
                  </w:pPr>
                </w:p>
              </w:tc>
            </w:tr>
          </w:tbl>
          <w:p w:rsidR="00126E5A" w:rsidRPr="00B8465D" w:rsidRDefault="00126E5A" w:rsidP="00533290">
            <w:pPr>
              <w:spacing w:after="240"/>
              <w:rPr>
                <w:rFonts w:ascii="Times New Roman" w:eastAsia="Times New Roman" w:hAnsi="Times New Roman" w:cs="Times New Roman"/>
                <w:sz w:val="24"/>
                <w:szCs w:val="24"/>
                <w:highlight w:val="yellow"/>
                <w:lang w:val="en-GB"/>
              </w:rPr>
            </w:pPr>
          </w:p>
        </w:tc>
      </w:tr>
      <w:tr w:rsidR="00533290" w:rsidRPr="00277354" w:rsidTr="00533290">
        <w:trPr>
          <w:jc w:val="center"/>
        </w:trPr>
        <w:tc>
          <w:tcPr>
            <w:tcW w:w="9288" w:type="dxa"/>
          </w:tcPr>
          <w:p w:rsidR="00533290" w:rsidRPr="00B8465D" w:rsidRDefault="00533290" w:rsidP="00533290">
            <w:pPr>
              <w:spacing w:after="240"/>
              <w:rPr>
                <w:rFonts w:ascii="Times New Roman" w:eastAsia="Times New Roman" w:hAnsi="Times New Roman" w:cs="Times New Roman"/>
                <w:sz w:val="24"/>
                <w:szCs w:val="24"/>
                <w:lang w:val="en-GB"/>
              </w:rPr>
            </w:pPr>
          </w:p>
        </w:tc>
      </w:tr>
    </w:tbl>
    <w:p w:rsidR="00D61FB5" w:rsidRPr="00B8465D" w:rsidRDefault="00D61FB5">
      <w:pPr>
        <w:rPr>
          <w:lang w:val="en-GB"/>
        </w:rPr>
      </w:pPr>
    </w:p>
    <w:sectPr w:rsidR="00D61FB5" w:rsidRPr="00B8465D" w:rsidSect="00D61F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B8" w:rsidRDefault="007A63B8" w:rsidP="00D136DF">
      <w:pPr>
        <w:spacing w:after="0" w:line="240" w:lineRule="auto"/>
      </w:pPr>
      <w:r>
        <w:separator/>
      </w:r>
    </w:p>
  </w:endnote>
  <w:endnote w:type="continuationSeparator" w:id="0">
    <w:p w:rsidR="007A63B8" w:rsidRDefault="007A63B8" w:rsidP="00D1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B8" w:rsidRDefault="007A63B8" w:rsidP="00D136DF">
      <w:pPr>
        <w:spacing w:after="0" w:line="240" w:lineRule="auto"/>
      </w:pPr>
      <w:r>
        <w:separator/>
      </w:r>
    </w:p>
  </w:footnote>
  <w:footnote w:type="continuationSeparator" w:id="0">
    <w:p w:rsidR="007A63B8" w:rsidRDefault="007A63B8" w:rsidP="00D136DF">
      <w:pPr>
        <w:spacing w:after="0" w:line="240" w:lineRule="auto"/>
      </w:pPr>
      <w:r>
        <w:continuationSeparator/>
      </w:r>
    </w:p>
  </w:footnote>
  <w:footnote w:id="1">
    <w:p w:rsidR="00D136DF" w:rsidRPr="00B14828" w:rsidRDefault="00D136DF" w:rsidP="00D136DF">
      <w:pPr>
        <w:pStyle w:val="Voetnoottekst"/>
        <w:rPr>
          <w:vertAlign w:val="superscript"/>
          <w:lang w:val="en-US"/>
        </w:rPr>
      </w:pPr>
      <w:r w:rsidRPr="00B14828">
        <w:rPr>
          <w:rStyle w:val="Voetnootmarkering"/>
          <w:lang w:val="en-GB"/>
        </w:rPr>
        <w:footnoteRef/>
      </w:r>
      <w:r w:rsidRPr="00B14828">
        <w:rPr>
          <w:vertAlign w:val="superscript"/>
          <w:lang w:val="en-GB"/>
        </w:rPr>
        <w:t xml:space="preserve"> 2030 Offshore Wind Road Map: </w:t>
      </w:r>
      <w:hyperlink r:id="rId1" w:history="1">
        <w:r w:rsidRPr="00B14828">
          <w:rPr>
            <w:rStyle w:val="Hyperlink"/>
            <w:vertAlign w:val="superscript"/>
            <w:lang w:val="en-GB"/>
          </w:rPr>
          <w:t>https://www.rijksoverheid.nl/documenten/kamerstukken/2018/03/27/kamerbrief-routekaart-windenergie-op-zee-2030</w:t>
        </w:r>
      </w:hyperlink>
      <w:r w:rsidRPr="00B14828">
        <w:rPr>
          <w:vertAlign w:val="superscript"/>
          <w:lang w:val="en-GB"/>
        </w:rPr>
        <w:t xml:space="preserve"> </w:t>
      </w:r>
    </w:p>
  </w:footnote>
  <w:footnote w:id="2">
    <w:p w:rsidR="00D136DF" w:rsidRPr="00B14828" w:rsidRDefault="00D136DF" w:rsidP="00D136DF">
      <w:pPr>
        <w:pStyle w:val="Voetnoottekst"/>
        <w:rPr>
          <w:vertAlign w:val="superscript"/>
          <w:lang w:val="en-GB"/>
        </w:rPr>
      </w:pPr>
      <w:r w:rsidRPr="00B14828">
        <w:rPr>
          <w:rStyle w:val="Voetnootmarkering"/>
        </w:rPr>
        <w:footnoteRef/>
      </w:r>
      <w:r w:rsidRPr="00B14828">
        <w:rPr>
          <w:vertAlign w:val="superscript"/>
          <w:lang w:val="en-GB"/>
        </w:rPr>
        <w:t xml:space="preserve"> Contrary to IFRS, ‘underlying’ figures recognise regulatory assets and liabilities in connection with TenneT’s regulated activities whereas IFRS does not allow this. This means that amounts resulting from past events and which are allowed or required to be settled in future grid tariffs are recognized separately.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E1552"/>
    <w:multiLevelType w:val="hybridMultilevel"/>
    <w:tmpl w:val="0CCC32FC"/>
    <w:lvl w:ilvl="0" w:tplc="0413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ierman, Arjan">
    <w15:presenceInfo w15:providerId="None" w15:userId="Flierman, Arj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7C"/>
    <w:rsid w:val="0003537C"/>
    <w:rsid w:val="000752B4"/>
    <w:rsid w:val="000944CE"/>
    <w:rsid w:val="000B0EE1"/>
    <w:rsid w:val="00126E5A"/>
    <w:rsid w:val="00147D24"/>
    <w:rsid w:val="001E2E99"/>
    <w:rsid w:val="00213A3F"/>
    <w:rsid w:val="002459EC"/>
    <w:rsid w:val="00277354"/>
    <w:rsid w:val="0033579A"/>
    <w:rsid w:val="00374DB5"/>
    <w:rsid w:val="00387F23"/>
    <w:rsid w:val="00395F6D"/>
    <w:rsid w:val="003B6520"/>
    <w:rsid w:val="003F7F5A"/>
    <w:rsid w:val="00430397"/>
    <w:rsid w:val="00450011"/>
    <w:rsid w:val="00533290"/>
    <w:rsid w:val="00540C86"/>
    <w:rsid w:val="00567C49"/>
    <w:rsid w:val="00623E38"/>
    <w:rsid w:val="006F3DB2"/>
    <w:rsid w:val="00722C42"/>
    <w:rsid w:val="00742681"/>
    <w:rsid w:val="007A63B8"/>
    <w:rsid w:val="007B11C4"/>
    <w:rsid w:val="008275B7"/>
    <w:rsid w:val="00842E1A"/>
    <w:rsid w:val="00846F1A"/>
    <w:rsid w:val="00864F38"/>
    <w:rsid w:val="008B14BB"/>
    <w:rsid w:val="008B419C"/>
    <w:rsid w:val="008C16DB"/>
    <w:rsid w:val="008E1F5F"/>
    <w:rsid w:val="00A11FA7"/>
    <w:rsid w:val="00AA6A7D"/>
    <w:rsid w:val="00AD0736"/>
    <w:rsid w:val="00AD1B7B"/>
    <w:rsid w:val="00AD3BB8"/>
    <w:rsid w:val="00AE0822"/>
    <w:rsid w:val="00B14828"/>
    <w:rsid w:val="00B8465D"/>
    <w:rsid w:val="00C468E6"/>
    <w:rsid w:val="00D136DF"/>
    <w:rsid w:val="00D61FB5"/>
    <w:rsid w:val="00D70486"/>
    <w:rsid w:val="00E1666B"/>
    <w:rsid w:val="00E17143"/>
    <w:rsid w:val="00E2169D"/>
    <w:rsid w:val="00E855A5"/>
    <w:rsid w:val="00F26E84"/>
    <w:rsid w:val="00FE43ED"/>
    <w:rsid w:val="00FF4021"/>
    <w:rsid w:val="00FF4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537C"/>
    <w:rPr>
      <w:color w:val="0000FF"/>
      <w:u w:val="single"/>
    </w:rPr>
  </w:style>
  <w:style w:type="paragraph" w:styleId="Normaalweb">
    <w:name w:val="Normal (Web)"/>
    <w:basedOn w:val="Standaard"/>
    <w:uiPriority w:val="99"/>
    <w:unhideWhenUsed/>
    <w:rsid w:val="0003537C"/>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03537C"/>
    <w:rPr>
      <w:b/>
      <w:bCs/>
    </w:rPr>
  </w:style>
  <w:style w:type="paragraph" w:styleId="Ballontekst">
    <w:name w:val="Balloon Text"/>
    <w:basedOn w:val="Standaard"/>
    <w:link w:val="BallontekstChar"/>
    <w:uiPriority w:val="99"/>
    <w:semiHidden/>
    <w:unhideWhenUsed/>
    <w:rsid w:val="000353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537C"/>
    <w:rPr>
      <w:rFonts w:ascii="Tahoma" w:hAnsi="Tahoma" w:cs="Tahoma"/>
      <w:sz w:val="16"/>
      <w:szCs w:val="16"/>
    </w:rPr>
  </w:style>
  <w:style w:type="table" w:styleId="Tabelraster">
    <w:name w:val="Table Grid"/>
    <w:basedOn w:val="Standaardtabel"/>
    <w:uiPriority w:val="59"/>
    <w:rsid w:val="0084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more">
    <w:name w:val="Read more"/>
    <w:basedOn w:val="Standaard"/>
    <w:rsid w:val="00126E5A"/>
    <w:pPr>
      <w:spacing w:after="0" w:line="240" w:lineRule="auto"/>
    </w:pPr>
    <w:rPr>
      <w:rFonts w:ascii="Arial" w:eastAsiaTheme="minorHAnsi" w:hAnsi="Arial" w:cs="Arial"/>
      <w:color w:val="8BA5D6"/>
      <w:sz w:val="15"/>
      <w:szCs w:val="15"/>
      <w:lang w:eastAsia="en-US"/>
    </w:rPr>
  </w:style>
  <w:style w:type="paragraph" w:styleId="Lijstalinea">
    <w:name w:val="List Paragraph"/>
    <w:basedOn w:val="Standaard"/>
    <w:uiPriority w:val="34"/>
    <w:qFormat/>
    <w:rsid w:val="00D136DF"/>
    <w:pPr>
      <w:ind w:left="720"/>
      <w:contextualSpacing/>
    </w:pPr>
    <w:rPr>
      <w:rFonts w:eastAsiaTheme="minorHAnsi"/>
      <w:lang w:bidi="nl-NL"/>
    </w:rPr>
  </w:style>
  <w:style w:type="table" w:styleId="Lichtearcering-accent1">
    <w:name w:val="Light Shading Accent 1"/>
    <w:basedOn w:val="Standaardtabel"/>
    <w:uiPriority w:val="60"/>
    <w:rsid w:val="00D136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Voetnoottekst">
    <w:name w:val="footnote text"/>
    <w:basedOn w:val="Standaard"/>
    <w:link w:val="VoetnoottekstChar"/>
    <w:uiPriority w:val="99"/>
    <w:semiHidden/>
    <w:unhideWhenUsed/>
    <w:rsid w:val="00D136DF"/>
    <w:pPr>
      <w:spacing w:after="0" w:line="240" w:lineRule="auto"/>
    </w:pPr>
    <w:rPr>
      <w:rFonts w:eastAsiaTheme="minorHAnsi"/>
      <w:sz w:val="20"/>
      <w:szCs w:val="20"/>
      <w:lang w:bidi="nl-NL"/>
    </w:rPr>
  </w:style>
  <w:style w:type="character" w:customStyle="1" w:styleId="VoetnoottekstChar">
    <w:name w:val="Voetnoottekst Char"/>
    <w:basedOn w:val="Standaardalinea-lettertype"/>
    <w:link w:val="Voetnoottekst"/>
    <w:uiPriority w:val="99"/>
    <w:semiHidden/>
    <w:rsid w:val="00D136DF"/>
    <w:rPr>
      <w:rFonts w:eastAsiaTheme="minorHAnsi"/>
      <w:sz w:val="20"/>
      <w:szCs w:val="20"/>
      <w:lang w:bidi="nl-NL"/>
    </w:rPr>
  </w:style>
  <w:style w:type="character" w:styleId="Voetnootmarkering">
    <w:name w:val="footnote reference"/>
    <w:basedOn w:val="Standaardalinea-lettertype"/>
    <w:uiPriority w:val="99"/>
    <w:semiHidden/>
    <w:unhideWhenUsed/>
    <w:rsid w:val="00D136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537C"/>
    <w:rPr>
      <w:color w:val="0000FF"/>
      <w:u w:val="single"/>
    </w:rPr>
  </w:style>
  <w:style w:type="paragraph" w:styleId="Normaalweb">
    <w:name w:val="Normal (Web)"/>
    <w:basedOn w:val="Standaard"/>
    <w:uiPriority w:val="99"/>
    <w:unhideWhenUsed/>
    <w:rsid w:val="0003537C"/>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03537C"/>
    <w:rPr>
      <w:b/>
      <w:bCs/>
    </w:rPr>
  </w:style>
  <w:style w:type="paragraph" w:styleId="Ballontekst">
    <w:name w:val="Balloon Text"/>
    <w:basedOn w:val="Standaard"/>
    <w:link w:val="BallontekstChar"/>
    <w:uiPriority w:val="99"/>
    <w:semiHidden/>
    <w:unhideWhenUsed/>
    <w:rsid w:val="000353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537C"/>
    <w:rPr>
      <w:rFonts w:ascii="Tahoma" w:hAnsi="Tahoma" w:cs="Tahoma"/>
      <w:sz w:val="16"/>
      <w:szCs w:val="16"/>
    </w:rPr>
  </w:style>
  <w:style w:type="table" w:styleId="Tabelraster">
    <w:name w:val="Table Grid"/>
    <w:basedOn w:val="Standaardtabel"/>
    <w:uiPriority w:val="59"/>
    <w:rsid w:val="0084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more">
    <w:name w:val="Read more"/>
    <w:basedOn w:val="Standaard"/>
    <w:rsid w:val="00126E5A"/>
    <w:pPr>
      <w:spacing w:after="0" w:line="240" w:lineRule="auto"/>
    </w:pPr>
    <w:rPr>
      <w:rFonts w:ascii="Arial" w:eastAsiaTheme="minorHAnsi" w:hAnsi="Arial" w:cs="Arial"/>
      <w:color w:val="8BA5D6"/>
      <w:sz w:val="15"/>
      <w:szCs w:val="15"/>
      <w:lang w:eastAsia="en-US"/>
    </w:rPr>
  </w:style>
  <w:style w:type="paragraph" w:styleId="Lijstalinea">
    <w:name w:val="List Paragraph"/>
    <w:basedOn w:val="Standaard"/>
    <w:uiPriority w:val="34"/>
    <w:qFormat/>
    <w:rsid w:val="00D136DF"/>
    <w:pPr>
      <w:ind w:left="720"/>
      <w:contextualSpacing/>
    </w:pPr>
    <w:rPr>
      <w:rFonts w:eastAsiaTheme="minorHAnsi"/>
      <w:lang w:bidi="nl-NL"/>
    </w:rPr>
  </w:style>
  <w:style w:type="table" w:styleId="Lichtearcering-accent1">
    <w:name w:val="Light Shading Accent 1"/>
    <w:basedOn w:val="Standaardtabel"/>
    <w:uiPriority w:val="60"/>
    <w:rsid w:val="00D136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Voetnoottekst">
    <w:name w:val="footnote text"/>
    <w:basedOn w:val="Standaard"/>
    <w:link w:val="VoetnoottekstChar"/>
    <w:uiPriority w:val="99"/>
    <w:semiHidden/>
    <w:unhideWhenUsed/>
    <w:rsid w:val="00D136DF"/>
    <w:pPr>
      <w:spacing w:after="0" w:line="240" w:lineRule="auto"/>
    </w:pPr>
    <w:rPr>
      <w:rFonts w:eastAsiaTheme="minorHAnsi"/>
      <w:sz w:val="20"/>
      <w:szCs w:val="20"/>
      <w:lang w:bidi="nl-NL"/>
    </w:rPr>
  </w:style>
  <w:style w:type="character" w:customStyle="1" w:styleId="VoetnoottekstChar">
    <w:name w:val="Voetnoottekst Char"/>
    <w:basedOn w:val="Standaardalinea-lettertype"/>
    <w:link w:val="Voetnoottekst"/>
    <w:uiPriority w:val="99"/>
    <w:semiHidden/>
    <w:rsid w:val="00D136DF"/>
    <w:rPr>
      <w:rFonts w:eastAsiaTheme="minorHAnsi"/>
      <w:sz w:val="20"/>
      <w:szCs w:val="20"/>
      <w:lang w:bidi="nl-NL"/>
    </w:rPr>
  </w:style>
  <w:style w:type="character" w:styleId="Voetnootmarkering">
    <w:name w:val="footnote reference"/>
    <w:basedOn w:val="Standaardalinea-lettertype"/>
    <w:uiPriority w:val="99"/>
    <w:semiHidden/>
    <w:unhideWhenUsed/>
    <w:rsid w:val="00D13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2856">
      <w:bodyDiv w:val="1"/>
      <w:marLeft w:val="0"/>
      <w:marRight w:val="0"/>
      <w:marTop w:val="0"/>
      <w:marBottom w:val="0"/>
      <w:divBdr>
        <w:top w:val="none" w:sz="0" w:space="0" w:color="auto"/>
        <w:left w:val="none" w:sz="0" w:space="0" w:color="auto"/>
        <w:bottom w:val="none" w:sz="0" w:space="0" w:color="auto"/>
        <w:right w:val="none" w:sz="0" w:space="0" w:color="auto"/>
      </w:divBdr>
    </w:div>
    <w:div w:id="323364930">
      <w:bodyDiv w:val="1"/>
      <w:marLeft w:val="0"/>
      <w:marRight w:val="0"/>
      <w:marTop w:val="0"/>
      <w:marBottom w:val="0"/>
      <w:divBdr>
        <w:top w:val="none" w:sz="0" w:space="0" w:color="auto"/>
        <w:left w:val="none" w:sz="0" w:space="0" w:color="auto"/>
        <w:bottom w:val="none" w:sz="0" w:space="0" w:color="auto"/>
        <w:right w:val="none" w:sz="0" w:space="0" w:color="auto"/>
      </w:divBdr>
    </w:div>
    <w:div w:id="414665266">
      <w:bodyDiv w:val="1"/>
      <w:marLeft w:val="0"/>
      <w:marRight w:val="0"/>
      <w:marTop w:val="0"/>
      <w:marBottom w:val="0"/>
      <w:divBdr>
        <w:top w:val="none" w:sz="0" w:space="0" w:color="auto"/>
        <w:left w:val="none" w:sz="0" w:space="0" w:color="auto"/>
        <w:bottom w:val="none" w:sz="0" w:space="0" w:color="auto"/>
        <w:right w:val="none" w:sz="0" w:space="0" w:color="auto"/>
      </w:divBdr>
    </w:div>
    <w:div w:id="449472104">
      <w:bodyDiv w:val="1"/>
      <w:marLeft w:val="0"/>
      <w:marRight w:val="0"/>
      <w:marTop w:val="0"/>
      <w:marBottom w:val="0"/>
      <w:divBdr>
        <w:top w:val="none" w:sz="0" w:space="0" w:color="auto"/>
        <w:left w:val="none" w:sz="0" w:space="0" w:color="auto"/>
        <w:bottom w:val="none" w:sz="0" w:space="0" w:color="auto"/>
        <w:right w:val="none" w:sz="0" w:space="0" w:color="auto"/>
      </w:divBdr>
    </w:div>
    <w:div w:id="638656331">
      <w:bodyDiv w:val="1"/>
      <w:marLeft w:val="0"/>
      <w:marRight w:val="0"/>
      <w:marTop w:val="0"/>
      <w:marBottom w:val="0"/>
      <w:divBdr>
        <w:top w:val="none" w:sz="0" w:space="0" w:color="auto"/>
        <w:left w:val="none" w:sz="0" w:space="0" w:color="auto"/>
        <w:bottom w:val="none" w:sz="0" w:space="0" w:color="auto"/>
        <w:right w:val="none" w:sz="0" w:space="0" w:color="auto"/>
      </w:divBdr>
    </w:div>
    <w:div w:id="879246466">
      <w:bodyDiv w:val="1"/>
      <w:marLeft w:val="0"/>
      <w:marRight w:val="0"/>
      <w:marTop w:val="0"/>
      <w:marBottom w:val="0"/>
      <w:divBdr>
        <w:top w:val="none" w:sz="0" w:space="0" w:color="auto"/>
        <w:left w:val="none" w:sz="0" w:space="0" w:color="auto"/>
        <w:bottom w:val="none" w:sz="0" w:space="0" w:color="auto"/>
        <w:right w:val="none" w:sz="0" w:space="0" w:color="auto"/>
      </w:divBdr>
    </w:div>
    <w:div w:id="1068042821">
      <w:bodyDiv w:val="1"/>
      <w:marLeft w:val="0"/>
      <w:marRight w:val="0"/>
      <w:marTop w:val="0"/>
      <w:marBottom w:val="0"/>
      <w:divBdr>
        <w:top w:val="none" w:sz="0" w:space="0" w:color="auto"/>
        <w:left w:val="none" w:sz="0" w:space="0" w:color="auto"/>
        <w:bottom w:val="none" w:sz="0" w:space="0" w:color="auto"/>
        <w:right w:val="none" w:sz="0" w:space="0" w:color="auto"/>
      </w:divBdr>
    </w:div>
    <w:div w:id="1115247559">
      <w:bodyDiv w:val="1"/>
      <w:marLeft w:val="0"/>
      <w:marRight w:val="0"/>
      <w:marTop w:val="0"/>
      <w:marBottom w:val="0"/>
      <w:divBdr>
        <w:top w:val="none" w:sz="0" w:space="0" w:color="auto"/>
        <w:left w:val="none" w:sz="0" w:space="0" w:color="auto"/>
        <w:bottom w:val="none" w:sz="0" w:space="0" w:color="auto"/>
        <w:right w:val="none" w:sz="0" w:space="0" w:color="auto"/>
      </w:divBdr>
    </w:div>
    <w:div w:id="1563366725">
      <w:bodyDiv w:val="1"/>
      <w:marLeft w:val="0"/>
      <w:marRight w:val="0"/>
      <w:marTop w:val="0"/>
      <w:marBottom w:val="0"/>
      <w:divBdr>
        <w:top w:val="none" w:sz="0" w:space="0" w:color="auto"/>
        <w:left w:val="none" w:sz="0" w:space="0" w:color="auto"/>
        <w:bottom w:val="none" w:sz="0" w:space="0" w:color="auto"/>
        <w:right w:val="none" w:sz="0" w:space="0" w:color="auto"/>
      </w:divBdr>
    </w:div>
    <w:div w:id="1689327560">
      <w:bodyDiv w:val="1"/>
      <w:marLeft w:val="0"/>
      <w:marRight w:val="0"/>
      <w:marTop w:val="0"/>
      <w:marBottom w:val="0"/>
      <w:divBdr>
        <w:top w:val="none" w:sz="0" w:space="0" w:color="auto"/>
        <w:left w:val="none" w:sz="0" w:space="0" w:color="auto"/>
        <w:bottom w:val="none" w:sz="0" w:space="0" w:color="auto"/>
        <w:right w:val="none" w:sz="0" w:space="0" w:color="auto"/>
      </w:divBdr>
    </w:div>
    <w:div w:id="1717386176">
      <w:bodyDiv w:val="1"/>
      <w:marLeft w:val="0"/>
      <w:marRight w:val="0"/>
      <w:marTop w:val="0"/>
      <w:marBottom w:val="0"/>
      <w:divBdr>
        <w:top w:val="none" w:sz="0" w:space="0" w:color="auto"/>
        <w:left w:val="none" w:sz="0" w:space="0" w:color="auto"/>
        <w:bottom w:val="none" w:sz="0" w:space="0" w:color="auto"/>
        <w:right w:val="none" w:sz="0" w:space="0" w:color="auto"/>
      </w:divBdr>
    </w:div>
    <w:div w:id="19466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nnet.eu/fileadmin/user_upload/Company/Investor_Relations/AR_2017/FCC_2018-08_Green_Finance_Report_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arverslag.tennet.eu/"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northseawindpowerhub.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kamerstukken/2018/03/27/kamerbrief-routekaart-windenergie-op-zee-203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4746-591A-4929-B268-1A579541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2026</Words>
  <Characters>11148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Brouwers, Jeroen</cp:lastModifiedBy>
  <cp:revision>2</cp:revision>
  <dcterms:created xsi:type="dcterms:W3CDTF">2019-02-20T08:20:00Z</dcterms:created>
  <dcterms:modified xsi:type="dcterms:W3CDTF">2019-02-20T08:20:00Z</dcterms:modified>
</cp:coreProperties>
</file>