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C4" w:rsidRDefault="00132EC4" w:rsidP="002B09A4">
      <w:pPr>
        <w:rPr>
          <w:rFonts w:ascii="Gill Sans MT" w:hAnsi="Gill Sans MT"/>
          <w:sz w:val="28"/>
          <w:szCs w:val="28"/>
        </w:rPr>
      </w:pPr>
    </w:p>
    <w:p w:rsidR="00132EC4" w:rsidRDefault="00132EC4" w:rsidP="002B09A4">
      <w:pPr>
        <w:rPr>
          <w:rFonts w:ascii="Gill Sans MT" w:hAnsi="Gill Sans MT"/>
          <w:sz w:val="28"/>
          <w:szCs w:val="28"/>
        </w:rPr>
      </w:pPr>
    </w:p>
    <w:p w:rsidR="00132EC4" w:rsidRPr="009516B8" w:rsidRDefault="00132EC4" w:rsidP="009516B8">
      <w:pPr>
        <w:jc w:val="center"/>
        <w:rPr>
          <w:rFonts w:ascii="Gill Sans MT" w:hAnsi="Gill Sans MT"/>
          <w:b/>
          <w:smallCaps/>
          <w:sz w:val="32"/>
          <w:szCs w:val="32"/>
        </w:rPr>
      </w:pPr>
      <w:r w:rsidRPr="009516B8">
        <w:rPr>
          <w:rFonts w:ascii="Gill Sans MT" w:hAnsi="Gill Sans MT"/>
          <w:b/>
          <w:smallCaps/>
          <w:sz w:val="32"/>
          <w:szCs w:val="32"/>
        </w:rPr>
        <w:t>Tet</w:t>
      </w:r>
      <w:r>
        <w:rPr>
          <w:rFonts w:ascii="Gill Sans MT" w:hAnsi="Gill Sans MT"/>
          <w:b/>
          <w:smallCaps/>
          <w:sz w:val="32"/>
          <w:szCs w:val="32"/>
        </w:rPr>
        <w:t>ragon Financial Group Limited (</w:t>
      </w:r>
      <w:r w:rsidRPr="009516B8">
        <w:rPr>
          <w:rFonts w:ascii="Gill Sans MT" w:hAnsi="Gill Sans MT"/>
          <w:b/>
          <w:smallCaps/>
          <w:sz w:val="32"/>
          <w:szCs w:val="32"/>
        </w:rPr>
        <w:t xml:space="preserve">TFG) </w:t>
      </w:r>
      <w:r>
        <w:rPr>
          <w:rFonts w:ascii="Gill Sans MT" w:hAnsi="Gill Sans MT"/>
          <w:b/>
          <w:smallCaps/>
          <w:sz w:val="32"/>
          <w:szCs w:val="32"/>
        </w:rPr>
        <w:t>Announces</w:t>
      </w:r>
      <w:r>
        <w:rPr>
          <w:rFonts w:ascii="Gill Sans MT" w:hAnsi="Gill Sans MT"/>
          <w:b/>
          <w:smallCaps/>
          <w:sz w:val="32"/>
          <w:szCs w:val="32"/>
        </w:rPr>
        <w:br/>
        <w:t>Update On Its Share Repurchase Program</w:t>
      </w:r>
    </w:p>
    <w:p w:rsidR="00132EC4" w:rsidRPr="0020311A" w:rsidRDefault="00132EC4" w:rsidP="008A288E">
      <w:pPr>
        <w:rPr>
          <w:rFonts w:ascii="Gill Sans MT" w:hAnsi="Gill Sans MT"/>
          <w:b/>
          <w:sz w:val="28"/>
          <w:szCs w:val="28"/>
        </w:rPr>
      </w:pPr>
    </w:p>
    <w:p w:rsidR="00132EC4" w:rsidRPr="0020311A" w:rsidRDefault="00132EC4" w:rsidP="008A288E">
      <w:pPr>
        <w:rPr>
          <w:rFonts w:ascii="Gill Sans MT" w:hAnsi="Gill Sans MT"/>
          <w:b/>
        </w:rPr>
      </w:pPr>
      <w:r>
        <w:rPr>
          <w:rFonts w:ascii="Gill Sans MT" w:hAnsi="Gill Sans MT"/>
          <w:b/>
        </w:rPr>
        <w:t>July 20</w:t>
      </w:r>
      <w:r w:rsidRPr="0020311A">
        <w:rPr>
          <w:rFonts w:ascii="Gill Sans MT" w:hAnsi="Gill Sans MT"/>
          <w:b/>
        </w:rPr>
        <w:t>, 2012</w:t>
      </w:r>
    </w:p>
    <w:p w:rsidR="00132EC4" w:rsidRPr="0020311A" w:rsidRDefault="00132EC4" w:rsidP="009516B8">
      <w:pPr>
        <w:jc w:val="both"/>
        <w:rPr>
          <w:rFonts w:ascii="Gill Sans MT" w:hAnsi="Gill Sans MT"/>
        </w:rPr>
      </w:pPr>
    </w:p>
    <w:p w:rsidR="00132EC4" w:rsidRPr="00185D2E" w:rsidRDefault="00132EC4" w:rsidP="005C6261">
      <w:pPr>
        <w:spacing w:after="240"/>
        <w:jc w:val="both"/>
        <w:rPr>
          <w:rFonts w:ascii="Gill Sans MT" w:hAnsi="Gill Sans MT"/>
        </w:rPr>
      </w:pPr>
      <w:r w:rsidRPr="0020311A">
        <w:rPr>
          <w:rFonts w:ascii="Gill Sans MT" w:hAnsi="Gill Sans MT"/>
        </w:rPr>
        <w:t xml:space="preserve">TFG today announces in furtherance of its share repurchase program announced on November 30, 2007, that for the period of </w:t>
      </w:r>
      <w:r>
        <w:rPr>
          <w:rFonts w:ascii="Gill Sans MT" w:hAnsi="Gill Sans MT"/>
        </w:rPr>
        <w:t>July</w:t>
      </w:r>
      <w:r w:rsidRPr="0020311A">
        <w:rPr>
          <w:rFonts w:ascii="Gill Sans MT" w:hAnsi="Gill Sans MT"/>
        </w:rPr>
        <w:t xml:space="preserve"> </w:t>
      </w:r>
      <w:r>
        <w:rPr>
          <w:rFonts w:ascii="Gill Sans MT" w:hAnsi="Gill Sans MT"/>
        </w:rPr>
        <w:t xml:space="preserve">16, </w:t>
      </w:r>
      <w:r w:rsidRPr="0020311A">
        <w:rPr>
          <w:rFonts w:ascii="Gill Sans MT" w:hAnsi="Gill Sans MT"/>
        </w:rPr>
        <w:t xml:space="preserve">2012 through </w:t>
      </w:r>
      <w:r>
        <w:rPr>
          <w:rFonts w:ascii="Gill Sans MT" w:hAnsi="Gill Sans MT"/>
        </w:rPr>
        <w:t>July 20</w:t>
      </w:r>
      <w:r w:rsidRPr="0020311A">
        <w:rPr>
          <w:rFonts w:ascii="Gill Sans MT" w:hAnsi="Gill Sans MT"/>
        </w:rPr>
        <w:t>, 2012</w:t>
      </w:r>
      <w:r>
        <w:rPr>
          <w:rFonts w:ascii="Gill Sans MT" w:hAnsi="Gill Sans MT"/>
        </w:rPr>
        <w:t xml:space="preserve"> TFG purchased 125,000 </w:t>
      </w:r>
      <w:r w:rsidRPr="0020311A">
        <w:rPr>
          <w:rFonts w:ascii="Gill Sans MT" w:hAnsi="Gill Sans MT"/>
        </w:rPr>
        <w:t>of its shares for an average price of U.S. $7.</w:t>
      </w:r>
      <w:r>
        <w:rPr>
          <w:rFonts w:ascii="Gill Sans MT" w:hAnsi="Gill Sans MT"/>
        </w:rPr>
        <w:t xml:space="preserve">42 </w:t>
      </w:r>
      <w:r w:rsidRPr="0020311A">
        <w:rPr>
          <w:rFonts w:ascii="Gill Sans MT" w:hAnsi="Gill Sans MT"/>
        </w:rPr>
        <w:t>per share</w:t>
      </w:r>
      <w:r w:rsidRPr="00185D2E">
        <w:rPr>
          <w:rFonts w:ascii="Gill Sans MT" w:hAnsi="Gill Sans MT"/>
        </w:rPr>
        <w:t>.</w:t>
      </w:r>
      <w:bookmarkStart w:id="0" w:name="_GoBack"/>
      <w:bookmarkEnd w:id="0"/>
    </w:p>
    <w:p w:rsidR="00132EC4" w:rsidRPr="00797385" w:rsidRDefault="00132EC4" w:rsidP="00D119E6">
      <w:pPr>
        <w:spacing w:after="240"/>
        <w:jc w:val="both"/>
        <w:rPr>
          <w:rFonts w:ascii="Gill Sans MT" w:hAnsi="Gill Sans MT"/>
        </w:rPr>
      </w:pPr>
    </w:p>
    <w:p w:rsidR="00132EC4" w:rsidRDefault="00132EC4" w:rsidP="00D119E6">
      <w:pPr>
        <w:spacing w:after="240"/>
        <w:jc w:val="both"/>
        <w:rPr>
          <w:rFonts w:ascii="Gill Sans MT" w:hAnsi="Gill Sans MT"/>
        </w:rPr>
      </w:pPr>
    </w:p>
    <w:p w:rsidR="00132EC4" w:rsidRPr="00316904" w:rsidRDefault="00132EC4" w:rsidP="00D119E6">
      <w:pPr>
        <w:spacing w:after="240"/>
        <w:jc w:val="both"/>
        <w:rPr>
          <w:rFonts w:ascii="Gill Sans MT" w:hAnsi="Gill Sans MT"/>
        </w:rPr>
      </w:pPr>
    </w:p>
    <w:p w:rsidR="00132EC4" w:rsidRDefault="00132EC4" w:rsidP="00D119E6">
      <w:pPr>
        <w:spacing w:after="240"/>
        <w:jc w:val="both"/>
        <w:rPr>
          <w:rFonts w:ascii="Gill Sans MT" w:hAnsi="Gill Sans MT"/>
        </w:rPr>
      </w:pPr>
    </w:p>
    <w:p w:rsidR="00132EC4" w:rsidRPr="00316904" w:rsidRDefault="00132EC4" w:rsidP="00D119E6">
      <w:pPr>
        <w:spacing w:after="240"/>
        <w:jc w:val="both"/>
        <w:rPr>
          <w:rFonts w:ascii="Gill Sans MT" w:hAnsi="Gill Sans MT"/>
        </w:rPr>
      </w:pPr>
      <w:r w:rsidRPr="00316904">
        <w:rPr>
          <w:rFonts w:ascii="Gill Sans MT" w:hAnsi="Gill Sans MT"/>
        </w:rPr>
        <w:t>About Tetragon:</w:t>
      </w:r>
    </w:p>
    <w:p w:rsidR="00132EC4" w:rsidRPr="00316904" w:rsidRDefault="00132EC4" w:rsidP="00D119E6">
      <w:pPr>
        <w:spacing w:after="240"/>
        <w:jc w:val="both"/>
        <w:rPr>
          <w:rFonts w:ascii="Gill Sans MT" w:hAnsi="Gill Sans MT"/>
        </w:rPr>
      </w:pPr>
      <w:r w:rsidRPr="00316904">
        <w:rPr>
          <w:rFonts w:ascii="Gill Sans MT" w:hAnsi="Gill Sans MT"/>
        </w:rPr>
        <w:t>Tetragon Financial Group Limited (TFG) is a Guernsey closed-ended investment company traded on Euronext Amsterdam by NYSE Euronext under the ticker symbol “TFG.”</w:t>
      </w:r>
    </w:p>
    <w:p w:rsidR="00132EC4" w:rsidRPr="00A53275" w:rsidRDefault="00132EC4" w:rsidP="006A4105">
      <w:pPr>
        <w:jc w:val="both"/>
        <w:rPr>
          <w:rFonts w:ascii="Gill Sans MT" w:hAnsi="Gill Sans MT"/>
          <w:lang w:val="en-GB"/>
        </w:rPr>
      </w:pPr>
      <w:r w:rsidRPr="00A53275">
        <w:rPr>
          <w:rFonts w:ascii="Gill Sans MT" w:hAnsi="Gill Sans MT"/>
          <w:lang w:val="en-GB"/>
        </w:rPr>
        <w:t>Tetragon Financial Group Limited (TFG) is a Guernsey closed-ended investment company traded on Euronext Amsterdam by NYSE Euronext under the ticker symbol “TFG” that currently invests primarily through long-term funding vehicles such as collateralized loan obligations in selected securitized asset classes and aims to provide stable returns to investors across various</w:t>
      </w:r>
      <w:r w:rsidRPr="00A53275">
        <w:rPr>
          <w:rFonts w:ascii="Gill Sans MT" w:hAnsi="Gill Sans MT"/>
        </w:rPr>
        <w:t xml:space="preserve"> credit, equity, interest rate and real estate cycles</w:t>
      </w:r>
      <w:r w:rsidRPr="00A53275">
        <w:rPr>
          <w:rFonts w:ascii="Gill Sans MT" w:hAnsi="Gill Sans MT"/>
          <w:lang w:val="en-GB"/>
        </w:rPr>
        <w:t>.</w:t>
      </w:r>
    </w:p>
    <w:p w:rsidR="00132EC4" w:rsidRPr="00316904" w:rsidRDefault="00132EC4" w:rsidP="00D119E6">
      <w:pPr>
        <w:jc w:val="both"/>
        <w:rPr>
          <w:rFonts w:ascii="Gill Sans MT" w:hAnsi="Gill Sans MT"/>
        </w:rPr>
      </w:pPr>
    </w:p>
    <w:tbl>
      <w:tblPr>
        <w:tblW w:w="0" w:type="auto"/>
        <w:tblLook w:val="01E0"/>
      </w:tblPr>
      <w:tblGrid>
        <w:gridCol w:w="4927"/>
        <w:gridCol w:w="4928"/>
      </w:tblGrid>
      <w:tr w:rsidR="00132EC4" w:rsidRPr="00316904" w:rsidTr="002D7513">
        <w:tc>
          <w:tcPr>
            <w:tcW w:w="4927" w:type="dxa"/>
          </w:tcPr>
          <w:p w:rsidR="00132EC4" w:rsidRPr="00316904" w:rsidRDefault="00132EC4" w:rsidP="002D7513">
            <w:pPr>
              <w:spacing w:before="60" w:after="60"/>
              <w:jc w:val="both"/>
              <w:rPr>
                <w:rFonts w:ascii="Gill Sans MT" w:hAnsi="Gill Sans MT"/>
              </w:rPr>
            </w:pPr>
            <w:r w:rsidRPr="00316904">
              <w:rPr>
                <w:rFonts w:ascii="Gill Sans MT" w:hAnsi="Gill Sans MT"/>
              </w:rPr>
              <w:t>For further information, please contact:</w:t>
            </w:r>
          </w:p>
        </w:tc>
        <w:tc>
          <w:tcPr>
            <w:tcW w:w="4928" w:type="dxa"/>
          </w:tcPr>
          <w:p w:rsidR="00132EC4" w:rsidRPr="00316904" w:rsidRDefault="00132EC4" w:rsidP="002D7513">
            <w:pPr>
              <w:spacing w:after="120"/>
              <w:jc w:val="both"/>
              <w:rPr>
                <w:rFonts w:ascii="Gill Sans MT" w:hAnsi="Gill Sans MT"/>
              </w:rPr>
            </w:pPr>
          </w:p>
        </w:tc>
      </w:tr>
      <w:tr w:rsidR="00132EC4" w:rsidRPr="00316904" w:rsidTr="00057A97">
        <w:trPr>
          <w:trHeight w:val="910"/>
        </w:trPr>
        <w:tc>
          <w:tcPr>
            <w:tcW w:w="4927" w:type="dxa"/>
          </w:tcPr>
          <w:p w:rsidR="00132EC4" w:rsidRPr="00316904" w:rsidRDefault="00132EC4" w:rsidP="002D7513">
            <w:pPr>
              <w:spacing w:before="120" w:after="120"/>
              <w:jc w:val="both"/>
              <w:rPr>
                <w:rFonts w:ascii="Gill Sans MT" w:hAnsi="Gill Sans MT"/>
              </w:rPr>
            </w:pPr>
            <w:r w:rsidRPr="00316904">
              <w:rPr>
                <w:rFonts w:ascii="Gill Sans MT" w:hAnsi="Gill Sans MT"/>
              </w:rPr>
              <w:t>TFG:</w:t>
            </w:r>
          </w:p>
          <w:p w:rsidR="00132EC4" w:rsidRPr="00316904" w:rsidRDefault="00132EC4" w:rsidP="002D7513">
            <w:pPr>
              <w:jc w:val="both"/>
              <w:rPr>
                <w:rFonts w:ascii="Gill Sans MT" w:hAnsi="Gill Sans MT"/>
              </w:rPr>
            </w:pPr>
            <w:r w:rsidRPr="00316904">
              <w:rPr>
                <w:rFonts w:ascii="Gill Sans MT" w:hAnsi="Gill Sans MT"/>
              </w:rPr>
              <w:t>David Wishnow/Yuko Thomas</w:t>
            </w:r>
          </w:p>
          <w:p w:rsidR="00132EC4" w:rsidRPr="00316904" w:rsidRDefault="00132EC4" w:rsidP="002D7513">
            <w:pPr>
              <w:jc w:val="both"/>
              <w:rPr>
                <w:rFonts w:ascii="Gill Sans MT" w:hAnsi="Gill Sans MT"/>
              </w:rPr>
            </w:pPr>
            <w:r w:rsidRPr="00316904">
              <w:rPr>
                <w:rFonts w:ascii="Gill Sans MT" w:hAnsi="Gill Sans MT"/>
              </w:rPr>
              <w:t>Investor Relations</w:t>
            </w:r>
          </w:p>
          <w:p w:rsidR="00132EC4" w:rsidRPr="00024E10" w:rsidRDefault="00132EC4" w:rsidP="002D7513">
            <w:pPr>
              <w:spacing w:after="60"/>
              <w:jc w:val="both"/>
              <w:rPr>
                <w:rFonts w:ascii="Gill Sans MT" w:hAnsi="Gill Sans MT"/>
                <w:color w:val="0000FF"/>
              </w:rPr>
            </w:pPr>
            <w:hyperlink r:id="rId7" w:history="1">
              <w:r w:rsidRPr="00024E10">
                <w:rPr>
                  <w:rStyle w:val="Hyperlink"/>
                  <w:rFonts w:ascii="Gill Sans MT" w:hAnsi="Gill Sans MT"/>
                </w:rPr>
                <w:t>ir@tetragoninv.com</w:t>
              </w:r>
            </w:hyperlink>
          </w:p>
        </w:tc>
        <w:tc>
          <w:tcPr>
            <w:tcW w:w="4928" w:type="dxa"/>
          </w:tcPr>
          <w:p w:rsidR="00132EC4" w:rsidRDefault="00132EC4" w:rsidP="00316904">
            <w:pPr>
              <w:spacing w:before="120" w:after="120"/>
              <w:jc w:val="both"/>
              <w:rPr>
                <w:rFonts w:ascii="Gill Sans MT" w:hAnsi="Gill Sans MT"/>
                <w:color w:val="000000"/>
              </w:rPr>
            </w:pPr>
            <w:r>
              <w:rPr>
                <w:rFonts w:ascii="Gill Sans MT" w:hAnsi="Gill Sans MT"/>
                <w:color w:val="000000"/>
              </w:rPr>
              <w:t>Press Inquiries:</w:t>
            </w:r>
          </w:p>
          <w:p w:rsidR="00132EC4" w:rsidRDefault="00132EC4" w:rsidP="00316904">
            <w:pPr>
              <w:rPr>
                <w:rFonts w:ascii="Gill Sans MT" w:hAnsi="Gill Sans MT" w:cs="Arial"/>
                <w:color w:val="000000"/>
              </w:rPr>
            </w:pPr>
            <w:r>
              <w:rPr>
                <w:rFonts w:ascii="Gill Sans MT" w:hAnsi="Gill Sans MT" w:cs="Arial"/>
                <w:color w:val="000000"/>
              </w:rPr>
              <w:t>Brunswick Group</w:t>
            </w:r>
          </w:p>
          <w:p w:rsidR="00132EC4" w:rsidRDefault="00132EC4" w:rsidP="00316904">
            <w:pPr>
              <w:rPr>
                <w:rFonts w:ascii="Gill Sans MT" w:hAnsi="Gill Sans MT"/>
                <w:color w:val="000000"/>
              </w:rPr>
            </w:pPr>
            <w:r>
              <w:rPr>
                <w:rFonts w:ascii="Gill Sans MT" w:hAnsi="Gill Sans MT" w:cs="Arial"/>
                <w:color w:val="000000"/>
              </w:rPr>
              <w:t>Gill Ackers/Pip Green</w:t>
            </w:r>
          </w:p>
          <w:p w:rsidR="00132EC4" w:rsidRDefault="00132EC4" w:rsidP="00316904">
            <w:pPr>
              <w:rPr>
                <w:rFonts w:ascii="Gill Sans MT" w:hAnsi="Gill Sans MT"/>
                <w:color w:val="000000"/>
              </w:rPr>
            </w:pPr>
            <w:r>
              <w:rPr>
                <w:rFonts w:ascii="Gill Sans MT" w:hAnsi="Gill Sans MT" w:cs="Arial"/>
                <w:color w:val="000000"/>
              </w:rPr>
              <w:t>+44 20 7404 5959</w:t>
            </w:r>
          </w:p>
          <w:p w:rsidR="00132EC4" w:rsidRPr="00316904" w:rsidRDefault="00132EC4" w:rsidP="00316904">
            <w:pPr>
              <w:rPr>
                <w:color w:val="3366FF"/>
              </w:rPr>
            </w:pPr>
            <w:hyperlink r:id="rId8" w:history="1">
              <w:r w:rsidRPr="00B01CC6">
                <w:rPr>
                  <w:rStyle w:val="Hyperlink"/>
                  <w:rFonts w:ascii="Gill Sans MT" w:hAnsi="Gill Sans MT" w:cs="Arial"/>
                </w:rPr>
                <w:t>tetragon@brunswickgroup.com</w:t>
              </w:r>
            </w:hyperlink>
          </w:p>
          <w:p w:rsidR="00132EC4" w:rsidRPr="00316904" w:rsidRDefault="00132EC4" w:rsidP="00316904">
            <w:pPr>
              <w:rPr>
                <w:rFonts w:ascii="Gill Sans MT" w:hAnsi="Gill Sans MT"/>
              </w:rPr>
            </w:pPr>
          </w:p>
        </w:tc>
      </w:tr>
    </w:tbl>
    <w:p w:rsidR="00132EC4" w:rsidRDefault="00132EC4" w:rsidP="00D119E6">
      <w:pPr>
        <w:jc w:val="both"/>
        <w:rPr>
          <w:rFonts w:ascii="Gill Sans MT" w:hAnsi="Gill Sans MT"/>
        </w:rPr>
      </w:pPr>
    </w:p>
    <w:p w:rsidR="00132EC4" w:rsidRPr="006F215D" w:rsidRDefault="00132EC4" w:rsidP="006F215D"/>
    <w:p w:rsidR="00132EC4" w:rsidRDefault="00132EC4" w:rsidP="000D7820">
      <w:pPr>
        <w:jc w:val="both"/>
        <w:rPr>
          <w:rFonts w:ascii="Gill Sans MT" w:hAnsi="Gill Sans MT"/>
        </w:rPr>
      </w:pPr>
    </w:p>
    <w:p w:rsidR="00132EC4" w:rsidRPr="00E73D5B" w:rsidRDefault="00132EC4" w:rsidP="00C62A42">
      <w:pPr>
        <w:jc w:val="both"/>
      </w:pPr>
      <w:r>
        <w:rPr>
          <w:rFonts w:ascii="Gill Sans MT" w:hAnsi="Gill Sans MT"/>
          <w:sz w:val="16"/>
          <w:szCs w:val="16"/>
        </w:rPr>
        <w:t xml:space="preserve">This release does not contain or constitute an offer to sell or a solicitation of an offer to purchase securities in the </w:t>
      </w:r>
      <w:smartTag w:uri="urn:schemas-microsoft-com:office:smarttags" w:element="place">
        <w:smartTag w:uri="urn:schemas-microsoft-com:office:smarttags" w:element="country-region">
          <w:r>
            <w:rPr>
              <w:rFonts w:ascii="Gill Sans MT" w:hAnsi="Gill Sans MT"/>
              <w:sz w:val="16"/>
              <w:szCs w:val="16"/>
            </w:rPr>
            <w:t>United States</w:t>
          </w:r>
        </w:smartTag>
      </w:smartTag>
      <w:r>
        <w:rPr>
          <w:rFonts w:ascii="Gill Sans MT" w:hAnsi="Gill Sans MT"/>
          <w:sz w:val="16"/>
          <w:szCs w:val="16"/>
        </w:rPr>
        <w:t xml:space="preserve"> or any other jurisdiction.  The securities of TFG have not been and will not be registered under the US Securities Act of 1933 (the “Securities Act”), as amended, and may not be offered or sold in the United States or to US persons unless they are registered under applicable law or exempt from registration.  TFG does not intend to register any portion of its securities in the </w:t>
      </w:r>
      <w:smartTag w:uri="urn:schemas-microsoft-com:office:smarttags" w:element="country-region">
        <w:r>
          <w:rPr>
            <w:rFonts w:ascii="Gill Sans MT" w:hAnsi="Gill Sans MT"/>
            <w:sz w:val="16"/>
            <w:szCs w:val="16"/>
          </w:rPr>
          <w:t>United States</w:t>
        </w:r>
      </w:smartTag>
      <w:r>
        <w:rPr>
          <w:rFonts w:ascii="Gill Sans MT" w:hAnsi="Gill Sans MT"/>
          <w:sz w:val="16"/>
          <w:szCs w:val="16"/>
        </w:rPr>
        <w:t xml:space="preserve"> or to conduct a public offer of securities in the </w:t>
      </w:r>
      <w:smartTag w:uri="urn:schemas-microsoft-com:office:smarttags" w:element="place">
        <w:smartTag w:uri="urn:schemas-microsoft-com:office:smarttags" w:element="country-region">
          <w:r>
            <w:rPr>
              <w:rFonts w:ascii="Gill Sans MT" w:hAnsi="Gill Sans MT"/>
              <w:sz w:val="16"/>
              <w:szCs w:val="16"/>
            </w:rPr>
            <w:t>United States</w:t>
          </w:r>
        </w:smartTag>
      </w:smartTag>
      <w:r>
        <w:rPr>
          <w:rFonts w:ascii="Gill Sans MT" w:hAnsi="Gill Sans MT"/>
          <w:sz w:val="16"/>
          <w:szCs w:val="16"/>
        </w:rPr>
        <w:t>.  In addition, TFG has not been and will not be registered under the US Investment Company Act of 1940, and investors will not be entitled to the benefits of such Act.  TFG is registered in the public register of the Netherlands Authority for the Financial Markets under Section 1:107 of the Financial Markets Supervision Act as a collective investment scheme from a designated country.</w:t>
      </w:r>
    </w:p>
    <w:sectPr w:rsidR="00132EC4" w:rsidRPr="00E73D5B" w:rsidSect="001B630A">
      <w:headerReference w:type="default" r:id="rId9"/>
      <w:footerReference w:type="even" r:id="rId10"/>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C4" w:rsidRDefault="00132EC4">
      <w:r>
        <w:separator/>
      </w:r>
    </w:p>
  </w:endnote>
  <w:endnote w:type="continuationSeparator" w:id="0">
    <w:p w:rsidR="00132EC4" w:rsidRDefault="00132E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C4" w:rsidRDefault="00132EC4" w:rsidP="00852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EC4" w:rsidRDefault="0013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C4" w:rsidRDefault="00132EC4">
      <w:r>
        <w:separator/>
      </w:r>
    </w:p>
  </w:footnote>
  <w:footnote w:type="continuationSeparator" w:id="0">
    <w:p w:rsidR="00132EC4" w:rsidRDefault="0013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C4" w:rsidRDefault="00132EC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35.45pt;width:630.35pt;height:90.75pt;z-index:251660288;visibility:visible;mso-position-horizontal:center;mso-position-horizontal-relative:margin">
          <v:imagedata r:id="rId1" o:title=""/>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962"/>
    <w:multiLevelType w:val="hybridMultilevel"/>
    <w:tmpl w:val="FCDAD0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5F9"/>
    <w:rsid w:val="00004E4D"/>
    <w:rsid w:val="00012952"/>
    <w:rsid w:val="00012E2F"/>
    <w:rsid w:val="00017C7D"/>
    <w:rsid w:val="0002253B"/>
    <w:rsid w:val="00024A69"/>
    <w:rsid w:val="00024E10"/>
    <w:rsid w:val="000276F4"/>
    <w:rsid w:val="000316BC"/>
    <w:rsid w:val="000328A3"/>
    <w:rsid w:val="0003378C"/>
    <w:rsid w:val="00036B5D"/>
    <w:rsid w:val="0004254B"/>
    <w:rsid w:val="00046658"/>
    <w:rsid w:val="00046798"/>
    <w:rsid w:val="000573CD"/>
    <w:rsid w:val="00057A97"/>
    <w:rsid w:val="00066103"/>
    <w:rsid w:val="000706F8"/>
    <w:rsid w:val="000711CA"/>
    <w:rsid w:val="000762E2"/>
    <w:rsid w:val="00077C16"/>
    <w:rsid w:val="00081075"/>
    <w:rsid w:val="00081653"/>
    <w:rsid w:val="000833D8"/>
    <w:rsid w:val="00083D05"/>
    <w:rsid w:val="0008521C"/>
    <w:rsid w:val="00086F8F"/>
    <w:rsid w:val="000872A7"/>
    <w:rsid w:val="00093B66"/>
    <w:rsid w:val="000960AD"/>
    <w:rsid w:val="000A0543"/>
    <w:rsid w:val="000A0CCF"/>
    <w:rsid w:val="000A1D27"/>
    <w:rsid w:val="000A38C9"/>
    <w:rsid w:val="000B76CD"/>
    <w:rsid w:val="000C0925"/>
    <w:rsid w:val="000D132E"/>
    <w:rsid w:val="000D2E65"/>
    <w:rsid w:val="000D4A45"/>
    <w:rsid w:val="000D74C9"/>
    <w:rsid w:val="000D7820"/>
    <w:rsid w:val="000D7C53"/>
    <w:rsid w:val="000E1BC8"/>
    <w:rsid w:val="000E377A"/>
    <w:rsid w:val="000E456F"/>
    <w:rsid w:val="000F2A7D"/>
    <w:rsid w:val="00100623"/>
    <w:rsid w:val="0010096C"/>
    <w:rsid w:val="00106104"/>
    <w:rsid w:val="00110C5B"/>
    <w:rsid w:val="00112BFA"/>
    <w:rsid w:val="00114DF1"/>
    <w:rsid w:val="00116467"/>
    <w:rsid w:val="00116E0F"/>
    <w:rsid w:val="0011726B"/>
    <w:rsid w:val="00121B68"/>
    <w:rsid w:val="00121E5E"/>
    <w:rsid w:val="00124925"/>
    <w:rsid w:val="00130039"/>
    <w:rsid w:val="00130B37"/>
    <w:rsid w:val="00131832"/>
    <w:rsid w:val="00132EC4"/>
    <w:rsid w:val="001374DB"/>
    <w:rsid w:val="001378D9"/>
    <w:rsid w:val="0014136B"/>
    <w:rsid w:val="001437EC"/>
    <w:rsid w:val="00152DAE"/>
    <w:rsid w:val="00152FC2"/>
    <w:rsid w:val="00154CDE"/>
    <w:rsid w:val="00155C92"/>
    <w:rsid w:val="001618E5"/>
    <w:rsid w:val="00164CA7"/>
    <w:rsid w:val="00165A10"/>
    <w:rsid w:val="00165C3B"/>
    <w:rsid w:val="001668A9"/>
    <w:rsid w:val="00167CFF"/>
    <w:rsid w:val="00184D1F"/>
    <w:rsid w:val="00185D2E"/>
    <w:rsid w:val="001970ED"/>
    <w:rsid w:val="001972C4"/>
    <w:rsid w:val="001975D6"/>
    <w:rsid w:val="00197FE6"/>
    <w:rsid w:val="001B05E3"/>
    <w:rsid w:val="001B4930"/>
    <w:rsid w:val="001B630A"/>
    <w:rsid w:val="001C283E"/>
    <w:rsid w:val="001C2D51"/>
    <w:rsid w:val="001C36C0"/>
    <w:rsid w:val="001C5A7B"/>
    <w:rsid w:val="001D08EC"/>
    <w:rsid w:val="001D1A41"/>
    <w:rsid w:val="001E73B2"/>
    <w:rsid w:val="001E75F6"/>
    <w:rsid w:val="001F6609"/>
    <w:rsid w:val="002012B3"/>
    <w:rsid w:val="0020298C"/>
    <w:rsid w:val="0020311A"/>
    <w:rsid w:val="00210C34"/>
    <w:rsid w:val="00212038"/>
    <w:rsid w:val="00215B51"/>
    <w:rsid w:val="002210DA"/>
    <w:rsid w:val="00227D85"/>
    <w:rsid w:val="00233720"/>
    <w:rsid w:val="00233A0B"/>
    <w:rsid w:val="0024131A"/>
    <w:rsid w:val="00242F49"/>
    <w:rsid w:val="00247DC3"/>
    <w:rsid w:val="0025191C"/>
    <w:rsid w:val="00254C4B"/>
    <w:rsid w:val="0025797F"/>
    <w:rsid w:val="0026495D"/>
    <w:rsid w:val="00264F75"/>
    <w:rsid w:val="002730FB"/>
    <w:rsid w:val="0027383C"/>
    <w:rsid w:val="00275DA8"/>
    <w:rsid w:val="002762FA"/>
    <w:rsid w:val="002773BC"/>
    <w:rsid w:val="00283CCB"/>
    <w:rsid w:val="0028753D"/>
    <w:rsid w:val="002953A2"/>
    <w:rsid w:val="002A14AD"/>
    <w:rsid w:val="002A75F2"/>
    <w:rsid w:val="002B09A4"/>
    <w:rsid w:val="002B3E5B"/>
    <w:rsid w:val="002B5094"/>
    <w:rsid w:val="002B765D"/>
    <w:rsid w:val="002C21E3"/>
    <w:rsid w:val="002C2266"/>
    <w:rsid w:val="002C6F0C"/>
    <w:rsid w:val="002D2966"/>
    <w:rsid w:val="002D4D85"/>
    <w:rsid w:val="002D6D2C"/>
    <w:rsid w:val="002D7513"/>
    <w:rsid w:val="002E0782"/>
    <w:rsid w:val="002E2E8C"/>
    <w:rsid w:val="002F0725"/>
    <w:rsid w:val="002F466F"/>
    <w:rsid w:val="003043A0"/>
    <w:rsid w:val="003050B2"/>
    <w:rsid w:val="003072B7"/>
    <w:rsid w:val="0030785D"/>
    <w:rsid w:val="0031050B"/>
    <w:rsid w:val="00310947"/>
    <w:rsid w:val="003121D4"/>
    <w:rsid w:val="0031649B"/>
    <w:rsid w:val="00316904"/>
    <w:rsid w:val="00320332"/>
    <w:rsid w:val="00320B7C"/>
    <w:rsid w:val="0032448F"/>
    <w:rsid w:val="003245A0"/>
    <w:rsid w:val="00324F75"/>
    <w:rsid w:val="00325C07"/>
    <w:rsid w:val="003270A8"/>
    <w:rsid w:val="00331286"/>
    <w:rsid w:val="003323CE"/>
    <w:rsid w:val="003346C6"/>
    <w:rsid w:val="003429B7"/>
    <w:rsid w:val="00351F8A"/>
    <w:rsid w:val="0035788C"/>
    <w:rsid w:val="00357BFD"/>
    <w:rsid w:val="003601F5"/>
    <w:rsid w:val="003632DC"/>
    <w:rsid w:val="003658F0"/>
    <w:rsid w:val="00374B13"/>
    <w:rsid w:val="00375485"/>
    <w:rsid w:val="00375789"/>
    <w:rsid w:val="003759AF"/>
    <w:rsid w:val="00376366"/>
    <w:rsid w:val="00385F0B"/>
    <w:rsid w:val="0038609B"/>
    <w:rsid w:val="00386AAA"/>
    <w:rsid w:val="00386E0F"/>
    <w:rsid w:val="00390DFA"/>
    <w:rsid w:val="00392777"/>
    <w:rsid w:val="0039289D"/>
    <w:rsid w:val="003953E1"/>
    <w:rsid w:val="003A1A77"/>
    <w:rsid w:val="003A2426"/>
    <w:rsid w:val="003A3E38"/>
    <w:rsid w:val="003A7BFB"/>
    <w:rsid w:val="003A7EA0"/>
    <w:rsid w:val="003B1FBD"/>
    <w:rsid w:val="003B33CE"/>
    <w:rsid w:val="003B6FC8"/>
    <w:rsid w:val="003C0098"/>
    <w:rsid w:val="003C1AB9"/>
    <w:rsid w:val="003C256E"/>
    <w:rsid w:val="003C3A84"/>
    <w:rsid w:val="003C7980"/>
    <w:rsid w:val="003D575E"/>
    <w:rsid w:val="003E5604"/>
    <w:rsid w:val="003F0C93"/>
    <w:rsid w:val="003F626D"/>
    <w:rsid w:val="003F6E2B"/>
    <w:rsid w:val="00401267"/>
    <w:rsid w:val="004012BD"/>
    <w:rsid w:val="00402BA4"/>
    <w:rsid w:val="0041286E"/>
    <w:rsid w:val="00412F80"/>
    <w:rsid w:val="00420B4A"/>
    <w:rsid w:val="0042377C"/>
    <w:rsid w:val="00431573"/>
    <w:rsid w:val="00431DFD"/>
    <w:rsid w:val="00433596"/>
    <w:rsid w:val="00452208"/>
    <w:rsid w:val="00452BB4"/>
    <w:rsid w:val="00453BB8"/>
    <w:rsid w:val="00455510"/>
    <w:rsid w:val="004569A1"/>
    <w:rsid w:val="004632EF"/>
    <w:rsid w:val="004641D2"/>
    <w:rsid w:val="00465070"/>
    <w:rsid w:val="0046539C"/>
    <w:rsid w:val="00465628"/>
    <w:rsid w:val="004663B1"/>
    <w:rsid w:val="00470041"/>
    <w:rsid w:val="00470759"/>
    <w:rsid w:val="00473966"/>
    <w:rsid w:val="00483EF7"/>
    <w:rsid w:val="00491518"/>
    <w:rsid w:val="00491A9A"/>
    <w:rsid w:val="00491EE7"/>
    <w:rsid w:val="00494002"/>
    <w:rsid w:val="0049693C"/>
    <w:rsid w:val="004A5365"/>
    <w:rsid w:val="004A54AA"/>
    <w:rsid w:val="004B032C"/>
    <w:rsid w:val="004B0AF4"/>
    <w:rsid w:val="004B1D3F"/>
    <w:rsid w:val="004B4D2B"/>
    <w:rsid w:val="004B5D47"/>
    <w:rsid w:val="004B63AE"/>
    <w:rsid w:val="004B752D"/>
    <w:rsid w:val="004B7839"/>
    <w:rsid w:val="004C009E"/>
    <w:rsid w:val="004C0786"/>
    <w:rsid w:val="004C362E"/>
    <w:rsid w:val="004C418E"/>
    <w:rsid w:val="004C5B56"/>
    <w:rsid w:val="004C6057"/>
    <w:rsid w:val="004C7024"/>
    <w:rsid w:val="004D1F93"/>
    <w:rsid w:val="004D2BE1"/>
    <w:rsid w:val="004D40F5"/>
    <w:rsid w:val="004E007E"/>
    <w:rsid w:val="004F2849"/>
    <w:rsid w:val="004F6FB2"/>
    <w:rsid w:val="00501E1A"/>
    <w:rsid w:val="00504FF5"/>
    <w:rsid w:val="005079CE"/>
    <w:rsid w:val="00510C7A"/>
    <w:rsid w:val="00513AB2"/>
    <w:rsid w:val="00515E95"/>
    <w:rsid w:val="005162C6"/>
    <w:rsid w:val="0051690F"/>
    <w:rsid w:val="00516FF5"/>
    <w:rsid w:val="00524375"/>
    <w:rsid w:val="005252D5"/>
    <w:rsid w:val="0053321A"/>
    <w:rsid w:val="00537BD7"/>
    <w:rsid w:val="005410B0"/>
    <w:rsid w:val="00544C6D"/>
    <w:rsid w:val="00545CD9"/>
    <w:rsid w:val="0055250A"/>
    <w:rsid w:val="00554906"/>
    <w:rsid w:val="00555BCD"/>
    <w:rsid w:val="00555F9F"/>
    <w:rsid w:val="00561871"/>
    <w:rsid w:val="0056268B"/>
    <w:rsid w:val="005632AB"/>
    <w:rsid w:val="005656ED"/>
    <w:rsid w:val="00565770"/>
    <w:rsid w:val="00566C0A"/>
    <w:rsid w:val="0056754A"/>
    <w:rsid w:val="00577D88"/>
    <w:rsid w:val="005823B3"/>
    <w:rsid w:val="00584AA3"/>
    <w:rsid w:val="005860D6"/>
    <w:rsid w:val="00595930"/>
    <w:rsid w:val="005978C6"/>
    <w:rsid w:val="005A0B54"/>
    <w:rsid w:val="005A1B4B"/>
    <w:rsid w:val="005A4E01"/>
    <w:rsid w:val="005A5D1E"/>
    <w:rsid w:val="005B4EEE"/>
    <w:rsid w:val="005B5035"/>
    <w:rsid w:val="005C3DC9"/>
    <w:rsid w:val="005C4659"/>
    <w:rsid w:val="005C6261"/>
    <w:rsid w:val="005D24C1"/>
    <w:rsid w:val="005D3796"/>
    <w:rsid w:val="005D3A5D"/>
    <w:rsid w:val="005D6C6F"/>
    <w:rsid w:val="005E1B7D"/>
    <w:rsid w:val="005E340F"/>
    <w:rsid w:val="005E3F7B"/>
    <w:rsid w:val="005F046B"/>
    <w:rsid w:val="005F05F0"/>
    <w:rsid w:val="005F25AB"/>
    <w:rsid w:val="005F7205"/>
    <w:rsid w:val="006004F6"/>
    <w:rsid w:val="00600AED"/>
    <w:rsid w:val="00601E4D"/>
    <w:rsid w:val="00602CFC"/>
    <w:rsid w:val="0061106B"/>
    <w:rsid w:val="006149FE"/>
    <w:rsid w:val="00614F47"/>
    <w:rsid w:val="00623F68"/>
    <w:rsid w:val="00625E54"/>
    <w:rsid w:val="00627F0C"/>
    <w:rsid w:val="00630476"/>
    <w:rsid w:val="00634B9B"/>
    <w:rsid w:val="00635952"/>
    <w:rsid w:val="00637041"/>
    <w:rsid w:val="0064099D"/>
    <w:rsid w:val="0064132D"/>
    <w:rsid w:val="00646F34"/>
    <w:rsid w:val="006517BE"/>
    <w:rsid w:val="00654FFD"/>
    <w:rsid w:val="00660FB6"/>
    <w:rsid w:val="006628DE"/>
    <w:rsid w:val="006669A0"/>
    <w:rsid w:val="00667781"/>
    <w:rsid w:val="00670D86"/>
    <w:rsid w:val="0067353B"/>
    <w:rsid w:val="006756FC"/>
    <w:rsid w:val="00680A62"/>
    <w:rsid w:val="006813E0"/>
    <w:rsid w:val="00684BBD"/>
    <w:rsid w:val="00684E69"/>
    <w:rsid w:val="00694D10"/>
    <w:rsid w:val="00694D8F"/>
    <w:rsid w:val="006A0E1F"/>
    <w:rsid w:val="006A4105"/>
    <w:rsid w:val="006A429C"/>
    <w:rsid w:val="006A46DB"/>
    <w:rsid w:val="006A5B07"/>
    <w:rsid w:val="006A5DBB"/>
    <w:rsid w:val="006A6344"/>
    <w:rsid w:val="006A6510"/>
    <w:rsid w:val="006B2E55"/>
    <w:rsid w:val="006B7067"/>
    <w:rsid w:val="006C10F4"/>
    <w:rsid w:val="006C3D81"/>
    <w:rsid w:val="006C4EDB"/>
    <w:rsid w:val="006D4114"/>
    <w:rsid w:val="006D58A5"/>
    <w:rsid w:val="006D61EA"/>
    <w:rsid w:val="006E438A"/>
    <w:rsid w:val="006E5180"/>
    <w:rsid w:val="006F215D"/>
    <w:rsid w:val="006F35D2"/>
    <w:rsid w:val="006F5B39"/>
    <w:rsid w:val="00701AB9"/>
    <w:rsid w:val="0070638E"/>
    <w:rsid w:val="0071003E"/>
    <w:rsid w:val="007109ED"/>
    <w:rsid w:val="007114E8"/>
    <w:rsid w:val="00712DEA"/>
    <w:rsid w:val="00713AE5"/>
    <w:rsid w:val="00716537"/>
    <w:rsid w:val="0072105C"/>
    <w:rsid w:val="0072123D"/>
    <w:rsid w:val="00722692"/>
    <w:rsid w:val="00723F78"/>
    <w:rsid w:val="00724645"/>
    <w:rsid w:val="00732C1D"/>
    <w:rsid w:val="0073714A"/>
    <w:rsid w:val="007443B8"/>
    <w:rsid w:val="00744959"/>
    <w:rsid w:val="0075074C"/>
    <w:rsid w:val="007510F4"/>
    <w:rsid w:val="00760D14"/>
    <w:rsid w:val="0076368D"/>
    <w:rsid w:val="00766B52"/>
    <w:rsid w:val="00766EA3"/>
    <w:rsid w:val="007706FC"/>
    <w:rsid w:val="007722DF"/>
    <w:rsid w:val="00772C19"/>
    <w:rsid w:val="007820CD"/>
    <w:rsid w:val="007839AF"/>
    <w:rsid w:val="00785DF5"/>
    <w:rsid w:val="007945BB"/>
    <w:rsid w:val="0079669F"/>
    <w:rsid w:val="00797385"/>
    <w:rsid w:val="007A459A"/>
    <w:rsid w:val="007A4E32"/>
    <w:rsid w:val="007A5816"/>
    <w:rsid w:val="007A7C1B"/>
    <w:rsid w:val="007B2787"/>
    <w:rsid w:val="007B40A9"/>
    <w:rsid w:val="007B40F8"/>
    <w:rsid w:val="007C215F"/>
    <w:rsid w:val="007C3966"/>
    <w:rsid w:val="007C538F"/>
    <w:rsid w:val="007C5EDC"/>
    <w:rsid w:val="007D176B"/>
    <w:rsid w:val="007D1BFC"/>
    <w:rsid w:val="007E0FAD"/>
    <w:rsid w:val="007E14F5"/>
    <w:rsid w:val="007E3407"/>
    <w:rsid w:val="007F144D"/>
    <w:rsid w:val="008018E6"/>
    <w:rsid w:val="00805276"/>
    <w:rsid w:val="008119E8"/>
    <w:rsid w:val="008142FA"/>
    <w:rsid w:val="008207F4"/>
    <w:rsid w:val="0082302E"/>
    <w:rsid w:val="00827693"/>
    <w:rsid w:val="008316A1"/>
    <w:rsid w:val="008328E9"/>
    <w:rsid w:val="008354B1"/>
    <w:rsid w:val="00835930"/>
    <w:rsid w:val="00836469"/>
    <w:rsid w:val="00837240"/>
    <w:rsid w:val="0084131E"/>
    <w:rsid w:val="00844FB6"/>
    <w:rsid w:val="008507C8"/>
    <w:rsid w:val="00852BD6"/>
    <w:rsid w:val="00852FB8"/>
    <w:rsid w:val="0085521B"/>
    <w:rsid w:val="0086205B"/>
    <w:rsid w:val="00865F23"/>
    <w:rsid w:val="00867F2A"/>
    <w:rsid w:val="0087634B"/>
    <w:rsid w:val="008855AA"/>
    <w:rsid w:val="008859CB"/>
    <w:rsid w:val="0088766B"/>
    <w:rsid w:val="00895B74"/>
    <w:rsid w:val="008A2365"/>
    <w:rsid w:val="008A288E"/>
    <w:rsid w:val="008A4DC7"/>
    <w:rsid w:val="008B1EB8"/>
    <w:rsid w:val="008B50FD"/>
    <w:rsid w:val="008B73A0"/>
    <w:rsid w:val="008C1347"/>
    <w:rsid w:val="008C2B6D"/>
    <w:rsid w:val="008C57AD"/>
    <w:rsid w:val="008C5D3D"/>
    <w:rsid w:val="008C6924"/>
    <w:rsid w:val="008E099F"/>
    <w:rsid w:val="008E15A2"/>
    <w:rsid w:val="008E1EB9"/>
    <w:rsid w:val="008E37AB"/>
    <w:rsid w:val="008E7BE7"/>
    <w:rsid w:val="0090136C"/>
    <w:rsid w:val="0090215E"/>
    <w:rsid w:val="00907144"/>
    <w:rsid w:val="009073C6"/>
    <w:rsid w:val="00910A32"/>
    <w:rsid w:val="0091160B"/>
    <w:rsid w:val="00911D4A"/>
    <w:rsid w:val="009135AA"/>
    <w:rsid w:val="009146DA"/>
    <w:rsid w:val="009159BA"/>
    <w:rsid w:val="009214CD"/>
    <w:rsid w:val="009245B7"/>
    <w:rsid w:val="00927D2A"/>
    <w:rsid w:val="00933521"/>
    <w:rsid w:val="009335FE"/>
    <w:rsid w:val="00942A49"/>
    <w:rsid w:val="009516B8"/>
    <w:rsid w:val="009552A8"/>
    <w:rsid w:val="00962FBA"/>
    <w:rsid w:val="009676CD"/>
    <w:rsid w:val="00967C0D"/>
    <w:rsid w:val="009726F6"/>
    <w:rsid w:val="00975AE4"/>
    <w:rsid w:val="0098409D"/>
    <w:rsid w:val="00984DED"/>
    <w:rsid w:val="009870B6"/>
    <w:rsid w:val="009923CC"/>
    <w:rsid w:val="00992A3F"/>
    <w:rsid w:val="00992AFC"/>
    <w:rsid w:val="009A0953"/>
    <w:rsid w:val="009A12DE"/>
    <w:rsid w:val="009A1342"/>
    <w:rsid w:val="009A344B"/>
    <w:rsid w:val="009B0F47"/>
    <w:rsid w:val="009B509A"/>
    <w:rsid w:val="009C7998"/>
    <w:rsid w:val="009D0D93"/>
    <w:rsid w:val="009D4DB3"/>
    <w:rsid w:val="009E313D"/>
    <w:rsid w:val="009F1DE4"/>
    <w:rsid w:val="009F5971"/>
    <w:rsid w:val="00A00279"/>
    <w:rsid w:val="00A004A3"/>
    <w:rsid w:val="00A03678"/>
    <w:rsid w:val="00A03E11"/>
    <w:rsid w:val="00A0471D"/>
    <w:rsid w:val="00A0736C"/>
    <w:rsid w:val="00A073D9"/>
    <w:rsid w:val="00A11906"/>
    <w:rsid w:val="00A14034"/>
    <w:rsid w:val="00A20D75"/>
    <w:rsid w:val="00A276D4"/>
    <w:rsid w:val="00A35ED4"/>
    <w:rsid w:val="00A3662A"/>
    <w:rsid w:val="00A36D70"/>
    <w:rsid w:val="00A40CD1"/>
    <w:rsid w:val="00A42C15"/>
    <w:rsid w:val="00A42E4C"/>
    <w:rsid w:val="00A456F2"/>
    <w:rsid w:val="00A45987"/>
    <w:rsid w:val="00A473CC"/>
    <w:rsid w:val="00A507DE"/>
    <w:rsid w:val="00A53275"/>
    <w:rsid w:val="00A53C0B"/>
    <w:rsid w:val="00A563E8"/>
    <w:rsid w:val="00A62444"/>
    <w:rsid w:val="00A63B19"/>
    <w:rsid w:val="00A64091"/>
    <w:rsid w:val="00A64516"/>
    <w:rsid w:val="00A651B8"/>
    <w:rsid w:val="00A74C01"/>
    <w:rsid w:val="00A75EA0"/>
    <w:rsid w:val="00A76DFD"/>
    <w:rsid w:val="00A800F3"/>
    <w:rsid w:val="00A82F17"/>
    <w:rsid w:val="00A83E91"/>
    <w:rsid w:val="00A90B2D"/>
    <w:rsid w:val="00A9329A"/>
    <w:rsid w:val="00AA3ECE"/>
    <w:rsid w:val="00AA4D43"/>
    <w:rsid w:val="00AA5842"/>
    <w:rsid w:val="00AA5AD8"/>
    <w:rsid w:val="00AA64CA"/>
    <w:rsid w:val="00AA6931"/>
    <w:rsid w:val="00AA7643"/>
    <w:rsid w:val="00AB35FA"/>
    <w:rsid w:val="00AB4938"/>
    <w:rsid w:val="00AC4CAC"/>
    <w:rsid w:val="00AC5396"/>
    <w:rsid w:val="00AC7468"/>
    <w:rsid w:val="00AD3197"/>
    <w:rsid w:val="00AD3303"/>
    <w:rsid w:val="00AE32BC"/>
    <w:rsid w:val="00AE34D9"/>
    <w:rsid w:val="00AF6471"/>
    <w:rsid w:val="00AF695C"/>
    <w:rsid w:val="00B01CC6"/>
    <w:rsid w:val="00B0697B"/>
    <w:rsid w:val="00B076C5"/>
    <w:rsid w:val="00B1020D"/>
    <w:rsid w:val="00B153C7"/>
    <w:rsid w:val="00B17096"/>
    <w:rsid w:val="00B17412"/>
    <w:rsid w:val="00B17453"/>
    <w:rsid w:val="00B260DB"/>
    <w:rsid w:val="00B26C24"/>
    <w:rsid w:val="00B32A92"/>
    <w:rsid w:val="00B32F36"/>
    <w:rsid w:val="00B33382"/>
    <w:rsid w:val="00B33452"/>
    <w:rsid w:val="00B33832"/>
    <w:rsid w:val="00B369CB"/>
    <w:rsid w:val="00B45B3F"/>
    <w:rsid w:val="00B469BB"/>
    <w:rsid w:val="00B46B07"/>
    <w:rsid w:val="00B46C2A"/>
    <w:rsid w:val="00B46D82"/>
    <w:rsid w:val="00B5442B"/>
    <w:rsid w:val="00B5456E"/>
    <w:rsid w:val="00B54DED"/>
    <w:rsid w:val="00B56AAD"/>
    <w:rsid w:val="00B56C95"/>
    <w:rsid w:val="00B6072B"/>
    <w:rsid w:val="00B61AE3"/>
    <w:rsid w:val="00B6292A"/>
    <w:rsid w:val="00B65A27"/>
    <w:rsid w:val="00B71235"/>
    <w:rsid w:val="00B7179E"/>
    <w:rsid w:val="00B71B39"/>
    <w:rsid w:val="00B75716"/>
    <w:rsid w:val="00B776E8"/>
    <w:rsid w:val="00B80AD3"/>
    <w:rsid w:val="00B84572"/>
    <w:rsid w:val="00B929D4"/>
    <w:rsid w:val="00BA029F"/>
    <w:rsid w:val="00BA033D"/>
    <w:rsid w:val="00BA18C5"/>
    <w:rsid w:val="00BA248A"/>
    <w:rsid w:val="00BA4444"/>
    <w:rsid w:val="00BB10EA"/>
    <w:rsid w:val="00BB14DA"/>
    <w:rsid w:val="00BB3C3F"/>
    <w:rsid w:val="00BB5610"/>
    <w:rsid w:val="00BB5EB1"/>
    <w:rsid w:val="00BC03CF"/>
    <w:rsid w:val="00BC065C"/>
    <w:rsid w:val="00BC5F79"/>
    <w:rsid w:val="00BC7146"/>
    <w:rsid w:val="00BD1F3E"/>
    <w:rsid w:val="00BD4AF8"/>
    <w:rsid w:val="00BD52B0"/>
    <w:rsid w:val="00BE0A23"/>
    <w:rsid w:val="00BE791C"/>
    <w:rsid w:val="00BF19D8"/>
    <w:rsid w:val="00BF5AE9"/>
    <w:rsid w:val="00BF674D"/>
    <w:rsid w:val="00BF769E"/>
    <w:rsid w:val="00BF7F0B"/>
    <w:rsid w:val="00C001AA"/>
    <w:rsid w:val="00C00307"/>
    <w:rsid w:val="00C1045E"/>
    <w:rsid w:val="00C22A3A"/>
    <w:rsid w:val="00C24B58"/>
    <w:rsid w:val="00C30B7C"/>
    <w:rsid w:val="00C32E4F"/>
    <w:rsid w:val="00C36366"/>
    <w:rsid w:val="00C37E91"/>
    <w:rsid w:val="00C40A1B"/>
    <w:rsid w:val="00C43617"/>
    <w:rsid w:val="00C44028"/>
    <w:rsid w:val="00C45404"/>
    <w:rsid w:val="00C476F5"/>
    <w:rsid w:val="00C52281"/>
    <w:rsid w:val="00C530CF"/>
    <w:rsid w:val="00C56EA4"/>
    <w:rsid w:val="00C60946"/>
    <w:rsid w:val="00C62A42"/>
    <w:rsid w:val="00C6437F"/>
    <w:rsid w:val="00C64446"/>
    <w:rsid w:val="00C67A08"/>
    <w:rsid w:val="00C7275F"/>
    <w:rsid w:val="00C73233"/>
    <w:rsid w:val="00C76487"/>
    <w:rsid w:val="00C77396"/>
    <w:rsid w:val="00C80F85"/>
    <w:rsid w:val="00C81770"/>
    <w:rsid w:val="00C847CC"/>
    <w:rsid w:val="00C86707"/>
    <w:rsid w:val="00C924D0"/>
    <w:rsid w:val="00C96179"/>
    <w:rsid w:val="00CA0864"/>
    <w:rsid w:val="00CA3C81"/>
    <w:rsid w:val="00CA4BA1"/>
    <w:rsid w:val="00CA64D9"/>
    <w:rsid w:val="00CA6DB6"/>
    <w:rsid w:val="00CB5632"/>
    <w:rsid w:val="00CB76E2"/>
    <w:rsid w:val="00CC4262"/>
    <w:rsid w:val="00CC4BD9"/>
    <w:rsid w:val="00CD3E57"/>
    <w:rsid w:val="00CD581B"/>
    <w:rsid w:val="00CD7853"/>
    <w:rsid w:val="00CE7E01"/>
    <w:rsid w:val="00CF0596"/>
    <w:rsid w:val="00CF1269"/>
    <w:rsid w:val="00CF145D"/>
    <w:rsid w:val="00D01EE9"/>
    <w:rsid w:val="00D03A29"/>
    <w:rsid w:val="00D047F2"/>
    <w:rsid w:val="00D06F98"/>
    <w:rsid w:val="00D119E6"/>
    <w:rsid w:val="00D21C0E"/>
    <w:rsid w:val="00D21DB4"/>
    <w:rsid w:val="00D22DFC"/>
    <w:rsid w:val="00D23929"/>
    <w:rsid w:val="00D23D93"/>
    <w:rsid w:val="00D264AE"/>
    <w:rsid w:val="00D405F9"/>
    <w:rsid w:val="00D4641C"/>
    <w:rsid w:val="00D46687"/>
    <w:rsid w:val="00D47725"/>
    <w:rsid w:val="00D50668"/>
    <w:rsid w:val="00D50D5E"/>
    <w:rsid w:val="00D54330"/>
    <w:rsid w:val="00D60919"/>
    <w:rsid w:val="00D61234"/>
    <w:rsid w:val="00D61CB3"/>
    <w:rsid w:val="00D6313B"/>
    <w:rsid w:val="00D66244"/>
    <w:rsid w:val="00D758A4"/>
    <w:rsid w:val="00D75DC3"/>
    <w:rsid w:val="00D76003"/>
    <w:rsid w:val="00D763E8"/>
    <w:rsid w:val="00D77482"/>
    <w:rsid w:val="00D80D43"/>
    <w:rsid w:val="00D80F0E"/>
    <w:rsid w:val="00D82052"/>
    <w:rsid w:val="00D82354"/>
    <w:rsid w:val="00D834A4"/>
    <w:rsid w:val="00D83A3D"/>
    <w:rsid w:val="00D83F56"/>
    <w:rsid w:val="00D86FD4"/>
    <w:rsid w:val="00D87BF0"/>
    <w:rsid w:val="00D919E9"/>
    <w:rsid w:val="00D943C4"/>
    <w:rsid w:val="00DA45FF"/>
    <w:rsid w:val="00DB38AA"/>
    <w:rsid w:val="00DB5033"/>
    <w:rsid w:val="00DB7E66"/>
    <w:rsid w:val="00DC002E"/>
    <w:rsid w:val="00DC1359"/>
    <w:rsid w:val="00DC244C"/>
    <w:rsid w:val="00DC3943"/>
    <w:rsid w:val="00DC702B"/>
    <w:rsid w:val="00DD148E"/>
    <w:rsid w:val="00DD1878"/>
    <w:rsid w:val="00DD2AD3"/>
    <w:rsid w:val="00DD3631"/>
    <w:rsid w:val="00DD592F"/>
    <w:rsid w:val="00DE6882"/>
    <w:rsid w:val="00DF10C1"/>
    <w:rsid w:val="00DF7996"/>
    <w:rsid w:val="00E044EB"/>
    <w:rsid w:val="00E04B43"/>
    <w:rsid w:val="00E20215"/>
    <w:rsid w:val="00E2528A"/>
    <w:rsid w:val="00E25EBB"/>
    <w:rsid w:val="00E27B7F"/>
    <w:rsid w:val="00E3432D"/>
    <w:rsid w:val="00E37603"/>
    <w:rsid w:val="00E4272F"/>
    <w:rsid w:val="00E43099"/>
    <w:rsid w:val="00E43199"/>
    <w:rsid w:val="00E44996"/>
    <w:rsid w:val="00E50957"/>
    <w:rsid w:val="00E51148"/>
    <w:rsid w:val="00E55E3E"/>
    <w:rsid w:val="00E675CE"/>
    <w:rsid w:val="00E70E1A"/>
    <w:rsid w:val="00E71668"/>
    <w:rsid w:val="00E73D5B"/>
    <w:rsid w:val="00E74129"/>
    <w:rsid w:val="00E74DD4"/>
    <w:rsid w:val="00E86A90"/>
    <w:rsid w:val="00E901A4"/>
    <w:rsid w:val="00E90A41"/>
    <w:rsid w:val="00E90F6E"/>
    <w:rsid w:val="00E912EC"/>
    <w:rsid w:val="00E96477"/>
    <w:rsid w:val="00EA34D7"/>
    <w:rsid w:val="00EA47BE"/>
    <w:rsid w:val="00EA4F2A"/>
    <w:rsid w:val="00EA54CD"/>
    <w:rsid w:val="00EB19D8"/>
    <w:rsid w:val="00EB2474"/>
    <w:rsid w:val="00EB422C"/>
    <w:rsid w:val="00EB6472"/>
    <w:rsid w:val="00EB682A"/>
    <w:rsid w:val="00EC2CF6"/>
    <w:rsid w:val="00EC352C"/>
    <w:rsid w:val="00EC595A"/>
    <w:rsid w:val="00EC5AFC"/>
    <w:rsid w:val="00EC7E51"/>
    <w:rsid w:val="00ED1E52"/>
    <w:rsid w:val="00ED34AE"/>
    <w:rsid w:val="00ED5F93"/>
    <w:rsid w:val="00EE24B3"/>
    <w:rsid w:val="00EE4763"/>
    <w:rsid w:val="00EF13F5"/>
    <w:rsid w:val="00EF3D10"/>
    <w:rsid w:val="00EF7144"/>
    <w:rsid w:val="00F01F3D"/>
    <w:rsid w:val="00F02DC1"/>
    <w:rsid w:val="00F16763"/>
    <w:rsid w:val="00F1685D"/>
    <w:rsid w:val="00F20E99"/>
    <w:rsid w:val="00F22252"/>
    <w:rsid w:val="00F23414"/>
    <w:rsid w:val="00F2604E"/>
    <w:rsid w:val="00F269F6"/>
    <w:rsid w:val="00F27635"/>
    <w:rsid w:val="00F31B88"/>
    <w:rsid w:val="00F3289E"/>
    <w:rsid w:val="00F36C27"/>
    <w:rsid w:val="00F40336"/>
    <w:rsid w:val="00F41A2B"/>
    <w:rsid w:val="00F47535"/>
    <w:rsid w:val="00F51542"/>
    <w:rsid w:val="00F55516"/>
    <w:rsid w:val="00F57012"/>
    <w:rsid w:val="00F6700E"/>
    <w:rsid w:val="00F710A2"/>
    <w:rsid w:val="00F7213B"/>
    <w:rsid w:val="00F75645"/>
    <w:rsid w:val="00F77774"/>
    <w:rsid w:val="00F8675B"/>
    <w:rsid w:val="00F9030D"/>
    <w:rsid w:val="00F90FF1"/>
    <w:rsid w:val="00F91470"/>
    <w:rsid w:val="00FA1F03"/>
    <w:rsid w:val="00FA2D7A"/>
    <w:rsid w:val="00FA31F1"/>
    <w:rsid w:val="00FA641C"/>
    <w:rsid w:val="00FB50E3"/>
    <w:rsid w:val="00FB5FCF"/>
    <w:rsid w:val="00FB68CF"/>
    <w:rsid w:val="00FC085E"/>
    <w:rsid w:val="00FD09C0"/>
    <w:rsid w:val="00FD4DE0"/>
    <w:rsid w:val="00FE1334"/>
    <w:rsid w:val="00FE4497"/>
    <w:rsid w:val="00FE48D7"/>
    <w:rsid w:val="00FE4C7B"/>
    <w:rsid w:val="00FF311B"/>
    <w:rsid w:val="00FF326D"/>
    <w:rsid w:val="00FF339B"/>
    <w:rsid w:val="00FF408B"/>
    <w:rsid w:val="00FF4949"/>
    <w:rsid w:val="00FF61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7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0B37"/>
    <w:rPr>
      <w:rFonts w:cs="Times New Roman"/>
      <w:color w:val="0000FF"/>
      <w:u w:val="single"/>
    </w:rPr>
  </w:style>
  <w:style w:type="paragraph" w:styleId="Header">
    <w:name w:val="header"/>
    <w:basedOn w:val="Normal"/>
    <w:link w:val="HeaderChar"/>
    <w:uiPriority w:val="99"/>
    <w:rsid w:val="000C0925"/>
    <w:pPr>
      <w:tabs>
        <w:tab w:val="center" w:pos="4320"/>
        <w:tab w:val="right" w:pos="8640"/>
      </w:tabs>
    </w:pPr>
  </w:style>
  <w:style w:type="character" w:customStyle="1" w:styleId="HeaderChar">
    <w:name w:val="Header Char"/>
    <w:basedOn w:val="DefaultParagraphFont"/>
    <w:link w:val="Header"/>
    <w:uiPriority w:val="99"/>
    <w:semiHidden/>
    <w:rsid w:val="009F4DA0"/>
    <w:rPr>
      <w:sz w:val="24"/>
      <w:szCs w:val="24"/>
      <w:lang w:val="en-US" w:eastAsia="en-US"/>
    </w:rPr>
  </w:style>
  <w:style w:type="paragraph" w:styleId="Footer">
    <w:name w:val="footer"/>
    <w:basedOn w:val="Normal"/>
    <w:link w:val="FooterChar"/>
    <w:uiPriority w:val="99"/>
    <w:rsid w:val="000C0925"/>
    <w:pPr>
      <w:tabs>
        <w:tab w:val="center" w:pos="4320"/>
        <w:tab w:val="right" w:pos="8640"/>
      </w:tabs>
    </w:pPr>
  </w:style>
  <w:style w:type="character" w:customStyle="1" w:styleId="FooterChar">
    <w:name w:val="Footer Char"/>
    <w:basedOn w:val="DefaultParagraphFont"/>
    <w:link w:val="Footer"/>
    <w:uiPriority w:val="99"/>
    <w:semiHidden/>
    <w:rsid w:val="009F4DA0"/>
    <w:rPr>
      <w:sz w:val="24"/>
      <w:szCs w:val="24"/>
      <w:lang w:val="en-US" w:eastAsia="en-US"/>
    </w:rPr>
  </w:style>
  <w:style w:type="table" w:styleId="TableGrid">
    <w:name w:val="Table Grid"/>
    <w:basedOn w:val="TableNormal"/>
    <w:uiPriority w:val="99"/>
    <w:rsid w:val="008B73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B73A0"/>
    <w:rPr>
      <w:rFonts w:cs="Times New Roman"/>
    </w:rPr>
  </w:style>
  <w:style w:type="paragraph" w:styleId="BalloonText">
    <w:name w:val="Balloon Text"/>
    <w:basedOn w:val="Normal"/>
    <w:link w:val="BalloonTextChar"/>
    <w:uiPriority w:val="99"/>
    <w:semiHidden/>
    <w:rsid w:val="0026495D"/>
    <w:rPr>
      <w:rFonts w:ascii="Tahoma" w:hAnsi="Tahoma" w:cs="Tahoma"/>
      <w:sz w:val="16"/>
      <w:szCs w:val="16"/>
    </w:rPr>
  </w:style>
  <w:style w:type="character" w:customStyle="1" w:styleId="BalloonTextChar">
    <w:name w:val="Balloon Text Char"/>
    <w:basedOn w:val="DefaultParagraphFont"/>
    <w:link w:val="BalloonText"/>
    <w:uiPriority w:val="99"/>
    <w:semiHidden/>
    <w:rsid w:val="009F4DA0"/>
    <w:rPr>
      <w:sz w:val="0"/>
      <w:szCs w:val="0"/>
      <w:lang w:val="en-US" w:eastAsia="en-US"/>
    </w:rPr>
  </w:style>
  <w:style w:type="character" w:styleId="FollowedHyperlink">
    <w:name w:val="FollowedHyperlink"/>
    <w:basedOn w:val="DefaultParagraphFont"/>
    <w:uiPriority w:val="99"/>
    <w:rsid w:val="0025191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10494645">
      <w:marLeft w:val="0"/>
      <w:marRight w:val="0"/>
      <w:marTop w:val="0"/>
      <w:marBottom w:val="0"/>
      <w:divBdr>
        <w:top w:val="none" w:sz="0" w:space="0" w:color="auto"/>
        <w:left w:val="none" w:sz="0" w:space="0" w:color="auto"/>
        <w:bottom w:val="none" w:sz="0" w:space="0" w:color="auto"/>
        <w:right w:val="none" w:sz="0" w:space="0" w:color="auto"/>
      </w:divBdr>
    </w:div>
    <w:div w:id="710494646">
      <w:marLeft w:val="0"/>
      <w:marRight w:val="0"/>
      <w:marTop w:val="0"/>
      <w:marBottom w:val="0"/>
      <w:divBdr>
        <w:top w:val="none" w:sz="0" w:space="0" w:color="auto"/>
        <w:left w:val="none" w:sz="0" w:space="0" w:color="auto"/>
        <w:bottom w:val="none" w:sz="0" w:space="0" w:color="auto"/>
        <w:right w:val="none" w:sz="0" w:space="0" w:color="auto"/>
      </w:divBdr>
      <w:divsChild>
        <w:div w:id="710494647">
          <w:marLeft w:val="0"/>
          <w:marRight w:val="0"/>
          <w:marTop w:val="0"/>
          <w:marBottom w:val="0"/>
          <w:divBdr>
            <w:top w:val="none" w:sz="0" w:space="0" w:color="auto"/>
            <w:left w:val="none" w:sz="0" w:space="0" w:color="auto"/>
            <w:bottom w:val="none" w:sz="0" w:space="0" w:color="auto"/>
            <w:right w:val="none" w:sz="0" w:space="0" w:color="auto"/>
          </w:divBdr>
          <w:divsChild>
            <w:div w:id="7104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648">
      <w:marLeft w:val="0"/>
      <w:marRight w:val="0"/>
      <w:marTop w:val="0"/>
      <w:marBottom w:val="0"/>
      <w:divBdr>
        <w:top w:val="none" w:sz="0" w:space="0" w:color="auto"/>
        <w:left w:val="none" w:sz="0" w:space="0" w:color="auto"/>
        <w:bottom w:val="none" w:sz="0" w:space="0" w:color="auto"/>
        <w:right w:val="none" w:sz="0" w:space="0" w:color="auto"/>
      </w:divBdr>
      <w:divsChild>
        <w:div w:id="710494654">
          <w:marLeft w:val="0"/>
          <w:marRight w:val="0"/>
          <w:marTop w:val="0"/>
          <w:marBottom w:val="0"/>
          <w:divBdr>
            <w:top w:val="none" w:sz="0" w:space="0" w:color="auto"/>
            <w:left w:val="none" w:sz="0" w:space="0" w:color="auto"/>
            <w:bottom w:val="none" w:sz="0" w:space="0" w:color="auto"/>
            <w:right w:val="none" w:sz="0" w:space="0" w:color="auto"/>
          </w:divBdr>
        </w:div>
      </w:divsChild>
    </w:div>
    <w:div w:id="710494649">
      <w:marLeft w:val="0"/>
      <w:marRight w:val="0"/>
      <w:marTop w:val="0"/>
      <w:marBottom w:val="0"/>
      <w:divBdr>
        <w:top w:val="none" w:sz="0" w:space="0" w:color="auto"/>
        <w:left w:val="none" w:sz="0" w:space="0" w:color="auto"/>
        <w:bottom w:val="none" w:sz="0" w:space="0" w:color="auto"/>
        <w:right w:val="none" w:sz="0" w:space="0" w:color="auto"/>
      </w:divBdr>
    </w:div>
    <w:div w:id="710494650">
      <w:marLeft w:val="0"/>
      <w:marRight w:val="0"/>
      <w:marTop w:val="0"/>
      <w:marBottom w:val="0"/>
      <w:divBdr>
        <w:top w:val="none" w:sz="0" w:space="0" w:color="auto"/>
        <w:left w:val="none" w:sz="0" w:space="0" w:color="auto"/>
        <w:bottom w:val="none" w:sz="0" w:space="0" w:color="auto"/>
        <w:right w:val="none" w:sz="0" w:space="0" w:color="auto"/>
      </w:divBdr>
    </w:div>
    <w:div w:id="710494651">
      <w:marLeft w:val="0"/>
      <w:marRight w:val="0"/>
      <w:marTop w:val="0"/>
      <w:marBottom w:val="0"/>
      <w:divBdr>
        <w:top w:val="none" w:sz="0" w:space="0" w:color="auto"/>
        <w:left w:val="none" w:sz="0" w:space="0" w:color="auto"/>
        <w:bottom w:val="none" w:sz="0" w:space="0" w:color="auto"/>
        <w:right w:val="none" w:sz="0" w:space="0" w:color="auto"/>
      </w:divBdr>
    </w:div>
    <w:div w:id="710494652">
      <w:marLeft w:val="0"/>
      <w:marRight w:val="0"/>
      <w:marTop w:val="0"/>
      <w:marBottom w:val="0"/>
      <w:divBdr>
        <w:top w:val="none" w:sz="0" w:space="0" w:color="auto"/>
        <w:left w:val="none" w:sz="0" w:space="0" w:color="auto"/>
        <w:bottom w:val="none" w:sz="0" w:space="0" w:color="auto"/>
        <w:right w:val="none" w:sz="0" w:space="0" w:color="auto"/>
      </w:divBdr>
      <w:divsChild>
        <w:div w:id="710494655">
          <w:marLeft w:val="0"/>
          <w:marRight w:val="0"/>
          <w:marTop w:val="0"/>
          <w:marBottom w:val="0"/>
          <w:divBdr>
            <w:top w:val="none" w:sz="0" w:space="0" w:color="auto"/>
            <w:left w:val="none" w:sz="0" w:space="0" w:color="auto"/>
            <w:bottom w:val="none" w:sz="0" w:space="0" w:color="auto"/>
            <w:right w:val="none" w:sz="0" w:space="0" w:color="auto"/>
          </w:divBdr>
        </w:div>
      </w:divsChild>
    </w:div>
    <w:div w:id="710494656">
      <w:marLeft w:val="0"/>
      <w:marRight w:val="0"/>
      <w:marTop w:val="0"/>
      <w:marBottom w:val="0"/>
      <w:divBdr>
        <w:top w:val="none" w:sz="0" w:space="0" w:color="auto"/>
        <w:left w:val="none" w:sz="0" w:space="0" w:color="auto"/>
        <w:bottom w:val="none" w:sz="0" w:space="0" w:color="auto"/>
        <w:right w:val="none" w:sz="0" w:space="0" w:color="auto"/>
      </w:divBdr>
    </w:div>
    <w:div w:id="710494657">
      <w:marLeft w:val="0"/>
      <w:marRight w:val="0"/>
      <w:marTop w:val="0"/>
      <w:marBottom w:val="0"/>
      <w:divBdr>
        <w:top w:val="none" w:sz="0" w:space="0" w:color="auto"/>
        <w:left w:val="none" w:sz="0" w:space="0" w:color="auto"/>
        <w:bottom w:val="none" w:sz="0" w:space="0" w:color="auto"/>
        <w:right w:val="none" w:sz="0" w:space="0" w:color="auto"/>
      </w:divBdr>
    </w:div>
    <w:div w:id="710494658">
      <w:marLeft w:val="0"/>
      <w:marRight w:val="0"/>
      <w:marTop w:val="0"/>
      <w:marBottom w:val="0"/>
      <w:divBdr>
        <w:top w:val="none" w:sz="0" w:space="0" w:color="auto"/>
        <w:left w:val="none" w:sz="0" w:space="0" w:color="auto"/>
        <w:bottom w:val="none" w:sz="0" w:space="0" w:color="auto"/>
        <w:right w:val="none" w:sz="0" w:space="0" w:color="auto"/>
      </w:divBdr>
    </w:div>
    <w:div w:id="710494659">
      <w:marLeft w:val="0"/>
      <w:marRight w:val="0"/>
      <w:marTop w:val="0"/>
      <w:marBottom w:val="0"/>
      <w:divBdr>
        <w:top w:val="none" w:sz="0" w:space="0" w:color="auto"/>
        <w:left w:val="none" w:sz="0" w:space="0" w:color="auto"/>
        <w:bottom w:val="none" w:sz="0" w:space="0" w:color="auto"/>
        <w:right w:val="none" w:sz="0" w:space="0" w:color="auto"/>
      </w:divBdr>
    </w:div>
    <w:div w:id="710494660">
      <w:marLeft w:val="0"/>
      <w:marRight w:val="0"/>
      <w:marTop w:val="0"/>
      <w:marBottom w:val="0"/>
      <w:divBdr>
        <w:top w:val="none" w:sz="0" w:space="0" w:color="auto"/>
        <w:left w:val="none" w:sz="0" w:space="0" w:color="auto"/>
        <w:bottom w:val="none" w:sz="0" w:space="0" w:color="auto"/>
        <w:right w:val="none" w:sz="0" w:space="0" w:color="auto"/>
      </w:divBdr>
    </w:div>
    <w:div w:id="710494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tragon@brunswickgroup.com" TargetMode="External"/><Relationship Id="rId3" Type="http://schemas.openxmlformats.org/officeDocument/2006/relationships/settings" Target="settings.xml"/><Relationship Id="rId7" Type="http://schemas.openxmlformats.org/officeDocument/2006/relationships/hyperlink" Target="mailto:ir@tetragonin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349</Words>
  <Characters>1891</Characters>
  <Application>Microsoft Office Outlook</Application>
  <DocSecurity>0</DocSecurity>
  <Lines>0</Lines>
  <Paragraphs>0</Paragraphs>
  <ScaleCrop>false</ScaleCrop>
  <Company>Polygon Investment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hlockhart</dc:creator>
  <cp:keywords/>
  <dc:description/>
  <cp:lastModifiedBy>A User</cp:lastModifiedBy>
  <cp:revision>2</cp:revision>
  <cp:lastPrinted>2012-07-06T15:59:00Z</cp:lastPrinted>
  <dcterms:created xsi:type="dcterms:W3CDTF">2012-07-20T16:51:00Z</dcterms:created>
  <dcterms:modified xsi:type="dcterms:W3CDTF">2012-07-20T16:51:00Z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oFAAoY+b3dyoaiSk0idaxrQY7VF0xMocQfbpl7eV9n68WHVSRJqNNbgf2QBdKxpD1D9ot9oU8YK3LtQr5+e+E2zL2auoFyNYvoI3WvnJVGQWvQ6IOjVoJY6T5YQ1NxaGCwsJzj0ErBjtIrIr5+e+E2zL2auoFyNYvoI3WvnJVGQWvQ6IOjVoJY6T5bV3fpk2ve81kg5/TxZPQSOIqgEt+gYpRGOjU6VMwkAg56croyHOBDhPzUQ4IXhpb</vt:lpwstr>
  </property>
  <property fmtid="{D5CDD505-2E9C-101B-9397-08002B2CF9AE}" pid="3" name="MAIL_MSG_ID2">
    <vt:lpwstr>WBYVDZ17msW/oZ5w9R7CNFtYWWf2nWHV2eoyLbpmpgjvKUhk/zTGfKTTr83m1RsPvOnDN307Za2BwSXQyObpK23Hi95eaq9WD4hlIpStkHM</vt:lpwstr>
  </property>
  <property fmtid="{D5CDD505-2E9C-101B-9397-08002B2CF9AE}" pid="4" name="RESPONSE_SENDER_NAME">
    <vt:lpwstr>sAAAE34RQVAK31mbwJ79QX0alCbRZxIdx/EHUTaMNazuoVM=</vt:lpwstr>
  </property>
  <property fmtid="{D5CDD505-2E9C-101B-9397-08002B2CF9AE}" pid="5" name="EMAIL_OWNER_ADDRESS">
    <vt:lpwstr>4AAA4Lxe55UJ0C9QFnEMt4gdHJC3F64P3YbGS0DMvYlBw4ohyhA7mYu1iw==</vt:lpwstr>
  </property>
</Properties>
</file>