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5991" w14:textId="77777777" w:rsidR="00E11C6E" w:rsidRPr="00EC5B78" w:rsidRDefault="00E11C6E" w:rsidP="00EC5B78">
      <w:pPr>
        <w:spacing w:after="0" w:line="276" w:lineRule="auto"/>
        <w:jc w:val="both"/>
        <w:rPr>
          <w:rFonts w:ascii="Arial" w:hAnsi="Arial" w:cs="Arial"/>
          <w:lang w:val="en-CA" w:eastAsia="en-GB"/>
        </w:rPr>
      </w:pPr>
    </w:p>
    <w:p w14:paraId="4327E372" w14:textId="77777777" w:rsidR="00785A47" w:rsidRPr="00EC5B78" w:rsidRDefault="00785A47" w:rsidP="00AA1B80">
      <w:pPr>
        <w:spacing w:after="0" w:line="276" w:lineRule="auto"/>
        <w:jc w:val="both"/>
        <w:rPr>
          <w:rFonts w:ascii="Arial" w:hAnsi="Arial" w:cs="Arial"/>
          <w:color w:val="000000"/>
        </w:rPr>
      </w:pPr>
      <w:r w:rsidRPr="00EC5B78">
        <w:rPr>
          <w:rFonts w:ascii="Arial" w:hAnsi="Arial" w:cs="Arial"/>
          <w:color w:val="000000"/>
        </w:rPr>
        <w:t>This announcement contains inside information within the meaning of the Market Abuse Regulation (EU) (No 596/2014).</w:t>
      </w:r>
    </w:p>
    <w:p w14:paraId="6C4D6919" w14:textId="77777777" w:rsidR="00785A47" w:rsidRPr="00EC5B78" w:rsidRDefault="00785A47" w:rsidP="00EC5B78">
      <w:pPr>
        <w:spacing w:after="0" w:line="276" w:lineRule="auto"/>
        <w:jc w:val="both"/>
        <w:rPr>
          <w:rFonts w:ascii="Arial" w:hAnsi="Arial" w:cs="Arial"/>
          <w:lang w:val="en-CA" w:eastAsia="en-GB"/>
        </w:rPr>
      </w:pPr>
    </w:p>
    <w:p w14:paraId="70C5D85E" w14:textId="26714A90" w:rsidR="00E11C6E" w:rsidRPr="00EC5B78" w:rsidRDefault="003F0A0A" w:rsidP="00EC5B78">
      <w:pPr>
        <w:spacing w:after="0" w:line="276" w:lineRule="auto"/>
        <w:jc w:val="both"/>
        <w:rPr>
          <w:rFonts w:ascii="Arial" w:hAnsi="Arial" w:cs="Arial"/>
          <w:lang w:val="en-CA" w:eastAsia="en-GB"/>
        </w:rPr>
      </w:pPr>
      <w:r>
        <w:rPr>
          <w:rFonts w:ascii="Arial" w:hAnsi="Arial" w:cs="Arial"/>
          <w:lang w:val="en-CA" w:eastAsia="en-GB"/>
        </w:rPr>
        <w:t>23</w:t>
      </w:r>
      <w:bookmarkStart w:id="0" w:name="_GoBack"/>
      <w:bookmarkEnd w:id="0"/>
      <w:r w:rsidR="00EC5B78" w:rsidRPr="00EC5B78">
        <w:rPr>
          <w:rFonts w:ascii="Arial" w:hAnsi="Arial" w:cs="Arial"/>
          <w:lang w:val="en-CA" w:eastAsia="en-GB"/>
        </w:rPr>
        <w:t xml:space="preserve"> October</w:t>
      </w:r>
      <w:r w:rsidR="00A1364C" w:rsidRPr="00EC5B78">
        <w:rPr>
          <w:rFonts w:ascii="Arial" w:hAnsi="Arial" w:cs="Arial"/>
          <w:lang w:val="en-CA" w:eastAsia="en-GB"/>
        </w:rPr>
        <w:t xml:space="preserve"> 2018 </w:t>
      </w:r>
    </w:p>
    <w:p w14:paraId="710A8AC0" w14:textId="77777777" w:rsidR="00536FCA" w:rsidRPr="00EC5B78" w:rsidRDefault="00536FCA" w:rsidP="00EC5B78">
      <w:pPr>
        <w:spacing w:after="0" w:line="276" w:lineRule="auto"/>
        <w:jc w:val="both"/>
        <w:rPr>
          <w:rFonts w:ascii="Arial" w:hAnsi="Arial" w:cs="Arial"/>
          <w:lang w:val="en-CA" w:eastAsia="en-GB"/>
        </w:rPr>
      </w:pPr>
    </w:p>
    <w:p w14:paraId="3C79EAA6" w14:textId="77777777" w:rsidR="00E11C6E" w:rsidRPr="00EC5B78" w:rsidRDefault="0006722A" w:rsidP="00EC5B78">
      <w:pPr>
        <w:spacing w:after="0" w:line="276" w:lineRule="auto"/>
        <w:jc w:val="center"/>
        <w:rPr>
          <w:rFonts w:ascii="Arial" w:hAnsi="Arial" w:cs="Arial"/>
          <w:b/>
          <w:bCs/>
          <w:lang w:eastAsia="en-GB"/>
        </w:rPr>
      </w:pPr>
      <w:r w:rsidRPr="00EC5B78">
        <w:rPr>
          <w:rFonts w:ascii="Arial" w:hAnsi="Arial" w:cs="Arial"/>
          <w:b/>
          <w:bCs/>
          <w:lang w:eastAsia="en-GB"/>
        </w:rPr>
        <w:t>BCRE – Brack Capital Real Estate Investments N.V.</w:t>
      </w:r>
    </w:p>
    <w:p w14:paraId="2C2BC8BC" w14:textId="77777777" w:rsidR="006C67CC" w:rsidRPr="00EC5B78" w:rsidRDefault="0006722A" w:rsidP="00EC5B78">
      <w:pPr>
        <w:spacing w:after="0" w:line="276" w:lineRule="auto"/>
        <w:jc w:val="center"/>
        <w:rPr>
          <w:rFonts w:ascii="Arial" w:hAnsi="Arial" w:cs="Arial"/>
          <w:lang w:eastAsia="en-GB"/>
        </w:rPr>
      </w:pPr>
      <w:r w:rsidRPr="00EC5B78">
        <w:rPr>
          <w:rFonts w:ascii="Arial" w:hAnsi="Arial" w:cs="Arial"/>
          <w:lang w:eastAsia="en-GB"/>
        </w:rPr>
        <w:t>(“</w:t>
      </w:r>
      <w:r w:rsidRPr="00EC5B78">
        <w:rPr>
          <w:rFonts w:ascii="Arial" w:hAnsi="Arial" w:cs="Arial"/>
          <w:b/>
          <w:lang w:eastAsia="en-GB"/>
        </w:rPr>
        <w:t>BCRE</w:t>
      </w:r>
      <w:r w:rsidRPr="00EC5B78">
        <w:rPr>
          <w:rFonts w:ascii="Arial" w:hAnsi="Arial" w:cs="Arial"/>
          <w:lang w:eastAsia="en-GB"/>
        </w:rPr>
        <w:t>” or the “</w:t>
      </w:r>
      <w:r w:rsidRPr="00EC5B78">
        <w:rPr>
          <w:rFonts w:ascii="Arial" w:hAnsi="Arial" w:cs="Arial"/>
          <w:b/>
          <w:bCs/>
          <w:lang w:eastAsia="en-GB"/>
        </w:rPr>
        <w:t>Company</w:t>
      </w:r>
      <w:r w:rsidRPr="00EC5B78">
        <w:rPr>
          <w:rFonts w:ascii="Arial" w:hAnsi="Arial" w:cs="Arial"/>
          <w:lang w:eastAsia="en-GB"/>
        </w:rPr>
        <w:t>”)</w:t>
      </w:r>
    </w:p>
    <w:p w14:paraId="26C09363" w14:textId="718FEB4E" w:rsidR="002A19CA" w:rsidRPr="00C120EE" w:rsidRDefault="00C120EE" w:rsidP="00EC5B78">
      <w:pPr>
        <w:autoSpaceDE w:val="0"/>
        <w:autoSpaceDN w:val="0"/>
        <w:adjustRightInd w:val="0"/>
        <w:spacing w:after="0" w:line="276" w:lineRule="auto"/>
        <w:jc w:val="center"/>
        <w:rPr>
          <w:rFonts w:ascii="Arial" w:hAnsi="Arial" w:cs="Arial"/>
          <w:b/>
          <w:bCs/>
          <w:lang w:eastAsia="en-GB"/>
        </w:rPr>
      </w:pPr>
      <w:proofErr w:type="gramStart"/>
      <w:r w:rsidRPr="00C120EE">
        <w:rPr>
          <w:rFonts w:ascii="Arial" w:hAnsi="Arial" w:cs="Arial"/>
          <w:b/>
          <w:bCs/>
          <w:lang w:eastAsia="en-GB"/>
        </w:rPr>
        <w:t xml:space="preserve">Share </w:t>
      </w:r>
      <w:r w:rsidR="00633A5B" w:rsidRPr="00C120EE">
        <w:rPr>
          <w:rFonts w:ascii="Arial" w:hAnsi="Arial" w:cs="Arial"/>
          <w:b/>
          <w:bCs/>
          <w:lang w:eastAsia="en-GB"/>
        </w:rPr>
        <w:t xml:space="preserve"> </w:t>
      </w:r>
      <w:r w:rsidRPr="00C120EE">
        <w:rPr>
          <w:rFonts w:ascii="Arial" w:hAnsi="Arial" w:cs="Arial"/>
          <w:b/>
          <w:color w:val="000000"/>
        </w:rPr>
        <w:t>buyback</w:t>
      </w:r>
      <w:proofErr w:type="gramEnd"/>
      <w:r w:rsidRPr="00C120EE">
        <w:rPr>
          <w:rFonts w:ascii="Arial" w:hAnsi="Arial" w:cs="Arial"/>
          <w:b/>
          <w:color w:val="000000"/>
        </w:rPr>
        <w:t xml:space="preserve"> programme</w:t>
      </w:r>
    </w:p>
    <w:p w14:paraId="44E3148E" w14:textId="77777777" w:rsidR="00D42C4A" w:rsidRPr="00EC5B78" w:rsidRDefault="00D42C4A" w:rsidP="00EC5B78">
      <w:pPr>
        <w:autoSpaceDE w:val="0"/>
        <w:autoSpaceDN w:val="0"/>
        <w:adjustRightInd w:val="0"/>
        <w:spacing w:after="0" w:line="276" w:lineRule="auto"/>
        <w:jc w:val="both"/>
        <w:rPr>
          <w:rFonts w:ascii="Arial" w:hAnsi="Arial" w:cs="Arial"/>
          <w:color w:val="000000"/>
        </w:rPr>
      </w:pPr>
    </w:p>
    <w:p w14:paraId="7B72965F" w14:textId="7C15718B" w:rsidR="00C120EE" w:rsidRDefault="00C120EE" w:rsidP="00C120EE">
      <w:pPr>
        <w:spacing w:after="0" w:line="276" w:lineRule="auto"/>
        <w:jc w:val="both"/>
        <w:rPr>
          <w:rFonts w:ascii="Arial" w:hAnsi="Arial" w:cs="Arial"/>
          <w:color w:val="000000"/>
        </w:rPr>
      </w:pPr>
      <w:r w:rsidRPr="00C120EE">
        <w:rPr>
          <w:rFonts w:ascii="Arial" w:hAnsi="Arial" w:cs="Arial"/>
          <w:color w:val="000000"/>
        </w:rPr>
        <w:t>Following the Company’s previous share buyback programme which commenced in July 2018,</w:t>
      </w:r>
      <w:r>
        <w:rPr>
          <w:rFonts w:ascii="Arial" w:hAnsi="Arial" w:cs="Arial"/>
          <w:color w:val="000000"/>
        </w:rPr>
        <w:t xml:space="preserve"> under which no shares of the Company were purchased,</w:t>
      </w:r>
      <w:r w:rsidRPr="00C120EE">
        <w:rPr>
          <w:rFonts w:ascii="Arial" w:hAnsi="Arial" w:cs="Arial"/>
          <w:color w:val="000000"/>
        </w:rPr>
        <w:t xml:space="preserve"> the Board will offer a</w:t>
      </w:r>
      <w:r>
        <w:rPr>
          <w:rFonts w:ascii="Arial" w:hAnsi="Arial" w:cs="Arial"/>
          <w:color w:val="000000"/>
        </w:rPr>
        <w:t xml:space="preserve"> new</w:t>
      </w:r>
      <w:r w:rsidRPr="00C120EE">
        <w:rPr>
          <w:rFonts w:ascii="Arial" w:hAnsi="Arial" w:cs="Arial"/>
          <w:color w:val="000000"/>
        </w:rPr>
        <w:t xml:space="preserve"> share buyback programme up to a maximum of €2,000,000. The Company intends to cancel the shares upon repurchase. The </w:t>
      </w:r>
      <w:r>
        <w:rPr>
          <w:rFonts w:ascii="Arial" w:hAnsi="Arial" w:cs="Arial"/>
          <w:color w:val="000000"/>
        </w:rPr>
        <w:t xml:space="preserve">new </w:t>
      </w:r>
      <w:r w:rsidRPr="00C120EE">
        <w:rPr>
          <w:rFonts w:ascii="Arial" w:hAnsi="Arial" w:cs="Arial"/>
          <w:color w:val="000000"/>
        </w:rPr>
        <w:t>share buyback programme will commence on 24 October 2018 or shortly after and is expected to be completed</w:t>
      </w:r>
      <w:r>
        <w:rPr>
          <w:rFonts w:ascii="Arial" w:hAnsi="Arial" w:cs="Arial"/>
          <w:color w:val="000000"/>
        </w:rPr>
        <w:t xml:space="preserve"> on or before 31 December 2018.</w:t>
      </w:r>
    </w:p>
    <w:p w14:paraId="6C996ABB" w14:textId="77777777" w:rsidR="00C120EE" w:rsidRPr="00C120EE" w:rsidRDefault="00C120EE" w:rsidP="00C120EE">
      <w:pPr>
        <w:spacing w:after="0" w:line="276" w:lineRule="auto"/>
        <w:jc w:val="both"/>
        <w:rPr>
          <w:rFonts w:ascii="Arial" w:hAnsi="Arial" w:cs="Arial"/>
          <w:color w:val="000000"/>
        </w:rPr>
      </w:pPr>
    </w:p>
    <w:p w14:paraId="05CD91D0" w14:textId="5992BEDD" w:rsidR="00040649" w:rsidRDefault="00C120EE" w:rsidP="00C120EE">
      <w:pPr>
        <w:spacing w:after="0" w:line="276" w:lineRule="auto"/>
        <w:jc w:val="both"/>
        <w:rPr>
          <w:rFonts w:ascii="Arial" w:hAnsi="Arial" w:cs="Arial"/>
          <w:color w:val="000000"/>
        </w:rPr>
      </w:pPr>
      <w:r w:rsidRPr="00C120EE">
        <w:rPr>
          <w:rFonts w:ascii="Arial" w:hAnsi="Arial" w:cs="Arial"/>
          <w:color w:val="000000"/>
        </w:rPr>
        <w:t xml:space="preserve">The </w:t>
      </w:r>
      <w:r>
        <w:rPr>
          <w:rFonts w:ascii="Arial" w:hAnsi="Arial" w:cs="Arial"/>
          <w:color w:val="000000"/>
        </w:rPr>
        <w:t xml:space="preserve">new </w:t>
      </w:r>
      <w:r w:rsidRPr="00C120EE">
        <w:rPr>
          <w:rFonts w:ascii="Arial" w:hAnsi="Arial" w:cs="Arial"/>
          <w:color w:val="000000"/>
        </w:rPr>
        <w:t>share buyback programme will be executed by the Board within the limitations of the authority granted by the Annual General Meeting of the Company on 7 June 2018. Shares may be repurchased in the market or in private transactions at a price which is around the prevailing stock price at the time of the transaction. The Company will not make repurchases of Shares during any period when the Board is aware of inside information until such information has been publicly disclosed. Due to the generally low trading volume of the Shares, repurchases of Shares under the share buyback programme on any trading day will likely represent a significant proportion of the daily trading volume in the Shares.</w:t>
      </w:r>
    </w:p>
    <w:p w14:paraId="2AA81A17" w14:textId="77777777" w:rsidR="00C120EE" w:rsidRPr="00EC5B78" w:rsidRDefault="00C120EE" w:rsidP="00C120EE">
      <w:pPr>
        <w:spacing w:after="0" w:line="276" w:lineRule="auto"/>
        <w:jc w:val="both"/>
        <w:rPr>
          <w:rFonts w:ascii="Arial" w:hAnsi="Arial" w:cs="Arial"/>
          <w:color w:val="000000"/>
        </w:rPr>
      </w:pPr>
    </w:p>
    <w:p w14:paraId="3A5F8286" w14:textId="77777777" w:rsidR="006C67CC" w:rsidRPr="00EC5B78" w:rsidRDefault="006C67CC" w:rsidP="00EC5B78">
      <w:pPr>
        <w:spacing w:after="0" w:line="276" w:lineRule="auto"/>
        <w:rPr>
          <w:rFonts w:ascii="Arial" w:hAnsi="Arial" w:cs="Arial"/>
          <w:b/>
          <w:color w:val="000000"/>
        </w:rPr>
      </w:pPr>
      <w:r w:rsidRPr="00EC5B78">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C67CC" w:rsidRPr="00EC5B78" w14:paraId="60D4FE31" w14:textId="77777777" w:rsidTr="00195E9B">
        <w:tc>
          <w:tcPr>
            <w:tcW w:w="6639" w:type="dxa"/>
          </w:tcPr>
          <w:p w14:paraId="7D1F1DBA" w14:textId="77777777" w:rsidR="006C67CC" w:rsidRPr="00EC5B78" w:rsidRDefault="006C67CC" w:rsidP="00EC5B78">
            <w:pPr>
              <w:spacing w:line="276" w:lineRule="auto"/>
              <w:ind w:left="238"/>
              <w:rPr>
                <w:rFonts w:ascii="Arial" w:eastAsiaTheme="minorHAnsi" w:hAnsi="Arial" w:cs="Arial"/>
                <w:b/>
                <w:color w:val="000000"/>
                <w:sz w:val="22"/>
                <w:szCs w:val="22"/>
                <w:lang w:val="en-GB" w:eastAsia="en-US"/>
              </w:rPr>
            </w:pPr>
            <w:r w:rsidRPr="00EC5B78">
              <w:rPr>
                <w:rFonts w:ascii="Arial" w:eastAsiaTheme="minorHAnsi" w:hAnsi="Arial" w:cs="Arial"/>
                <w:b/>
                <w:color w:val="000000"/>
                <w:sz w:val="22"/>
                <w:szCs w:val="22"/>
                <w:lang w:val="en-GB" w:eastAsia="en-US"/>
              </w:rPr>
              <w:t>BCRE - Brack Capital Real Estate Investments N.V.</w:t>
            </w:r>
          </w:p>
        </w:tc>
        <w:tc>
          <w:tcPr>
            <w:tcW w:w="2279" w:type="dxa"/>
          </w:tcPr>
          <w:p w14:paraId="2DC45A9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316F2203" w14:textId="77777777" w:rsidTr="00195E9B">
        <w:tc>
          <w:tcPr>
            <w:tcW w:w="6639" w:type="dxa"/>
          </w:tcPr>
          <w:p w14:paraId="662890B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Nansia Koutsou, Co-Chief Executive Officer</w:t>
            </w:r>
          </w:p>
        </w:tc>
        <w:tc>
          <w:tcPr>
            <w:tcW w:w="2279" w:type="dxa"/>
          </w:tcPr>
          <w:p w14:paraId="3D4594E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5BF8B57D" w14:textId="77777777" w:rsidTr="00195E9B">
        <w:tc>
          <w:tcPr>
            <w:tcW w:w="6639" w:type="dxa"/>
          </w:tcPr>
          <w:p w14:paraId="0F78A5BC"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Shai Shamir, Co-Chief Executive Officer</w:t>
            </w:r>
          </w:p>
        </w:tc>
        <w:tc>
          <w:tcPr>
            <w:tcW w:w="2279" w:type="dxa"/>
          </w:tcPr>
          <w:p w14:paraId="227ACC34"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280518EA" w14:textId="77777777" w:rsidTr="00195E9B">
        <w:tc>
          <w:tcPr>
            <w:tcW w:w="6639" w:type="dxa"/>
          </w:tcPr>
          <w:p w14:paraId="6F576B00"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 xml:space="preserve">Yiannis Peslikas, Chief Financial Officer </w:t>
            </w:r>
          </w:p>
        </w:tc>
        <w:tc>
          <w:tcPr>
            <w:tcW w:w="2279" w:type="dxa"/>
          </w:tcPr>
          <w:p w14:paraId="07B0E31A"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+31 20 514 1004</w:t>
            </w:r>
          </w:p>
        </w:tc>
      </w:tr>
      <w:tr w:rsidR="006C67CC" w:rsidRPr="00EC5B78" w14:paraId="04C336A7" w14:textId="77777777" w:rsidTr="00195E9B">
        <w:tc>
          <w:tcPr>
            <w:tcW w:w="6639" w:type="dxa"/>
          </w:tcPr>
          <w:p w14:paraId="669992E3"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p w14:paraId="2CA4EC0D" w14:textId="77777777" w:rsidR="006C67CC" w:rsidRPr="00EC5B78" w:rsidRDefault="006C67CC" w:rsidP="00EC5B78">
            <w:pPr>
              <w:spacing w:line="276" w:lineRule="auto"/>
              <w:ind w:left="238"/>
              <w:rPr>
                <w:rFonts w:ascii="Arial" w:eastAsiaTheme="minorHAnsi" w:hAnsi="Arial" w:cs="Arial"/>
                <w:b/>
                <w:color w:val="000000"/>
                <w:sz w:val="22"/>
                <w:szCs w:val="22"/>
                <w:lang w:val="en-GB" w:eastAsia="en-US"/>
              </w:rPr>
            </w:pPr>
            <w:r w:rsidRPr="00EC5B78">
              <w:rPr>
                <w:rFonts w:ascii="Arial" w:eastAsiaTheme="minorHAnsi" w:hAnsi="Arial" w:cs="Arial"/>
                <w:b/>
                <w:color w:val="000000"/>
                <w:sz w:val="22"/>
                <w:szCs w:val="22"/>
                <w:lang w:val="en-GB" w:eastAsia="en-US"/>
              </w:rPr>
              <w:t>Novella Communications</w:t>
            </w:r>
          </w:p>
        </w:tc>
        <w:tc>
          <w:tcPr>
            <w:tcW w:w="2279" w:type="dxa"/>
          </w:tcPr>
          <w:p w14:paraId="4E00838A"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239D5E8A" w14:textId="77777777" w:rsidTr="00195E9B">
        <w:tc>
          <w:tcPr>
            <w:tcW w:w="6639" w:type="dxa"/>
          </w:tcPr>
          <w:p w14:paraId="50145F43"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Tim Robertson</w:t>
            </w:r>
          </w:p>
        </w:tc>
        <w:tc>
          <w:tcPr>
            <w:tcW w:w="2279" w:type="dxa"/>
          </w:tcPr>
          <w:p w14:paraId="389768D4"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1D058F5F" w14:textId="77777777" w:rsidTr="00195E9B">
        <w:tc>
          <w:tcPr>
            <w:tcW w:w="6639" w:type="dxa"/>
          </w:tcPr>
          <w:p w14:paraId="67409F95"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Toby Andrews</w:t>
            </w:r>
          </w:p>
        </w:tc>
        <w:tc>
          <w:tcPr>
            <w:tcW w:w="2279" w:type="dxa"/>
          </w:tcPr>
          <w:p w14:paraId="353713F6"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+44 203 151 7008</w:t>
            </w:r>
          </w:p>
        </w:tc>
      </w:tr>
    </w:tbl>
    <w:p w14:paraId="795A0287" w14:textId="77777777" w:rsidR="006C67CC" w:rsidRPr="00EC5B78" w:rsidRDefault="006C67CC" w:rsidP="00EC5B78">
      <w:pPr>
        <w:spacing w:after="0" w:line="276" w:lineRule="auto"/>
        <w:rPr>
          <w:rFonts w:ascii="Arial" w:hAnsi="Arial" w:cs="Arial"/>
          <w:color w:val="000000"/>
        </w:rPr>
      </w:pPr>
    </w:p>
    <w:p w14:paraId="0D1FFF24" w14:textId="77777777" w:rsidR="006C67CC" w:rsidRDefault="006C67CC" w:rsidP="00EC5B78">
      <w:pPr>
        <w:spacing w:after="0" w:line="276" w:lineRule="auto"/>
        <w:rPr>
          <w:rFonts w:ascii="Arial" w:hAnsi="Arial" w:cs="Arial"/>
          <w:b/>
          <w:color w:val="000000"/>
        </w:rPr>
      </w:pPr>
      <w:r w:rsidRPr="00EC5B78">
        <w:rPr>
          <w:rFonts w:ascii="Arial" w:hAnsi="Arial" w:cs="Arial"/>
          <w:b/>
          <w:color w:val="000000"/>
        </w:rPr>
        <w:t>About BCRE</w:t>
      </w:r>
    </w:p>
    <w:p w14:paraId="1F8BB291" w14:textId="77777777" w:rsidR="005215AA" w:rsidRPr="00EC5B78" w:rsidRDefault="005215AA" w:rsidP="00EC5B78">
      <w:pPr>
        <w:spacing w:after="0" w:line="276" w:lineRule="auto"/>
        <w:rPr>
          <w:rFonts w:ascii="Arial" w:hAnsi="Arial" w:cs="Arial"/>
          <w:b/>
          <w:color w:val="000000"/>
        </w:rPr>
      </w:pPr>
    </w:p>
    <w:p w14:paraId="4D4E17C7" w14:textId="77777777" w:rsidR="006C67CC" w:rsidRPr="00EC5B78" w:rsidRDefault="006C67CC" w:rsidP="00EC5B78">
      <w:pPr>
        <w:spacing w:after="0" w:line="276" w:lineRule="auto"/>
        <w:jc w:val="both"/>
        <w:rPr>
          <w:rFonts w:ascii="Arial" w:hAnsi="Arial" w:cs="Arial"/>
          <w:color w:val="000000"/>
        </w:rPr>
      </w:pPr>
      <w:r w:rsidRPr="00EC5B78">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14:paraId="47F3027C" w14:textId="77777777" w:rsidR="006C67CC" w:rsidRPr="00EC5B78" w:rsidRDefault="006C67CC" w:rsidP="00EC5B78">
      <w:pPr>
        <w:spacing w:after="0" w:line="276" w:lineRule="auto"/>
        <w:jc w:val="both"/>
        <w:rPr>
          <w:rFonts w:ascii="Arial" w:hAnsi="Arial" w:cs="Arial"/>
          <w:color w:val="000000"/>
        </w:rPr>
      </w:pPr>
    </w:p>
    <w:p w14:paraId="50B33D0A" w14:textId="77777777" w:rsidR="00A1364C" w:rsidRPr="00EC5B78" w:rsidRDefault="00EC5B78" w:rsidP="00EC5B78">
      <w:pPr>
        <w:shd w:val="clear" w:color="auto" w:fill="FFFFFF"/>
        <w:spacing w:after="0" w:line="276" w:lineRule="auto"/>
        <w:jc w:val="both"/>
        <w:rPr>
          <w:rFonts w:ascii="Arial" w:eastAsia="Times New Roman" w:hAnsi="Arial" w:cs="Arial"/>
          <w:color w:val="000000"/>
          <w:lang w:eastAsia="en-GB"/>
        </w:rPr>
      </w:pPr>
      <w:r w:rsidRPr="00EC5B78">
        <w:rPr>
          <w:rFonts w:ascii="Arial" w:hAnsi="Arial" w:cs="Arial"/>
          <w:color w:val="000000"/>
        </w:rPr>
        <w:t>The Company has established local management team platforms with significant local market expertise. At present, the Company has offices and teams in New York, Moscow, Amsterdam and Limassol.</w:t>
      </w:r>
    </w:p>
    <w:p w14:paraId="07399B5A" w14:textId="77777777" w:rsidR="00536FCA" w:rsidRPr="00EC5B78" w:rsidRDefault="00536FCA" w:rsidP="00671C60">
      <w:pPr>
        <w:spacing w:after="0" w:line="360" w:lineRule="auto"/>
        <w:jc w:val="both"/>
        <w:rPr>
          <w:rStyle w:val="bm"/>
          <w:rFonts w:ascii="Arial" w:hAnsi="Arial" w:cs="Arial"/>
          <w:b/>
          <w:lang w:eastAsia="en-CA"/>
        </w:rPr>
      </w:pPr>
    </w:p>
    <w:sectPr w:rsidR="00536FCA" w:rsidRPr="00EC5B78" w:rsidSect="00026E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5478" w14:textId="77777777" w:rsidR="00776807" w:rsidRDefault="00776807">
      <w:pPr>
        <w:spacing w:after="0" w:line="240" w:lineRule="auto"/>
      </w:pPr>
      <w:r>
        <w:separator/>
      </w:r>
    </w:p>
  </w:endnote>
  <w:endnote w:type="continuationSeparator" w:id="0">
    <w:p w14:paraId="6125D460" w14:textId="77777777" w:rsidR="00776807" w:rsidRDefault="0077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8F2D" w14:textId="77777777"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9097" w14:textId="77777777" w:rsidR="00776807" w:rsidRDefault="00776807">
      <w:pPr>
        <w:spacing w:after="0" w:line="240" w:lineRule="auto"/>
      </w:pPr>
      <w:r>
        <w:separator/>
      </w:r>
    </w:p>
  </w:footnote>
  <w:footnote w:type="continuationSeparator" w:id="0">
    <w:p w14:paraId="23BD7CCA" w14:textId="77777777" w:rsidR="00776807" w:rsidRDefault="0077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0F98" w14:textId="77777777" w:rsidR="00E11C6E" w:rsidRDefault="0006722A">
    <w:pPr>
      <w:pStyle w:val="Header"/>
    </w:pPr>
    <w:r>
      <w:rPr>
        <w:noProof/>
        <w:lang w:eastAsia="en-GB"/>
      </w:rPr>
      <w:drawing>
        <wp:anchor distT="0" distB="0" distL="114300" distR="114300" simplePos="0" relativeHeight="251659264" behindDoc="1" locked="0" layoutInCell="1" allowOverlap="1" wp14:anchorId="69DF6AEA" wp14:editId="3B159097">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E"/>
    <w:rsid w:val="000213BD"/>
    <w:rsid w:val="00026E73"/>
    <w:rsid w:val="00032B55"/>
    <w:rsid w:val="00040649"/>
    <w:rsid w:val="0006722A"/>
    <w:rsid w:val="000C3D99"/>
    <w:rsid w:val="0011247D"/>
    <w:rsid w:val="00113858"/>
    <w:rsid w:val="001727DD"/>
    <w:rsid w:val="00176251"/>
    <w:rsid w:val="00187CE3"/>
    <w:rsid w:val="001C16DE"/>
    <w:rsid w:val="001E2967"/>
    <w:rsid w:val="00245AAE"/>
    <w:rsid w:val="00263788"/>
    <w:rsid w:val="00263EB5"/>
    <w:rsid w:val="00270530"/>
    <w:rsid w:val="00293987"/>
    <w:rsid w:val="002A19CA"/>
    <w:rsid w:val="002A22AE"/>
    <w:rsid w:val="002E092C"/>
    <w:rsid w:val="00327A8A"/>
    <w:rsid w:val="003F0A0A"/>
    <w:rsid w:val="003F7FDD"/>
    <w:rsid w:val="004111B4"/>
    <w:rsid w:val="004156D7"/>
    <w:rsid w:val="00440482"/>
    <w:rsid w:val="00446B91"/>
    <w:rsid w:val="0046206C"/>
    <w:rsid w:val="00473C34"/>
    <w:rsid w:val="00475B86"/>
    <w:rsid w:val="004954D4"/>
    <w:rsid w:val="004A3DF0"/>
    <w:rsid w:val="004A65E7"/>
    <w:rsid w:val="00516BB3"/>
    <w:rsid w:val="005215AA"/>
    <w:rsid w:val="00534422"/>
    <w:rsid w:val="00536FCA"/>
    <w:rsid w:val="00573BCD"/>
    <w:rsid w:val="005916C6"/>
    <w:rsid w:val="005C1E5A"/>
    <w:rsid w:val="005F1F26"/>
    <w:rsid w:val="0060627C"/>
    <w:rsid w:val="00633A5B"/>
    <w:rsid w:val="00640586"/>
    <w:rsid w:val="00671C60"/>
    <w:rsid w:val="006834F8"/>
    <w:rsid w:val="006A745A"/>
    <w:rsid w:val="006C67CC"/>
    <w:rsid w:val="0073026A"/>
    <w:rsid w:val="007407BE"/>
    <w:rsid w:val="00743296"/>
    <w:rsid w:val="00776807"/>
    <w:rsid w:val="007844D9"/>
    <w:rsid w:val="00785A47"/>
    <w:rsid w:val="007C1001"/>
    <w:rsid w:val="007C5969"/>
    <w:rsid w:val="00802B4B"/>
    <w:rsid w:val="008325C1"/>
    <w:rsid w:val="008F27C7"/>
    <w:rsid w:val="00910AF3"/>
    <w:rsid w:val="00911522"/>
    <w:rsid w:val="00915DD9"/>
    <w:rsid w:val="00917C6A"/>
    <w:rsid w:val="00922046"/>
    <w:rsid w:val="00951140"/>
    <w:rsid w:val="009544FE"/>
    <w:rsid w:val="009921D3"/>
    <w:rsid w:val="009A347D"/>
    <w:rsid w:val="00A1364C"/>
    <w:rsid w:val="00A3725B"/>
    <w:rsid w:val="00A45F20"/>
    <w:rsid w:val="00A60716"/>
    <w:rsid w:val="00AA1B80"/>
    <w:rsid w:val="00AB21BE"/>
    <w:rsid w:val="00B07824"/>
    <w:rsid w:val="00B3448B"/>
    <w:rsid w:val="00B4699D"/>
    <w:rsid w:val="00B71DBD"/>
    <w:rsid w:val="00B915FC"/>
    <w:rsid w:val="00C120EE"/>
    <w:rsid w:val="00C16FC9"/>
    <w:rsid w:val="00C27947"/>
    <w:rsid w:val="00C357C1"/>
    <w:rsid w:val="00C63BB7"/>
    <w:rsid w:val="00D23964"/>
    <w:rsid w:val="00D42C4A"/>
    <w:rsid w:val="00D62054"/>
    <w:rsid w:val="00D80DC9"/>
    <w:rsid w:val="00DA4D00"/>
    <w:rsid w:val="00DC192F"/>
    <w:rsid w:val="00DF5240"/>
    <w:rsid w:val="00E01AE9"/>
    <w:rsid w:val="00E03488"/>
    <w:rsid w:val="00E11C6E"/>
    <w:rsid w:val="00E3775F"/>
    <w:rsid w:val="00E4712B"/>
    <w:rsid w:val="00E71AED"/>
    <w:rsid w:val="00EC5B78"/>
    <w:rsid w:val="00ED4697"/>
    <w:rsid w:val="00ED49DB"/>
    <w:rsid w:val="00EE075B"/>
    <w:rsid w:val="00EF641C"/>
    <w:rsid w:val="00F248E4"/>
    <w:rsid w:val="00F52007"/>
    <w:rsid w:val="00F71745"/>
    <w:rsid w:val="00FC48B7"/>
    <w:rsid w:val="00FD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8619"/>
  <w15:docId w15:val="{7844F83D-570B-4B91-85EA-F646FD5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 w:type="character" w:customStyle="1" w:styleId="hu">
    <w:name w:val="hu"/>
    <w:basedOn w:val="DefaultParagraphFont"/>
    <w:rsid w:val="00AA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71628230">
      <w:bodyDiv w:val="1"/>
      <w:marLeft w:val="0"/>
      <w:marRight w:val="0"/>
      <w:marTop w:val="0"/>
      <w:marBottom w:val="0"/>
      <w:divBdr>
        <w:top w:val="none" w:sz="0" w:space="0" w:color="auto"/>
        <w:left w:val="none" w:sz="0" w:space="0" w:color="auto"/>
        <w:bottom w:val="none" w:sz="0" w:space="0" w:color="auto"/>
        <w:right w:val="none" w:sz="0" w:space="0" w:color="auto"/>
      </w:divBdr>
    </w:div>
    <w:div w:id="896745853">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649549532">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3B6C-A4D5-4105-8EC5-25746809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Andreas Nikolaou</cp:lastModifiedBy>
  <cp:revision>9</cp:revision>
  <cp:lastPrinted>2018-10-22T06:32:00Z</cp:lastPrinted>
  <dcterms:created xsi:type="dcterms:W3CDTF">2018-10-22T06:23:00Z</dcterms:created>
  <dcterms:modified xsi:type="dcterms:W3CDTF">2018-10-23T05:18:00Z</dcterms:modified>
</cp:coreProperties>
</file>