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EB" w:rsidRPr="001B7CEB" w:rsidRDefault="001B7CEB" w:rsidP="001B7CE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bookmarkStart w:id="0" w:name="_GoBack"/>
      <w:proofErr w:type="spellStart"/>
      <w:r w:rsidRPr="001B7CEB">
        <w:rPr>
          <w:rFonts w:ascii="Arial" w:eastAsia="Times New Roman" w:hAnsi="Arial" w:cs="Arial"/>
          <w:kern w:val="36"/>
          <w:sz w:val="36"/>
          <w:szCs w:val="36"/>
        </w:rPr>
        <w:t>Eurocastle</w:t>
      </w:r>
      <w:proofErr w:type="spellEnd"/>
      <w:r w:rsidRPr="001B7CEB">
        <w:rPr>
          <w:rFonts w:ascii="Arial" w:eastAsia="Times New Roman" w:hAnsi="Arial" w:cs="Arial"/>
          <w:kern w:val="36"/>
          <w:sz w:val="36"/>
          <w:szCs w:val="36"/>
        </w:rPr>
        <w:t xml:space="preserve"> Investment Limited: Share Buyback </w:t>
      </w:r>
      <w:proofErr w:type="spellStart"/>
      <w:r w:rsidRPr="001B7CEB">
        <w:rPr>
          <w:rFonts w:ascii="Arial" w:eastAsia="Times New Roman" w:hAnsi="Arial" w:cs="Arial"/>
          <w:kern w:val="36"/>
          <w:sz w:val="36"/>
          <w:szCs w:val="36"/>
        </w:rPr>
        <w:t>Programme</w:t>
      </w:r>
      <w:proofErr w:type="spellEnd"/>
      <w:r w:rsidRPr="001B7CEB">
        <w:rPr>
          <w:rFonts w:ascii="Arial" w:eastAsia="Times New Roman" w:hAnsi="Arial" w:cs="Arial"/>
          <w:kern w:val="36"/>
          <w:sz w:val="36"/>
          <w:szCs w:val="36"/>
        </w:rPr>
        <w:t xml:space="preserve">: Transactions in </w:t>
      </w:r>
      <w:proofErr w:type="gramStart"/>
      <w:r w:rsidRPr="001B7CEB">
        <w:rPr>
          <w:rFonts w:ascii="Arial" w:eastAsia="Times New Roman" w:hAnsi="Arial" w:cs="Arial"/>
          <w:kern w:val="36"/>
          <w:sz w:val="36"/>
          <w:szCs w:val="36"/>
        </w:rPr>
        <w:t>week ending</w:t>
      </w:r>
      <w:proofErr w:type="gramEnd"/>
      <w:r w:rsidRPr="001B7CEB">
        <w:rPr>
          <w:rFonts w:ascii="Arial" w:eastAsia="Times New Roman" w:hAnsi="Arial" w:cs="Arial"/>
          <w:kern w:val="36"/>
          <w:sz w:val="36"/>
          <w:szCs w:val="36"/>
        </w:rPr>
        <w:t xml:space="preserve"> 28 December 2018</w:t>
      </w:r>
    </w:p>
    <w:bookmarkEnd w:id="0"/>
    <w:p w:rsidR="001B7CEB" w:rsidRPr="001B7CEB" w:rsidRDefault="001B7CEB" w:rsidP="001B7C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B7CEB">
        <w:rPr>
          <w:rFonts w:ascii="Arial" w:eastAsia="Times New Roman" w:hAnsi="Arial" w:cs="Arial"/>
          <w:color w:val="000000"/>
          <w:sz w:val="23"/>
          <w:szCs w:val="23"/>
        </w:rPr>
        <w:t>Contact:</w:t>
      </w:r>
    </w:p>
    <w:p w:rsidR="001B7CEB" w:rsidRPr="001B7CEB" w:rsidRDefault="001B7CEB" w:rsidP="001B7C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B7CEB">
        <w:rPr>
          <w:rFonts w:ascii="Arial" w:eastAsia="Times New Roman" w:hAnsi="Arial" w:cs="Arial"/>
          <w:color w:val="000000"/>
          <w:sz w:val="23"/>
          <w:szCs w:val="23"/>
        </w:rPr>
        <w:t>International Administration Group (Guernsey) Limited</w:t>
      </w:r>
    </w:p>
    <w:p w:rsidR="001B7CEB" w:rsidRPr="001B7CEB" w:rsidRDefault="001B7CEB" w:rsidP="001B7C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B7CEB">
        <w:rPr>
          <w:rFonts w:ascii="Arial" w:eastAsia="Times New Roman" w:hAnsi="Arial" w:cs="Arial"/>
          <w:color w:val="000000"/>
          <w:sz w:val="23"/>
          <w:szCs w:val="23"/>
        </w:rPr>
        <w:t>Company Administrator</w:t>
      </w:r>
      <w:r w:rsidRPr="001B7CEB">
        <w:rPr>
          <w:rFonts w:ascii="Arial" w:eastAsia="Times New Roman" w:hAnsi="Arial" w:cs="Arial"/>
          <w:color w:val="000000"/>
          <w:sz w:val="23"/>
          <w:szCs w:val="23"/>
        </w:rPr>
        <w:br/>
        <w:t>Attn:  Mark Woodall</w:t>
      </w:r>
    </w:p>
    <w:p w:rsidR="001B7CEB" w:rsidRPr="001B7CEB" w:rsidRDefault="001B7CEB" w:rsidP="001B7C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B7CEB">
        <w:rPr>
          <w:rFonts w:ascii="Arial" w:eastAsia="Times New Roman" w:hAnsi="Arial" w:cs="Arial"/>
          <w:color w:val="000000"/>
          <w:sz w:val="23"/>
          <w:szCs w:val="23"/>
        </w:rPr>
        <w:t>Tel:  +44 1481 723450                                                              </w:t>
      </w:r>
    </w:p>
    <w:p w:rsidR="001B7CEB" w:rsidRPr="001B7CEB" w:rsidRDefault="001B7CEB" w:rsidP="001B7C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B7CEB" w:rsidRPr="001B7CEB" w:rsidRDefault="001B7CEB" w:rsidP="001B7C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1B7CE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Share Buyback </w:t>
      </w:r>
      <w:proofErr w:type="spellStart"/>
      <w:r w:rsidRPr="001B7CEB">
        <w:rPr>
          <w:rFonts w:ascii="Arial" w:eastAsia="Times New Roman" w:hAnsi="Arial" w:cs="Arial"/>
          <w:b/>
          <w:bCs/>
          <w:color w:val="000000"/>
          <w:sz w:val="23"/>
          <w:szCs w:val="23"/>
        </w:rPr>
        <w:t>Programme</w:t>
      </w:r>
      <w:proofErr w:type="spellEnd"/>
      <w:r w:rsidRPr="001B7CE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Transactions in </w:t>
      </w:r>
      <w:proofErr w:type="gramStart"/>
      <w:r w:rsidRPr="001B7CEB">
        <w:rPr>
          <w:rFonts w:ascii="Arial" w:eastAsia="Times New Roman" w:hAnsi="Arial" w:cs="Arial"/>
          <w:b/>
          <w:bCs/>
          <w:color w:val="000000"/>
          <w:sz w:val="23"/>
          <w:szCs w:val="23"/>
        </w:rPr>
        <w:t>week ending</w:t>
      </w:r>
      <w:proofErr w:type="gramEnd"/>
      <w:r w:rsidRPr="001B7CE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28 December 2018</w:t>
      </w:r>
    </w:p>
    <w:p w:rsidR="001B7CEB" w:rsidRPr="001B7CEB" w:rsidRDefault="001B7CEB" w:rsidP="001B7CE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B7CEB" w:rsidRPr="001B7CEB" w:rsidRDefault="001B7CEB" w:rsidP="001B7C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B7CEB">
        <w:rPr>
          <w:rFonts w:ascii="Arial" w:eastAsia="Times New Roman" w:hAnsi="Arial" w:cs="Arial"/>
          <w:color w:val="000000"/>
          <w:sz w:val="23"/>
          <w:szCs w:val="23"/>
        </w:rPr>
        <w:t xml:space="preserve">Guernsey, 31 December 2018 – </w:t>
      </w:r>
      <w:proofErr w:type="spellStart"/>
      <w:r w:rsidRPr="001B7CEB">
        <w:rPr>
          <w:rFonts w:ascii="Arial" w:eastAsia="Times New Roman" w:hAnsi="Arial" w:cs="Arial"/>
          <w:color w:val="000000"/>
          <w:sz w:val="23"/>
          <w:szCs w:val="23"/>
        </w:rPr>
        <w:t>Eurocastle</w:t>
      </w:r>
      <w:proofErr w:type="spellEnd"/>
      <w:r w:rsidRPr="001B7CEB">
        <w:rPr>
          <w:rFonts w:ascii="Arial" w:eastAsia="Times New Roman" w:hAnsi="Arial" w:cs="Arial"/>
          <w:color w:val="000000"/>
          <w:sz w:val="23"/>
          <w:szCs w:val="23"/>
        </w:rPr>
        <w:t xml:space="preserve"> Investment Limited (“</w:t>
      </w:r>
      <w:proofErr w:type="spellStart"/>
      <w:r w:rsidRPr="001B7CEB">
        <w:rPr>
          <w:rFonts w:ascii="Arial" w:eastAsia="Times New Roman" w:hAnsi="Arial" w:cs="Arial"/>
          <w:color w:val="000000"/>
          <w:sz w:val="23"/>
          <w:szCs w:val="23"/>
        </w:rPr>
        <w:t>Eurocastle</w:t>
      </w:r>
      <w:proofErr w:type="spellEnd"/>
      <w:r w:rsidRPr="001B7CEB">
        <w:rPr>
          <w:rFonts w:ascii="Arial" w:eastAsia="Times New Roman" w:hAnsi="Arial" w:cs="Arial"/>
          <w:color w:val="000000"/>
          <w:sz w:val="23"/>
          <w:szCs w:val="23"/>
        </w:rPr>
        <w:t xml:space="preserve">” or the “Company”) today announces that between 24 December 2018 and 28 December 2018, as part of the previously announced second buyback </w:t>
      </w:r>
      <w:proofErr w:type="spellStart"/>
      <w:r w:rsidRPr="001B7CEB">
        <w:rPr>
          <w:rFonts w:ascii="Arial" w:eastAsia="Times New Roman" w:hAnsi="Arial" w:cs="Arial"/>
          <w:color w:val="000000"/>
          <w:sz w:val="23"/>
          <w:szCs w:val="23"/>
        </w:rPr>
        <w:t>programme</w:t>
      </w:r>
      <w:proofErr w:type="spellEnd"/>
      <w:r w:rsidRPr="001B7CEB">
        <w:rPr>
          <w:rFonts w:ascii="Arial" w:eastAsia="Times New Roman" w:hAnsi="Arial" w:cs="Arial"/>
          <w:color w:val="000000"/>
          <w:sz w:val="23"/>
          <w:szCs w:val="23"/>
        </w:rPr>
        <w:t xml:space="preserve"> with </w:t>
      </w:r>
      <w:proofErr w:type="spellStart"/>
      <w:r w:rsidRPr="001B7CEB">
        <w:rPr>
          <w:rFonts w:ascii="Arial" w:eastAsia="Times New Roman" w:hAnsi="Arial" w:cs="Arial"/>
          <w:color w:val="000000"/>
          <w:sz w:val="23"/>
          <w:szCs w:val="23"/>
        </w:rPr>
        <w:t>Liberum</w:t>
      </w:r>
      <w:proofErr w:type="spellEnd"/>
      <w:r w:rsidRPr="001B7CEB">
        <w:rPr>
          <w:rFonts w:ascii="Arial" w:eastAsia="Times New Roman" w:hAnsi="Arial" w:cs="Arial"/>
          <w:color w:val="000000"/>
          <w:sz w:val="23"/>
          <w:szCs w:val="23"/>
        </w:rPr>
        <w:t xml:space="preserve"> Capital Limited (acting as the Company's broker), it bought back 6,097 of its ordinary shares at an average price of €6.00 per ordinary share. These purchases </w:t>
      </w:r>
      <w:proofErr w:type="gramStart"/>
      <w:r w:rsidRPr="001B7CEB">
        <w:rPr>
          <w:rFonts w:ascii="Arial" w:eastAsia="Times New Roman" w:hAnsi="Arial" w:cs="Arial"/>
          <w:color w:val="000000"/>
          <w:sz w:val="23"/>
          <w:szCs w:val="23"/>
        </w:rPr>
        <w:t>were made</w:t>
      </w:r>
      <w:proofErr w:type="gramEnd"/>
      <w:r w:rsidRPr="001B7CEB">
        <w:rPr>
          <w:rFonts w:ascii="Arial" w:eastAsia="Times New Roman" w:hAnsi="Arial" w:cs="Arial"/>
          <w:color w:val="000000"/>
          <w:sz w:val="23"/>
          <w:szCs w:val="23"/>
        </w:rPr>
        <w:t xml:space="preserve"> pursuant to the authority granted at its Annual General Meeting on 20 June 2018. The purchased shares </w:t>
      </w:r>
      <w:proofErr w:type="gramStart"/>
      <w:r w:rsidRPr="001B7CEB">
        <w:rPr>
          <w:rFonts w:ascii="Arial" w:eastAsia="Times New Roman" w:hAnsi="Arial" w:cs="Arial"/>
          <w:color w:val="000000"/>
          <w:sz w:val="23"/>
          <w:szCs w:val="23"/>
        </w:rPr>
        <w:t>will all be held</w:t>
      </w:r>
      <w:proofErr w:type="gramEnd"/>
      <w:r w:rsidRPr="001B7CEB">
        <w:rPr>
          <w:rFonts w:ascii="Arial" w:eastAsia="Times New Roman" w:hAnsi="Arial" w:cs="Arial"/>
          <w:color w:val="000000"/>
          <w:sz w:val="23"/>
          <w:szCs w:val="23"/>
        </w:rPr>
        <w:t xml:space="preserve"> as treasury shares.</w:t>
      </w:r>
    </w:p>
    <w:p w:rsidR="001B7CEB" w:rsidRPr="001B7CEB" w:rsidRDefault="001B7CEB" w:rsidP="001B7C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B7CEB" w:rsidRPr="001B7CEB" w:rsidRDefault="001B7CEB" w:rsidP="001B7C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1B7CEB">
        <w:rPr>
          <w:rFonts w:ascii="Arial" w:eastAsia="Times New Roman" w:hAnsi="Arial" w:cs="Arial"/>
          <w:color w:val="000000"/>
          <w:sz w:val="23"/>
          <w:szCs w:val="23"/>
        </w:rPr>
        <w:t xml:space="preserve">The purpose of the share buyback </w:t>
      </w:r>
      <w:proofErr w:type="spellStart"/>
      <w:r w:rsidRPr="001B7CEB">
        <w:rPr>
          <w:rFonts w:ascii="Arial" w:eastAsia="Times New Roman" w:hAnsi="Arial" w:cs="Arial"/>
          <w:color w:val="000000"/>
          <w:sz w:val="23"/>
          <w:szCs w:val="23"/>
        </w:rPr>
        <w:t>programme</w:t>
      </w:r>
      <w:proofErr w:type="spellEnd"/>
      <w:r w:rsidRPr="001B7CEB">
        <w:rPr>
          <w:rFonts w:ascii="Arial" w:eastAsia="Times New Roman" w:hAnsi="Arial" w:cs="Arial"/>
          <w:color w:val="000000"/>
          <w:sz w:val="23"/>
          <w:szCs w:val="23"/>
        </w:rPr>
        <w:t xml:space="preserve"> is to reduce the share capital of the Company and the </w:t>
      </w:r>
      <w:proofErr w:type="spellStart"/>
      <w:r w:rsidRPr="001B7CEB">
        <w:rPr>
          <w:rFonts w:ascii="Arial" w:eastAsia="Times New Roman" w:hAnsi="Arial" w:cs="Arial"/>
          <w:color w:val="000000"/>
          <w:sz w:val="23"/>
          <w:szCs w:val="23"/>
        </w:rPr>
        <w:t>programme</w:t>
      </w:r>
      <w:proofErr w:type="spellEnd"/>
      <w:r w:rsidRPr="001B7CEB">
        <w:rPr>
          <w:rFonts w:ascii="Arial" w:eastAsia="Times New Roman" w:hAnsi="Arial" w:cs="Arial"/>
          <w:color w:val="000000"/>
          <w:sz w:val="23"/>
          <w:szCs w:val="23"/>
        </w:rPr>
        <w:t xml:space="preserve"> is executed in compliance with the provisions of Regulation (EU) No 596/2014 of the European Parliament and of the Council of 16 April 2014 and the Commission Delegated Regulation (EU) 2016/1052 of 8 March 2016, collectively referred to as the Safe </w:t>
      </w:r>
      <w:proofErr w:type="spellStart"/>
      <w:r w:rsidRPr="001B7CEB">
        <w:rPr>
          <w:rFonts w:ascii="Arial" w:eastAsia="Times New Roman" w:hAnsi="Arial" w:cs="Arial"/>
          <w:color w:val="000000"/>
          <w:sz w:val="23"/>
          <w:szCs w:val="23"/>
        </w:rPr>
        <w:t>Harbour</w:t>
      </w:r>
      <w:proofErr w:type="spellEnd"/>
      <w:r w:rsidRPr="001B7CEB">
        <w:rPr>
          <w:rFonts w:ascii="Arial" w:eastAsia="Times New Roman" w:hAnsi="Arial" w:cs="Arial"/>
          <w:color w:val="000000"/>
          <w:sz w:val="23"/>
          <w:szCs w:val="23"/>
        </w:rPr>
        <w:t xml:space="preserve"> rules.</w:t>
      </w:r>
      <w:proofErr w:type="gramEnd"/>
    </w:p>
    <w:p w:rsidR="001B7CEB" w:rsidRPr="001B7CEB" w:rsidRDefault="001B7CEB" w:rsidP="001B7C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B7CEB" w:rsidRPr="001B7CEB" w:rsidRDefault="001B7CEB" w:rsidP="001B7C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B7CEB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The following transactions </w:t>
      </w:r>
      <w:proofErr w:type="gramStart"/>
      <w:r w:rsidRPr="001B7CEB">
        <w:rPr>
          <w:rFonts w:ascii="Arial" w:eastAsia="Times New Roman" w:hAnsi="Arial" w:cs="Arial"/>
          <w:color w:val="000000"/>
          <w:sz w:val="23"/>
          <w:szCs w:val="23"/>
          <w:u w:val="single"/>
        </w:rPr>
        <w:t>have been made</w:t>
      </w:r>
      <w:proofErr w:type="gramEnd"/>
      <w:r w:rsidRPr="001B7CEB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under the buyback </w:t>
      </w:r>
      <w:proofErr w:type="spellStart"/>
      <w:r w:rsidRPr="001B7CEB">
        <w:rPr>
          <w:rFonts w:ascii="Arial" w:eastAsia="Times New Roman" w:hAnsi="Arial" w:cs="Arial"/>
          <w:color w:val="000000"/>
          <w:sz w:val="23"/>
          <w:szCs w:val="23"/>
          <w:u w:val="single"/>
        </w:rPr>
        <w:t>programme</w:t>
      </w:r>
      <w:proofErr w:type="spellEnd"/>
      <w:r w:rsidRPr="001B7CEB">
        <w:rPr>
          <w:rFonts w:ascii="Arial" w:eastAsia="Times New Roman" w:hAnsi="Arial" w:cs="Arial"/>
          <w:color w:val="000000"/>
          <w:sz w:val="23"/>
          <w:szCs w:val="23"/>
          <w:u w:val="single"/>
        </w:rPr>
        <w:t>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2008"/>
        <w:gridCol w:w="1645"/>
        <w:gridCol w:w="1686"/>
        <w:gridCol w:w="1770"/>
      </w:tblGrid>
      <w:tr w:rsidR="001B7CEB" w:rsidRPr="001B7CEB" w:rsidTr="001B7CEB"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Accumulated, most recent announcement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Platform code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Volume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Volume Weighted Average Price</w:t>
            </w:r>
          </w:p>
        </w:tc>
        <w:tc>
          <w:tcPr>
            <w:tcW w:w="2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Gross Value (€)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24/12/2018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BATE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5.98</w:t>
            </w:r>
          </w:p>
        </w:tc>
        <w:tc>
          <w:tcPr>
            <w:tcW w:w="20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18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XLON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1,832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6.00</w:t>
            </w:r>
          </w:p>
        </w:tc>
        <w:tc>
          <w:tcPr>
            <w:tcW w:w="20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11,360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CHIX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128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6.00</w:t>
            </w:r>
          </w:p>
        </w:tc>
        <w:tc>
          <w:tcPr>
            <w:tcW w:w="20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768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TRQX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63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5.98</w:t>
            </w:r>
          </w:p>
        </w:tc>
        <w:tc>
          <w:tcPr>
            <w:tcW w:w="20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377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2,086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6.00</w:t>
            </w:r>
          </w:p>
        </w:tc>
        <w:tc>
          <w:tcPr>
            <w:tcW w:w="20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12,523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0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27/12/2018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BATE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34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6.02</w:t>
            </w:r>
          </w:p>
        </w:tc>
        <w:tc>
          <w:tcPr>
            <w:tcW w:w="20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205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XLON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1,590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5.99</w:t>
            </w:r>
          </w:p>
        </w:tc>
        <w:tc>
          <w:tcPr>
            <w:tcW w:w="20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9,522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CHIX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128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6.00</w:t>
            </w:r>
          </w:p>
        </w:tc>
        <w:tc>
          <w:tcPr>
            <w:tcW w:w="20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768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TRQX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208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5.99</w:t>
            </w:r>
          </w:p>
        </w:tc>
        <w:tc>
          <w:tcPr>
            <w:tcW w:w="20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1,246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1,960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5.99</w:t>
            </w:r>
          </w:p>
        </w:tc>
        <w:tc>
          <w:tcPr>
            <w:tcW w:w="20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11,741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0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28/12/2018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BATE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31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5.92</w:t>
            </w:r>
          </w:p>
        </w:tc>
        <w:tc>
          <w:tcPr>
            <w:tcW w:w="20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184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XLON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1,817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6.01</w:t>
            </w:r>
          </w:p>
        </w:tc>
        <w:tc>
          <w:tcPr>
            <w:tcW w:w="20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10,914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CHIX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134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5.92</w:t>
            </w:r>
          </w:p>
        </w:tc>
        <w:tc>
          <w:tcPr>
            <w:tcW w:w="20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793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TRQX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69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5.92</w:t>
            </w:r>
          </w:p>
        </w:tc>
        <w:tc>
          <w:tcPr>
            <w:tcW w:w="20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408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2,051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6.00</w:t>
            </w:r>
          </w:p>
        </w:tc>
        <w:tc>
          <w:tcPr>
            <w:tcW w:w="20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12,299</w:t>
            </w:r>
          </w:p>
        </w:tc>
      </w:tr>
    </w:tbl>
    <w:p w:rsidR="001B7CEB" w:rsidRPr="001B7CEB" w:rsidRDefault="001B7CEB" w:rsidP="001B7CE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B7CEB" w:rsidRPr="001B7CEB" w:rsidRDefault="001B7CEB" w:rsidP="001B7C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B7CEB">
        <w:rPr>
          <w:rFonts w:ascii="Arial" w:eastAsia="Times New Roman" w:hAnsi="Arial" w:cs="Arial"/>
          <w:color w:val="000000"/>
          <w:sz w:val="23"/>
          <w:szCs w:val="23"/>
        </w:rPr>
        <w:t>Following the above transactions:</w:t>
      </w:r>
    </w:p>
    <w:p w:rsidR="001B7CEB" w:rsidRPr="001B7CEB" w:rsidRDefault="001B7CEB" w:rsidP="001B7C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B7CEB" w:rsidRPr="001B7CEB" w:rsidRDefault="001B7CEB" w:rsidP="001B7C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1B7CEB">
        <w:rPr>
          <w:rFonts w:ascii="Arial" w:eastAsia="Times New Roman" w:hAnsi="Arial" w:cs="Arial"/>
          <w:color w:val="000000"/>
          <w:sz w:val="23"/>
          <w:szCs w:val="23"/>
        </w:rPr>
        <w:t>The total number of ordinary shares of the Company in issue is 63,813,362 </w:t>
      </w:r>
      <w:r w:rsidRPr="001B7CEB">
        <w:rPr>
          <w:rFonts w:ascii="Arial" w:eastAsia="Times New Roman" w:hAnsi="Arial" w:cs="Arial"/>
          <w:color w:val="000000"/>
          <w:sz w:val="23"/>
          <w:szCs w:val="23"/>
        </w:rPr>
        <w:br/>
        <w:t>  </w:t>
      </w:r>
    </w:p>
    <w:p w:rsidR="001B7CEB" w:rsidRPr="001B7CEB" w:rsidRDefault="001B7CEB" w:rsidP="001B7C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1B7CEB">
        <w:rPr>
          <w:rFonts w:ascii="Arial" w:eastAsia="Times New Roman" w:hAnsi="Arial" w:cs="Arial"/>
          <w:color w:val="000000"/>
          <w:sz w:val="23"/>
          <w:szCs w:val="23"/>
        </w:rPr>
        <w:t xml:space="preserve">The total number of ordinary shares held by </w:t>
      </w:r>
      <w:proofErr w:type="spellStart"/>
      <w:r w:rsidRPr="001B7CEB">
        <w:rPr>
          <w:rFonts w:ascii="Arial" w:eastAsia="Times New Roman" w:hAnsi="Arial" w:cs="Arial"/>
          <w:color w:val="000000"/>
          <w:sz w:val="23"/>
          <w:szCs w:val="23"/>
        </w:rPr>
        <w:t>Eurocastle</w:t>
      </w:r>
      <w:proofErr w:type="spellEnd"/>
      <w:r w:rsidRPr="001B7CEB">
        <w:rPr>
          <w:rFonts w:ascii="Arial" w:eastAsia="Times New Roman" w:hAnsi="Arial" w:cs="Arial"/>
          <w:color w:val="000000"/>
          <w:sz w:val="23"/>
          <w:szCs w:val="23"/>
        </w:rPr>
        <w:t xml:space="preserve"> in treasury is 18,657,111 (equal to 29.2% of the Company’s share capital) </w:t>
      </w:r>
      <w:r w:rsidRPr="001B7CEB">
        <w:rPr>
          <w:rFonts w:ascii="Arial" w:eastAsia="Times New Roman" w:hAnsi="Arial" w:cs="Arial"/>
          <w:color w:val="000000"/>
          <w:sz w:val="23"/>
          <w:szCs w:val="23"/>
        </w:rPr>
        <w:br/>
        <w:t>  </w:t>
      </w:r>
    </w:p>
    <w:p w:rsidR="001B7CEB" w:rsidRPr="001B7CEB" w:rsidRDefault="001B7CEB" w:rsidP="001B7CE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1B7CEB">
        <w:rPr>
          <w:rFonts w:ascii="Arial" w:eastAsia="Times New Roman" w:hAnsi="Arial" w:cs="Arial"/>
          <w:color w:val="000000"/>
          <w:sz w:val="23"/>
          <w:szCs w:val="23"/>
        </w:rPr>
        <w:t>The total number of voting rights exercisable by holders of ordinary shares of the Company is 45,156,251, as voting rights of shares held in treasury are suspended. </w:t>
      </w:r>
      <w:r w:rsidRPr="001B7CEB">
        <w:rPr>
          <w:rFonts w:ascii="Arial" w:eastAsia="Times New Roman" w:hAnsi="Arial" w:cs="Arial"/>
          <w:color w:val="000000"/>
          <w:sz w:val="23"/>
          <w:szCs w:val="23"/>
        </w:rPr>
        <w:br/>
        <w:t>  </w:t>
      </w:r>
    </w:p>
    <w:p w:rsidR="001B7CEB" w:rsidRPr="001B7CEB" w:rsidRDefault="001B7CEB" w:rsidP="001B7C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B7CEB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ABOUT EUROCASTLE</w:t>
      </w:r>
    </w:p>
    <w:p w:rsidR="001B7CEB" w:rsidRPr="001B7CEB" w:rsidRDefault="001B7CEB" w:rsidP="001B7C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B7CEB">
        <w:rPr>
          <w:rFonts w:ascii="Arial" w:eastAsia="Times New Roman" w:hAnsi="Arial" w:cs="Arial"/>
          <w:color w:val="000000"/>
          <w:sz w:val="23"/>
          <w:szCs w:val="23"/>
        </w:rPr>
        <w:t>Eurocastle</w:t>
      </w:r>
      <w:proofErr w:type="spellEnd"/>
      <w:r w:rsidRPr="001B7CEB">
        <w:rPr>
          <w:rFonts w:ascii="Arial" w:eastAsia="Times New Roman" w:hAnsi="Arial" w:cs="Arial"/>
          <w:color w:val="000000"/>
          <w:sz w:val="23"/>
          <w:szCs w:val="23"/>
        </w:rPr>
        <w:t xml:space="preserve"> Investment Limited is a publicly traded closed-ended investment company that focuses on investing in performing and non-performing loans and other real estate related assets primarily in Italy. The Company is Euro denominated and </w:t>
      </w:r>
      <w:proofErr w:type="gramStart"/>
      <w:r w:rsidRPr="001B7CEB">
        <w:rPr>
          <w:rFonts w:ascii="Arial" w:eastAsia="Times New Roman" w:hAnsi="Arial" w:cs="Arial"/>
          <w:color w:val="000000"/>
          <w:sz w:val="23"/>
          <w:szCs w:val="23"/>
        </w:rPr>
        <w:t>is listed</w:t>
      </w:r>
      <w:proofErr w:type="gramEnd"/>
      <w:r w:rsidRPr="001B7CEB">
        <w:rPr>
          <w:rFonts w:ascii="Arial" w:eastAsia="Times New Roman" w:hAnsi="Arial" w:cs="Arial"/>
          <w:color w:val="000000"/>
          <w:sz w:val="23"/>
          <w:szCs w:val="23"/>
        </w:rPr>
        <w:t xml:space="preserve"> on Euronext Amsterdam under the symbol “ECT”. </w:t>
      </w:r>
      <w:proofErr w:type="spellStart"/>
      <w:r w:rsidRPr="001B7CEB">
        <w:rPr>
          <w:rFonts w:ascii="Arial" w:eastAsia="Times New Roman" w:hAnsi="Arial" w:cs="Arial"/>
          <w:color w:val="000000"/>
          <w:sz w:val="23"/>
          <w:szCs w:val="23"/>
        </w:rPr>
        <w:t>Eurocastle</w:t>
      </w:r>
      <w:proofErr w:type="spellEnd"/>
      <w:r w:rsidRPr="001B7CE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1B7CEB">
        <w:rPr>
          <w:rFonts w:ascii="Arial" w:eastAsia="Times New Roman" w:hAnsi="Arial" w:cs="Arial"/>
          <w:color w:val="000000"/>
          <w:sz w:val="23"/>
          <w:szCs w:val="23"/>
        </w:rPr>
        <w:t>is managed</w:t>
      </w:r>
      <w:proofErr w:type="gramEnd"/>
      <w:r w:rsidRPr="001B7CEB">
        <w:rPr>
          <w:rFonts w:ascii="Arial" w:eastAsia="Times New Roman" w:hAnsi="Arial" w:cs="Arial"/>
          <w:color w:val="000000"/>
          <w:sz w:val="23"/>
          <w:szCs w:val="23"/>
        </w:rPr>
        <w:t xml:space="preserve"> by an affiliate of Fortress Investment Group LLC, a leading global investment manager. For more information regarding </w:t>
      </w:r>
      <w:proofErr w:type="spellStart"/>
      <w:r w:rsidRPr="001B7CEB">
        <w:rPr>
          <w:rFonts w:ascii="Arial" w:eastAsia="Times New Roman" w:hAnsi="Arial" w:cs="Arial"/>
          <w:color w:val="000000"/>
          <w:sz w:val="23"/>
          <w:szCs w:val="23"/>
        </w:rPr>
        <w:t>Eurocastle</w:t>
      </w:r>
      <w:proofErr w:type="spellEnd"/>
      <w:r w:rsidRPr="001B7CEB">
        <w:rPr>
          <w:rFonts w:ascii="Arial" w:eastAsia="Times New Roman" w:hAnsi="Arial" w:cs="Arial"/>
          <w:color w:val="000000"/>
          <w:sz w:val="23"/>
          <w:szCs w:val="23"/>
        </w:rPr>
        <w:t xml:space="preserve"> Investment Limited and to </w:t>
      </w:r>
      <w:proofErr w:type="gramStart"/>
      <w:r w:rsidRPr="001B7CEB">
        <w:rPr>
          <w:rFonts w:ascii="Arial" w:eastAsia="Times New Roman" w:hAnsi="Arial" w:cs="Arial"/>
          <w:color w:val="000000"/>
          <w:sz w:val="23"/>
          <w:szCs w:val="23"/>
        </w:rPr>
        <w:t>be added</w:t>
      </w:r>
      <w:proofErr w:type="gramEnd"/>
      <w:r w:rsidRPr="001B7CEB">
        <w:rPr>
          <w:rFonts w:ascii="Arial" w:eastAsia="Times New Roman" w:hAnsi="Arial" w:cs="Arial"/>
          <w:color w:val="000000"/>
          <w:sz w:val="23"/>
          <w:szCs w:val="23"/>
        </w:rPr>
        <w:t xml:space="preserve"> to our email distribution list, please visit </w:t>
      </w:r>
      <w:hyperlink r:id="rId5" w:tgtFrame="_blank" w:history="1">
        <w:r w:rsidRPr="001B7CEB">
          <w:rPr>
            <w:rFonts w:ascii="Arial" w:eastAsia="Times New Roman" w:hAnsi="Arial" w:cs="Arial"/>
            <w:color w:val="0000FF"/>
            <w:sz w:val="23"/>
            <w:szCs w:val="23"/>
            <w:u w:val="single"/>
          </w:rPr>
          <w:t>www.eurocastleinv.com</w:t>
        </w:r>
      </w:hyperlink>
      <w:r w:rsidRPr="001B7CEB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1B7CEB" w:rsidRPr="001B7CEB" w:rsidRDefault="001B7CEB" w:rsidP="001B7CE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B7CEB" w:rsidRPr="001B7CEB" w:rsidRDefault="001B7CEB" w:rsidP="001B7C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B7CEB">
        <w:rPr>
          <w:rFonts w:ascii="Arial" w:eastAsia="Times New Roman" w:hAnsi="Arial" w:cs="Arial"/>
          <w:color w:val="000000"/>
          <w:sz w:val="23"/>
          <w:szCs w:val="23"/>
        </w:rPr>
        <w:t xml:space="preserve">Set out below </w:t>
      </w:r>
      <w:proofErr w:type="gramStart"/>
      <w:r w:rsidRPr="001B7CEB">
        <w:rPr>
          <w:rFonts w:ascii="Arial" w:eastAsia="Times New Roman" w:hAnsi="Arial" w:cs="Arial"/>
          <w:color w:val="000000"/>
          <w:sz w:val="23"/>
          <w:szCs w:val="23"/>
        </w:rPr>
        <w:t>are all trades completed</w:t>
      </w:r>
      <w:proofErr w:type="gramEnd"/>
      <w:r w:rsidRPr="001B7CEB">
        <w:rPr>
          <w:rFonts w:ascii="Arial" w:eastAsia="Times New Roman" w:hAnsi="Arial" w:cs="Arial"/>
          <w:color w:val="000000"/>
          <w:sz w:val="23"/>
          <w:szCs w:val="23"/>
        </w:rPr>
        <w:t xml:space="preserve"> between 24 December 2018 and 28 December 2018:</w:t>
      </w:r>
    </w:p>
    <w:p w:rsidR="001B7CEB" w:rsidRPr="001B7CEB" w:rsidRDefault="001B7CEB" w:rsidP="001B7CE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8"/>
        <w:gridCol w:w="2046"/>
        <w:gridCol w:w="1674"/>
        <w:gridCol w:w="923"/>
        <w:gridCol w:w="2529"/>
      </w:tblGrid>
      <w:tr w:rsidR="001B7CEB" w:rsidRPr="001B7CEB" w:rsidTr="001B7CEB"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 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Platform code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Volume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Price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Gross Value (€)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24/12/2018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XLON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208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6.04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1,256.32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XLON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208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6.00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1,248.00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CHIX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57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6.00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342.00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XLON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500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6.00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3,000.00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CHIX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53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6.00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318.00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XLON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750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6.00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4,500.00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XLON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226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6.00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1,356.00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CHIX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18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6.00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108.00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BATE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5.98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17.94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TRQX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63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5.98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376.74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2,086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6.00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12,523.00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27/12/2018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XLON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196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6.02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1,179.92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BATE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34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6.02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204.68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TRQX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61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6.02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367.22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XLON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181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6.02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1,089.62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CHIX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128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6.00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768.00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XLON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184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5.98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1,100.32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XLON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86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5.98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514.28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XLON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106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5.98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633.88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XLON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115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5.98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687.70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XLON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443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5.98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2,649.14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XLON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150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5.98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897.00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TRQX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147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5.98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879.06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XLON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72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5.98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430.56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XLON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57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5.96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339.72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1,960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5.99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11,741.10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28/12/2018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XLON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625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6.08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3,800.00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XLON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465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6.00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2,790.00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XLON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75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5.96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447.00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XLON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77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5.94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457.38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TRQX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69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5.92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408.48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BATE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31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5.92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183.52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CHIX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134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5.92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793.28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XLON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182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5.94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1,081.08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XLON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186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5.94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1,104.84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XLON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207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5.96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1,233.72</w:t>
            </w:r>
          </w:p>
        </w:tc>
      </w:tr>
      <w:tr w:rsidR="001B7CEB" w:rsidRPr="001B7CEB" w:rsidTr="001B7CEB"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2,051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6.00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7CEB" w:rsidRPr="001B7CEB" w:rsidRDefault="001B7CEB" w:rsidP="001B7C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</w:rPr>
            </w:pPr>
            <w:r w:rsidRPr="001B7CE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12,299.30</w:t>
            </w:r>
          </w:p>
        </w:tc>
      </w:tr>
    </w:tbl>
    <w:p w:rsidR="00B00FC5" w:rsidRDefault="001B7CEB">
      <w:r w:rsidRPr="001B7CE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00F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51679"/>
    <w:multiLevelType w:val="multilevel"/>
    <w:tmpl w:val="C762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EB"/>
    <w:rsid w:val="001B7CEB"/>
    <w:rsid w:val="00B00FC5"/>
    <w:rsid w:val="00DA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2EDB7-8978-42F2-AD64-1A33CEEC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7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C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B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7C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7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rocastleinv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Dovile Mikutaite - Kuloke</dc:creator>
  <cp:keywords/>
  <dc:description/>
  <cp:lastModifiedBy>Dovile Mikutaite - Kuloke</cp:lastModifiedBy>
  <cp:revision>1</cp:revision>
  <dcterms:created xsi:type="dcterms:W3CDTF">2018-12-31T08:16:00Z</dcterms:created>
  <dcterms:modified xsi:type="dcterms:W3CDTF">2018-12-31T08:16:00Z</dcterms:modified>
</cp:coreProperties>
</file>