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43A" w:rsidRPr="0078382E" w:rsidRDefault="006E143A" w:rsidP="006E143A">
      <w:pPr>
        <w:spacing w:line="320" w:lineRule="exact"/>
        <w:jc w:val="both"/>
        <w:rPr>
          <w:rFonts w:ascii="Times New Roman" w:eastAsia="Times New Roman" w:hAnsi="Times New Roman" w:cs="Times New Roman"/>
          <w:b/>
          <w:bCs/>
          <w:spacing w:val="2"/>
          <w:szCs w:val="22"/>
          <w:lang w:eastAsia="en-US"/>
        </w:rPr>
      </w:pPr>
      <w:bookmarkStart w:id="0" w:name="holder"/>
      <w:bookmarkStart w:id="1" w:name="_GoBack"/>
      <w:bookmarkEnd w:id="0"/>
      <w:bookmarkEnd w:id="1"/>
      <w:r w:rsidRPr="0078382E">
        <w:rPr>
          <w:rFonts w:ascii="Times New Roman" w:eastAsia="Times New Roman" w:hAnsi="Times New Roman" w:cs="Times New Roman"/>
          <w:b/>
          <w:bCs/>
          <w:spacing w:val="2"/>
          <w:szCs w:val="22"/>
          <w:lang w:eastAsia="en-US"/>
        </w:rPr>
        <w:t>THIS MATERIAL FACT MAY NOT BE DISCLOSED, DISTRIBUTED OR REPRODUCED IN THE UNITED STATES.</w:t>
      </w:r>
    </w:p>
    <w:p w:rsidR="006E143A" w:rsidRDefault="006E143A" w:rsidP="006E143A">
      <w:pPr>
        <w:spacing w:line="320" w:lineRule="exact"/>
      </w:pPr>
    </w:p>
    <w:p w:rsidR="006E143A" w:rsidRPr="001533A6" w:rsidRDefault="006E143A" w:rsidP="006E143A">
      <w:pPr>
        <w:spacing w:line="320" w:lineRule="exact"/>
        <w:jc w:val="both"/>
        <w:rPr>
          <w:rFonts w:ascii="Times New Roman" w:hAnsi="Times New Roman" w:cs="Times New Roman"/>
          <w:b/>
          <w:bCs/>
          <w:spacing w:val="2"/>
        </w:rPr>
      </w:pPr>
      <w:r w:rsidRPr="001533A6">
        <w:rPr>
          <w:rFonts w:ascii="Times New Roman" w:hAnsi="Times New Roman" w:cs="Times New Roman"/>
          <w:b/>
          <w:bCs/>
          <w:spacing w:val="2"/>
        </w:rPr>
        <w:t xml:space="preserve">THIS MATERIAL FACT IS EXCLUSIVELY FOR INFORMATIONAL PURPOSES AND IS NOT PART OF ANY OFFER TO SELL OR SOLICITATION OF AN OFFER TO BUY SECURITIES ISSUED BY BANCO BTG PACTUAL S.A., </w:t>
      </w:r>
      <w:r w:rsidRPr="0078382E">
        <w:rPr>
          <w:b/>
          <w:bCs/>
          <w:iCs/>
          <w:spacing w:val="2"/>
        </w:rPr>
        <w:t xml:space="preserve">BTG PACTUAL PARTICIPATIONS, LTD. </w:t>
      </w:r>
      <w:r w:rsidRPr="001533A6">
        <w:rPr>
          <w:rFonts w:ascii="Times New Roman" w:hAnsi="Times New Roman" w:cs="Times New Roman"/>
          <w:b/>
          <w:bCs/>
          <w:spacing w:val="2"/>
        </w:rPr>
        <w:t xml:space="preserve">AND/OR ANY OF THEIR AFFILIATED ENTITIES IN THE UNITED STATES OR IN ANY OTHER JURISDICTION. </w:t>
      </w:r>
      <w:r w:rsidR="00F552C6" w:rsidRPr="00F552C6">
        <w:rPr>
          <w:rFonts w:ascii="Times New Roman" w:hAnsi="Times New Roman" w:cs="Times New Roman"/>
          <w:b/>
          <w:bCs/>
          <w:spacing w:val="2"/>
        </w:rPr>
        <w:t xml:space="preserve">NO PUBLIC OFFERING OF SECURITIES WAS OR WILL BE CARRIED OUT IN THE UNITED STATES </w:t>
      </w:r>
      <w:r w:rsidR="00F552C6">
        <w:rPr>
          <w:rFonts w:ascii="Times New Roman" w:hAnsi="Times New Roman" w:cs="Times New Roman"/>
          <w:b/>
          <w:bCs/>
          <w:spacing w:val="2"/>
        </w:rPr>
        <w:t xml:space="preserve">OR IN ANY OTHER JURISDICTION </w:t>
      </w:r>
      <w:r w:rsidR="00F552C6" w:rsidRPr="00F552C6">
        <w:rPr>
          <w:rFonts w:ascii="Times New Roman" w:hAnsi="Times New Roman" w:cs="Times New Roman"/>
          <w:b/>
          <w:bCs/>
          <w:spacing w:val="2"/>
        </w:rPr>
        <w:t>AND, ACCORDINGLY, THE SECURITIES WERE NOT REGISTERED AND WILL NOT BE REGISTERED UNDER THE SECURITIES ACT</w:t>
      </w:r>
      <w:r w:rsidR="00F552C6">
        <w:rPr>
          <w:rFonts w:ascii="Times New Roman" w:hAnsi="Times New Roman" w:cs="Times New Roman"/>
          <w:b/>
          <w:bCs/>
          <w:spacing w:val="2"/>
        </w:rPr>
        <w:t xml:space="preserve"> OR ANY OTHER APPLICABLE LEGISLATION</w:t>
      </w:r>
      <w:r w:rsidR="00F552C6" w:rsidRPr="00F552C6">
        <w:rPr>
          <w:rFonts w:ascii="Times New Roman" w:hAnsi="Times New Roman" w:cs="Times New Roman"/>
          <w:b/>
          <w:bCs/>
          <w:spacing w:val="2"/>
        </w:rPr>
        <w:t xml:space="preserve">. </w:t>
      </w:r>
    </w:p>
    <w:p w:rsidR="006E143A" w:rsidRDefault="006E143A" w:rsidP="006E143A">
      <w:pPr>
        <w:spacing w:line="320" w:lineRule="exact"/>
      </w:pPr>
    </w:p>
    <w:tbl>
      <w:tblPr>
        <w:tblW w:w="0" w:type="auto"/>
        <w:jc w:val="center"/>
        <w:tblLook w:val="04A0" w:firstRow="1" w:lastRow="0" w:firstColumn="1" w:lastColumn="0" w:noHBand="0" w:noVBand="1"/>
      </w:tblPr>
      <w:tblGrid>
        <w:gridCol w:w="4643"/>
        <w:gridCol w:w="4663"/>
      </w:tblGrid>
      <w:tr w:rsidR="006E143A" w:rsidRPr="000D3BAB" w:rsidTr="00B70902">
        <w:trPr>
          <w:jc w:val="center"/>
        </w:trPr>
        <w:tc>
          <w:tcPr>
            <w:tcW w:w="4643" w:type="dxa"/>
            <w:shd w:val="clear" w:color="auto" w:fill="auto"/>
          </w:tcPr>
          <w:p w:rsidR="006E143A" w:rsidRPr="000D3BAB" w:rsidRDefault="006E143A" w:rsidP="00B70902">
            <w:pPr>
              <w:spacing w:line="320" w:lineRule="exact"/>
              <w:jc w:val="center"/>
              <w:rPr>
                <w:rFonts w:ascii="Times New Roman" w:eastAsia="MS Mincho" w:hAnsi="Times New Roman" w:cs="Times New Roman"/>
                <w:bCs/>
                <w:iCs/>
                <w:spacing w:val="2"/>
                <w:lang w:val="pt-BR" w:eastAsia="en-US"/>
              </w:rPr>
            </w:pPr>
            <w:r w:rsidRPr="000D3BAB">
              <w:rPr>
                <w:rFonts w:ascii="Times New Roman" w:eastAsia="MS Mincho" w:hAnsi="Times New Roman" w:cs="Times New Roman"/>
                <w:smallCaps/>
                <w:lang w:val="pt-BR" w:eastAsia="en-US"/>
              </w:rPr>
              <w:t>Banco BTG Pactual S.A.</w:t>
            </w:r>
          </w:p>
        </w:tc>
        <w:tc>
          <w:tcPr>
            <w:tcW w:w="4663" w:type="dxa"/>
          </w:tcPr>
          <w:p w:rsidR="006E143A" w:rsidRPr="000D3BAB" w:rsidRDefault="006E143A" w:rsidP="00B70902">
            <w:pPr>
              <w:spacing w:line="320" w:lineRule="exact"/>
              <w:jc w:val="center"/>
              <w:rPr>
                <w:rFonts w:ascii="Times New Roman" w:eastAsia="MS Mincho" w:hAnsi="Times New Roman" w:cs="Times New Roman"/>
                <w:bCs/>
                <w:iCs/>
                <w:spacing w:val="2"/>
                <w:lang w:val="pt-BR" w:eastAsia="en-US"/>
              </w:rPr>
            </w:pPr>
            <w:r w:rsidRPr="000D3BAB">
              <w:rPr>
                <w:rFonts w:ascii="Times New Roman" w:eastAsia="MS Mincho" w:hAnsi="Times New Roman" w:cs="Times New Roman"/>
                <w:smallCaps/>
                <w:lang w:val="pt-BR" w:eastAsia="en-US"/>
              </w:rPr>
              <w:t>BTG Pactual Participations, Ltd.</w:t>
            </w:r>
          </w:p>
        </w:tc>
      </w:tr>
      <w:tr w:rsidR="006E143A" w:rsidRPr="000D3BAB" w:rsidTr="00B70902">
        <w:trPr>
          <w:jc w:val="center"/>
        </w:trPr>
        <w:tc>
          <w:tcPr>
            <w:tcW w:w="4643" w:type="dxa"/>
            <w:shd w:val="clear" w:color="auto" w:fill="auto"/>
          </w:tcPr>
          <w:p w:rsidR="006E143A" w:rsidRPr="000D3BAB" w:rsidRDefault="006E143A" w:rsidP="00B70902">
            <w:pPr>
              <w:spacing w:line="320" w:lineRule="exact"/>
              <w:jc w:val="center"/>
              <w:rPr>
                <w:rFonts w:ascii="Times New Roman" w:eastAsia="MS Mincho" w:hAnsi="Times New Roman" w:cs="Times New Roman"/>
                <w:bCs/>
                <w:iCs/>
                <w:spacing w:val="2"/>
                <w:lang w:eastAsia="en-US"/>
              </w:rPr>
            </w:pPr>
            <w:r w:rsidRPr="001533A6">
              <w:rPr>
                <w:rFonts w:ascii="Times New Roman" w:hAnsi="Times New Roman" w:cs="Times New Roman"/>
                <w:bCs/>
                <w:spacing w:val="2"/>
              </w:rPr>
              <w:t>Publicly Held Company</w:t>
            </w:r>
            <w:r w:rsidRPr="000D3BAB">
              <w:rPr>
                <w:rFonts w:ascii="Times New Roman" w:eastAsia="MS Mincho" w:hAnsi="Times New Roman" w:cs="Times New Roman"/>
                <w:bCs/>
                <w:iCs/>
                <w:spacing w:val="2"/>
                <w:lang w:eastAsia="en-US"/>
              </w:rPr>
              <w:br/>
            </w:r>
            <w:r w:rsidRPr="001533A6">
              <w:rPr>
                <w:rFonts w:ascii="Times New Roman" w:hAnsi="Times New Roman" w:cs="Times New Roman"/>
                <w:bCs/>
                <w:spacing w:val="2"/>
              </w:rPr>
              <w:t>Corporate Taxpayer ID:</w:t>
            </w:r>
            <w:r w:rsidRPr="000D3BAB">
              <w:rPr>
                <w:rFonts w:ascii="Times New Roman" w:eastAsia="MS Mincho" w:hAnsi="Times New Roman" w:cs="Times New Roman"/>
                <w:bCs/>
                <w:iCs/>
                <w:spacing w:val="2"/>
                <w:lang w:eastAsia="en-US"/>
              </w:rPr>
              <w:t> </w:t>
            </w:r>
            <w:r w:rsidRPr="000D3BAB">
              <w:rPr>
                <w:rFonts w:ascii="Times New Roman" w:eastAsia="MS Mincho" w:hAnsi="Times New Roman" w:cs="Times New Roman"/>
                <w:lang w:eastAsia="en-US"/>
              </w:rPr>
              <w:t>30.306.294/0001-45</w:t>
            </w:r>
          </w:p>
        </w:tc>
        <w:tc>
          <w:tcPr>
            <w:tcW w:w="4663" w:type="dxa"/>
          </w:tcPr>
          <w:p w:rsidR="006E143A" w:rsidRPr="000D3BAB" w:rsidRDefault="006E143A" w:rsidP="00B70902">
            <w:pPr>
              <w:spacing w:line="320" w:lineRule="exact"/>
              <w:jc w:val="center"/>
              <w:rPr>
                <w:rFonts w:ascii="Times New Roman" w:eastAsia="MS Mincho" w:hAnsi="Times New Roman" w:cs="Times New Roman"/>
                <w:bCs/>
                <w:iCs/>
                <w:spacing w:val="2"/>
                <w:lang w:eastAsia="en-US"/>
              </w:rPr>
            </w:pPr>
            <w:r w:rsidRPr="001533A6">
              <w:rPr>
                <w:rFonts w:ascii="Times New Roman" w:hAnsi="Times New Roman" w:cs="Times New Roman"/>
                <w:bCs/>
                <w:spacing w:val="2"/>
              </w:rPr>
              <w:t>Publicly Held Company</w:t>
            </w:r>
            <w:r w:rsidRPr="000D3BAB">
              <w:rPr>
                <w:rFonts w:ascii="Times New Roman" w:eastAsia="MS Mincho" w:hAnsi="Times New Roman" w:cs="Times New Roman"/>
                <w:bCs/>
                <w:iCs/>
                <w:spacing w:val="2"/>
                <w:lang w:eastAsia="en-US"/>
              </w:rPr>
              <w:br/>
            </w:r>
            <w:r w:rsidRPr="001533A6">
              <w:rPr>
                <w:rFonts w:ascii="Times New Roman" w:hAnsi="Times New Roman" w:cs="Times New Roman"/>
                <w:bCs/>
                <w:spacing w:val="2"/>
              </w:rPr>
              <w:t>Corporate Taxpayer ID:</w:t>
            </w:r>
            <w:r w:rsidRPr="000D3BAB">
              <w:rPr>
                <w:rFonts w:ascii="Times New Roman" w:eastAsia="MS Mincho" w:hAnsi="Times New Roman" w:cs="Times New Roman"/>
                <w:bCs/>
                <w:iCs/>
                <w:spacing w:val="2"/>
                <w:lang w:eastAsia="en-US"/>
              </w:rPr>
              <w:t> </w:t>
            </w:r>
            <w:r w:rsidRPr="000D3BAB">
              <w:rPr>
                <w:rFonts w:ascii="Times New Roman" w:eastAsia="MS Mincho" w:hAnsi="Times New Roman" w:cs="Times New Roman"/>
                <w:lang w:eastAsia="en-US"/>
              </w:rPr>
              <w:t>15.073.274/0001-88</w:t>
            </w:r>
          </w:p>
        </w:tc>
      </w:tr>
    </w:tbl>
    <w:p w:rsidR="006E143A" w:rsidRDefault="006E143A" w:rsidP="006E143A">
      <w:pPr>
        <w:spacing w:line="320" w:lineRule="exact"/>
      </w:pPr>
    </w:p>
    <w:p w:rsidR="00196B00" w:rsidRDefault="006E143A" w:rsidP="006E143A">
      <w:pPr>
        <w:jc w:val="center"/>
        <w:rPr>
          <w:rFonts w:ascii="Times New Roman" w:eastAsia="MS Mincho" w:hAnsi="Times New Roman" w:cs="Times New Roman"/>
          <w:smallCaps/>
          <w:u w:val="single"/>
          <w:lang w:eastAsia="en-US"/>
        </w:rPr>
      </w:pPr>
      <w:r w:rsidRPr="002974CB">
        <w:rPr>
          <w:rFonts w:ascii="Times New Roman" w:eastAsia="MS Mincho" w:hAnsi="Times New Roman" w:cs="Times New Roman"/>
          <w:smallCaps/>
          <w:u w:val="single"/>
          <w:lang w:eastAsia="en-US"/>
        </w:rPr>
        <w:t>Material Fact</w:t>
      </w:r>
    </w:p>
    <w:p w:rsidR="006E143A" w:rsidRDefault="006E143A" w:rsidP="006E143A">
      <w:pPr>
        <w:jc w:val="center"/>
        <w:rPr>
          <w:rFonts w:ascii="Times New Roman" w:eastAsia="MS Mincho" w:hAnsi="Times New Roman" w:cs="Times New Roman"/>
          <w:smallCaps/>
          <w:u w:val="single"/>
          <w:lang w:eastAsia="en-US"/>
        </w:rPr>
      </w:pPr>
    </w:p>
    <w:p w:rsidR="006E143A" w:rsidRPr="006E143A" w:rsidRDefault="006E143A" w:rsidP="006E143A">
      <w:pPr>
        <w:rPr>
          <w:u w:val="single"/>
        </w:rPr>
      </w:pPr>
    </w:p>
    <w:p w:rsidR="003D63B6" w:rsidRDefault="006E143A" w:rsidP="006E143A">
      <w:pPr>
        <w:rPr>
          <w:rFonts w:ascii="Times New Roman" w:eastAsia="MS Mincho" w:hAnsi="Times New Roman" w:cs="Times New Roman"/>
          <w:spacing w:val="2"/>
          <w:lang w:eastAsia="en-US"/>
        </w:rPr>
      </w:pPr>
      <w:r w:rsidRPr="00543F72">
        <w:t>Banco BTG Pactual S.A. (</w:t>
      </w:r>
      <w:r w:rsidRPr="00543F72">
        <w:rPr>
          <w:rFonts w:ascii="Times New Roman" w:eastAsia="MS Mincho" w:hAnsi="Times New Roman" w:cs="Times New Roman"/>
          <w:spacing w:val="2"/>
          <w:lang w:eastAsia="en-US"/>
        </w:rPr>
        <w:t>“</w:t>
      </w:r>
      <w:r w:rsidRPr="00543F72">
        <w:rPr>
          <w:rFonts w:ascii="Times New Roman" w:eastAsia="MS Mincho" w:hAnsi="Times New Roman" w:cs="Times New Roman"/>
          <w:spacing w:val="2"/>
          <w:u w:val="single"/>
          <w:lang w:eastAsia="en-US"/>
        </w:rPr>
        <w:t>Banco</w:t>
      </w:r>
      <w:r w:rsidRPr="00543F72">
        <w:rPr>
          <w:rFonts w:ascii="Times New Roman" w:eastAsia="MS Mincho" w:hAnsi="Times New Roman" w:cs="Times New Roman"/>
          <w:spacing w:val="2"/>
          <w:lang w:eastAsia="en-US"/>
        </w:rPr>
        <w:t xml:space="preserve">”) and BTG Pactual Participations, Ltd. </w:t>
      </w:r>
      <w:r w:rsidRPr="000D3BAB">
        <w:rPr>
          <w:rFonts w:ascii="Times New Roman" w:eastAsia="MS Mincho" w:hAnsi="Times New Roman" w:cs="Times New Roman"/>
          <w:spacing w:val="2"/>
          <w:lang w:eastAsia="en-US"/>
        </w:rPr>
        <w:t>(“</w:t>
      </w:r>
      <w:r w:rsidRPr="000D3BAB">
        <w:rPr>
          <w:rFonts w:ascii="Times New Roman" w:eastAsia="MS Mincho" w:hAnsi="Times New Roman" w:cs="Times New Roman"/>
          <w:spacing w:val="2"/>
          <w:u w:val="single"/>
          <w:lang w:eastAsia="en-US"/>
        </w:rPr>
        <w:t>BTGP</w:t>
      </w:r>
      <w:r w:rsidRPr="000D3BAB">
        <w:rPr>
          <w:rFonts w:ascii="Times New Roman" w:eastAsia="MS Mincho" w:hAnsi="Times New Roman" w:cs="Times New Roman"/>
          <w:spacing w:val="2"/>
          <w:lang w:eastAsia="en-US"/>
        </w:rPr>
        <w:t>” and, together with Banco, the “</w:t>
      </w:r>
      <w:r w:rsidRPr="000D3BAB">
        <w:rPr>
          <w:rFonts w:ascii="Times New Roman" w:eastAsia="MS Mincho" w:hAnsi="Times New Roman" w:cs="Times New Roman"/>
          <w:spacing w:val="2"/>
          <w:u w:val="single"/>
          <w:lang w:eastAsia="en-US"/>
        </w:rPr>
        <w:t>Companies</w:t>
      </w:r>
      <w:r w:rsidRPr="002974CB">
        <w:rPr>
          <w:rFonts w:ascii="Times New Roman" w:eastAsia="MS Mincho" w:hAnsi="Times New Roman" w:cs="Times New Roman"/>
          <w:spacing w:val="2"/>
          <w:lang w:eastAsia="en-US"/>
        </w:rPr>
        <w:t>”), in accordance with CVM Instruction 358</w:t>
      </w:r>
      <w:r>
        <w:rPr>
          <w:rFonts w:ascii="Times New Roman" w:eastAsia="MS Mincho" w:hAnsi="Times New Roman" w:cs="Times New Roman"/>
          <w:spacing w:val="2"/>
          <w:lang w:eastAsia="en-US"/>
        </w:rPr>
        <w:t>/02, and further to the Material Fact press release issued by the Companies on January 27, 2017, hereby inform their shareholders and the market in general</w:t>
      </w:r>
      <w:r w:rsidR="00D24666">
        <w:rPr>
          <w:rFonts w:ascii="Times New Roman" w:eastAsia="MS Mincho" w:hAnsi="Times New Roman" w:cs="Times New Roman"/>
          <w:spacing w:val="2"/>
          <w:lang w:eastAsia="en-US"/>
        </w:rPr>
        <w:t>, as follows</w:t>
      </w:r>
      <w:r w:rsidR="00DB3590" w:rsidRPr="003A29F8">
        <w:rPr>
          <w:rFonts w:ascii="Times New Roman" w:eastAsia="MS Mincho" w:hAnsi="Times New Roman" w:cs="Times New Roman"/>
          <w:spacing w:val="2"/>
          <w:lang w:eastAsia="en-US"/>
        </w:rPr>
        <w:t>:</w:t>
      </w:r>
    </w:p>
    <w:p w:rsidR="00A83126" w:rsidRDefault="00A83126" w:rsidP="006E143A">
      <w:pPr>
        <w:rPr>
          <w:rFonts w:ascii="Times New Roman" w:eastAsia="MS Mincho" w:hAnsi="Times New Roman" w:cs="Times New Roman"/>
          <w:spacing w:val="2"/>
          <w:lang w:eastAsia="en-US"/>
        </w:rPr>
      </w:pPr>
    </w:p>
    <w:p w:rsidR="00A83126" w:rsidRDefault="00A83126" w:rsidP="006E143A">
      <w:pPr>
        <w:rPr>
          <w:rFonts w:ascii="Times New Roman" w:eastAsia="MS Mincho" w:hAnsi="Times New Roman" w:cs="Times New Roman"/>
          <w:spacing w:val="2"/>
          <w:lang w:eastAsia="en-US"/>
        </w:rPr>
      </w:pPr>
      <w:r>
        <w:rPr>
          <w:rFonts w:ascii="Times New Roman" w:eastAsia="MS Mincho" w:hAnsi="Times New Roman" w:cs="Times New Roman"/>
          <w:spacing w:val="2"/>
          <w:lang w:eastAsia="en-US"/>
        </w:rPr>
        <w:t>The respective boards of directors of the Companies have approved</w:t>
      </w:r>
      <w:r w:rsidRPr="00F46F81">
        <w:rPr>
          <w:rFonts w:ascii="Times New Roman" w:eastAsia="MS Mincho" w:hAnsi="Times New Roman" w:cs="Times New Roman"/>
          <w:spacing w:val="2"/>
          <w:lang w:eastAsia="en-US"/>
        </w:rPr>
        <w:t>, on the date hereof,</w:t>
      </w:r>
      <w:r>
        <w:rPr>
          <w:rFonts w:ascii="Times New Roman" w:eastAsia="MS Mincho" w:hAnsi="Times New Roman" w:cs="Times New Roman"/>
          <w:spacing w:val="2"/>
          <w:lang w:eastAsia="en-US"/>
        </w:rPr>
        <w:t xml:space="preserve"> two new unit programs (the "</w:t>
      </w:r>
      <w:r w:rsidRPr="001F7F53">
        <w:rPr>
          <w:rFonts w:ascii="Times New Roman" w:eastAsia="MS Mincho" w:hAnsi="Times New Roman" w:cs="Times New Roman"/>
          <w:spacing w:val="2"/>
          <w:u w:val="single"/>
          <w:lang w:eastAsia="en-US"/>
        </w:rPr>
        <w:t>New Unit Programs</w:t>
      </w:r>
      <w:r>
        <w:rPr>
          <w:rFonts w:ascii="Times New Roman" w:eastAsia="MS Mincho" w:hAnsi="Times New Roman" w:cs="Times New Roman"/>
          <w:spacing w:val="2"/>
          <w:lang w:eastAsia="en-US"/>
        </w:rPr>
        <w:t xml:space="preserve">") </w:t>
      </w:r>
      <w:r w:rsidR="002B3FB4">
        <w:rPr>
          <w:rFonts w:ascii="Times New Roman" w:eastAsia="MS Mincho" w:hAnsi="Times New Roman" w:cs="Times New Roman"/>
          <w:spacing w:val="2"/>
          <w:lang w:eastAsia="en-US"/>
        </w:rPr>
        <w:t xml:space="preserve">– which units will be traded on the </w:t>
      </w:r>
      <w:r w:rsidR="002B3FB4" w:rsidRPr="002B3FB4">
        <w:rPr>
          <w:rFonts w:ascii="Times New Roman" w:eastAsia="MS Mincho" w:hAnsi="Times New Roman" w:cs="Times New Roman"/>
          <w:spacing w:val="2"/>
          <w:lang w:eastAsia="en-US"/>
        </w:rPr>
        <w:t xml:space="preserve">BM&amp;FBOVESPA S.A. – Bolsa de Valores, Mercadorias e Futuros (“BM&amp;FBOVESPA”) </w:t>
      </w:r>
      <w:r w:rsidR="002271E5">
        <w:rPr>
          <w:rFonts w:ascii="Times New Roman" w:eastAsia="MS Mincho" w:hAnsi="Times New Roman" w:cs="Times New Roman"/>
          <w:spacing w:val="2"/>
          <w:lang w:eastAsia="en-US"/>
        </w:rPr>
        <w:t xml:space="preserve">starting on February 16, 2017 (inclusive) – </w:t>
      </w:r>
      <w:r>
        <w:rPr>
          <w:rFonts w:ascii="Times New Roman" w:eastAsia="MS Mincho" w:hAnsi="Times New Roman" w:cs="Times New Roman"/>
          <w:spacing w:val="2"/>
          <w:lang w:eastAsia="en-US"/>
        </w:rPr>
        <w:t>comprised exclusively of securities of each of the Companies: (i) units to be traded under the "BPAC11" ticker symbol, comprised of one common share and two class A preferred shares issued by Banco (the "</w:t>
      </w:r>
      <w:r>
        <w:rPr>
          <w:rFonts w:ascii="Times New Roman" w:eastAsia="MS Mincho" w:hAnsi="Times New Roman" w:cs="Times New Roman"/>
          <w:spacing w:val="2"/>
          <w:u w:val="single"/>
          <w:lang w:eastAsia="en-US"/>
        </w:rPr>
        <w:t>BPAC11 Units</w:t>
      </w:r>
      <w:r>
        <w:rPr>
          <w:rFonts w:ascii="Times New Roman" w:eastAsia="MS Mincho" w:hAnsi="Times New Roman" w:cs="Times New Roman"/>
          <w:spacing w:val="2"/>
          <w:lang w:eastAsia="en-US"/>
        </w:rPr>
        <w:t>"), and (ii) units to be traded  under the "BBTG12" ticker symbol, comprised of one Brazilian depositary receipt ("</w:t>
      </w:r>
      <w:r>
        <w:rPr>
          <w:rFonts w:ascii="Times New Roman" w:eastAsia="MS Mincho" w:hAnsi="Times New Roman" w:cs="Times New Roman"/>
          <w:spacing w:val="2"/>
          <w:u w:val="single"/>
          <w:lang w:eastAsia="en-US"/>
        </w:rPr>
        <w:t>BDR</w:t>
      </w:r>
      <w:r>
        <w:rPr>
          <w:rFonts w:ascii="Times New Roman" w:eastAsia="MS Mincho" w:hAnsi="Times New Roman" w:cs="Times New Roman"/>
          <w:spacing w:val="2"/>
          <w:lang w:eastAsia="en-US"/>
        </w:rPr>
        <w:t xml:space="preserve">") representing one class A share and one BDR representing two class B shares issued by BTGP </w:t>
      </w:r>
      <w:r w:rsidRPr="00DB3590">
        <w:rPr>
          <w:rFonts w:ascii="Times New Roman" w:eastAsia="MS Mincho" w:hAnsi="Times New Roman" w:cs="Times New Roman"/>
          <w:spacing w:val="2"/>
          <w:lang w:eastAsia="en-US"/>
        </w:rPr>
        <w:t>(</w:t>
      </w:r>
      <w:r>
        <w:rPr>
          <w:rFonts w:ascii="Times New Roman" w:eastAsia="MS Mincho" w:hAnsi="Times New Roman" w:cs="Times New Roman"/>
          <w:spacing w:val="2"/>
          <w:lang w:eastAsia="en-US"/>
        </w:rPr>
        <w:t>the "</w:t>
      </w:r>
      <w:r>
        <w:rPr>
          <w:rFonts w:ascii="Times New Roman" w:eastAsia="MS Mincho" w:hAnsi="Times New Roman" w:cs="Times New Roman"/>
          <w:spacing w:val="2"/>
          <w:u w:val="single"/>
          <w:lang w:eastAsia="en-US"/>
        </w:rPr>
        <w:t>BBTG12 Units</w:t>
      </w:r>
      <w:r>
        <w:rPr>
          <w:rFonts w:ascii="Times New Roman" w:eastAsia="MS Mincho" w:hAnsi="Times New Roman" w:cs="Times New Roman"/>
          <w:spacing w:val="2"/>
          <w:lang w:eastAsia="en-US"/>
        </w:rPr>
        <w:t>", and together with the BPAC11 units, the "</w:t>
      </w:r>
      <w:r>
        <w:rPr>
          <w:rFonts w:ascii="Times New Roman" w:eastAsia="MS Mincho" w:hAnsi="Times New Roman" w:cs="Times New Roman"/>
          <w:spacing w:val="2"/>
          <w:u w:val="single"/>
          <w:lang w:eastAsia="en-US"/>
        </w:rPr>
        <w:t xml:space="preserve">BPAC11 and BBTG12 </w:t>
      </w:r>
      <w:r w:rsidRPr="001F7F53">
        <w:rPr>
          <w:rFonts w:ascii="Times New Roman" w:eastAsia="MS Mincho" w:hAnsi="Times New Roman" w:cs="Times New Roman"/>
          <w:spacing w:val="2"/>
          <w:u w:val="single"/>
          <w:lang w:eastAsia="en-US"/>
        </w:rPr>
        <w:t>Units</w:t>
      </w:r>
      <w:r>
        <w:rPr>
          <w:rFonts w:ascii="Times New Roman" w:eastAsia="MS Mincho" w:hAnsi="Times New Roman" w:cs="Times New Roman"/>
          <w:spacing w:val="2"/>
          <w:lang w:eastAsia="en-US"/>
        </w:rPr>
        <w:t xml:space="preserve">"). The New Unit Programs represent a new alternative trading structure for the securities issued by the Companies to be traded in an independent manner. </w:t>
      </w:r>
      <w:r w:rsidR="00055E51" w:rsidRPr="001F7F53">
        <w:rPr>
          <w:rFonts w:ascii="Times New Roman" w:eastAsia="MS Mincho" w:hAnsi="Times New Roman" w:cs="Times New Roman"/>
          <w:spacing w:val="2"/>
          <w:lang w:eastAsia="en-US"/>
        </w:rPr>
        <w:t xml:space="preserve">The Companies' respective boards of directors understand that the </w:t>
      </w:r>
      <w:r w:rsidR="00EE3964" w:rsidRPr="001F7F53">
        <w:rPr>
          <w:rFonts w:ascii="Times New Roman" w:eastAsia="MS Mincho" w:hAnsi="Times New Roman" w:cs="Times New Roman"/>
          <w:spacing w:val="2"/>
          <w:lang w:eastAsia="en-US"/>
        </w:rPr>
        <w:t xml:space="preserve">trading structure of the </w:t>
      </w:r>
      <w:r w:rsidR="00055E51" w:rsidRPr="001F7F53">
        <w:rPr>
          <w:rFonts w:ascii="Times New Roman" w:eastAsia="MS Mincho" w:hAnsi="Times New Roman" w:cs="Times New Roman"/>
          <w:spacing w:val="2"/>
          <w:lang w:eastAsia="en-US"/>
        </w:rPr>
        <w:t>New Unit Programs</w:t>
      </w:r>
      <w:r w:rsidR="00055E51">
        <w:rPr>
          <w:rFonts w:ascii="Times New Roman" w:eastAsia="MS Mincho" w:hAnsi="Times New Roman" w:cs="Times New Roman"/>
          <w:spacing w:val="2"/>
          <w:lang w:eastAsia="en-US"/>
        </w:rPr>
        <w:t xml:space="preserve"> </w:t>
      </w:r>
      <w:r w:rsidR="00EE3964">
        <w:rPr>
          <w:rFonts w:ascii="Times New Roman" w:eastAsia="MS Mincho" w:hAnsi="Times New Roman" w:cs="Times New Roman"/>
          <w:spacing w:val="2"/>
          <w:lang w:eastAsia="en-US"/>
        </w:rPr>
        <w:t>is</w:t>
      </w:r>
      <w:r w:rsidR="00055E51">
        <w:rPr>
          <w:rFonts w:ascii="Times New Roman" w:eastAsia="MS Mincho" w:hAnsi="Times New Roman" w:cs="Times New Roman"/>
          <w:spacing w:val="2"/>
          <w:lang w:eastAsia="en-US"/>
        </w:rPr>
        <w:t xml:space="preserve"> better suited for the current reality of the Companies and is in line with their </w:t>
      </w:r>
      <w:r w:rsidR="00BD2FB9">
        <w:rPr>
          <w:rFonts w:ascii="Times New Roman" w:eastAsia="MS Mincho" w:hAnsi="Times New Roman" w:cs="Times New Roman"/>
          <w:spacing w:val="2"/>
          <w:lang w:eastAsia="en-US"/>
        </w:rPr>
        <w:t xml:space="preserve">strategic </w:t>
      </w:r>
      <w:r w:rsidR="00055E51">
        <w:rPr>
          <w:rFonts w:ascii="Times New Roman" w:eastAsia="MS Mincho" w:hAnsi="Times New Roman" w:cs="Times New Roman"/>
          <w:spacing w:val="2"/>
          <w:lang w:eastAsia="en-US"/>
        </w:rPr>
        <w:t>repositioning.</w:t>
      </w:r>
    </w:p>
    <w:p w:rsidR="00055E51" w:rsidRDefault="00055E51" w:rsidP="006E143A">
      <w:pPr>
        <w:rPr>
          <w:rFonts w:ascii="Times New Roman" w:eastAsia="MS Mincho" w:hAnsi="Times New Roman" w:cs="Times New Roman"/>
          <w:spacing w:val="2"/>
          <w:lang w:eastAsia="en-US"/>
        </w:rPr>
      </w:pPr>
    </w:p>
    <w:p w:rsidR="00055E51" w:rsidRPr="003D63B6" w:rsidRDefault="00055E51" w:rsidP="00055E51">
      <w:r>
        <w:rPr>
          <w:rFonts w:ascii="Times New Roman" w:eastAsia="MS Mincho" w:hAnsi="Times New Roman" w:cs="Times New Roman"/>
          <w:spacing w:val="2"/>
          <w:lang w:eastAsia="en-US"/>
        </w:rPr>
        <w:t>Holders of the current units traded under the ticker symbol "BBTG11" (the "</w:t>
      </w:r>
      <w:r>
        <w:rPr>
          <w:rFonts w:ascii="Times New Roman" w:eastAsia="MS Mincho" w:hAnsi="Times New Roman" w:cs="Times New Roman"/>
          <w:spacing w:val="2"/>
          <w:u w:val="single"/>
          <w:lang w:eastAsia="en-US"/>
        </w:rPr>
        <w:t>BBTG11 Units</w:t>
      </w:r>
      <w:r>
        <w:rPr>
          <w:rFonts w:ascii="Times New Roman" w:eastAsia="MS Mincho" w:hAnsi="Times New Roman" w:cs="Times New Roman"/>
          <w:spacing w:val="2"/>
          <w:lang w:eastAsia="en-US"/>
        </w:rPr>
        <w:t xml:space="preserve">") will be able to opt, should they wish to do so, to migrate all or part of their BBTG11 Unit holdings toward the new BPAC11 and BBTG12 Units, as described in this Material Fact press release. Accordingly, the holders that opt in favor of the new alternative trading structure </w:t>
      </w:r>
      <w:r>
        <w:rPr>
          <w:rFonts w:ascii="Times New Roman" w:eastAsia="MS Mincho" w:hAnsi="Times New Roman" w:cs="Times New Roman"/>
          <w:spacing w:val="2"/>
          <w:lang w:eastAsia="en-US"/>
        </w:rPr>
        <w:lastRenderedPageBreak/>
        <w:t>through the New Units Program (the "</w:t>
      </w:r>
      <w:r w:rsidRPr="001F7F53">
        <w:rPr>
          <w:rFonts w:ascii="Times New Roman" w:eastAsia="MS Mincho" w:hAnsi="Times New Roman" w:cs="Times New Roman"/>
          <w:spacing w:val="2"/>
          <w:u w:val="single"/>
          <w:lang w:eastAsia="en-US"/>
        </w:rPr>
        <w:t>Opting Holders</w:t>
      </w:r>
      <w:r>
        <w:rPr>
          <w:rFonts w:ascii="Times New Roman" w:eastAsia="MS Mincho" w:hAnsi="Times New Roman" w:cs="Times New Roman"/>
          <w:spacing w:val="2"/>
          <w:lang w:eastAsia="en-US"/>
        </w:rPr>
        <w:t xml:space="preserve">") </w:t>
      </w:r>
      <w:r>
        <w:t>will receive one BPAC11 Unit</w:t>
      </w:r>
      <w:r w:rsidRPr="000619B9">
        <w:t xml:space="preserve"> and</w:t>
      </w:r>
      <w:r>
        <w:t xml:space="preserve"> one</w:t>
      </w:r>
      <w:r w:rsidRPr="000619B9">
        <w:t xml:space="preserve"> BBTG12 Unit</w:t>
      </w:r>
      <w:r>
        <w:t xml:space="preserve"> concurrently with the cancellation of each BBTG11 unit held by such Opting Holder and which has been the subject of a</w:t>
      </w:r>
      <w:r w:rsidR="00611631">
        <w:t>n Order</w:t>
      </w:r>
      <w:r>
        <w:t xml:space="preserve"> to that effect, as described below</w:t>
      </w:r>
      <w:r w:rsidR="00140B5C">
        <w:t xml:space="preserve"> (the "</w:t>
      </w:r>
      <w:r w:rsidR="00140B5C" w:rsidRPr="001F7F53">
        <w:rPr>
          <w:u w:val="single"/>
        </w:rPr>
        <w:t>Migration</w:t>
      </w:r>
      <w:r w:rsidR="00140B5C">
        <w:t>")</w:t>
      </w:r>
      <w:r>
        <w:t>.</w:t>
      </w:r>
    </w:p>
    <w:p w:rsidR="00055E51" w:rsidRPr="001F7F53" w:rsidRDefault="00055E51" w:rsidP="006E143A">
      <w:pPr>
        <w:rPr>
          <w:rFonts w:ascii="Times New Roman" w:eastAsia="MS Mincho" w:hAnsi="Times New Roman" w:cs="Times New Roman"/>
          <w:spacing w:val="2"/>
          <w:lang w:eastAsia="en-US"/>
        </w:rPr>
      </w:pPr>
    </w:p>
    <w:p w:rsidR="00A83126" w:rsidRDefault="00140B5C" w:rsidP="006E143A">
      <w:pPr>
        <w:rPr>
          <w:rFonts w:ascii="Times New Roman" w:eastAsia="MS Mincho" w:hAnsi="Times New Roman" w:cs="Times New Roman"/>
          <w:spacing w:val="2"/>
          <w:lang w:eastAsia="en-US"/>
        </w:rPr>
      </w:pPr>
      <w:r>
        <w:rPr>
          <w:rFonts w:ascii="Times New Roman" w:eastAsia="MS Mincho" w:hAnsi="Times New Roman" w:cs="Times New Roman"/>
          <w:spacing w:val="2"/>
          <w:lang w:eastAsia="en-US"/>
        </w:rPr>
        <w:t>The graphics below illustrate the current trading structure of the securities issued by the Companies and, for comparison, the new alternative trading structure:</w:t>
      </w:r>
    </w:p>
    <w:p w:rsidR="00A83126" w:rsidRDefault="00A83126" w:rsidP="006E143A">
      <w:pPr>
        <w:rPr>
          <w:rFonts w:ascii="Times New Roman" w:eastAsia="MS Mincho" w:hAnsi="Times New Roman" w:cs="Times New Roman"/>
          <w:spacing w:val="2"/>
          <w:lang w:eastAsia="en-US"/>
        </w:rPr>
      </w:pPr>
    </w:p>
    <w:p w:rsidR="003D63B6" w:rsidRPr="003D63B6" w:rsidRDefault="002A4E74" w:rsidP="006E143A">
      <w:r>
        <w:rPr>
          <w:noProof/>
          <w:lang w:eastAsia="en-US"/>
        </w:rPr>
        <w:drawing>
          <wp:inline distT="0" distB="0" distL="0" distR="0" wp14:anchorId="4D1C5274" wp14:editId="529409BA">
            <wp:extent cx="5709037" cy="332736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7219" cy="3332131"/>
                    </a:xfrm>
                    <a:prstGeom prst="rect">
                      <a:avLst/>
                    </a:prstGeom>
                    <a:noFill/>
                  </pic:spPr>
                </pic:pic>
              </a:graphicData>
            </a:graphic>
          </wp:inline>
        </w:drawing>
      </w:r>
    </w:p>
    <w:p w:rsidR="005E48A8" w:rsidRDefault="005E48A8" w:rsidP="003D63B6">
      <w:pPr>
        <w:ind w:firstLine="720"/>
        <w:textAlignment w:val="baseline"/>
        <w:rPr>
          <w:rFonts w:eastAsia="NOT USED" w:cstheme="minorHAnsi"/>
          <w:color w:val="000000"/>
          <w:kern w:val="24"/>
          <w:sz w:val="20"/>
          <w:szCs w:val="14"/>
          <w:lang w:eastAsia="en-US"/>
        </w:rPr>
      </w:pPr>
    </w:p>
    <w:p w:rsidR="003D63B6" w:rsidRPr="002A4E74" w:rsidRDefault="003D63B6" w:rsidP="003D63B6">
      <w:pPr>
        <w:ind w:firstLine="720"/>
        <w:textAlignment w:val="baseline"/>
        <w:rPr>
          <w:rFonts w:eastAsia="Times New Roman" w:cstheme="minorHAnsi"/>
          <w:sz w:val="28"/>
          <w:lang w:eastAsia="en-US"/>
        </w:rPr>
      </w:pPr>
      <w:r w:rsidRPr="002A4E74">
        <w:rPr>
          <w:rFonts w:eastAsia="NOT USED" w:cstheme="minorHAnsi"/>
          <w:color w:val="000000"/>
          <w:kern w:val="24"/>
          <w:sz w:val="16"/>
          <w:szCs w:val="14"/>
          <w:lang w:eastAsia="en-US"/>
        </w:rPr>
        <w:t>Note:</w:t>
      </w:r>
    </w:p>
    <w:p w:rsidR="003D63B6" w:rsidRPr="002A4E74" w:rsidRDefault="003D63B6" w:rsidP="003D63B6">
      <w:pPr>
        <w:numPr>
          <w:ilvl w:val="0"/>
          <w:numId w:val="48"/>
        </w:numPr>
        <w:ind w:left="1267"/>
        <w:contextualSpacing/>
        <w:textAlignment w:val="baseline"/>
        <w:rPr>
          <w:rFonts w:ascii="Times New Roman" w:eastAsia="Times New Roman" w:hAnsi="Times New Roman" w:cs="Times New Roman"/>
          <w:sz w:val="16"/>
          <w:szCs w:val="20"/>
          <w:lang w:eastAsia="en-US"/>
        </w:rPr>
      </w:pPr>
      <w:r w:rsidRPr="002A4E74">
        <w:rPr>
          <w:rFonts w:eastAsia="Arial Unicode MS" w:cstheme="minorHAnsi"/>
          <w:color w:val="000000"/>
          <w:kern w:val="24"/>
          <w:sz w:val="16"/>
          <w:szCs w:val="20"/>
          <w:lang w:eastAsia="en-US"/>
        </w:rPr>
        <w:t xml:space="preserve">Includes units acquired by investment vehicles owned by certain partners individually or collectively and vehicles under common control with the </w:t>
      </w:r>
      <w:r w:rsidRPr="002A4E74">
        <w:rPr>
          <w:rFonts w:eastAsia="Arial Unicode MS" w:cstheme="minorHAnsi"/>
          <w:i/>
          <w:iCs/>
          <w:color w:val="000000"/>
          <w:kern w:val="24"/>
          <w:sz w:val="16"/>
          <w:szCs w:val="20"/>
          <w:lang w:eastAsia="en-US"/>
        </w:rPr>
        <w:t>Partnership</w:t>
      </w:r>
      <w:r w:rsidR="00560C5B" w:rsidRPr="002A4E74">
        <w:rPr>
          <w:rFonts w:eastAsia="Arial Unicode MS" w:cstheme="minorHAnsi"/>
          <w:i/>
          <w:iCs/>
          <w:color w:val="000000"/>
          <w:kern w:val="24"/>
          <w:sz w:val="16"/>
          <w:szCs w:val="20"/>
          <w:lang w:eastAsia="en-US"/>
        </w:rPr>
        <w:t>.</w:t>
      </w:r>
    </w:p>
    <w:p w:rsidR="00560C5B" w:rsidRPr="002A4E74" w:rsidRDefault="00560C5B" w:rsidP="00560C5B">
      <w:pPr>
        <w:numPr>
          <w:ilvl w:val="0"/>
          <w:numId w:val="48"/>
        </w:numPr>
        <w:tabs>
          <w:tab w:val="clear" w:pos="720"/>
        </w:tabs>
        <w:ind w:left="1267"/>
        <w:contextualSpacing/>
        <w:textAlignment w:val="baseline"/>
        <w:rPr>
          <w:rFonts w:ascii="Times New Roman" w:eastAsia="Times New Roman" w:hAnsi="Times New Roman" w:cs="Times New Roman"/>
          <w:sz w:val="16"/>
          <w:szCs w:val="20"/>
          <w:lang w:eastAsia="en-US"/>
        </w:rPr>
      </w:pPr>
      <w:r w:rsidRPr="002A4E74">
        <w:rPr>
          <w:rFonts w:ascii="Times New Roman" w:eastAsia="Times New Roman" w:hAnsi="Times New Roman" w:cs="Times New Roman"/>
          <w:sz w:val="16"/>
          <w:szCs w:val="20"/>
          <w:lang w:eastAsia="en-US"/>
        </w:rPr>
        <w:t xml:space="preserve">Assumes that all BBTG11 </w:t>
      </w:r>
      <w:r w:rsidR="00140B5C" w:rsidRPr="002A4E74">
        <w:rPr>
          <w:rFonts w:ascii="Times New Roman" w:eastAsia="Times New Roman" w:hAnsi="Times New Roman" w:cs="Times New Roman"/>
          <w:sz w:val="16"/>
          <w:szCs w:val="20"/>
          <w:lang w:eastAsia="en-US"/>
        </w:rPr>
        <w:t xml:space="preserve">Unit </w:t>
      </w:r>
      <w:r w:rsidRPr="002A4E74">
        <w:rPr>
          <w:rFonts w:ascii="Times New Roman" w:eastAsia="Times New Roman" w:hAnsi="Times New Roman" w:cs="Times New Roman"/>
          <w:sz w:val="16"/>
          <w:szCs w:val="20"/>
          <w:lang w:eastAsia="en-US"/>
        </w:rPr>
        <w:t xml:space="preserve">holders have opted to cancel their </w:t>
      </w:r>
      <w:r w:rsidR="001F7F53" w:rsidRPr="002A4E74">
        <w:rPr>
          <w:rFonts w:ascii="Times New Roman" w:eastAsia="Times New Roman" w:hAnsi="Times New Roman" w:cs="Times New Roman"/>
          <w:sz w:val="16"/>
          <w:szCs w:val="20"/>
          <w:lang w:eastAsia="en-US"/>
        </w:rPr>
        <w:t>BBTG11 Units</w:t>
      </w:r>
      <w:r w:rsidRPr="002A4E74">
        <w:rPr>
          <w:rFonts w:ascii="Times New Roman" w:eastAsia="Times New Roman" w:hAnsi="Times New Roman" w:cs="Times New Roman"/>
          <w:sz w:val="16"/>
          <w:szCs w:val="20"/>
          <w:lang w:eastAsia="en-US"/>
        </w:rPr>
        <w:t xml:space="preserve"> and receive BPAC11 Units and BBTG12 Units. </w:t>
      </w:r>
      <w:r w:rsidR="00140B5C" w:rsidRPr="002A4E74">
        <w:rPr>
          <w:rFonts w:ascii="Times New Roman" w:eastAsia="Times New Roman" w:hAnsi="Times New Roman" w:cs="Times New Roman"/>
          <w:sz w:val="16"/>
          <w:szCs w:val="20"/>
          <w:lang w:eastAsia="en-US"/>
        </w:rPr>
        <w:t>However, in the event that not all holders of BBTG11 Units opt in favor of the Migration toward the New Unit Programs, the BBTG11 Units may</w:t>
      </w:r>
      <w:r w:rsidRPr="002A4E74">
        <w:rPr>
          <w:rFonts w:ascii="Times New Roman" w:eastAsia="Times New Roman" w:hAnsi="Times New Roman" w:cs="Times New Roman"/>
          <w:sz w:val="16"/>
          <w:szCs w:val="20"/>
          <w:lang w:eastAsia="en-US"/>
        </w:rPr>
        <w:t xml:space="preserve"> continue to </w:t>
      </w:r>
      <w:r w:rsidR="00140B5C" w:rsidRPr="002A4E74">
        <w:rPr>
          <w:rFonts w:ascii="Times New Roman" w:eastAsia="Times New Roman" w:hAnsi="Times New Roman" w:cs="Times New Roman"/>
          <w:sz w:val="16"/>
          <w:szCs w:val="20"/>
          <w:lang w:eastAsia="en-US"/>
        </w:rPr>
        <w:t xml:space="preserve">exist and </w:t>
      </w:r>
      <w:r w:rsidRPr="002A4E74">
        <w:rPr>
          <w:rFonts w:ascii="Times New Roman" w:eastAsia="Times New Roman" w:hAnsi="Times New Roman" w:cs="Times New Roman"/>
          <w:sz w:val="16"/>
          <w:szCs w:val="20"/>
          <w:lang w:eastAsia="en-US"/>
        </w:rPr>
        <w:t xml:space="preserve">be traded.  </w:t>
      </w:r>
    </w:p>
    <w:p w:rsidR="00140B5C" w:rsidRPr="002A4E74" w:rsidRDefault="00140B5C" w:rsidP="001F7F53">
      <w:pPr>
        <w:numPr>
          <w:ilvl w:val="0"/>
          <w:numId w:val="48"/>
        </w:numPr>
        <w:tabs>
          <w:tab w:val="clear" w:pos="720"/>
        </w:tabs>
        <w:ind w:left="1267"/>
        <w:contextualSpacing/>
        <w:textAlignment w:val="baseline"/>
        <w:rPr>
          <w:rFonts w:ascii="Times New Roman" w:eastAsia="Times New Roman" w:hAnsi="Times New Roman" w:cs="Times New Roman"/>
          <w:sz w:val="16"/>
          <w:szCs w:val="20"/>
          <w:lang w:eastAsia="en-US"/>
        </w:rPr>
      </w:pPr>
      <w:r w:rsidRPr="002A4E74">
        <w:rPr>
          <w:rFonts w:ascii="Times New Roman" w:eastAsia="Times New Roman" w:hAnsi="Times New Roman" w:cs="Times New Roman"/>
          <w:sz w:val="16"/>
          <w:szCs w:val="20"/>
          <w:lang w:eastAsia="en-US"/>
        </w:rPr>
        <w:t xml:space="preserve">Considering economic interest only (i.e., Class A and Class B shares of BTG Pactual Holding S.A.) </w:t>
      </w:r>
    </w:p>
    <w:p w:rsidR="00560C5B" w:rsidRPr="001F7F53" w:rsidRDefault="00560C5B" w:rsidP="008E1436">
      <w:pPr>
        <w:tabs>
          <w:tab w:val="left" w:pos="1260"/>
        </w:tabs>
        <w:ind w:left="907"/>
        <w:contextualSpacing/>
        <w:textAlignment w:val="baseline"/>
        <w:rPr>
          <w:rFonts w:ascii="Times New Roman" w:eastAsia="Times New Roman" w:hAnsi="Times New Roman" w:cs="Times New Roman"/>
          <w:sz w:val="20"/>
          <w:szCs w:val="20"/>
          <w:lang w:eastAsia="en-US"/>
        </w:rPr>
      </w:pPr>
      <w:r w:rsidRPr="002A4E74">
        <w:rPr>
          <w:rFonts w:ascii="Times New Roman" w:eastAsia="Times New Roman" w:hAnsi="Times New Roman" w:cs="Times New Roman"/>
          <w:sz w:val="16"/>
          <w:szCs w:val="20"/>
          <w:lang w:eastAsia="en-US"/>
        </w:rPr>
        <w:t>*</w:t>
      </w:r>
      <w:r w:rsidRPr="002A4E74">
        <w:rPr>
          <w:rFonts w:ascii="Times New Roman" w:eastAsia="Times New Roman" w:hAnsi="Times New Roman" w:cs="Times New Roman"/>
          <w:sz w:val="16"/>
          <w:szCs w:val="20"/>
          <w:lang w:eastAsia="en-US"/>
        </w:rPr>
        <w:tab/>
        <w:t xml:space="preserve">Structure simplified for illustrative purposes only. Final percentages may vary due to rounding. </w:t>
      </w:r>
    </w:p>
    <w:p w:rsidR="006E143A" w:rsidRPr="006E143A" w:rsidRDefault="006E143A" w:rsidP="008E1436">
      <w:pPr>
        <w:tabs>
          <w:tab w:val="left" w:pos="1260"/>
        </w:tabs>
        <w:contextualSpacing/>
        <w:textAlignment w:val="baseline"/>
        <w:rPr>
          <w:u w:val="single"/>
        </w:rPr>
      </w:pPr>
    </w:p>
    <w:p w:rsidR="006E143A" w:rsidRDefault="00140B5C" w:rsidP="006E143A">
      <w:r>
        <w:t xml:space="preserve">Banco and BTGP's respective organizational structures </w:t>
      </w:r>
      <w:r w:rsidR="003D63B6">
        <w:t xml:space="preserve">will not be altered, and there will </w:t>
      </w:r>
      <w:r>
        <w:t>be neither</w:t>
      </w:r>
      <w:r w:rsidR="003D63B6">
        <w:t xml:space="preserve"> changes in asset holdings resulting </w:t>
      </w:r>
      <w:r w:rsidR="00205E95">
        <w:t xml:space="preserve">from </w:t>
      </w:r>
      <w:r w:rsidR="00205E95" w:rsidRPr="0024790B">
        <w:t xml:space="preserve">the </w:t>
      </w:r>
      <w:r w:rsidR="000619B9" w:rsidRPr="0024790B">
        <w:t xml:space="preserve">New </w:t>
      </w:r>
      <w:r>
        <w:t>Unit Programs</w:t>
      </w:r>
      <w:r w:rsidR="00205E95">
        <w:t xml:space="preserve">, </w:t>
      </w:r>
      <w:r>
        <w:t xml:space="preserve">nor any dilution effect in the equity holdings of each unit holder, </w:t>
      </w:r>
      <w:r w:rsidR="00205E95">
        <w:t>, irrespective of whether</w:t>
      </w:r>
      <w:r w:rsidRPr="006E5F38">
        <w:t xml:space="preserve"> or not</w:t>
      </w:r>
      <w:r w:rsidR="00205E95">
        <w:t xml:space="preserve"> such unit holder </w:t>
      </w:r>
      <w:r w:rsidR="00205E95" w:rsidRPr="006E5F38">
        <w:t xml:space="preserve">opts in favor the </w:t>
      </w:r>
      <w:r w:rsidR="000619B9" w:rsidRPr="006E5F38">
        <w:t xml:space="preserve">New </w:t>
      </w:r>
      <w:r>
        <w:t>Unit Programs</w:t>
      </w:r>
      <w:r w:rsidR="00205E95">
        <w:t xml:space="preserve">, as described below. </w:t>
      </w:r>
    </w:p>
    <w:p w:rsidR="003A29F8" w:rsidRDefault="003A29F8" w:rsidP="006E143A"/>
    <w:p w:rsidR="000619B9" w:rsidRDefault="000619B9" w:rsidP="006E143A">
      <w:r>
        <w:t xml:space="preserve">The decision and the commercial terms defined by each Company's board of directors will be applicable only to Opting Holders </w:t>
      </w:r>
      <w:r w:rsidRPr="006E5F38">
        <w:t>(it being understood that it will not be possible</w:t>
      </w:r>
      <w:r w:rsidR="00FE3F22">
        <w:t xml:space="preserve"> to </w:t>
      </w:r>
      <w:r w:rsidR="00FE3F22" w:rsidRPr="006E5F38">
        <w:t>form only BPAC11 Units or only BBTG12 Units in isolation</w:t>
      </w:r>
      <w:r w:rsidR="00FE3F22">
        <w:t xml:space="preserve"> within</w:t>
      </w:r>
      <w:r w:rsidRPr="006E5F38">
        <w:t xml:space="preserve"> the context of the commercial terms </w:t>
      </w:r>
      <w:r w:rsidR="00FE3F22">
        <w:t xml:space="preserve">hereby </w:t>
      </w:r>
      <w:r w:rsidRPr="006E5F38">
        <w:t>being offered</w:t>
      </w:r>
      <w:r w:rsidR="00FE3F22">
        <w:t>, and that such commercial terms are not applicable to</w:t>
      </w:r>
      <w:r w:rsidRPr="006E5F38">
        <w:t xml:space="preserve"> the cancellation of BBTG11 </w:t>
      </w:r>
      <w:r w:rsidR="00FE3F22" w:rsidRPr="006E5F38">
        <w:t xml:space="preserve">Units </w:t>
      </w:r>
      <w:r w:rsidR="00FE3F22">
        <w:t>that would</w:t>
      </w:r>
      <w:r w:rsidR="00FE3F22" w:rsidRPr="006E5F38">
        <w:t xml:space="preserve"> </w:t>
      </w:r>
      <w:r w:rsidRPr="006E5F38">
        <w:t xml:space="preserve">result in direct ownership of </w:t>
      </w:r>
      <w:r w:rsidR="00FE3F22" w:rsidRPr="006E5F38">
        <w:t>shares</w:t>
      </w:r>
      <w:r w:rsidR="00FE3F22">
        <w:t xml:space="preserve"> issued by</w:t>
      </w:r>
      <w:r w:rsidR="00FE3F22" w:rsidRPr="006E5F38">
        <w:t xml:space="preserve"> </w:t>
      </w:r>
      <w:r w:rsidRPr="006E5F38">
        <w:t xml:space="preserve">Banco or </w:t>
      </w:r>
      <w:r w:rsidR="00FE3F22" w:rsidRPr="006E5F38">
        <w:t>BDRs</w:t>
      </w:r>
      <w:r w:rsidR="00FE3F22">
        <w:t xml:space="preserve"> issued by</w:t>
      </w:r>
      <w:r w:rsidR="00FE3F22" w:rsidRPr="006E5F38">
        <w:t xml:space="preserve"> </w:t>
      </w:r>
      <w:r w:rsidRPr="006E5F38">
        <w:t xml:space="preserve">BTGP without the formation of both BPAC11 </w:t>
      </w:r>
      <w:r w:rsidRPr="001F7F53">
        <w:t>and</w:t>
      </w:r>
      <w:r w:rsidRPr="006E5F38">
        <w:t xml:space="preserve"> BBTG12 Units.</w:t>
      </w:r>
    </w:p>
    <w:p w:rsidR="000619B9" w:rsidRDefault="000619B9" w:rsidP="006E143A"/>
    <w:p w:rsidR="00611631" w:rsidRDefault="00FE3F22" w:rsidP="006E143A">
      <w:r>
        <w:lastRenderedPageBreak/>
        <w:t>Opting Holders</w:t>
      </w:r>
      <w:r w:rsidR="00EE3964">
        <w:t xml:space="preserve"> must manifest their </w:t>
      </w:r>
      <w:r w:rsidR="00183070">
        <w:t>intention to opt</w:t>
      </w:r>
      <w:r w:rsidR="00EE3964">
        <w:t xml:space="preserve"> in favor of the </w:t>
      </w:r>
      <w:r w:rsidR="00183070">
        <w:t>Migration</w:t>
      </w:r>
      <w:r w:rsidR="00EE3964">
        <w:t xml:space="preserve"> </w:t>
      </w:r>
      <w:r w:rsidR="00183070">
        <w:t>within a specified deadline, beginning on</w:t>
      </w:r>
      <w:r w:rsidR="005101DE">
        <w:t xml:space="preserve"> February </w:t>
      </w:r>
      <w:r w:rsidR="00C03C67" w:rsidRPr="00F46F81">
        <w:rPr>
          <w:rFonts w:cstheme="minorHAnsi"/>
        </w:rPr>
        <w:t>15</w:t>
      </w:r>
      <w:r w:rsidR="005101DE">
        <w:t>, 2017</w:t>
      </w:r>
      <w:r w:rsidR="00FB470D">
        <w:t xml:space="preserve"> </w:t>
      </w:r>
      <w:r w:rsidR="00FB470D" w:rsidRPr="00FB470D">
        <w:t>(inclusive)</w:t>
      </w:r>
      <w:r w:rsidR="00FB470D">
        <w:t xml:space="preserve"> and ending on </w:t>
      </w:r>
      <w:r w:rsidR="000619B9" w:rsidRPr="001F7F53">
        <w:rPr>
          <w:rFonts w:cstheme="minorHAnsi"/>
        </w:rPr>
        <w:t xml:space="preserve">December </w:t>
      </w:r>
      <w:r w:rsidR="00BD2FB9">
        <w:rPr>
          <w:rFonts w:cstheme="minorHAnsi"/>
        </w:rPr>
        <w:t>28</w:t>
      </w:r>
      <w:r w:rsidR="000619B9">
        <w:t xml:space="preserve">, </w:t>
      </w:r>
      <w:r w:rsidR="00FB470D">
        <w:t xml:space="preserve">2017 </w:t>
      </w:r>
      <w:r w:rsidR="00FB470D" w:rsidRPr="00FB470D">
        <w:t>(inclusive)</w:t>
      </w:r>
      <w:r w:rsidR="00FB470D">
        <w:t xml:space="preserve"> (the "</w:t>
      </w:r>
      <w:r w:rsidR="00183070">
        <w:rPr>
          <w:u w:val="single"/>
        </w:rPr>
        <w:t xml:space="preserve">Migration </w:t>
      </w:r>
      <w:r w:rsidR="00FB470D">
        <w:rPr>
          <w:u w:val="single"/>
        </w:rPr>
        <w:t>Period</w:t>
      </w:r>
      <w:r w:rsidR="00FB470D">
        <w:t xml:space="preserve">"), </w:t>
      </w:r>
      <w:r w:rsidR="00183070">
        <w:t xml:space="preserve">in compliance with the requirements set forth under the caption "Necessary Operational Procedures for the Migration" below, and, solely during this period, </w:t>
      </w:r>
      <w:r w:rsidR="00FB470D">
        <w:t xml:space="preserve">the Companies will waive any </w:t>
      </w:r>
      <w:r w:rsidR="00201C8C">
        <w:t xml:space="preserve">cancellation </w:t>
      </w:r>
      <w:r w:rsidR="00FB470D">
        <w:t>fees otherwise payable by unit holders</w:t>
      </w:r>
      <w:r w:rsidR="00183070">
        <w:t xml:space="preserve"> (as set forth in the bylaws of the Companies and in the unit deposit agreements)</w:t>
      </w:r>
      <w:r w:rsidR="00FB470D">
        <w:t xml:space="preserve">, which fees </w:t>
      </w:r>
      <w:r w:rsidR="00201C8C">
        <w:t xml:space="preserve">are equivalent to </w:t>
      </w:r>
      <w:r w:rsidR="00FB470D">
        <w:t xml:space="preserve">10% of the </w:t>
      </w:r>
      <w:r w:rsidR="00FB470D" w:rsidRPr="008E1436">
        <w:t>previous trading day's</w:t>
      </w:r>
      <w:r w:rsidR="00FB470D">
        <w:t xml:space="preserve"> closing price of such unit, </w:t>
      </w:r>
      <w:r w:rsidR="00AF63A7">
        <w:t>relating to the month preceding the</w:t>
      </w:r>
      <w:r w:rsidR="00201C8C">
        <w:t xml:space="preserve"> cancellation</w:t>
      </w:r>
      <w:r w:rsidR="00AF63A7">
        <w:t xml:space="preserve"> request</w:t>
      </w:r>
      <w:r w:rsidR="00274470">
        <w:t xml:space="preserve"> </w:t>
      </w:r>
      <w:r w:rsidR="00AF63A7">
        <w:t>(the "</w:t>
      </w:r>
      <w:r w:rsidR="00AF63A7" w:rsidRPr="00AF63A7">
        <w:rPr>
          <w:u w:val="single"/>
        </w:rPr>
        <w:t xml:space="preserve">BBTG11 </w:t>
      </w:r>
      <w:r w:rsidR="00274470">
        <w:rPr>
          <w:u w:val="single"/>
        </w:rPr>
        <w:t xml:space="preserve">Cancellation </w:t>
      </w:r>
      <w:r w:rsidR="00AF63A7" w:rsidRPr="00AF63A7">
        <w:rPr>
          <w:u w:val="single"/>
        </w:rPr>
        <w:t>Fee</w:t>
      </w:r>
      <w:r w:rsidR="00AF63A7">
        <w:t>")</w:t>
      </w:r>
      <w:r w:rsidR="00183070">
        <w:t>. I</w:t>
      </w:r>
      <w:r w:rsidR="00AF63A7">
        <w:t>n addition</w:t>
      </w:r>
      <w:r w:rsidR="00183070">
        <w:t xml:space="preserve">, </w:t>
      </w:r>
      <w:r w:rsidR="00611631">
        <w:t xml:space="preserve">and on an exceptional basis as it relates to the Migration, </w:t>
      </w:r>
      <w:r w:rsidR="002271E5">
        <w:t>the Companies hereby inform Opting Holders that, pursuant to a special arrangement with</w:t>
      </w:r>
      <w:r w:rsidR="00D05384">
        <w:t xml:space="preserve"> Banco Bradesco S.A., the </w:t>
      </w:r>
      <w:r w:rsidR="002271E5">
        <w:t xml:space="preserve">entity </w:t>
      </w:r>
      <w:r w:rsidR="00D05384">
        <w:t>in charge of the Companies' unit programs (the "</w:t>
      </w:r>
      <w:r w:rsidR="00D05384" w:rsidRPr="00D05384">
        <w:rPr>
          <w:u w:val="single"/>
        </w:rPr>
        <w:t>Depositary</w:t>
      </w:r>
      <w:r w:rsidR="00D05384">
        <w:t>")</w:t>
      </w:r>
      <w:r w:rsidR="0025171C">
        <w:t>,</w:t>
      </w:r>
      <w:r w:rsidR="00AF63A7">
        <w:t xml:space="preserve"> </w:t>
      </w:r>
      <w:r w:rsidR="002271E5">
        <w:t>Opting Holders opting in favor of the Migration by August 11, 2017 (inclusive) (the "</w:t>
      </w:r>
      <w:r w:rsidR="002271E5" w:rsidRPr="00F53767">
        <w:rPr>
          <w:u w:val="single"/>
        </w:rPr>
        <w:t>Initial Period</w:t>
      </w:r>
      <w:r w:rsidR="002271E5">
        <w:t xml:space="preserve">"), </w:t>
      </w:r>
      <w:r w:rsidR="00611631">
        <w:t>will be required to pay to the Depositary (the "</w:t>
      </w:r>
      <w:r w:rsidR="00611631" w:rsidRPr="00610587">
        <w:rPr>
          <w:u w:val="single"/>
        </w:rPr>
        <w:t>Costs</w:t>
      </w:r>
      <w:r w:rsidR="00611631">
        <w:t xml:space="preserve">") </w:t>
      </w:r>
      <w:r w:rsidR="00611631" w:rsidRPr="00611631">
        <w:t xml:space="preserve">only R$0.02 (two cents) for the </w:t>
      </w:r>
      <w:r w:rsidR="00611631">
        <w:t>Migration of each BBTG11 Unit</w:t>
      </w:r>
      <w:r w:rsidR="00611631" w:rsidRPr="00611631">
        <w:t xml:space="preserve">, it being understood that such pricing </w:t>
      </w:r>
      <w:r w:rsidR="00611631">
        <w:t>terms</w:t>
      </w:r>
      <w:r w:rsidR="00611631" w:rsidRPr="00611631">
        <w:t xml:space="preserve"> have been obtained by virtue of the expected volume of migrations.</w:t>
      </w:r>
      <w:r w:rsidR="00611631">
        <w:t xml:space="preserve"> </w:t>
      </w:r>
      <w:r w:rsidR="00611631" w:rsidRPr="00611631">
        <w:t>Following the Initial Period, Opting Holders opting for in favor of the Migration will pay the standard rate charged by the Depositary</w:t>
      </w:r>
      <w:r w:rsidR="00611631">
        <w:t xml:space="preserve">, which is </w:t>
      </w:r>
      <w:r w:rsidR="00611631" w:rsidRPr="00611631">
        <w:t>R$0.</w:t>
      </w:r>
      <w:r w:rsidR="00611631">
        <w:t>1</w:t>
      </w:r>
      <w:r w:rsidR="00611631" w:rsidRPr="00611631">
        <w:t>0 (</w:t>
      </w:r>
      <w:r w:rsidR="00611631">
        <w:t>ten cents) for each one of the three steps required for the Migration of each BBTG11 Unit</w:t>
      </w:r>
      <w:r w:rsidR="00611631" w:rsidRPr="00611631">
        <w:t xml:space="preserve">. </w:t>
      </w:r>
    </w:p>
    <w:p w:rsidR="00611631" w:rsidRDefault="00611631" w:rsidP="006E143A"/>
    <w:p w:rsidR="009A3376" w:rsidRDefault="0025171C" w:rsidP="006E143A">
      <w:r>
        <w:t>Considering that, by virtue of the New Unit Programs, the shares issued by Banco will also be traded on the BM&amp;FBOVESPA</w:t>
      </w:r>
      <w:r w:rsidR="002B3FB4">
        <w:rPr>
          <w:spacing w:val="2"/>
        </w:rPr>
        <w:t xml:space="preserve"> </w:t>
      </w:r>
      <w:r>
        <w:rPr>
          <w:spacing w:val="2"/>
        </w:rPr>
        <w:t xml:space="preserve">in the form of BPAC11 Units, and that its buyback program currently in effect </w:t>
      </w:r>
      <w:r w:rsidR="00EF2D23">
        <w:rPr>
          <w:spacing w:val="2"/>
        </w:rPr>
        <w:t xml:space="preserve">contemplated </w:t>
      </w:r>
      <w:r>
        <w:rPr>
          <w:spacing w:val="2"/>
        </w:rPr>
        <w:t>both BBTG11 Units and its underlying securities – which buyback program currently has a balance of 2,873,920 BBTG11 Units, corresponding to 2,873,920 common shares and 5,747,840 class A preferred shares issued by Banco –, Banco's board of directors approved</w:t>
      </w:r>
      <w:r w:rsidR="009A3376">
        <w:rPr>
          <w:spacing w:val="2"/>
        </w:rPr>
        <w:t>,</w:t>
      </w:r>
      <w:r>
        <w:rPr>
          <w:spacing w:val="2"/>
        </w:rPr>
        <w:t xml:space="preserve"> </w:t>
      </w:r>
      <w:r w:rsidR="009A3376">
        <w:t xml:space="preserve">on February </w:t>
      </w:r>
      <w:r w:rsidR="009A3376" w:rsidRPr="00F46F81">
        <w:t>14</w:t>
      </w:r>
      <w:r w:rsidR="009A3376">
        <w:t xml:space="preserve">, 2017, </w:t>
      </w:r>
      <w:r>
        <w:rPr>
          <w:spacing w:val="2"/>
        </w:rPr>
        <w:t xml:space="preserve">an </w:t>
      </w:r>
      <w:r w:rsidR="009A3376">
        <w:rPr>
          <w:spacing w:val="2"/>
        </w:rPr>
        <w:t xml:space="preserve">extension and </w:t>
      </w:r>
      <w:r>
        <w:rPr>
          <w:spacing w:val="2"/>
        </w:rPr>
        <w:t xml:space="preserve">amendment to its </w:t>
      </w:r>
      <w:r w:rsidR="009A3376">
        <w:rPr>
          <w:spacing w:val="2"/>
        </w:rPr>
        <w:t xml:space="preserve">current </w:t>
      </w:r>
      <w:r>
        <w:rPr>
          <w:spacing w:val="2"/>
        </w:rPr>
        <w:t xml:space="preserve">buyback program </w:t>
      </w:r>
      <w:r>
        <w:t xml:space="preserve">as a logical development from the new alternative trading structure, to </w:t>
      </w:r>
      <w:r w:rsidR="00370B61">
        <w:t xml:space="preserve">provide </w:t>
      </w:r>
      <w:r>
        <w:t>that its balance</w:t>
      </w:r>
      <w:r w:rsidR="009A3376">
        <w:t xml:space="preserve"> </w:t>
      </w:r>
      <w:r>
        <w:t xml:space="preserve">be </w:t>
      </w:r>
      <w:r w:rsidR="009A3376">
        <w:t xml:space="preserve">used </w:t>
      </w:r>
      <w:r w:rsidR="00370B61">
        <w:t xml:space="preserve">exclusively (considering also the paragraph below) </w:t>
      </w:r>
      <w:r w:rsidR="009A3376">
        <w:t>for the repurchase of up to 2,873,920 BPAC11 Units and its underlying securities beginning on the first day of trading of the BPAC11 Units.</w:t>
      </w:r>
    </w:p>
    <w:p w:rsidR="00EF2D23" w:rsidRDefault="00EF2D23" w:rsidP="006E143A"/>
    <w:p w:rsidR="009A3376" w:rsidRDefault="009A3376" w:rsidP="006E143A">
      <w:r>
        <w:t xml:space="preserve">In the same manner, and for the same reasons, BTGP's board of directors approved, on February </w:t>
      </w:r>
      <w:r w:rsidRPr="00F46F81">
        <w:t>14</w:t>
      </w:r>
      <w:r>
        <w:t xml:space="preserve">, 2017, </w:t>
      </w:r>
      <w:r>
        <w:rPr>
          <w:spacing w:val="2"/>
        </w:rPr>
        <w:t xml:space="preserve">a buyback program </w:t>
      </w:r>
      <w:r>
        <w:t>to repurchase up to 2,873,920 BBTG12 Units and its underlying securities beginning on the first day of trading of the BBTG12 Units.</w:t>
      </w:r>
    </w:p>
    <w:p w:rsidR="009A3376" w:rsidRDefault="009A3376" w:rsidP="006E143A"/>
    <w:p w:rsidR="009A3376" w:rsidRPr="001F7F53" w:rsidRDefault="00370B61" w:rsidP="006E143A">
      <w:r>
        <w:t>For the avoidance of doubt, the Companies will no longer repurchase BBTG11 Units under the above-mentioned buyback program.</w:t>
      </w:r>
    </w:p>
    <w:p w:rsidR="003D63B6" w:rsidRDefault="003D63B6" w:rsidP="006E143A">
      <w:pPr>
        <w:rPr>
          <w:u w:val="single"/>
        </w:rPr>
      </w:pPr>
    </w:p>
    <w:p w:rsidR="00274470" w:rsidRDefault="00274470" w:rsidP="006E143A">
      <w:pPr>
        <w:rPr>
          <w:u w:val="single"/>
        </w:rPr>
      </w:pPr>
    </w:p>
    <w:p w:rsidR="003D63B6" w:rsidRPr="00A646DE" w:rsidRDefault="00A646DE" w:rsidP="006E143A">
      <w:pPr>
        <w:rPr>
          <w:u w:val="single"/>
        </w:rPr>
      </w:pPr>
      <w:r w:rsidRPr="00A646DE">
        <w:rPr>
          <w:rFonts w:ascii="Times New Roman" w:eastAsia="MS Mincho" w:hAnsi="Times New Roman" w:cs="Times New Roman"/>
          <w:spacing w:val="2"/>
          <w:u w:val="single"/>
          <w:lang w:eastAsia="en-US"/>
        </w:rPr>
        <w:t>Rationales for the New Trading Structure</w:t>
      </w:r>
    </w:p>
    <w:p w:rsidR="003D63B6" w:rsidRPr="006E143A" w:rsidRDefault="003D63B6" w:rsidP="006E143A">
      <w:pPr>
        <w:rPr>
          <w:u w:val="single"/>
        </w:rPr>
      </w:pPr>
    </w:p>
    <w:p w:rsidR="00A646DE" w:rsidRPr="00E91789" w:rsidRDefault="00A646DE" w:rsidP="00A646DE">
      <w:r>
        <w:t>As previously disclosed</w:t>
      </w:r>
      <w:r w:rsidR="00E75FA9">
        <w:t xml:space="preserve"> on the Material Fact press release dated January 27, 2017</w:t>
      </w:r>
      <w:r>
        <w:t xml:space="preserve">, the proposed trading structure seeks </w:t>
      </w:r>
      <w:r w:rsidRPr="00A646DE">
        <w:t xml:space="preserve">(i) greater transparency </w:t>
      </w:r>
      <w:r w:rsidR="00E75FA9">
        <w:t>to</w:t>
      </w:r>
      <w:r w:rsidR="00E75FA9" w:rsidRPr="00A646DE">
        <w:t xml:space="preserve"> </w:t>
      </w:r>
      <w:r w:rsidRPr="00A646DE">
        <w:t xml:space="preserve">the assets of each of the Companies, with clearer differentiation between the banking and asset management activities performed by Banco, and the private equity investment vehicle activities performed </w:t>
      </w:r>
      <w:r w:rsidRPr="001F7F53">
        <w:rPr>
          <w:spacing w:val="2"/>
        </w:rPr>
        <w:t xml:space="preserve">primarily </w:t>
      </w:r>
      <w:r w:rsidRPr="001F7F53">
        <w:t>by BTGP, which will continue managing its legacy asset portfolio</w:t>
      </w:r>
      <w:r w:rsidRPr="00A646DE">
        <w:t xml:space="preserve">, (ii) </w:t>
      </w:r>
      <w:r w:rsidR="00E75FA9">
        <w:t>enable increased</w:t>
      </w:r>
      <w:r w:rsidRPr="00A646DE">
        <w:t xml:space="preserve"> liquidity for securities issued by Banco</w:t>
      </w:r>
      <w:r>
        <w:t xml:space="preserve"> </w:t>
      </w:r>
      <w:r w:rsidR="00E91789">
        <w:t>(</w:t>
      </w:r>
      <w:r>
        <w:t xml:space="preserve">which entity represents approximately </w:t>
      </w:r>
      <w:r w:rsidRPr="00F46F81">
        <w:rPr>
          <w:rFonts w:ascii="Times New Roman" w:eastAsia="MS Mincho" w:hAnsi="Times New Roman" w:cs="Times New Roman"/>
          <w:spacing w:val="2"/>
          <w:lang w:eastAsia="en-US"/>
        </w:rPr>
        <w:t>87</w:t>
      </w:r>
      <w:r w:rsidRPr="00A646DE">
        <w:rPr>
          <w:rFonts w:ascii="Times New Roman" w:eastAsia="MS Mincho" w:hAnsi="Times New Roman" w:cs="Times New Roman"/>
          <w:spacing w:val="2"/>
          <w:lang w:eastAsia="en-US"/>
        </w:rPr>
        <w:t xml:space="preserve">% of the </w:t>
      </w:r>
      <w:r w:rsidR="00580CFB">
        <w:rPr>
          <w:rFonts w:ascii="Times New Roman" w:eastAsia="MS Mincho" w:hAnsi="Times New Roman" w:cs="Times New Roman"/>
          <w:spacing w:val="2"/>
          <w:lang w:eastAsia="en-US"/>
        </w:rPr>
        <w:t xml:space="preserve">net assets of </w:t>
      </w:r>
      <w:r>
        <w:rPr>
          <w:rFonts w:ascii="Times New Roman" w:eastAsia="MS Mincho" w:hAnsi="Times New Roman" w:cs="Times New Roman"/>
          <w:spacing w:val="2"/>
          <w:lang w:eastAsia="en-US"/>
        </w:rPr>
        <w:t>the BBTG11 unit</w:t>
      </w:r>
      <w:r w:rsidR="00B9673E">
        <w:rPr>
          <w:rFonts w:ascii="Times New Roman" w:eastAsia="MS Mincho" w:hAnsi="Times New Roman" w:cs="Times New Roman"/>
          <w:spacing w:val="2"/>
          <w:lang w:eastAsia="en-US"/>
        </w:rPr>
        <w:t xml:space="preserve"> as of </w:t>
      </w:r>
      <w:r w:rsidR="00B9673E" w:rsidRPr="00F53767">
        <w:rPr>
          <w:rFonts w:ascii="Times New Roman" w:eastAsia="MS Mincho" w:hAnsi="Times New Roman" w:cs="Times New Roman"/>
          <w:spacing w:val="2"/>
          <w:lang w:eastAsia="en-US"/>
        </w:rPr>
        <w:t>December 31, 2016</w:t>
      </w:r>
      <w:r w:rsidR="00E91789">
        <w:rPr>
          <w:rFonts w:ascii="Times New Roman" w:eastAsia="MS Mincho" w:hAnsi="Times New Roman" w:cs="Times New Roman"/>
          <w:spacing w:val="2"/>
          <w:lang w:eastAsia="en-US"/>
        </w:rPr>
        <w:t>),</w:t>
      </w:r>
      <w:r>
        <w:rPr>
          <w:rFonts w:ascii="Times New Roman" w:eastAsia="MS Mincho" w:hAnsi="Times New Roman" w:cs="Times New Roman"/>
          <w:spacing w:val="2"/>
          <w:lang w:eastAsia="en-US"/>
        </w:rPr>
        <w:t xml:space="preserve"> </w:t>
      </w:r>
      <w:r w:rsidRPr="00A646DE">
        <w:t xml:space="preserve">which securities, if traded without a corresponding interest in </w:t>
      </w:r>
      <w:r w:rsidRPr="00A646DE">
        <w:lastRenderedPageBreak/>
        <w:t>BTGP, would</w:t>
      </w:r>
      <w:r w:rsidR="00E91789" w:rsidRPr="001F7F53">
        <w:t>, upon reaching the minimum trading parameters,</w:t>
      </w:r>
      <w:r w:rsidR="00E91789">
        <w:t xml:space="preserve"> </w:t>
      </w:r>
      <w:r w:rsidRPr="00A646DE">
        <w:t>become eligible to be incorporated into trading indexes (which currently is not permitted by applicable rules</w:t>
      </w:r>
      <w:r w:rsidR="00B9673E">
        <w:t xml:space="preserve"> due to the </w:t>
      </w:r>
      <w:r w:rsidR="00B9673E" w:rsidRPr="001F7F53">
        <w:t>underlying</w:t>
      </w:r>
      <w:r w:rsidR="00B9673E">
        <w:t xml:space="preserve"> BDRs of BTGP</w:t>
      </w:r>
      <w:r w:rsidRPr="00A646DE">
        <w:t>), and could also be targeted as an investment by a broader range of potential investors,</w:t>
      </w:r>
      <w:r w:rsidR="00E75FA9">
        <w:t xml:space="preserve"> and</w:t>
      </w:r>
      <w:r w:rsidRPr="00A646DE">
        <w:t xml:space="preserve"> (iii)</w:t>
      </w:r>
      <w:r w:rsidR="00E91789">
        <w:t xml:space="preserve"> </w:t>
      </w:r>
      <w:r w:rsidR="00E75FA9">
        <w:t>better address the capital structures and liquidity levels of each of the Companies, taking into account each Company's</w:t>
      </w:r>
      <w:r w:rsidRPr="00A646DE">
        <w:t xml:space="preserve"> specific context.</w:t>
      </w:r>
      <w:r w:rsidR="00E91789">
        <w:t xml:space="preserve"> For more information on the rationales for the</w:t>
      </w:r>
      <w:r w:rsidR="0024790B">
        <w:t xml:space="preserve"> New Trading Structure</w:t>
      </w:r>
      <w:r w:rsidR="00E91789">
        <w:t>, see the presentation that has been publicly disclosed by the Companies on the date hereof (the "</w:t>
      </w:r>
      <w:r w:rsidR="00E91789">
        <w:rPr>
          <w:u w:val="single"/>
        </w:rPr>
        <w:t>Presentation</w:t>
      </w:r>
      <w:r w:rsidR="00E91789">
        <w:t xml:space="preserve">"), available on the Companies' investor relations website at </w:t>
      </w:r>
      <w:r w:rsidR="00E91789" w:rsidRPr="00E91789">
        <w:rPr>
          <w:spacing w:val="2"/>
        </w:rPr>
        <w:t>[www.btgpactual.com/ri]</w:t>
      </w:r>
      <w:r w:rsidR="00E91789">
        <w:rPr>
          <w:spacing w:val="2"/>
        </w:rPr>
        <w:t>.</w:t>
      </w:r>
    </w:p>
    <w:p w:rsidR="006E143A" w:rsidRDefault="006E143A" w:rsidP="006E143A"/>
    <w:p w:rsidR="00EA0A23" w:rsidRDefault="00EA0A23" w:rsidP="006E143A">
      <w:r w:rsidRPr="008E1436">
        <w:rPr>
          <w:rFonts w:ascii="Times New Roman" w:eastAsia="MS Mincho" w:hAnsi="Times New Roman" w:cs="Times New Roman"/>
          <w:spacing w:val="2"/>
          <w:lang w:eastAsia="en-US"/>
        </w:rPr>
        <w:t>Analyzing the</w:t>
      </w:r>
      <w:r>
        <w:rPr>
          <w:rFonts w:ascii="Times New Roman" w:eastAsia="MS Mincho" w:hAnsi="Times New Roman" w:cs="Times New Roman"/>
          <w:spacing w:val="2"/>
          <w:lang w:eastAsia="en-US"/>
        </w:rPr>
        <w:t xml:space="preserve"> potential advantages for Banco, </w:t>
      </w:r>
      <w:r w:rsidR="00E75FA9">
        <w:rPr>
          <w:rFonts w:ascii="Times New Roman" w:eastAsia="MS Mincho" w:hAnsi="Times New Roman" w:cs="Times New Roman"/>
          <w:spacing w:val="2"/>
          <w:lang w:eastAsia="en-US"/>
        </w:rPr>
        <w:t xml:space="preserve">it is </w:t>
      </w:r>
      <w:r w:rsidR="00B9673E">
        <w:rPr>
          <w:rFonts w:ascii="Times New Roman" w:eastAsia="MS Mincho" w:hAnsi="Times New Roman" w:cs="Times New Roman"/>
          <w:spacing w:val="2"/>
          <w:lang w:eastAsia="en-US"/>
        </w:rPr>
        <w:t>expect</w:t>
      </w:r>
      <w:r w:rsidR="00E75FA9">
        <w:rPr>
          <w:rFonts w:ascii="Times New Roman" w:eastAsia="MS Mincho" w:hAnsi="Times New Roman" w:cs="Times New Roman"/>
          <w:spacing w:val="2"/>
          <w:lang w:eastAsia="en-US"/>
        </w:rPr>
        <w:t>ed</w:t>
      </w:r>
      <w:r w:rsidR="00B9673E">
        <w:rPr>
          <w:rFonts w:ascii="Times New Roman" w:eastAsia="MS Mincho" w:hAnsi="Times New Roman" w:cs="Times New Roman"/>
          <w:spacing w:val="2"/>
          <w:lang w:eastAsia="en-US"/>
        </w:rPr>
        <w:t xml:space="preserve"> that </w:t>
      </w:r>
      <w:r>
        <w:rPr>
          <w:rFonts w:ascii="Times New Roman" w:eastAsia="MS Mincho" w:hAnsi="Times New Roman" w:cs="Times New Roman"/>
          <w:spacing w:val="2"/>
          <w:lang w:eastAsia="en-US"/>
        </w:rPr>
        <w:t xml:space="preserve">the new structure </w:t>
      </w:r>
      <w:r w:rsidR="00B9673E">
        <w:rPr>
          <w:rFonts w:ascii="Times New Roman" w:eastAsia="MS Mincho" w:hAnsi="Times New Roman" w:cs="Times New Roman"/>
          <w:spacing w:val="2"/>
          <w:lang w:eastAsia="en-US"/>
        </w:rPr>
        <w:t xml:space="preserve">to </w:t>
      </w:r>
      <w:r>
        <w:rPr>
          <w:rFonts w:ascii="Times New Roman" w:eastAsia="MS Mincho" w:hAnsi="Times New Roman" w:cs="Times New Roman"/>
          <w:spacing w:val="2"/>
          <w:lang w:eastAsia="en-US"/>
        </w:rPr>
        <w:t xml:space="preserve">(i) simplify </w:t>
      </w:r>
      <w:r w:rsidR="00B9673E">
        <w:rPr>
          <w:rFonts w:ascii="Times New Roman" w:eastAsia="MS Mincho" w:hAnsi="Times New Roman" w:cs="Times New Roman"/>
          <w:spacing w:val="2"/>
          <w:lang w:eastAsia="en-US"/>
        </w:rPr>
        <w:t xml:space="preserve">Banco's capital structure </w:t>
      </w:r>
      <w:r>
        <w:rPr>
          <w:rFonts w:ascii="Times New Roman" w:eastAsia="MS Mincho" w:hAnsi="Times New Roman" w:cs="Times New Roman"/>
          <w:spacing w:val="2"/>
          <w:lang w:eastAsia="en-US"/>
        </w:rPr>
        <w:t xml:space="preserve">and </w:t>
      </w:r>
      <w:r w:rsidR="00B9673E">
        <w:rPr>
          <w:rFonts w:ascii="Times New Roman" w:eastAsia="MS Mincho" w:hAnsi="Times New Roman" w:cs="Times New Roman"/>
          <w:spacing w:val="2"/>
          <w:lang w:eastAsia="en-US"/>
        </w:rPr>
        <w:t>make it more flexible</w:t>
      </w:r>
      <w:r>
        <w:rPr>
          <w:rFonts w:ascii="Times New Roman" w:eastAsia="MS Mincho" w:hAnsi="Times New Roman" w:cs="Times New Roman"/>
          <w:spacing w:val="2"/>
          <w:lang w:eastAsia="en-US"/>
        </w:rPr>
        <w:t xml:space="preserve">, considering the current complexities resulting from BTGP's offshore structure, </w:t>
      </w:r>
      <w:r w:rsidR="00467A78" w:rsidRPr="001F7F53">
        <w:rPr>
          <w:rFonts w:ascii="Times New Roman" w:eastAsia="MS Mincho" w:hAnsi="Times New Roman" w:cs="Times New Roman"/>
          <w:spacing w:val="2"/>
          <w:lang w:eastAsia="en-US"/>
        </w:rPr>
        <w:t>and</w:t>
      </w:r>
      <w:r w:rsidR="00467A78">
        <w:rPr>
          <w:rFonts w:ascii="Times New Roman" w:eastAsia="MS Mincho" w:hAnsi="Times New Roman" w:cs="Times New Roman"/>
          <w:spacing w:val="2"/>
          <w:lang w:eastAsia="en-US"/>
        </w:rPr>
        <w:t xml:space="preserve"> </w:t>
      </w:r>
      <w:r>
        <w:rPr>
          <w:rFonts w:ascii="Times New Roman" w:eastAsia="MS Mincho" w:hAnsi="Times New Roman" w:cs="Times New Roman"/>
          <w:spacing w:val="2"/>
          <w:lang w:eastAsia="en-US"/>
        </w:rPr>
        <w:t xml:space="preserve">(ii) permit Banco's </w:t>
      </w:r>
      <w:r w:rsidRPr="001F7F53">
        <w:rPr>
          <w:rFonts w:ascii="Times New Roman" w:eastAsia="MS Mincho" w:hAnsi="Times New Roman" w:cs="Times New Roman"/>
          <w:spacing w:val="2"/>
          <w:lang w:eastAsia="en-US"/>
        </w:rPr>
        <w:t>management</w:t>
      </w:r>
      <w:r>
        <w:rPr>
          <w:rFonts w:ascii="Times New Roman" w:eastAsia="MS Mincho" w:hAnsi="Times New Roman" w:cs="Times New Roman"/>
          <w:spacing w:val="2"/>
          <w:lang w:eastAsia="en-US"/>
        </w:rPr>
        <w:t xml:space="preserve"> to increase its focus on Banco</w:t>
      </w:r>
      <w:r w:rsidR="00E75FA9">
        <w:rPr>
          <w:rFonts w:ascii="Times New Roman" w:eastAsia="MS Mincho" w:hAnsi="Times New Roman" w:cs="Times New Roman"/>
          <w:spacing w:val="2"/>
          <w:lang w:eastAsia="en-US"/>
        </w:rPr>
        <w:t>'s activities</w:t>
      </w:r>
      <w:r>
        <w:rPr>
          <w:rFonts w:ascii="Times New Roman" w:eastAsia="MS Mincho" w:hAnsi="Times New Roman" w:cs="Times New Roman"/>
          <w:spacing w:val="2"/>
          <w:lang w:eastAsia="en-US"/>
        </w:rPr>
        <w:t xml:space="preserve">, in view of the new corporate governance structure presented by BTGP </w:t>
      </w:r>
      <w:r w:rsidRPr="008E1436">
        <w:rPr>
          <w:rFonts w:ascii="Times New Roman" w:eastAsia="MS Mincho" w:hAnsi="Times New Roman" w:cs="Times New Roman"/>
          <w:spacing w:val="2"/>
          <w:lang w:eastAsia="en-US"/>
        </w:rPr>
        <w:t>as described</w:t>
      </w:r>
      <w:r>
        <w:rPr>
          <w:rFonts w:ascii="Times New Roman" w:eastAsia="MS Mincho" w:hAnsi="Times New Roman" w:cs="Times New Roman"/>
          <w:spacing w:val="2"/>
          <w:lang w:eastAsia="en-US"/>
        </w:rPr>
        <w:t xml:space="preserve"> under the caption "Principal Changes in the Companies" below</w:t>
      </w:r>
      <w:r w:rsidR="00F62DD7" w:rsidRPr="001F7F53">
        <w:rPr>
          <w:rFonts w:ascii="Times New Roman" w:eastAsia="MS Mincho" w:hAnsi="Times New Roman" w:cs="Times New Roman"/>
          <w:spacing w:val="2"/>
          <w:lang w:eastAsia="en-US"/>
        </w:rPr>
        <w:t>, even if the composition of Banco's and BTGP's board of directors remains unchanged as of the current time</w:t>
      </w:r>
      <w:r w:rsidR="00274470">
        <w:rPr>
          <w:rFonts w:ascii="Times New Roman" w:eastAsia="MS Mincho" w:hAnsi="Times New Roman" w:cs="Times New Roman"/>
          <w:spacing w:val="2"/>
          <w:lang w:eastAsia="en-US"/>
        </w:rPr>
        <w:t>.</w:t>
      </w:r>
    </w:p>
    <w:p w:rsidR="00A646DE" w:rsidRDefault="00A646DE" w:rsidP="006E143A"/>
    <w:p w:rsidR="002C0C3D" w:rsidRDefault="002C0C3D" w:rsidP="002C0C3D">
      <w:pPr>
        <w:rPr>
          <w:rFonts w:ascii="Times New Roman" w:eastAsia="MS Mincho" w:hAnsi="Times New Roman" w:cs="Times New Roman"/>
          <w:spacing w:val="2"/>
          <w:lang w:eastAsia="en-US"/>
        </w:rPr>
      </w:pPr>
      <w:r>
        <w:t xml:space="preserve">Additionally, the Companies understand that the approval of the matters </w:t>
      </w:r>
      <w:r w:rsidRPr="008E1436">
        <w:t>submitted to</w:t>
      </w:r>
      <w:r>
        <w:t xml:space="preserve"> the general shareholders' meetings held on February 3, 2017 and February 13, 2017</w:t>
      </w:r>
      <w:r w:rsidRPr="00F46F81">
        <w:t>, including by a</w:t>
      </w:r>
      <w:r w:rsidR="00BD2FB9" w:rsidRPr="00F46F81">
        <w:t xml:space="preserve"> significant</w:t>
      </w:r>
      <w:r w:rsidRPr="00F46F81">
        <w:t xml:space="preserve"> majority of the minority shareholders present and entitled to vote,</w:t>
      </w:r>
      <w:r>
        <w:t xml:space="preserve"> reinforces the market interest in providing for the independent trading of the </w:t>
      </w:r>
      <w:r w:rsidRPr="00232863">
        <w:rPr>
          <w:rFonts w:ascii="Times New Roman" w:eastAsia="MS Mincho" w:hAnsi="Times New Roman" w:cs="Times New Roman"/>
          <w:spacing w:val="2"/>
          <w:lang w:eastAsia="en-US"/>
        </w:rPr>
        <w:t>BPAC11 and BBTG12 Units</w:t>
      </w:r>
      <w:r>
        <w:rPr>
          <w:rFonts w:ascii="Times New Roman" w:eastAsia="MS Mincho" w:hAnsi="Times New Roman" w:cs="Times New Roman"/>
          <w:spacing w:val="2"/>
          <w:lang w:eastAsia="en-US"/>
        </w:rPr>
        <w:t xml:space="preserve">. </w:t>
      </w:r>
    </w:p>
    <w:p w:rsidR="003E27FE" w:rsidRDefault="003E27FE" w:rsidP="006E143A"/>
    <w:p w:rsidR="003E27FE" w:rsidRDefault="002C0C3D" w:rsidP="006E143A">
      <w:r>
        <w:t xml:space="preserve">The Partnership has indicated that it intends to allocate in due course at least </w:t>
      </w:r>
      <w:r w:rsidRPr="00F46F81">
        <w:t>31,225,889</w:t>
      </w:r>
      <w:r>
        <w:t xml:space="preserve"> BBTG11 Units to the Migration toward BPAC11 and BBTG12 Units, representing approximately </w:t>
      </w:r>
      <w:r w:rsidRPr="00F46F81">
        <w:t>3.4</w:t>
      </w:r>
      <w:r>
        <w:t xml:space="preserve">% of the theoretical BBTG11 Units and approximately </w:t>
      </w:r>
      <w:r w:rsidRPr="00F46F81">
        <w:t>11.3</w:t>
      </w:r>
      <w:r>
        <w:t xml:space="preserve">% of the formed BBTG11 Units. Other investment vehicles held, individually or collectively, by certain partners and vehicle controlled by the Partnership, may also allocate their formed BBTG11 Units toward the Migration in due course. Considering all </w:t>
      </w:r>
      <w:r w:rsidR="00BD2FB9">
        <w:t xml:space="preserve">such </w:t>
      </w:r>
      <w:r>
        <w:t xml:space="preserve">vehicles </w:t>
      </w:r>
      <w:r w:rsidR="00BD2FB9">
        <w:t>and</w:t>
      </w:r>
      <w:r>
        <w:t xml:space="preserve"> the Partnership</w:t>
      </w:r>
      <w:r w:rsidR="00BD2FB9">
        <w:t xml:space="preserve"> itself</w:t>
      </w:r>
      <w:r>
        <w:t xml:space="preserve">, they would represent approximately </w:t>
      </w:r>
      <w:r w:rsidR="00E75FA9" w:rsidRPr="00F46F81">
        <w:t>7.6</w:t>
      </w:r>
      <w:r>
        <w:t xml:space="preserve">% of the theoretical BBTG11 Units and approximately </w:t>
      </w:r>
      <w:r w:rsidR="00E75FA9" w:rsidRPr="00F46F81">
        <w:t>25.7</w:t>
      </w:r>
      <w:r>
        <w:t>% of the formed BBTG11 Units.</w:t>
      </w:r>
    </w:p>
    <w:p w:rsidR="003E27FE" w:rsidRDefault="003E27FE" w:rsidP="006E143A"/>
    <w:p w:rsidR="003E27FE" w:rsidRDefault="003E27FE" w:rsidP="006E143A"/>
    <w:p w:rsidR="00A646DE" w:rsidRPr="00274470" w:rsidRDefault="00274470" w:rsidP="006E143A">
      <w:pPr>
        <w:rPr>
          <w:u w:val="single"/>
        </w:rPr>
      </w:pPr>
      <w:r w:rsidRPr="00274470">
        <w:rPr>
          <w:u w:val="single"/>
        </w:rPr>
        <w:t>Principal Changes in the Companies</w:t>
      </w:r>
    </w:p>
    <w:p w:rsidR="00A646DE" w:rsidRDefault="00A646DE" w:rsidP="006E143A"/>
    <w:p w:rsidR="00A646DE" w:rsidRDefault="00274470" w:rsidP="006E143A">
      <w:r>
        <w:t xml:space="preserve">As approved in the respective general shareholders' meetings held </w:t>
      </w:r>
      <w:r w:rsidR="00370B61">
        <w:t>on February 3, 2017 and February 13, 2017</w:t>
      </w:r>
      <w:r>
        <w:t>, and based on the new language of th</w:t>
      </w:r>
      <w:r w:rsidRPr="001F7F53">
        <w:t xml:space="preserve">e Companies' respective bylaws, the new </w:t>
      </w:r>
      <w:r w:rsidRPr="001F7F53">
        <w:rPr>
          <w:rFonts w:ascii="Times New Roman" w:eastAsia="MS Mincho" w:hAnsi="Times New Roman" w:cs="Times New Roman"/>
          <w:spacing w:val="2"/>
          <w:lang w:eastAsia="en-US"/>
        </w:rPr>
        <w:t xml:space="preserve">BPAC11 and BBTG12 Units will grant their holders </w:t>
      </w:r>
      <w:r w:rsidR="003E27FE" w:rsidRPr="001F7F53">
        <w:rPr>
          <w:rFonts w:ascii="Times New Roman" w:eastAsia="MS Mincho" w:hAnsi="Times New Roman" w:cs="Times New Roman"/>
          <w:spacing w:val="2"/>
          <w:lang w:eastAsia="en-US"/>
        </w:rPr>
        <w:t>similar</w:t>
      </w:r>
      <w:r w:rsidRPr="001F7F53">
        <w:rPr>
          <w:rFonts w:ascii="Times New Roman" w:eastAsia="MS Mincho" w:hAnsi="Times New Roman" w:cs="Times New Roman"/>
          <w:spacing w:val="2"/>
          <w:lang w:eastAsia="en-US"/>
        </w:rPr>
        <w:t xml:space="preserve"> rights</w:t>
      </w:r>
      <w:r>
        <w:rPr>
          <w:rFonts w:ascii="Times New Roman" w:eastAsia="MS Mincho" w:hAnsi="Times New Roman" w:cs="Times New Roman"/>
          <w:spacing w:val="2"/>
          <w:lang w:eastAsia="en-US"/>
        </w:rPr>
        <w:t xml:space="preserve"> </w:t>
      </w:r>
      <w:r w:rsidR="003E27FE">
        <w:rPr>
          <w:rFonts w:ascii="Times New Roman" w:eastAsia="MS Mincho" w:hAnsi="Times New Roman" w:cs="Times New Roman"/>
          <w:spacing w:val="2"/>
          <w:lang w:eastAsia="en-US"/>
        </w:rPr>
        <w:t xml:space="preserve">as </w:t>
      </w:r>
      <w:r>
        <w:rPr>
          <w:rFonts w:ascii="Times New Roman" w:eastAsia="MS Mincho" w:hAnsi="Times New Roman" w:cs="Times New Roman"/>
          <w:spacing w:val="2"/>
          <w:lang w:eastAsia="en-US"/>
        </w:rPr>
        <w:t>granted to minority holders of BBTG11</w:t>
      </w:r>
      <w:r w:rsidR="003E27FE">
        <w:rPr>
          <w:rFonts w:ascii="Times New Roman" w:eastAsia="MS Mincho" w:hAnsi="Times New Roman" w:cs="Times New Roman"/>
          <w:spacing w:val="2"/>
          <w:lang w:eastAsia="en-US"/>
        </w:rPr>
        <w:t xml:space="preserve"> Units</w:t>
      </w:r>
      <w:r>
        <w:rPr>
          <w:rFonts w:ascii="Times New Roman" w:eastAsia="MS Mincho" w:hAnsi="Times New Roman" w:cs="Times New Roman"/>
          <w:spacing w:val="2"/>
          <w:lang w:eastAsia="en-US"/>
        </w:rPr>
        <w:t xml:space="preserve">. Conversely, the same restrictions currently applicable to the </w:t>
      </w:r>
      <w:r w:rsidR="001F7F53">
        <w:rPr>
          <w:rFonts w:ascii="Times New Roman" w:eastAsia="MS Mincho" w:hAnsi="Times New Roman" w:cs="Times New Roman"/>
          <w:spacing w:val="2"/>
          <w:lang w:eastAsia="en-US"/>
        </w:rPr>
        <w:t>BBTG11 Units</w:t>
      </w:r>
      <w:r>
        <w:rPr>
          <w:rFonts w:ascii="Times New Roman" w:eastAsia="MS Mincho" w:hAnsi="Times New Roman" w:cs="Times New Roman"/>
          <w:spacing w:val="2"/>
          <w:lang w:eastAsia="en-US"/>
        </w:rPr>
        <w:t xml:space="preserve">, </w:t>
      </w:r>
      <w:r w:rsidR="003E27FE">
        <w:rPr>
          <w:rFonts w:ascii="Times New Roman" w:eastAsia="MS Mincho" w:hAnsi="Times New Roman" w:cs="Times New Roman"/>
          <w:spacing w:val="2"/>
          <w:lang w:eastAsia="en-US"/>
        </w:rPr>
        <w:t>including</w:t>
      </w:r>
      <w:r>
        <w:rPr>
          <w:rFonts w:ascii="Times New Roman" w:eastAsia="MS Mincho" w:hAnsi="Times New Roman" w:cs="Times New Roman"/>
          <w:spacing w:val="2"/>
          <w:lang w:eastAsia="en-US"/>
        </w:rPr>
        <w:t xml:space="preserve"> the levying of </w:t>
      </w:r>
      <w:r w:rsidRPr="008E1436">
        <w:rPr>
          <w:rFonts w:ascii="Times New Roman" w:eastAsia="MS Mincho" w:hAnsi="Times New Roman" w:cs="Times New Roman"/>
          <w:spacing w:val="2"/>
          <w:lang w:eastAsia="en-US"/>
        </w:rPr>
        <w:t xml:space="preserve">a per-unit </w:t>
      </w:r>
      <w:r w:rsidR="002C2ECE">
        <w:rPr>
          <w:rFonts w:ascii="Times New Roman" w:eastAsia="MS Mincho" w:hAnsi="Times New Roman" w:cs="Times New Roman"/>
          <w:spacing w:val="2"/>
          <w:lang w:eastAsia="en-US"/>
        </w:rPr>
        <w:t>cancellation</w:t>
      </w:r>
      <w:r w:rsidRPr="008E1436">
        <w:rPr>
          <w:rFonts w:ascii="Times New Roman" w:hAnsi="Times New Roman"/>
        </w:rPr>
        <w:t xml:space="preserve"> fee corresponding to 10% of the previous trading day's closing price of such unit, relating to the month preceding the </w:t>
      </w:r>
      <w:r w:rsidR="002C2ECE">
        <w:rPr>
          <w:rFonts w:ascii="Times New Roman" w:eastAsia="MS Mincho" w:hAnsi="Times New Roman" w:cs="Times New Roman"/>
          <w:spacing w:val="2"/>
          <w:lang w:eastAsia="en-US"/>
        </w:rPr>
        <w:t>cancellation</w:t>
      </w:r>
      <w:r w:rsidRPr="008E1436">
        <w:rPr>
          <w:rFonts w:ascii="Times New Roman" w:hAnsi="Times New Roman"/>
        </w:rPr>
        <w:t xml:space="preserve"> request</w:t>
      </w:r>
      <w:r w:rsidR="00D05384">
        <w:rPr>
          <w:rFonts w:ascii="Times New Roman" w:hAnsi="Times New Roman"/>
        </w:rPr>
        <w:t xml:space="preserve"> – without prejudice for the </w:t>
      </w:r>
      <w:r w:rsidR="00D05384" w:rsidRPr="00D05384">
        <w:rPr>
          <w:rFonts w:ascii="Times New Roman" w:hAnsi="Times New Roman"/>
        </w:rPr>
        <w:t>fees and expenses</w:t>
      </w:r>
      <w:r w:rsidR="00D05384">
        <w:rPr>
          <w:rFonts w:ascii="Times New Roman" w:hAnsi="Times New Roman"/>
        </w:rPr>
        <w:t xml:space="preserve"> eventually charged by the Depositary </w:t>
      </w:r>
      <w:r w:rsidR="00D05384" w:rsidRPr="00D05384">
        <w:rPr>
          <w:rFonts w:ascii="Times New Roman" w:hAnsi="Times New Roman"/>
        </w:rPr>
        <w:t>and t</w:t>
      </w:r>
      <w:r w:rsidR="00D05384">
        <w:rPr>
          <w:rFonts w:ascii="Times New Roman" w:hAnsi="Times New Roman"/>
        </w:rPr>
        <w:t>he</w:t>
      </w:r>
      <w:r w:rsidR="00D05384" w:rsidRPr="00D05384">
        <w:rPr>
          <w:rFonts w:ascii="Times New Roman" w:hAnsi="Times New Roman"/>
        </w:rPr>
        <w:t xml:space="preserve"> BM&amp;FBOVESPA</w:t>
      </w:r>
      <w:r w:rsidR="00D05384">
        <w:rPr>
          <w:rFonts w:ascii="Times New Roman" w:hAnsi="Times New Roman"/>
        </w:rPr>
        <w:t xml:space="preserve"> – will continue being charged in relation to the </w:t>
      </w:r>
      <w:r w:rsidR="00D05384">
        <w:t xml:space="preserve">new </w:t>
      </w:r>
      <w:r w:rsidR="00D05384" w:rsidRPr="00232863">
        <w:rPr>
          <w:rFonts w:ascii="Times New Roman" w:eastAsia="MS Mincho" w:hAnsi="Times New Roman" w:cs="Times New Roman"/>
          <w:spacing w:val="2"/>
          <w:lang w:eastAsia="en-US"/>
        </w:rPr>
        <w:t xml:space="preserve">BPAC11 and BBTG12 </w:t>
      </w:r>
      <w:r w:rsidR="00977F96">
        <w:rPr>
          <w:rFonts w:ascii="Times New Roman" w:eastAsia="MS Mincho" w:hAnsi="Times New Roman" w:cs="Times New Roman"/>
          <w:spacing w:val="2"/>
          <w:lang w:eastAsia="en-US"/>
        </w:rPr>
        <w:t xml:space="preserve">Units </w:t>
      </w:r>
      <w:r w:rsidR="00D05384">
        <w:rPr>
          <w:rFonts w:ascii="Times New Roman" w:eastAsia="MS Mincho" w:hAnsi="Times New Roman" w:cs="Times New Roman"/>
          <w:spacing w:val="2"/>
          <w:lang w:eastAsia="en-US"/>
        </w:rPr>
        <w:t>(</w:t>
      </w:r>
      <w:r w:rsidR="00726282">
        <w:rPr>
          <w:rFonts w:ascii="Times New Roman" w:eastAsia="MS Mincho" w:hAnsi="Times New Roman" w:cs="Times New Roman"/>
          <w:spacing w:val="2"/>
          <w:lang w:eastAsia="en-US"/>
        </w:rPr>
        <w:t>subject to the provisions set forth in each Company's bylaws)</w:t>
      </w:r>
      <w:r w:rsidR="003E27FE">
        <w:rPr>
          <w:rFonts w:ascii="Times New Roman" w:eastAsia="MS Mincho" w:hAnsi="Times New Roman" w:cs="Times New Roman"/>
          <w:spacing w:val="2"/>
          <w:lang w:eastAsia="en-US"/>
        </w:rPr>
        <w:t>.</w:t>
      </w:r>
    </w:p>
    <w:p w:rsidR="00A646DE" w:rsidRDefault="00A646DE" w:rsidP="006E143A"/>
    <w:p w:rsidR="00A646DE" w:rsidRPr="00726282" w:rsidRDefault="00726282" w:rsidP="006E143A">
      <w:pPr>
        <w:rPr>
          <w:b/>
        </w:rPr>
      </w:pPr>
      <w:r>
        <w:t xml:space="preserve">Moreover, the Companies hereby </w:t>
      </w:r>
      <w:r w:rsidR="002C2ECE">
        <w:t>announce that they may</w:t>
      </w:r>
      <w:r>
        <w:t xml:space="preserve"> no longer release combined financial statements of </w:t>
      </w:r>
      <w:r w:rsidR="00FF3963">
        <w:t>Banco and BTGP in the future</w:t>
      </w:r>
      <w:r>
        <w:t xml:space="preserve">, </w:t>
      </w:r>
      <w:r w:rsidR="00FF3963">
        <w:t>being able to release</w:t>
      </w:r>
      <w:r>
        <w:t xml:space="preserve"> only (i) financial statements of </w:t>
      </w:r>
      <w:r>
        <w:lastRenderedPageBreak/>
        <w:t>Banco, and (ii) financial statements of BTGP, in each case, independently</w:t>
      </w:r>
      <w:r w:rsidR="00FF3963">
        <w:t xml:space="preserve"> and in accordance with their own respective applicable accounting rules</w:t>
      </w:r>
      <w:r w:rsidR="003E27FE">
        <w:t>, in addition to continuing to publish their respective annual reports (</w:t>
      </w:r>
      <w:r w:rsidR="003E27FE">
        <w:rPr>
          <w:i/>
        </w:rPr>
        <w:t>formul</w:t>
      </w:r>
      <w:r w:rsidR="003E27FE">
        <w:rPr>
          <w:rFonts w:cstheme="minorHAnsi"/>
          <w:i/>
        </w:rPr>
        <w:t>á</w:t>
      </w:r>
      <w:r w:rsidR="003E27FE">
        <w:rPr>
          <w:i/>
        </w:rPr>
        <w:t>rios de refer</w:t>
      </w:r>
      <w:r w:rsidR="003E27FE">
        <w:rPr>
          <w:rFonts w:cstheme="minorHAnsi"/>
          <w:i/>
        </w:rPr>
        <w:t>ê</w:t>
      </w:r>
      <w:r w:rsidR="003E27FE">
        <w:rPr>
          <w:i/>
        </w:rPr>
        <w:t>ncia</w:t>
      </w:r>
      <w:r w:rsidR="003E27FE">
        <w:t>)</w:t>
      </w:r>
      <w:r>
        <w:t xml:space="preserve">. </w:t>
      </w:r>
      <w:r w:rsidRPr="001F7F53">
        <w:t>Furthermore</w:t>
      </w:r>
      <w:r w:rsidR="00FF3963" w:rsidRPr="001F7F53">
        <w:t>,</w:t>
      </w:r>
      <w:r w:rsidRPr="001F7F53">
        <w:t xml:space="preserve"> the Companies expect </w:t>
      </w:r>
      <w:r w:rsidR="00FF3963" w:rsidRPr="001F7F53">
        <w:t xml:space="preserve">quarterly </w:t>
      </w:r>
      <w:r w:rsidRPr="001F7F53">
        <w:t xml:space="preserve">earnings releases </w:t>
      </w:r>
      <w:r w:rsidR="00FF3963" w:rsidRPr="001F7F53">
        <w:t>and</w:t>
      </w:r>
      <w:r w:rsidRPr="001F7F53">
        <w:t xml:space="preserve"> conference calls </w:t>
      </w:r>
      <w:r w:rsidR="00FF3963" w:rsidRPr="001F7F53">
        <w:t xml:space="preserve">to be even more focured on the </w:t>
      </w:r>
      <w:r w:rsidRPr="001F7F53">
        <w:t>financial and operational results and other matters relating to Banco.</w:t>
      </w:r>
    </w:p>
    <w:p w:rsidR="00A646DE" w:rsidRDefault="00A646DE" w:rsidP="006E143A"/>
    <w:p w:rsidR="003E27FE" w:rsidRDefault="00726282" w:rsidP="006E143A">
      <w:r>
        <w:t>The Companies will establish an operati</w:t>
      </w:r>
      <w:r w:rsidR="00D106F8">
        <w:t>ng</w:t>
      </w:r>
      <w:r>
        <w:t xml:space="preserve"> cost</w:t>
      </w:r>
      <w:r w:rsidR="00D106F8">
        <w:t>s</w:t>
      </w:r>
      <w:r>
        <w:t xml:space="preserve"> and related expense</w:t>
      </w:r>
      <w:r w:rsidR="00D106F8">
        <w:t>s</w:t>
      </w:r>
      <w:r>
        <w:t xml:space="preserve"> sharing </w:t>
      </w:r>
      <w:r w:rsidR="00D106F8" w:rsidRPr="00D106F8">
        <w:t>arrangement</w:t>
      </w:r>
      <w:r>
        <w:t xml:space="preserve"> between themselves </w:t>
      </w:r>
      <w:r w:rsidR="00D106F8">
        <w:t xml:space="preserve">so as to provide for a rational </w:t>
      </w:r>
      <w:r w:rsidR="00D106F8" w:rsidRPr="001F7F53">
        <w:t>and equitable</w:t>
      </w:r>
      <w:r w:rsidR="00FF3963">
        <w:t xml:space="preserve"> </w:t>
      </w:r>
      <w:r w:rsidR="00D106F8">
        <w:t xml:space="preserve">division of such costs and expenses. Such division may be revisited periodically to the extent that any potential distortions are observed in the initial arrangement. </w:t>
      </w:r>
    </w:p>
    <w:p w:rsidR="00A646DE" w:rsidRDefault="00A646DE" w:rsidP="006E143A"/>
    <w:p w:rsidR="00A646DE" w:rsidRDefault="00D106F8" w:rsidP="006E143A">
      <w:r>
        <w:t>In addition, and still with the objective of mitigating potential conflicts of interest in eventual transactions among related parties to be carried out by Banco, on the one hand, and BTGP, on the other hand, the Companies will publish, in due cours</w:t>
      </w:r>
      <w:r w:rsidRPr="001F7F53">
        <w:t xml:space="preserve">e, </w:t>
      </w:r>
      <w:r w:rsidR="00977F96" w:rsidRPr="001F7F53">
        <w:t>as is</w:t>
      </w:r>
      <w:r w:rsidRPr="001F7F53">
        <w:t xml:space="preserve"> expected </w:t>
      </w:r>
      <w:r w:rsidR="008F5288" w:rsidRPr="001F7F53">
        <w:t xml:space="preserve">will be </w:t>
      </w:r>
      <w:r w:rsidR="00977F96" w:rsidRPr="001F7F53">
        <w:t>done throughout 2017, a minimal independent administrative structure by BTGP, without prejudice to the applicable approvals of the Companies internal governance bodies.</w:t>
      </w:r>
    </w:p>
    <w:p w:rsidR="00A646DE" w:rsidRDefault="00A646DE" w:rsidP="006E143A"/>
    <w:p w:rsidR="00A646DE" w:rsidRDefault="00A646DE" w:rsidP="006E143A"/>
    <w:p w:rsidR="00A646DE" w:rsidRPr="00977F96" w:rsidRDefault="00977F96" w:rsidP="006E143A">
      <w:pPr>
        <w:rPr>
          <w:u w:val="single"/>
        </w:rPr>
      </w:pPr>
      <w:r w:rsidRPr="00977F96">
        <w:rPr>
          <w:u w:val="single"/>
        </w:rPr>
        <w:t xml:space="preserve">Necessary Operational </w:t>
      </w:r>
      <w:r w:rsidR="00E41721">
        <w:rPr>
          <w:u w:val="single"/>
        </w:rPr>
        <w:t>Procedures</w:t>
      </w:r>
      <w:r w:rsidR="003E27FE">
        <w:rPr>
          <w:u w:val="single"/>
        </w:rPr>
        <w:t xml:space="preserve"> for the Migration </w:t>
      </w:r>
    </w:p>
    <w:p w:rsidR="00977F96" w:rsidRDefault="00977F96" w:rsidP="006E143A"/>
    <w:p w:rsidR="005D7E4F" w:rsidRDefault="00977F96" w:rsidP="006E143A">
      <w:pPr>
        <w:rPr>
          <w:rFonts w:ascii="Times New Roman" w:eastAsia="MS Mincho" w:hAnsi="Times New Roman" w:cs="Times New Roman"/>
          <w:spacing w:val="2"/>
          <w:lang w:eastAsia="en-US"/>
        </w:rPr>
      </w:pPr>
      <w:r>
        <w:t>In order to</w:t>
      </w:r>
      <w:r w:rsidR="005D7E4F">
        <w:t xml:space="preserve"> </w:t>
      </w:r>
      <w:r w:rsidR="003E27FE">
        <w:t>opt in favor of the Migration</w:t>
      </w:r>
      <w:r w:rsidR="005D7E4F">
        <w:t>,</w:t>
      </w:r>
      <w:r>
        <w:t xml:space="preserve"> </w:t>
      </w:r>
      <w:r w:rsidR="005D7E4F">
        <w:t xml:space="preserve">thus </w:t>
      </w:r>
      <w:r>
        <w:t>cancel</w:t>
      </w:r>
      <w:r w:rsidR="005D7E4F">
        <w:t>ing</w:t>
      </w:r>
      <w:r>
        <w:t xml:space="preserve"> its BBTG11 </w:t>
      </w:r>
      <w:r w:rsidR="003E27FE">
        <w:t xml:space="preserve">Units </w:t>
      </w:r>
      <w:r>
        <w:t>and receiv</w:t>
      </w:r>
      <w:r w:rsidR="005D7E4F">
        <w:t>ing</w:t>
      </w:r>
      <w:r>
        <w:t xml:space="preserve"> new </w:t>
      </w:r>
      <w:r w:rsidRPr="00232863">
        <w:rPr>
          <w:rFonts w:ascii="Times New Roman" w:eastAsia="MS Mincho" w:hAnsi="Times New Roman" w:cs="Times New Roman"/>
          <w:spacing w:val="2"/>
          <w:lang w:eastAsia="en-US"/>
        </w:rPr>
        <w:t>BPAC11 and BBTG12</w:t>
      </w:r>
      <w:r>
        <w:rPr>
          <w:rFonts w:ascii="Times New Roman" w:eastAsia="MS Mincho" w:hAnsi="Times New Roman" w:cs="Times New Roman"/>
          <w:spacing w:val="2"/>
          <w:lang w:eastAsia="en-US"/>
        </w:rPr>
        <w:t xml:space="preserve"> Units, in the proportion of one </w:t>
      </w:r>
      <w:r w:rsidRPr="00232863">
        <w:rPr>
          <w:rFonts w:ascii="Times New Roman" w:eastAsia="MS Mincho" w:hAnsi="Times New Roman" w:cs="Times New Roman"/>
          <w:spacing w:val="2"/>
          <w:lang w:eastAsia="en-US"/>
        </w:rPr>
        <w:t xml:space="preserve">BPAC11 Unit and </w:t>
      </w:r>
      <w:r>
        <w:rPr>
          <w:rFonts w:ascii="Times New Roman" w:eastAsia="MS Mincho" w:hAnsi="Times New Roman" w:cs="Times New Roman"/>
          <w:spacing w:val="2"/>
          <w:lang w:eastAsia="en-US"/>
        </w:rPr>
        <w:t xml:space="preserve">one </w:t>
      </w:r>
      <w:r w:rsidRPr="00232863">
        <w:rPr>
          <w:rFonts w:ascii="Times New Roman" w:eastAsia="MS Mincho" w:hAnsi="Times New Roman" w:cs="Times New Roman"/>
          <w:spacing w:val="2"/>
          <w:lang w:eastAsia="en-US"/>
        </w:rPr>
        <w:t>BBTG12</w:t>
      </w:r>
      <w:r>
        <w:rPr>
          <w:rFonts w:ascii="Times New Roman" w:eastAsia="MS Mincho" w:hAnsi="Times New Roman" w:cs="Times New Roman"/>
          <w:spacing w:val="2"/>
          <w:lang w:eastAsia="en-US"/>
        </w:rPr>
        <w:t xml:space="preserve"> Unit for each cancelled BBTG11 </w:t>
      </w:r>
      <w:r w:rsidR="003E27FE">
        <w:rPr>
          <w:rFonts w:ascii="Times New Roman" w:eastAsia="MS Mincho" w:hAnsi="Times New Roman" w:cs="Times New Roman"/>
          <w:spacing w:val="2"/>
          <w:lang w:eastAsia="en-US"/>
        </w:rPr>
        <w:t>Unit</w:t>
      </w:r>
      <w:r>
        <w:rPr>
          <w:rFonts w:ascii="Times New Roman" w:eastAsia="MS Mincho" w:hAnsi="Times New Roman" w:cs="Times New Roman"/>
          <w:spacing w:val="2"/>
          <w:lang w:eastAsia="en-US"/>
        </w:rPr>
        <w:t xml:space="preserve">, </w:t>
      </w:r>
      <w:r w:rsidR="000619B9">
        <w:rPr>
          <w:rFonts w:ascii="Times New Roman" w:eastAsia="MS Mincho" w:hAnsi="Times New Roman" w:cs="Times New Roman"/>
          <w:spacing w:val="2"/>
          <w:lang w:eastAsia="en-US"/>
        </w:rPr>
        <w:t>Opting Holders</w:t>
      </w:r>
      <w:r>
        <w:rPr>
          <w:rFonts w:ascii="Times New Roman" w:eastAsia="MS Mincho" w:hAnsi="Times New Roman" w:cs="Times New Roman"/>
          <w:spacing w:val="2"/>
          <w:lang w:eastAsia="en-US"/>
        </w:rPr>
        <w:t xml:space="preserve"> must expressly manifest his decision during the </w:t>
      </w:r>
      <w:r w:rsidR="003E27FE">
        <w:rPr>
          <w:rFonts w:ascii="Times New Roman" w:eastAsia="MS Mincho" w:hAnsi="Times New Roman" w:cs="Times New Roman"/>
          <w:spacing w:val="2"/>
          <w:lang w:eastAsia="en-US"/>
        </w:rPr>
        <w:t xml:space="preserve">Migration </w:t>
      </w:r>
      <w:r>
        <w:rPr>
          <w:rFonts w:ascii="Times New Roman" w:eastAsia="MS Mincho" w:hAnsi="Times New Roman" w:cs="Times New Roman"/>
          <w:spacing w:val="2"/>
          <w:lang w:eastAsia="en-US"/>
        </w:rPr>
        <w:t xml:space="preserve">Period, by means of an </w:t>
      </w:r>
      <w:r w:rsidRPr="008E1436">
        <w:rPr>
          <w:rFonts w:ascii="Times New Roman" w:eastAsia="MS Mincho" w:hAnsi="Times New Roman" w:cs="Times New Roman"/>
          <w:spacing w:val="2"/>
          <w:lang w:eastAsia="en-US"/>
        </w:rPr>
        <w:t xml:space="preserve">order to </w:t>
      </w:r>
      <w:r w:rsidRPr="001F7F53">
        <w:rPr>
          <w:rFonts w:ascii="Times New Roman" w:eastAsia="MS Mincho" w:hAnsi="Times New Roman" w:cs="Times New Roman"/>
          <w:spacing w:val="2"/>
          <w:lang w:eastAsia="en-US"/>
        </w:rPr>
        <w:t xml:space="preserve">such Opting Holder's </w:t>
      </w:r>
      <w:r w:rsidRPr="008E1436">
        <w:rPr>
          <w:rFonts w:ascii="Times New Roman" w:eastAsia="MS Mincho" w:hAnsi="Times New Roman" w:cs="Times New Roman"/>
          <w:spacing w:val="2"/>
          <w:lang w:eastAsia="en-US"/>
        </w:rPr>
        <w:t>custodian (the "</w:t>
      </w:r>
      <w:r w:rsidRPr="008E1436">
        <w:rPr>
          <w:rFonts w:ascii="Times New Roman" w:eastAsia="MS Mincho" w:hAnsi="Times New Roman" w:cs="Times New Roman"/>
          <w:spacing w:val="2"/>
          <w:u w:val="single"/>
          <w:lang w:eastAsia="en-US"/>
        </w:rPr>
        <w:t>Custodian</w:t>
      </w:r>
      <w:r w:rsidRPr="008E1436">
        <w:rPr>
          <w:rFonts w:ascii="Times New Roman" w:eastAsia="MS Mincho" w:hAnsi="Times New Roman" w:cs="Times New Roman"/>
          <w:spacing w:val="2"/>
          <w:lang w:eastAsia="en-US"/>
        </w:rPr>
        <w:t>")</w:t>
      </w:r>
      <w:r w:rsidR="005D7E4F">
        <w:rPr>
          <w:rFonts w:ascii="Times New Roman" w:eastAsia="MS Mincho" w:hAnsi="Times New Roman" w:cs="Times New Roman"/>
          <w:spacing w:val="2"/>
          <w:lang w:eastAsia="en-US"/>
        </w:rPr>
        <w:t xml:space="preserve"> </w:t>
      </w:r>
      <w:r w:rsidR="005D7E4F" w:rsidRPr="001F7F53">
        <w:rPr>
          <w:rFonts w:ascii="Times New Roman" w:eastAsia="MS Mincho" w:hAnsi="Times New Roman" w:cs="Times New Roman"/>
          <w:spacing w:val="2"/>
          <w:lang w:eastAsia="en-US"/>
        </w:rPr>
        <w:t xml:space="preserve">following the same procedures adopted for such other operations </w:t>
      </w:r>
      <w:r w:rsidR="003E27FE" w:rsidRPr="001F7F53">
        <w:rPr>
          <w:rFonts w:ascii="Times New Roman" w:eastAsia="MS Mincho" w:hAnsi="Times New Roman" w:cs="Times New Roman"/>
          <w:spacing w:val="2"/>
          <w:lang w:eastAsia="en-US"/>
        </w:rPr>
        <w:t xml:space="preserve">usually </w:t>
      </w:r>
      <w:r w:rsidR="005D7E4F" w:rsidRPr="001F7F53">
        <w:rPr>
          <w:rFonts w:ascii="Times New Roman" w:eastAsia="MS Mincho" w:hAnsi="Times New Roman" w:cs="Times New Roman"/>
          <w:spacing w:val="2"/>
          <w:lang w:eastAsia="en-US"/>
        </w:rPr>
        <w:t>carried out through such Custodians or through other specific procedures, should this be requested by such Custodians</w:t>
      </w:r>
      <w:r w:rsidR="00B70902" w:rsidRPr="001F7F53">
        <w:rPr>
          <w:rFonts w:ascii="Times New Roman" w:eastAsia="MS Mincho" w:hAnsi="Times New Roman" w:cs="Times New Roman"/>
          <w:spacing w:val="2"/>
          <w:lang w:eastAsia="en-US"/>
        </w:rPr>
        <w:t>.</w:t>
      </w:r>
      <w:r w:rsidR="00B70902">
        <w:rPr>
          <w:rFonts w:ascii="Times New Roman" w:eastAsia="MS Mincho" w:hAnsi="Times New Roman" w:cs="Times New Roman"/>
          <w:spacing w:val="2"/>
          <w:lang w:eastAsia="en-US"/>
        </w:rPr>
        <w:t xml:space="preserve"> </w:t>
      </w:r>
      <w:r w:rsidR="005D7E4F">
        <w:t>Custodian</w:t>
      </w:r>
      <w:r w:rsidR="0096300F">
        <w:t>s</w:t>
      </w:r>
      <w:r w:rsidR="005D7E4F">
        <w:t xml:space="preserve"> must submit the orders received </w:t>
      </w:r>
      <w:r w:rsidR="0096300F">
        <w:t>to</w:t>
      </w:r>
      <w:r w:rsidR="005D7E4F">
        <w:t xml:space="preserve"> the BM&amp;FBOVESPA's Central Depositary system (</w:t>
      </w:r>
      <w:r w:rsidR="007E61DA">
        <w:t xml:space="preserve">the </w:t>
      </w:r>
      <w:r w:rsidR="005D7E4F">
        <w:t>"</w:t>
      </w:r>
      <w:r w:rsidR="007E61DA">
        <w:rPr>
          <w:u w:val="single"/>
        </w:rPr>
        <w:t>System</w:t>
      </w:r>
      <w:r w:rsidR="005D7E4F">
        <w:t>"), which submission will generate a protocol number for each such order that has been submitted (the "</w:t>
      </w:r>
      <w:r w:rsidR="00CC7B93">
        <w:rPr>
          <w:u w:val="single"/>
        </w:rPr>
        <w:t>Orders</w:t>
      </w:r>
      <w:r w:rsidR="005D7E4F">
        <w:t>")</w:t>
      </w:r>
      <w:r w:rsidR="00611631">
        <w:t xml:space="preserve">, as well as immediately transferring to the Depositary the amounts resulting from the Costs, as </w:t>
      </w:r>
      <w:r w:rsidR="00610587">
        <w:t>explained</w:t>
      </w:r>
      <w:r w:rsidR="00611631">
        <w:t xml:space="preserve"> in the Operati</w:t>
      </w:r>
      <w:r w:rsidR="0024613F">
        <w:t xml:space="preserve">onal </w:t>
      </w:r>
      <w:r w:rsidR="00611631">
        <w:t>Manual (the "</w:t>
      </w:r>
      <w:r w:rsidR="00611631" w:rsidRPr="00610587">
        <w:rPr>
          <w:u w:val="single"/>
        </w:rPr>
        <w:t>Transfer</w:t>
      </w:r>
      <w:r w:rsidR="00611631">
        <w:t>")</w:t>
      </w:r>
      <w:r w:rsidR="005D7E4F">
        <w:t>.</w:t>
      </w:r>
    </w:p>
    <w:p w:rsidR="005D7E4F" w:rsidRDefault="005D7E4F" w:rsidP="006E143A">
      <w:pPr>
        <w:rPr>
          <w:rFonts w:ascii="Times New Roman" w:eastAsia="MS Mincho" w:hAnsi="Times New Roman" w:cs="Times New Roman"/>
          <w:spacing w:val="2"/>
          <w:lang w:eastAsia="en-US"/>
        </w:rPr>
      </w:pPr>
    </w:p>
    <w:p w:rsidR="00A646DE" w:rsidRDefault="00B70902" w:rsidP="006E143A">
      <w:r w:rsidRPr="00B979ED">
        <w:rPr>
          <w:rFonts w:ascii="Times New Roman" w:eastAsia="MS Mincho" w:hAnsi="Times New Roman" w:cs="Times New Roman"/>
          <w:spacing w:val="2"/>
          <w:lang w:eastAsia="en-US"/>
        </w:rPr>
        <w:t>S</w:t>
      </w:r>
      <w:r w:rsidR="00977F96" w:rsidRPr="00B979ED">
        <w:rPr>
          <w:rFonts w:ascii="Times New Roman" w:eastAsia="MS Mincho" w:hAnsi="Times New Roman" w:cs="Times New Roman"/>
          <w:spacing w:val="2"/>
          <w:lang w:eastAsia="en-US"/>
        </w:rPr>
        <w:t xml:space="preserve">hould such </w:t>
      </w:r>
      <w:r w:rsidR="00977F96" w:rsidRPr="001F7F53">
        <w:rPr>
          <w:rFonts w:ascii="Times New Roman" w:eastAsia="MS Mincho" w:hAnsi="Times New Roman" w:cs="Times New Roman"/>
          <w:spacing w:val="2"/>
          <w:lang w:eastAsia="en-US"/>
        </w:rPr>
        <w:t xml:space="preserve">Opting Holder not be a resident of Brazil, </w:t>
      </w:r>
      <w:r w:rsidRPr="001F7F53">
        <w:rPr>
          <w:rFonts w:ascii="Times New Roman" w:eastAsia="MS Mincho" w:hAnsi="Times New Roman" w:cs="Times New Roman"/>
          <w:spacing w:val="2"/>
          <w:lang w:eastAsia="en-US"/>
        </w:rPr>
        <w:t xml:space="preserve">such Opting Holder </w:t>
      </w:r>
      <w:r w:rsidRPr="00B979ED">
        <w:rPr>
          <w:rFonts w:ascii="Times New Roman" w:eastAsia="MS Mincho" w:hAnsi="Times New Roman" w:cs="Times New Roman"/>
          <w:spacing w:val="2"/>
          <w:lang w:eastAsia="en-US"/>
        </w:rPr>
        <w:t xml:space="preserve">must also </w:t>
      </w:r>
      <w:r w:rsidR="005D7E4F" w:rsidRPr="00B979ED">
        <w:rPr>
          <w:rFonts w:ascii="Times New Roman" w:eastAsia="MS Mincho" w:hAnsi="Times New Roman" w:cs="Times New Roman"/>
          <w:spacing w:val="2"/>
          <w:lang w:eastAsia="en-US"/>
        </w:rPr>
        <w:t>complete the section entitled "Remarks" (in up to 80 chara</w:t>
      </w:r>
      <w:r w:rsidR="00044E42" w:rsidRPr="00B979ED">
        <w:rPr>
          <w:rFonts w:ascii="Times New Roman" w:eastAsia="MS Mincho" w:hAnsi="Times New Roman" w:cs="Times New Roman"/>
          <w:spacing w:val="2"/>
          <w:lang w:eastAsia="en-US"/>
        </w:rPr>
        <w:t xml:space="preserve">cters) where the following will need to be entered: </w:t>
      </w:r>
      <w:r w:rsidR="00044E42" w:rsidRPr="001F7F53">
        <w:rPr>
          <w:rFonts w:ascii="Times New Roman" w:eastAsia="MS Mincho" w:hAnsi="Times New Roman" w:cs="Times New Roman"/>
          <w:spacing w:val="2"/>
          <w:lang w:eastAsia="en-US"/>
        </w:rPr>
        <w:t>"</w:t>
      </w:r>
      <w:r w:rsidR="00825EF6">
        <w:rPr>
          <w:rFonts w:ascii="Times New Roman" w:eastAsia="MS Mincho" w:hAnsi="Times New Roman" w:cs="Times New Roman"/>
          <w:spacing w:val="2"/>
          <w:lang w:eastAsia="en-US"/>
        </w:rPr>
        <w:t>Non-resident investor</w:t>
      </w:r>
      <w:r w:rsidR="00044E42" w:rsidRPr="001F7F53">
        <w:rPr>
          <w:rFonts w:ascii="Times New Roman" w:eastAsia="MS Mincho" w:hAnsi="Times New Roman" w:cs="Times New Roman"/>
          <w:spacing w:val="2"/>
          <w:lang w:eastAsia="en-US"/>
        </w:rPr>
        <w:t xml:space="preserve"> ha</w:t>
      </w:r>
      <w:r w:rsidR="00044E42" w:rsidRPr="00B979ED">
        <w:rPr>
          <w:rFonts w:ascii="Times New Roman" w:eastAsia="MS Mincho" w:hAnsi="Times New Roman" w:cs="Times New Roman"/>
          <w:spacing w:val="2"/>
          <w:lang w:eastAsia="en-US"/>
        </w:rPr>
        <w:t xml:space="preserve">s certified that it is qualified to </w:t>
      </w:r>
      <w:r w:rsidR="00825EF6">
        <w:rPr>
          <w:rFonts w:ascii="Times New Roman" w:eastAsia="MS Mincho" w:hAnsi="Times New Roman" w:cs="Times New Roman"/>
          <w:spacing w:val="2"/>
          <w:lang w:eastAsia="en-US"/>
        </w:rPr>
        <w:t>carry out</w:t>
      </w:r>
      <w:r w:rsidR="00825EF6" w:rsidRPr="00B979ED">
        <w:rPr>
          <w:rFonts w:ascii="Times New Roman" w:eastAsia="MS Mincho" w:hAnsi="Times New Roman" w:cs="Times New Roman"/>
          <w:spacing w:val="2"/>
          <w:lang w:eastAsia="en-US"/>
        </w:rPr>
        <w:t xml:space="preserve"> </w:t>
      </w:r>
      <w:r w:rsidR="00044E42" w:rsidRPr="00B979ED">
        <w:rPr>
          <w:rFonts w:ascii="Times New Roman" w:eastAsia="MS Mincho" w:hAnsi="Times New Roman" w:cs="Times New Roman"/>
          <w:spacing w:val="2"/>
          <w:lang w:eastAsia="en-US"/>
        </w:rPr>
        <w:t xml:space="preserve">the transaction in accordance </w:t>
      </w:r>
      <w:r w:rsidR="00825EF6">
        <w:rPr>
          <w:rFonts w:ascii="Times New Roman" w:eastAsia="MS Mincho" w:hAnsi="Times New Roman" w:cs="Times New Roman"/>
          <w:spacing w:val="2"/>
          <w:lang w:eastAsia="en-US"/>
        </w:rPr>
        <w:t>with the form.</w:t>
      </w:r>
      <w:r w:rsidR="00044E42" w:rsidRPr="001F7F53">
        <w:rPr>
          <w:rFonts w:ascii="Times New Roman" w:eastAsia="MS Mincho" w:hAnsi="Times New Roman" w:cs="Times New Roman"/>
          <w:spacing w:val="2"/>
          <w:lang w:eastAsia="en-US"/>
        </w:rPr>
        <w:t>"</w:t>
      </w:r>
      <w:r w:rsidR="00044E42" w:rsidRPr="00B979ED">
        <w:rPr>
          <w:rFonts w:ascii="Times New Roman" w:eastAsia="MS Mincho" w:hAnsi="Times New Roman" w:cs="Times New Roman"/>
          <w:spacing w:val="2"/>
          <w:lang w:eastAsia="en-US"/>
        </w:rPr>
        <w:t xml:space="preserve">, and deliver to the Custodian </w:t>
      </w:r>
      <w:r w:rsidR="00825EF6">
        <w:rPr>
          <w:rFonts w:ascii="Times New Roman" w:eastAsia="MS Mincho" w:hAnsi="Times New Roman" w:cs="Times New Roman"/>
          <w:spacing w:val="2"/>
          <w:lang w:eastAsia="en-US"/>
        </w:rPr>
        <w:t>a form</w:t>
      </w:r>
      <w:r w:rsidR="00044E42" w:rsidRPr="00B979ED">
        <w:rPr>
          <w:rFonts w:ascii="Times New Roman" w:eastAsia="MS Mincho" w:hAnsi="Times New Roman" w:cs="Times New Roman"/>
          <w:spacing w:val="2"/>
          <w:lang w:eastAsia="en-US"/>
        </w:rPr>
        <w:t xml:space="preserve"> </w:t>
      </w:r>
      <w:r w:rsidRPr="001F7F53">
        <w:rPr>
          <w:rFonts w:ascii="Times New Roman" w:eastAsia="MS Mincho" w:hAnsi="Times New Roman" w:cs="Times New Roman"/>
          <w:spacing w:val="2"/>
          <w:lang w:eastAsia="en-US"/>
        </w:rPr>
        <w:t xml:space="preserve">containing representations relating to the </w:t>
      </w:r>
      <w:r w:rsidR="00044E42" w:rsidRPr="001F7F53">
        <w:rPr>
          <w:rFonts w:ascii="Times New Roman" w:eastAsia="MS Mincho" w:hAnsi="Times New Roman" w:cs="Times New Roman"/>
          <w:spacing w:val="2"/>
          <w:lang w:eastAsia="en-US"/>
        </w:rPr>
        <w:t xml:space="preserve">minimum </w:t>
      </w:r>
      <w:r w:rsidRPr="001F7F53">
        <w:rPr>
          <w:rFonts w:ascii="Times New Roman" w:eastAsia="MS Mincho" w:hAnsi="Times New Roman" w:cs="Times New Roman"/>
          <w:spacing w:val="2"/>
          <w:lang w:eastAsia="en-US"/>
        </w:rPr>
        <w:t xml:space="preserve">eligibility requirements under applicable </w:t>
      </w:r>
      <w:r w:rsidR="00825EF6">
        <w:rPr>
          <w:rFonts w:ascii="Times New Roman" w:eastAsia="MS Mincho" w:hAnsi="Times New Roman" w:cs="Times New Roman"/>
          <w:spacing w:val="2"/>
          <w:lang w:eastAsia="en-US"/>
        </w:rPr>
        <w:t>foreign regulations</w:t>
      </w:r>
      <w:r w:rsidR="00825EF6" w:rsidRPr="001F7F53">
        <w:rPr>
          <w:rFonts w:ascii="Times New Roman" w:eastAsia="MS Mincho" w:hAnsi="Times New Roman" w:cs="Times New Roman"/>
          <w:spacing w:val="2"/>
          <w:lang w:eastAsia="en-US"/>
        </w:rPr>
        <w:t xml:space="preserve"> </w:t>
      </w:r>
      <w:r w:rsidR="00086A09" w:rsidRPr="001F7F53">
        <w:rPr>
          <w:rFonts w:ascii="Times New Roman" w:eastAsia="MS Mincho" w:hAnsi="Times New Roman" w:cs="Times New Roman"/>
          <w:spacing w:val="2"/>
          <w:lang w:eastAsia="en-US"/>
        </w:rPr>
        <w:t>(the "</w:t>
      </w:r>
      <w:r w:rsidR="00825EF6">
        <w:rPr>
          <w:rFonts w:ascii="Times New Roman" w:eastAsia="MS Mincho" w:hAnsi="Times New Roman" w:cs="Times New Roman"/>
          <w:spacing w:val="2"/>
          <w:u w:val="single"/>
          <w:lang w:eastAsia="en-US"/>
        </w:rPr>
        <w:t>Non-Resident Investors</w:t>
      </w:r>
      <w:r w:rsidR="00086A09" w:rsidRPr="001F7F53">
        <w:rPr>
          <w:rFonts w:ascii="Times New Roman" w:eastAsia="MS Mincho" w:hAnsi="Times New Roman" w:cs="Times New Roman"/>
          <w:spacing w:val="2"/>
          <w:u w:val="single"/>
          <w:lang w:eastAsia="en-US"/>
        </w:rPr>
        <w:t xml:space="preserve"> Certificate</w:t>
      </w:r>
      <w:r w:rsidR="00086A09" w:rsidRPr="001F7F53">
        <w:rPr>
          <w:rFonts w:ascii="Times New Roman" w:eastAsia="MS Mincho" w:hAnsi="Times New Roman" w:cs="Times New Roman"/>
          <w:spacing w:val="2"/>
          <w:lang w:eastAsia="en-US"/>
        </w:rPr>
        <w:t xml:space="preserve">") </w:t>
      </w:r>
      <w:r w:rsidR="00044E42" w:rsidRPr="001F7F53">
        <w:rPr>
          <w:rFonts w:ascii="Times New Roman" w:eastAsia="MS Mincho" w:hAnsi="Times New Roman" w:cs="Times New Roman"/>
          <w:spacing w:val="2"/>
          <w:lang w:eastAsia="en-US"/>
        </w:rPr>
        <w:t>d</w:t>
      </w:r>
      <w:r w:rsidR="00044E42" w:rsidRPr="00B979ED">
        <w:rPr>
          <w:rFonts w:ascii="Times New Roman" w:eastAsia="MS Mincho" w:hAnsi="Times New Roman" w:cs="Times New Roman"/>
          <w:spacing w:val="2"/>
          <w:lang w:eastAsia="en-US"/>
        </w:rPr>
        <w:t xml:space="preserve">uly executed by such </w:t>
      </w:r>
      <w:r w:rsidR="00044E42" w:rsidRPr="001F7F53">
        <w:rPr>
          <w:rFonts w:ascii="Times New Roman" w:eastAsia="MS Mincho" w:hAnsi="Times New Roman" w:cs="Times New Roman"/>
          <w:spacing w:val="2"/>
          <w:lang w:eastAsia="en-US"/>
        </w:rPr>
        <w:t>Opting Holder or his legal representative</w:t>
      </w:r>
      <w:r w:rsidR="00086A09" w:rsidRPr="001F7F53">
        <w:rPr>
          <w:rFonts w:ascii="Times New Roman" w:eastAsia="MS Mincho" w:hAnsi="Times New Roman" w:cs="Times New Roman"/>
          <w:spacing w:val="2"/>
          <w:lang w:eastAsia="en-US"/>
        </w:rPr>
        <w:t xml:space="preserve">. </w:t>
      </w:r>
      <w:r w:rsidR="00044E42" w:rsidRPr="001F7F53">
        <w:rPr>
          <w:rFonts w:ascii="Times New Roman" w:eastAsia="MS Mincho" w:hAnsi="Times New Roman" w:cs="Times New Roman"/>
          <w:spacing w:val="2"/>
          <w:lang w:eastAsia="en-US"/>
        </w:rPr>
        <w:t>Following inspection of the information provided and the powers of such Opting Holder, the</w:t>
      </w:r>
      <w:r w:rsidR="00044E42" w:rsidRPr="00B979ED">
        <w:rPr>
          <w:rFonts w:ascii="Times New Roman" w:eastAsia="MS Mincho" w:hAnsi="Times New Roman" w:cs="Times New Roman"/>
          <w:spacing w:val="2"/>
          <w:lang w:eastAsia="en-US"/>
        </w:rPr>
        <w:t xml:space="preserve"> Custodian will </w:t>
      </w:r>
      <w:r w:rsidR="00BD2FB9">
        <w:rPr>
          <w:rFonts w:ascii="Times New Roman" w:eastAsia="MS Mincho" w:hAnsi="Times New Roman" w:cs="Times New Roman"/>
          <w:spacing w:val="2"/>
          <w:lang w:eastAsia="en-US"/>
        </w:rPr>
        <w:t>attest</w:t>
      </w:r>
      <w:r w:rsidR="00825EF6" w:rsidRPr="001F7F53">
        <w:rPr>
          <w:rFonts w:ascii="Times New Roman" w:eastAsia="MS Mincho" w:hAnsi="Times New Roman" w:cs="Times New Roman"/>
          <w:spacing w:val="2"/>
          <w:lang w:eastAsia="en-US"/>
        </w:rPr>
        <w:t xml:space="preserve"> to</w:t>
      </w:r>
      <w:r w:rsidR="00044E42" w:rsidRPr="001F7F53">
        <w:rPr>
          <w:rFonts w:ascii="Times New Roman" w:eastAsia="MS Mincho" w:hAnsi="Times New Roman" w:cs="Times New Roman"/>
          <w:spacing w:val="2"/>
          <w:lang w:eastAsia="en-US"/>
        </w:rPr>
        <w:t xml:space="preserve"> the veracity of the information provided</w:t>
      </w:r>
      <w:r w:rsidR="00044E42" w:rsidRPr="00B979ED">
        <w:rPr>
          <w:rFonts w:ascii="Times New Roman" w:eastAsia="MS Mincho" w:hAnsi="Times New Roman" w:cs="Times New Roman"/>
          <w:spacing w:val="2"/>
          <w:lang w:eastAsia="en-US"/>
        </w:rPr>
        <w:t xml:space="preserve">, and will arrange for delivery of the </w:t>
      </w:r>
      <w:r w:rsidR="00825EF6" w:rsidRPr="00825EF6">
        <w:rPr>
          <w:rFonts w:ascii="Times New Roman" w:eastAsia="MS Mincho" w:hAnsi="Times New Roman" w:cs="Times New Roman"/>
          <w:spacing w:val="2"/>
          <w:lang w:eastAsia="en-US"/>
        </w:rPr>
        <w:t>Non-Resident Investors Certificate</w:t>
      </w:r>
      <w:r w:rsidR="00044E42" w:rsidRPr="00B979ED">
        <w:rPr>
          <w:rFonts w:ascii="Times New Roman" w:eastAsia="MS Mincho" w:hAnsi="Times New Roman" w:cs="Times New Roman"/>
          <w:spacing w:val="2"/>
          <w:lang w:eastAsia="en-US"/>
        </w:rPr>
        <w:t xml:space="preserve"> to the Depositary</w:t>
      </w:r>
      <w:r w:rsidR="00825EF6" w:rsidRPr="00B979ED">
        <w:rPr>
          <w:rFonts w:ascii="Times New Roman" w:eastAsia="MS Mincho" w:hAnsi="Times New Roman" w:cs="Times New Roman"/>
          <w:spacing w:val="2"/>
          <w:lang w:eastAsia="en-US"/>
        </w:rPr>
        <w:t xml:space="preserve"> via email</w:t>
      </w:r>
      <w:r w:rsidR="00825EF6">
        <w:rPr>
          <w:rFonts w:ascii="Times New Roman" w:eastAsia="MS Mincho" w:hAnsi="Times New Roman" w:cs="Times New Roman"/>
          <w:spacing w:val="2"/>
          <w:lang w:eastAsia="en-US"/>
        </w:rPr>
        <w:t xml:space="preserve"> to the address </w:t>
      </w:r>
      <w:hyperlink r:id="rId8" w:history="1">
        <w:r w:rsidR="00825EF6" w:rsidRPr="00F46F81">
          <w:rPr>
            <w:rStyle w:val="Hyperlink"/>
            <w:spacing w:val="2"/>
          </w:rPr>
          <w:t>4010.dr@bradesco.com.br</w:t>
        </w:r>
      </w:hyperlink>
      <w:r w:rsidR="00825EF6">
        <w:rPr>
          <w:spacing w:val="2"/>
        </w:rPr>
        <w:t>, with the subject line "Migration of BTG Pactual units – Protocol No. [</w:t>
      </w:r>
      <w:r w:rsidR="00825EF6">
        <w:rPr>
          <w:i/>
          <w:spacing w:val="2"/>
        </w:rPr>
        <w:t>insert protocol number as generated by the System</w:t>
      </w:r>
      <w:r w:rsidR="00825EF6">
        <w:rPr>
          <w:spacing w:val="2"/>
        </w:rPr>
        <w:t>]"</w:t>
      </w:r>
      <w:r w:rsidR="00044E42" w:rsidRPr="00B979ED">
        <w:rPr>
          <w:rFonts w:ascii="Times New Roman" w:eastAsia="MS Mincho" w:hAnsi="Times New Roman" w:cs="Times New Roman"/>
          <w:spacing w:val="2"/>
          <w:lang w:eastAsia="en-US"/>
        </w:rPr>
        <w:t>.</w:t>
      </w:r>
      <w:r w:rsidR="00044E42" w:rsidRPr="001F7F53">
        <w:rPr>
          <w:rFonts w:ascii="Times New Roman" w:eastAsia="MS Mincho" w:hAnsi="Times New Roman" w:cs="Times New Roman"/>
          <w:spacing w:val="2"/>
          <w:lang w:eastAsia="en-US"/>
        </w:rPr>
        <w:t xml:space="preserve"> </w:t>
      </w:r>
      <w:r w:rsidR="00086A09" w:rsidRPr="001F7F53">
        <w:rPr>
          <w:rFonts w:ascii="Times New Roman" w:eastAsia="MS Mincho" w:hAnsi="Times New Roman" w:cs="Times New Roman"/>
          <w:spacing w:val="2"/>
          <w:lang w:eastAsia="en-US"/>
        </w:rPr>
        <w:t xml:space="preserve">The </w:t>
      </w:r>
      <w:r w:rsidR="00825EF6" w:rsidRPr="00825EF6">
        <w:rPr>
          <w:rFonts w:ascii="Times New Roman" w:eastAsia="MS Mincho" w:hAnsi="Times New Roman" w:cs="Times New Roman"/>
          <w:spacing w:val="2"/>
          <w:lang w:eastAsia="en-US"/>
        </w:rPr>
        <w:t>Non-Resident Investors Certificate</w:t>
      </w:r>
      <w:r w:rsidR="00825EF6">
        <w:rPr>
          <w:rFonts w:ascii="Times New Roman" w:eastAsia="MS Mincho" w:hAnsi="Times New Roman" w:cs="Times New Roman"/>
          <w:spacing w:val="2"/>
          <w:lang w:eastAsia="en-US"/>
        </w:rPr>
        <w:t xml:space="preserve"> </w:t>
      </w:r>
      <w:r w:rsidRPr="001F7F53">
        <w:rPr>
          <w:rFonts w:ascii="Times New Roman" w:eastAsia="MS Mincho" w:hAnsi="Times New Roman" w:cs="Times New Roman"/>
          <w:spacing w:val="2"/>
          <w:lang w:eastAsia="en-US"/>
        </w:rPr>
        <w:t>has been made available by the Companies on the date hereof</w:t>
      </w:r>
      <w:r w:rsidR="00086A09" w:rsidRPr="001F7F53">
        <w:rPr>
          <w:rFonts w:ascii="Times New Roman" w:eastAsia="MS Mincho" w:hAnsi="Times New Roman" w:cs="Times New Roman"/>
          <w:spacing w:val="2"/>
          <w:lang w:eastAsia="en-US"/>
        </w:rPr>
        <w:t xml:space="preserve"> </w:t>
      </w:r>
      <w:r w:rsidR="00086A09" w:rsidRPr="001F7F53">
        <w:t xml:space="preserve">on the Companies' investor relations website at </w:t>
      </w:r>
      <w:r w:rsidR="00086A09" w:rsidRPr="001F7F53">
        <w:rPr>
          <w:spacing w:val="2"/>
        </w:rPr>
        <w:t>www.btgpactual.com/ri</w:t>
      </w:r>
      <w:r w:rsidR="00086A09" w:rsidRPr="001F7F53">
        <w:rPr>
          <w:rFonts w:ascii="Times New Roman" w:eastAsia="MS Mincho" w:hAnsi="Times New Roman" w:cs="Times New Roman"/>
          <w:spacing w:val="2"/>
          <w:lang w:eastAsia="en-US"/>
        </w:rPr>
        <w:t>.</w:t>
      </w:r>
    </w:p>
    <w:p w:rsidR="00A646DE" w:rsidRDefault="00A646DE" w:rsidP="006E143A"/>
    <w:p w:rsidR="007E61DA" w:rsidRDefault="00CC7B93" w:rsidP="006E143A">
      <w:r>
        <w:lastRenderedPageBreak/>
        <w:t>Orders may be submitted</w:t>
      </w:r>
      <w:r w:rsidR="00370B61">
        <w:t xml:space="preserve"> to the System on</w:t>
      </w:r>
      <w:r>
        <w:t xml:space="preserve"> </w:t>
      </w:r>
      <w:r w:rsidR="00C847FE" w:rsidRPr="001F7F53">
        <w:t>business day</w:t>
      </w:r>
      <w:r w:rsidR="00C4177C" w:rsidRPr="001F7F53">
        <w:t xml:space="preserve">s </w:t>
      </w:r>
      <w:r w:rsidR="00C847FE" w:rsidRPr="001F7F53">
        <w:t xml:space="preserve">between </w:t>
      </w:r>
      <w:r w:rsidR="00C4177C" w:rsidRPr="001F7F53">
        <w:rPr>
          <w:rFonts w:cstheme="minorHAnsi"/>
        </w:rPr>
        <w:t>07:</w:t>
      </w:r>
      <w:r w:rsidR="00BD2FB9">
        <w:rPr>
          <w:rFonts w:cstheme="minorHAnsi"/>
        </w:rPr>
        <w:t>3</w:t>
      </w:r>
      <w:r w:rsidR="00BD2FB9" w:rsidRPr="001F7F53">
        <w:rPr>
          <w:rFonts w:cstheme="minorHAnsi"/>
        </w:rPr>
        <w:t xml:space="preserve">0 </w:t>
      </w:r>
      <w:r w:rsidR="00C847FE" w:rsidRPr="001F7F53">
        <w:rPr>
          <w:rFonts w:cstheme="minorHAnsi"/>
        </w:rPr>
        <w:t xml:space="preserve">and </w:t>
      </w:r>
      <w:r w:rsidR="00BD4F11" w:rsidRPr="001F7F53">
        <w:rPr>
          <w:rFonts w:cstheme="minorHAnsi"/>
        </w:rPr>
        <w:t>14</w:t>
      </w:r>
      <w:r w:rsidR="00C847FE" w:rsidRPr="001F7F53">
        <w:rPr>
          <w:rFonts w:cstheme="minorHAnsi"/>
        </w:rPr>
        <w:t>:</w:t>
      </w:r>
      <w:r w:rsidR="00BD4F11" w:rsidRPr="001F7F53">
        <w:rPr>
          <w:rFonts w:cstheme="minorHAnsi"/>
        </w:rPr>
        <w:t>00 (São Paulo time)</w:t>
      </w:r>
      <w:r w:rsidRPr="00B979ED">
        <w:rPr>
          <w:rFonts w:cstheme="minorHAnsi"/>
        </w:rPr>
        <w:t xml:space="preserve"> and</w:t>
      </w:r>
      <w:r>
        <w:rPr>
          <w:rFonts w:cstheme="minorHAnsi"/>
        </w:rPr>
        <w:t xml:space="preserve"> will be processed by the Depositary after </w:t>
      </w:r>
      <w:r w:rsidR="0024613F">
        <w:rPr>
          <w:rFonts w:cstheme="minorHAnsi"/>
        </w:rPr>
        <w:t xml:space="preserve">confirmation of receipt of the Transfer and </w:t>
      </w:r>
      <w:r>
        <w:rPr>
          <w:rFonts w:cstheme="minorHAnsi"/>
        </w:rPr>
        <w:t xml:space="preserve">the necessary </w:t>
      </w:r>
      <w:r w:rsidR="00610587">
        <w:rPr>
          <w:rFonts w:cstheme="minorHAnsi"/>
        </w:rPr>
        <w:t>validations</w:t>
      </w:r>
      <w:r>
        <w:rPr>
          <w:rFonts w:cstheme="minorHAnsi"/>
        </w:rPr>
        <w:t xml:space="preserve">, conferences and other procedures to effect the unit book entry transfers, to be carried out in the order in which such Orders and the respective </w:t>
      </w:r>
      <w:r w:rsidR="00825EF6">
        <w:rPr>
          <w:rFonts w:cstheme="minorHAnsi"/>
        </w:rPr>
        <w:t>form</w:t>
      </w:r>
      <w:r>
        <w:rPr>
          <w:rFonts w:cstheme="minorHAnsi"/>
        </w:rPr>
        <w:t>s,</w:t>
      </w:r>
      <w:r w:rsidR="00825EF6">
        <w:rPr>
          <w:rFonts w:cstheme="minorHAnsi"/>
        </w:rPr>
        <w:t xml:space="preserve"> as applicable,</w:t>
      </w:r>
      <w:r>
        <w:rPr>
          <w:rFonts w:cstheme="minorHAnsi"/>
        </w:rPr>
        <w:t xml:space="preserve"> duly completed and executed, are received. Orders will be processed daily, and all </w:t>
      </w:r>
      <w:r w:rsidR="00825EF6">
        <w:rPr>
          <w:rFonts w:cstheme="minorHAnsi"/>
        </w:rPr>
        <w:t xml:space="preserve">reasonable </w:t>
      </w:r>
      <w:r>
        <w:rPr>
          <w:rFonts w:cstheme="minorHAnsi"/>
        </w:rPr>
        <w:t xml:space="preserve">efforts will be made so that the </w:t>
      </w:r>
      <w:r>
        <w:t>BPAC11 Units and the BBTG12 Units resulting from such Orders will be available for trading by the opening of the trading day immediately succeeding the date on which such Order has been submitted</w:t>
      </w:r>
      <w:r w:rsidR="007E61DA">
        <w:t xml:space="preserve"> to the System</w:t>
      </w:r>
      <w:r>
        <w:t>, it being understood that,</w:t>
      </w:r>
      <w:r w:rsidR="007E61DA">
        <w:t xml:space="preserve"> in the event that such procedures are unable to be carried out as expected, the Orders may be executed </w:t>
      </w:r>
      <w:r w:rsidR="00C4177C">
        <w:t xml:space="preserve">until </w:t>
      </w:r>
      <w:r w:rsidR="007E61DA">
        <w:t>the end of the business day succeeding the date on which such Orders have been submitted to the System</w:t>
      </w:r>
      <w:r w:rsidR="00C4177C">
        <w:t>, at which point the System will begin cancelling Orders automatically.</w:t>
      </w:r>
    </w:p>
    <w:p w:rsidR="007E61DA" w:rsidRDefault="007E61DA" w:rsidP="006E143A"/>
    <w:p w:rsidR="00A646DE" w:rsidRPr="00562797" w:rsidRDefault="00562797" w:rsidP="006E143A">
      <w:r>
        <w:t xml:space="preserve">The </w:t>
      </w:r>
      <w:r w:rsidR="007E61DA">
        <w:t>S</w:t>
      </w:r>
      <w:r>
        <w:t xml:space="preserve">ystem will be </w:t>
      </w:r>
      <w:r w:rsidR="007E61DA">
        <w:t>available</w:t>
      </w:r>
      <w:r>
        <w:t xml:space="preserve"> exclusively for the </w:t>
      </w:r>
      <w:r w:rsidR="00C4177C">
        <w:t>Migration</w:t>
      </w:r>
      <w:r w:rsidR="007E61DA">
        <w:t xml:space="preserve"> insofar as </w:t>
      </w:r>
      <w:r w:rsidR="00C4177C">
        <w:t xml:space="preserve">it relates to </w:t>
      </w:r>
      <w:r w:rsidR="007E61DA">
        <w:t>securities issued by the Companies</w:t>
      </w:r>
      <w:r>
        <w:t xml:space="preserve">, it being understood that current holders of BBTG11 </w:t>
      </w:r>
      <w:r w:rsidR="00C4177C">
        <w:t xml:space="preserve">Units </w:t>
      </w:r>
      <w:r>
        <w:t xml:space="preserve">interested in </w:t>
      </w:r>
      <w:r w:rsidR="00BD4F11">
        <w:t xml:space="preserve">canceling </w:t>
      </w:r>
      <w:r>
        <w:t xml:space="preserve">their BBTG11 </w:t>
      </w:r>
      <w:r w:rsidR="00C4177C">
        <w:t xml:space="preserve">Units </w:t>
      </w:r>
      <w:r>
        <w:t xml:space="preserve">and holding the securities underlying such BBTG11 </w:t>
      </w:r>
      <w:r w:rsidR="00C4177C">
        <w:t>Units</w:t>
      </w:r>
      <w:r>
        <w:t xml:space="preserve">, rather than BPAC11 Units and the BBTG12 Units, must follow the usual procedures before the Depositary and the BM&amp;FBOVESPA, in this case, subject to the </w:t>
      </w:r>
      <w:r w:rsidRPr="00562797">
        <w:t>BBTG11 Cancellation Fee</w:t>
      </w:r>
      <w:r>
        <w:t xml:space="preserve"> and any eventual </w:t>
      </w:r>
      <w:r w:rsidR="003A34BD" w:rsidRPr="00D05384">
        <w:rPr>
          <w:rFonts w:ascii="Times New Roman" w:hAnsi="Times New Roman"/>
        </w:rPr>
        <w:t>fees and expenses</w:t>
      </w:r>
      <w:r w:rsidR="003A34BD">
        <w:rPr>
          <w:rFonts w:ascii="Times New Roman" w:hAnsi="Times New Roman"/>
        </w:rPr>
        <w:t xml:space="preserve"> necessary for this purpose.</w:t>
      </w:r>
    </w:p>
    <w:p w:rsidR="00A646DE" w:rsidRDefault="00A646DE" w:rsidP="006E143A"/>
    <w:p w:rsidR="00A646DE" w:rsidRPr="003A34BD" w:rsidRDefault="003A34BD" w:rsidP="006E143A">
      <w:pPr>
        <w:rPr>
          <w:b/>
        </w:rPr>
      </w:pPr>
      <w:r>
        <w:rPr>
          <w:b/>
        </w:rPr>
        <w:t xml:space="preserve">Furthermore, it should be noted that, from the moment that each </w:t>
      </w:r>
      <w:r w:rsidR="007E61DA">
        <w:rPr>
          <w:b/>
        </w:rPr>
        <w:t xml:space="preserve">Order </w:t>
      </w:r>
      <w:r>
        <w:rPr>
          <w:b/>
        </w:rPr>
        <w:t xml:space="preserve">is submitted to the </w:t>
      </w:r>
      <w:r w:rsidR="007E61DA" w:rsidRPr="00B979ED">
        <w:rPr>
          <w:b/>
        </w:rPr>
        <w:t>S</w:t>
      </w:r>
      <w:r w:rsidRPr="003A34BD">
        <w:rPr>
          <w:b/>
        </w:rPr>
        <w:t>ystem</w:t>
      </w:r>
      <w:r>
        <w:rPr>
          <w:b/>
        </w:rPr>
        <w:t xml:space="preserve">, the relevant BBTG11 </w:t>
      </w:r>
      <w:r w:rsidR="00C4177C">
        <w:rPr>
          <w:b/>
        </w:rPr>
        <w:t xml:space="preserve">Units </w:t>
      </w:r>
      <w:r>
        <w:rPr>
          <w:b/>
        </w:rPr>
        <w:t xml:space="preserve">to be cancelled will be blocked </w:t>
      </w:r>
      <w:r w:rsidR="00BD2FB9">
        <w:rPr>
          <w:b/>
        </w:rPr>
        <w:t xml:space="preserve">from any transfers and </w:t>
      </w:r>
      <w:r>
        <w:rPr>
          <w:b/>
        </w:rPr>
        <w:t>from trading in the secondary market until such time that the B</w:t>
      </w:r>
      <w:r w:rsidRPr="003A34BD">
        <w:rPr>
          <w:b/>
        </w:rPr>
        <w:t>PAC11 and BBTG12 Units</w:t>
      </w:r>
      <w:r>
        <w:rPr>
          <w:b/>
        </w:rPr>
        <w:t xml:space="preserve"> have been effectively formed. </w:t>
      </w:r>
      <w:r w:rsidR="007E61DA">
        <w:rPr>
          <w:b/>
        </w:rPr>
        <w:t xml:space="preserve">Accordingly, it is important for the </w:t>
      </w:r>
      <w:r w:rsidR="001F7F53">
        <w:rPr>
          <w:b/>
        </w:rPr>
        <w:t>BBTG11 Units</w:t>
      </w:r>
      <w:r w:rsidR="007E61DA">
        <w:rPr>
          <w:b/>
        </w:rPr>
        <w:t xml:space="preserve"> which are the subject of any Orders relating to the </w:t>
      </w:r>
      <w:r w:rsidR="00C4177C">
        <w:rPr>
          <w:b/>
        </w:rPr>
        <w:t>Migration toward the New Unit Programs</w:t>
      </w:r>
      <w:r w:rsidR="007E61DA">
        <w:rPr>
          <w:b/>
        </w:rPr>
        <w:t xml:space="preserve"> be available for trading under such Opting Holder's </w:t>
      </w:r>
      <w:r w:rsidR="00C4177C">
        <w:rPr>
          <w:b/>
        </w:rPr>
        <w:t>custodial account</w:t>
      </w:r>
      <w:r>
        <w:rPr>
          <w:b/>
        </w:rPr>
        <w:t>.</w:t>
      </w:r>
    </w:p>
    <w:p w:rsidR="00A646DE" w:rsidRDefault="00A646DE" w:rsidP="006E143A"/>
    <w:p w:rsidR="00A646DE" w:rsidRDefault="003A34BD" w:rsidP="006E143A">
      <w:r>
        <w:t>The Companies recommend t</w:t>
      </w:r>
      <w:r w:rsidRPr="001F7F53">
        <w:t xml:space="preserve">hat unit holders contact their </w:t>
      </w:r>
      <w:r w:rsidR="001D29D2" w:rsidRPr="001F7F53">
        <w:t xml:space="preserve">respective </w:t>
      </w:r>
      <w:r w:rsidRPr="001F7F53">
        <w:t xml:space="preserve">Custodians in </w:t>
      </w:r>
      <w:r w:rsidR="001D29D2" w:rsidRPr="001F7F53">
        <w:t>a timely manner in order to review the ope</w:t>
      </w:r>
      <w:r w:rsidR="001D29D2">
        <w:t xml:space="preserve">rational aspects and deadlines necessary to effect the </w:t>
      </w:r>
      <w:r w:rsidR="00C4177C">
        <w:t xml:space="preserve">Migration toward the </w:t>
      </w:r>
      <w:r w:rsidR="00C4177C" w:rsidRPr="001F7F53">
        <w:t>New Unit Structure</w:t>
      </w:r>
      <w:r w:rsidR="001D29D2" w:rsidRPr="001F7F53">
        <w:t xml:space="preserve">, including </w:t>
      </w:r>
      <w:r w:rsidR="001D3125">
        <w:t xml:space="preserve">with respect to the payment of applicable fees to the Depositary and </w:t>
      </w:r>
      <w:r w:rsidR="001D29D2" w:rsidRPr="001F7F53">
        <w:t xml:space="preserve">the </w:t>
      </w:r>
      <w:r w:rsidR="001D3125">
        <w:t>potential</w:t>
      </w:r>
      <w:r w:rsidR="001D3125" w:rsidRPr="001F7F53">
        <w:t xml:space="preserve"> </w:t>
      </w:r>
      <w:r w:rsidR="001D29D2" w:rsidRPr="001F7F53">
        <w:t>need for securing foreign exchange contracts.</w:t>
      </w:r>
    </w:p>
    <w:p w:rsidR="00A646DE" w:rsidRDefault="00A646DE" w:rsidP="006E143A"/>
    <w:p w:rsidR="00A646DE" w:rsidRDefault="001D29D2" w:rsidP="006E143A">
      <w:r>
        <w:t>For the avoidance of doubt,</w:t>
      </w:r>
      <w:r w:rsidR="00C4177C">
        <w:t xml:space="preserve"> it is hereby made clear that, should</w:t>
      </w:r>
      <w:r>
        <w:t xml:space="preserve"> Opting Holders </w:t>
      </w:r>
      <w:r w:rsidR="00C4177C">
        <w:t>allocate</w:t>
      </w:r>
      <w:r>
        <w:t xml:space="preserve"> only a portion of the BBTG11 </w:t>
      </w:r>
      <w:r w:rsidR="00C4177C">
        <w:t xml:space="preserve">Units </w:t>
      </w:r>
      <w:r>
        <w:t xml:space="preserve">held by such Opting Holder toward the </w:t>
      </w:r>
      <w:r w:rsidR="00C4177C">
        <w:t>Migration</w:t>
      </w:r>
      <w:r>
        <w:t xml:space="preserve">, the remainder of the BBTG11 </w:t>
      </w:r>
      <w:r w:rsidR="00C4177C">
        <w:t xml:space="preserve">Units </w:t>
      </w:r>
      <w:r>
        <w:t xml:space="preserve">held by such Opting Holder </w:t>
      </w:r>
      <w:r w:rsidR="00C4177C">
        <w:t xml:space="preserve">may </w:t>
      </w:r>
      <w:r>
        <w:t>continue to be traded normally on the BM&amp;FBOVESPA.</w:t>
      </w:r>
    </w:p>
    <w:p w:rsidR="00FF23B4" w:rsidRDefault="00FF23B4" w:rsidP="006E143A"/>
    <w:p w:rsidR="00EA74D6" w:rsidRPr="00EA74D6" w:rsidRDefault="00C46F7D" w:rsidP="00EA74D6">
      <w:pPr>
        <w:rPr>
          <w:b/>
        </w:rPr>
      </w:pPr>
      <w:r w:rsidRPr="001F7F53">
        <w:rPr>
          <w:b/>
        </w:rPr>
        <w:t>U</w:t>
      </w:r>
      <w:r w:rsidR="00EA74D6" w:rsidRPr="001F7F53">
        <w:rPr>
          <w:b/>
        </w:rPr>
        <w:t>nit holders</w:t>
      </w:r>
      <w:r w:rsidR="00EA74D6">
        <w:rPr>
          <w:b/>
        </w:rPr>
        <w:t xml:space="preserve"> </w:t>
      </w:r>
      <w:r>
        <w:rPr>
          <w:b/>
        </w:rPr>
        <w:t>having</w:t>
      </w:r>
      <w:r w:rsidR="00EA74D6">
        <w:rPr>
          <w:b/>
        </w:rPr>
        <w:t xml:space="preserve"> </w:t>
      </w:r>
      <w:r w:rsidR="00EA74D6" w:rsidRPr="00EA74D6">
        <w:rPr>
          <w:b/>
        </w:rPr>
        <w:t xml:space="preserve">positions as lenders in </w:t>
      </w:r>
      <w:r>
        <w:rPr>
          <w:b/>
        </w:rPr>
        <w:t xml:space="preserve">BBTG11 </w:t>
      </w:r>
      <w:r w:rsidR="00C0169E">
        <w:rPr>
          <w:b/>
        </w:rPr>
        <w:t>Unit</w:t>
      </w:r>
      <w:r w:rsidR="00C0169E" w:rsidRPr="00EA74D6">
        <w:rPr>
          <w:b/>
        </w:rPr>
        <w:t xml:space="preserve"> </w:t>
      </w:r>
      <w:r w:rsidRPr="00EA74D6">
        <w:rPr>
          <w:b/>
        </w:rPr>
        <w:t>loans</w:t>
      </w:r>
      <w:r>
        <w:rPr>
          <w:b/>
        </w:rPr>
        <w:t xml:space="preserve"> </w:t>
      </w:r>
      <w:r w:rsidR="00EA74D6" w:rsidRPr="00EA74D6">
        <w:rPr>
          <w:b/>
        </w:rPr>
        <w:t xml:space="preserve">and/or forward transactions involving BBTG11 </w:t>
      </w:r>
      <w:r w:rsidR="00C4177C" w:rsidRPr="00EA74D6">
        <w:rPr>
          <w:b/>
        </w:rPr>
        <w:t xml:space="preserve">Units </w:t>
      </w:r>
      <w:r w:rsidR="00EA74D6" w:rsidRPr="00EA74D6">
        <w:rPr>
          <w:b/>
        </w:rPr>
        <w:t xml:space="preserve">and that intend to </w:t>
      </w:r>
      <w:r>
        <w:rPr>
          <w:b/>
        </w:rPr>
        <w:t>opt</w:t>
      </w:r>
      <w:r w:rsidR="00EA74D6" w:rsidRPr="00EA74D6">
        <w:rPr>
          <w:b/>
        </w:rPr>
        <w:t xml:space="preserve"> in favor of the </w:t>
      </w:r>
      <w:r w:rsidR="00C4177C">
        <w:rPr>
          <w:b/>
        </w:rPr>
        <w:t>Migration toward the New Unit Programs</w:t>
      </w:r>
      <w:r>
        <w:rPr>
          <w:b/>
        </w:rPr>
        <w:t xml:space="preserve"> should</w:t>
      </w:r>
      <w:r w:rsidR="00EA74D6" w:rsidRPr="00EA74D6">
        <w:rPr>
          <w:b/>
        </w:rPr>
        <w:t xml:space="preserve"> consult their </w:t>
      </w:r>
      <w:r w:rsidR="00C4177C">
        <w:rPr>
          <w:b/>
        </w:rPr>
        <w:t>Custodians</w:t>
      </w:r>
      <w:r w:rsidR="00EA74D6" w:rsidRPr="00EA74D6">
        <w:rPr>
          <w:b/>
        </w:rPr>
        <w:t xml:space="preserve"> and/or BM&amp;FBOVESPA regarding the procedures to be </w:t>
      </w:r>
      <w:r>
        <w:rPr>
          <w:b/>
        </w:rPr>
        <w:t>followed</w:t>
      </w:r>
      <w:r w:rsidR="00EA74D6" w:rsidRPr="00EA74D6">
        <w:rPr>
          <w:b/>
        </w:rPr>
        <w:t xml:space="preserve">.  </w:t>
      </w:r>
    </w:p>
    <w:p w:rsidR="00EA74D6" w:rsidRDefault="00EA74D6" w:rsidP="006E143A"/>
    <w:p w:rsidR="00EA74D6" w:rsidRDefault="00C46F7D" w:rsidP="006E143A">
      <w:r>
        <w:t>Further details regarding the operational procedures may be clarified</w:t>
      </w:r>
      <w:r w:rsidR="00FF23B4">
        <w:t xml:space="preserve"> in accordance with the "Operational Manual"</w:t>
      </w:r>
      <w:r w:rsidR="00C0169E">
        <w:t xml:space="preserve">, also </w:t>
      </w:r>
      <w:r w:rsidR="00C0169E" w:rsidRPr="00C0169E">
        <w:t>made available by the Companies on the Companies' investor relations we</w:t>
      </w:r>
      <w:r w:rsidR="00C0169E">
        <w:t>bsite at www.btgpactual.com/ri</w:t>
      </w:r>
      <w:r w:rsidR="00C0169E" w:rsidRPr="00C0169E">
        <w:t>.</w:t>
      </w:r>
    </w:p>
    <w:p w:rsidR="00EA74D6" w:rsidRDefault="00EA74D6" w:rsidP="006E143A"/>
    <w:p w:rsidR="00BD2FB9" w:rsidRDefault="00BD2FB9" w:rsidP="006E143A"/>
    <w:p w:rsidR="00C46F7D" w:rsidRPr="00C46F7D" w:rsidRDefault="00C46F7D" w:rsidP="006E143A">
      <w:pPr>
        <w:rPr>
          <w:u w:val="single"/>
        </w:rPr>
      </w:pPr>
      <w:r w:rsidRPr="00C46F7D">
        <w:rPr>
          <w:u w:val="single"/>
        </w:rPr>
        <w:t>Principal Risks</w:t>
      </w:r>
    </w:p>
    <w:p w:rsidR="00C46F7D" w:rsidRDefault="00C46F7D" w:rsidP="006E143A"/>
    <w:p w:rsidR="00A2684B" w:rsidRDefault="00C0169E" w:rsidP="006E143A">
      <w:r>
        <w:t>The Migration toward the New Unit Structure</w:t>
      </w:r>
      <w:r w:rsidR="00C46F7D">
        <w:t xml:space="preserve"> may involve </w:t>
      </w:r>
      <w:r w:rsidR="00C46F7D">
        <w:rPr>
          <w:rFonts w:ascii="Times New Roman" w:eastAsia="MS Mincho" w:hAnsi="Times New Roman" w:cs="Times New Roman"/>
          <w:spacing w:val="2"/>
          <w:lang w:eastAsia="en-US"/>
        </w:rPr>
        <w:t xml:space="preserve">additional risks to holders of </w:t>
      </w:r>
      <w:r w:rsidR="001F7F53">
        <w:rPr>
          <w:rFonts w:ascii="Times New Roman" w:eastAsia="MS Mincho" w:hAnsi="Times New Roman" w:cs="Times New Roman"/>
          <w:spacing w:val="2"/>
          <w:lang w:eastAsia="en-US"/>
        </w:rPr>
        <w:t>BBTG11 Units</w:t>
      </w:r>
      <w:r w:rsidR="00C46F7D">
        <w:rPr>
          <w:rFonts w:ascii="Times New Roman" w:eastAsia="MS Mincho" w:hAnsi="Times New Roman" w:cs="Times New Roman"/>
          <w:spacing w:val="2"/>
          <w:lang w:eastAsia="en-US"/>
        </w:rPr>
        <w:t>, including, but not limited to, risks resulting from (i)</w:t>
      </w:r>
      <w:r>
        <w:rPr>
          <w:rFonts w:ascii="Times New Roman" w:eastAsia="MS Mincho" w:hAnsi="Times New Roman" w:cs="Times New Roman"/>
          <w:spacing w:val="2"/>
          <w:lang w:eastAsia="en-US"/>
        </w:rPr>
        <w:t xml:space="preserve"> </w:t>
      </w:r>
      <w:r w:rsidR="00C46F7D">
        <w:rPr>
          <w:rFonts w:ascii="Times New Roman" w:eastAsia="MS Mincho" w:hAnsi="Times New Roman" w:cs="Times New Roman"/>
          <w:spacing w:val="2"/>
          <w:lang w:eastAsia="en-US"/>
        </w:rPr>
        <w:t xml:space="preserve">a reduction in the liquidity of </w:t>
      </w:r>
      <w:r w:rsidR="001F7F53">
        <w:rPr>
          <w:rFonts w:ascii="Times New Roman" w:eastAsia="MS Mincho" w:hAnsi="Times New Roman" w:cs="Times New Roman"/>
          <w:spacing w:val="2"/>
          <w:lang w:eastAsia="en-US"/>
        </w:rPr>
        <w:t>BBTG11 Units</w:t>
      </w:r>
      <w:r w:rsidR="00C46F7D">
        <w:rPr>
          <w:rFonts w:ascii="Times New Roman" w:eastAsia="MS Mincho" w:hAnsi="Times New Roman" w:cs="Times New Roman"/>
          <w:spacing w:val="2"/>
          <w:lang w:eastAsia="en-US"/>
        </w:rPr>
        <w:t xml:space="preserve">, (ii) </w:t>
      </w:r>
      <w:r>
        <w:rPr>
          <w:rFonts w:ascii="Times New Roman" w:eastAsia="MS Mincho" w:hAnsi="Times New Roman" w:cs="Times New Roman"/>
          <w:spacing w:val="2"/>
          <w:lang w:eastAsia="en-US"/>
        </w:rPr>
        <w:t>a potential split of the current liquidity of the BBTG11 Units among the BPAC11 Units and the BBTG12 Units</w:t>
      </w:r>
      <w:r w:rsidR="00C46F7D">
        <w:rPr>
          <w:rFonts w:ascii="Times New Roman" w:eastAsia="MS Mincho" w:hAnsi="Times New Roman" w:cs="Times New Roman"/>
          <w:spacing w:val="2"/>
          <w:lang w:eastAsia="en-US"/>
        </w:rPr>
        <w:t>, (iii)</w:t>
      </w:r>
      <w:r w:rsidR="000A143E">
        <w:rPr>
          <w:rFonts w:ascii="Times New Roman" w:eastAsia="MS Mincho" w:hAnsi="Times New Roman" w:cs="Times New Roman"/>
          <w:spacing w:val="2"/>
          <w:lang w:eastAsia="en-US"/>
        </w:rPr>
        <w:t xml:space="preserve"> </w:t>
      </w:r>
      <w:r>
        <w:rPr>
          <w:rFonts w:ascii="Times New Roman" w:eastAsia="MS Mincho" w:hAnsi="Times New Roman" w:cs="Times New Roman"/>
          <w:spacing w:val="2"/>
          <w:lang w:eastAsia="en-US"/>
        </w:rPr>
        <w:t>each Company's distinct future shareholder structure, including</w:t>
      </w:r>
      <w:r w:rsidR="00A2684B">
        <w:rPr>
          <w:rFonts w:ascii="Times New Roman" w:eastAsia="MS Mincho" w:hAnsi="Times New Roman" w:cs="Times New Roman"/>
          <w:spacing w:val="2"/>
          <w:lang w:eastAsia="en-US"/>
        </w:rPr>
        <w:t xml:space="preserve"> potential conflicts of interest in related party transactions involving Banco and BTGP</w:t>
      </w:r>
      <w:r>
        <w:rPr>
          <w:rFonts w:ascii="Times New Roman" w:eastAsia="MS Mincho" w:hAnsi="Times New Roman" w:cs="Times New Roman"/>
          <w:spacing w:val="2"/>
          <w:lang w:eastAsia="en-US"/>
        </w:rPr>
        <w:t xml:space="preserve">, a shifting focus from the combined structure's dividends policies toward standalone entity dividend policies, increased administrative costs for each Company relating to the shared services and infrastructure, and lesser flexibility in allocation of resources among the Companies, (iv) </w:t>
      </w:r>
      <w:r w:rsidR="00A2684B" w:rsidRPr="001F7F53">
        <w:rPr>
          <w:rFonts w:ascii="Times New Roman" w:eastAsia="MS Mincho" w:hAnsi="Times New Roman" w:cs="Times New Roman"/>
          <w:spacing w:val="2"/>
          <w:lang w:eastAsia="en-US"/>
        </w:rPr>
        <w:t>reduced flexibility in the allocation of private equity investment resources by Banco, (v)</w:t>
      </w:r>
      <w:r w:rsidR="00A2684B">
        <w:rPr>
          <w:rFonts w:ascii="Times New Roman" w:eastAsia="MS Mincho" w:hAnsi="Times New Roman" w:cs="Times New Roman"/>
          <w:spacing w:val="2"/>
          <w:lang w:eastAsia="en-US"/>
        </w:rPr>
        <w:t xml:space="preserve"> the fact that Banco has presented more consistent financial and operational results in recent fiscal years as compared to BTGP, among other risks – without prejudice to the information described above under the caption "Principal Changes in the Companies". For more information on the principal risks relating to the </w:t>
      </w:r>
      <w:r w:rsidR="009A3376">
        <w:rPr>
          <w:rFonts w:ascii="Times New Roman" w:eastAsia="MS Mincho" w:hAnsi="Times New Roman" w:cs="Times New Roman"/>
          <w:spacing w:val="2"/>
          <w:lang w:eastAsia="en-US"/>
        </w:rPr>
        <w:t>Migration</w:t>
      </w:r>
      <w:r w:rsidR="00A2684B">
        <w:rPr>
          <w:rFonts w:ascii="Times New Roman" w:eastAsia="MS Mincho" w:hAnsi="Times New Roman" w:cs="Times New Roman"/>
          <w:spacing w:val="2"/>
          <w:lang w:eastAsia="en-US"/>
        </w:rPr>
        <w:t>, see the Presentation.</w:t>
      </w:r>
      <w:r w:rsidR="00244F79">
        <w:rPr>
          <w:rFonts w:ascii="Times New Roman" w:eastAsia="MS Mincho" w:hAnsi="Times New Roman" w:cs="Times New Roman"/>
          <w:spacing w:val="2"/>
          <w:lang w:eastAsia="en-US"/>
        </w:rPr>
        <w:t xml:space="preserve"> </w:t>
      </w:r>
    </w:p>
    <w:p w:rsidR="00EA74D6" w:rsidRDefault="00EA74D6" w:rsidP="006E143A"/>
    <w:p w:rsidR="00EA74D6" w:rsidRDefault="00EA74D6" w:rsidP="006E143A"/>
    <w:p w:rsidR="00A2684B" w:rsidRPr="00A2684B" w:rsidRDefault="00A2684B" w:rsidP="006E143A">
      <w:pPr>
        <w:rPr>
          <w:u w:val="single"/>
        </w:rPr>
      </w:pPr>
      <w:r w:rsidRPr="00A2684B">
        <w:rPr>
          <w:u w:val="single"/>
        </w:rPr>
        <w:t>Final Considerations</w:t>
      </w:r>
    </w:p>
    <w:p w:rsidR="00EA74D6" w:rsidRDefault="00EA74D6" w:rsidP="006E143A"/>
    <w:p w:rsidR="00EA74D6" w:rsidRDefault="00A2684B" w:rsidP="006E143A">
      <w:r>
        <w:t xml:space="preserve">The Presentation, as well as a copy of the </w:t>
      </w:r>
      <w:r w:rsidR="009A3376">
        <w:t>Non-Resident Investors</w:t>
      </w:r>
      <w:r>
        <w:t xml:space="preserve"> Certificate</w:t>
      </w:r>
      <w:r w:rsidR="00FF23B4">
        <w:t xml:space="preserve"> and the Operational Manual</w:t>
      </w:r>
      <w:r>
        <w:t xml:space="preserve">, </w:t>
      </w:r>
      <w:r w:rsidR="00BD2FB9">
        <w:t>will be available</w:t>
      </w:r>
      <w:r>
        <w:t xml:space="preserve"> on the </w:t>
      </w:r>
      <w:r w:rsidRPr="004537AB">
        <w:rPr>
          <w:rFonts w:ascii="Times New Roman" w:eastAsia="MS Mincho" w:hAnsi="Times New Roman" w:cs="Times New Roman"/>
          <w:spacing w:val="2"/>
          <w:lang w:eastAsia="en-US"/>
        </w:rPr>
        <w:t>on the</w:t>
      </w:r>
      <w:r>
        <w:rPr>
          <w:rFonts w:ascii="Times New Roman" w:eastAsia="MS Mincho" w:hAnsi="Times New Roman" w:cs="Times New Roman"/>
          <w:spacing w:val="2"/>
          <w:lang w:eastAsia="en-US"/>
        </w:rPr>
        <w:t xml:space="preserve"> </w:t>
      </w:r>
      <w:r w:rsidRPr="000D3BAB">
        <w:rPr>
          <w:rFonts w:ascii="Times New Roman" w:eastAsia="MS Mincho" w:hAnsi="Times New Roman" w:cs="Times New Roman"/>
          <w:i/>
          <w:spacing w:val="2"/>
          <w:lang w:eastAsia="en-US"/>
        </w:rPr>
        <w:t>Comissão de Valores Mobiliários</w:t>
      </w:r>
      <w:r>
        <w:rPr>
          <w:rFonts w:ascii="Times New Roman" w:eastAsia="MS Mincho" w:hAnsi="Times New Roman" w:cs="Times New Roman"/>
          <w:spacing w:val="2"/>
          <w:lang w:eastAsia="en-US"/>
        </w:rPr>
        <w:t xml:space="preserve">' website at </w:t>
      </w:r>
      <w:r w:rsidRPr="000D3BAB">
        <w:rPr>
          <w:rFonts w:ascii="Times New Roman" w:eastAsia="MS Mincho" w:hAnsi="Times New Roman" w:cs="Times New Roman"/>
          <w:spacing w:val="2"/>
          <w:lang w:eastAsia="en-US"/>
        </w:rPr>
        <w:t>(</w:t>
      </w:r>
      <w:hyperlink r:id="rId9" w:history="1">
        <w:r w:rsidRPr="00804D45">
          <w:rPr>
            <w:rStyle w:val="Hyperlink"/>
            <w:rFonts w:ascii="Times New Roman" w:eastAsia="MS Mincho" w:hAnsi="Times New Roman" w:cs="Times New Roman"/>
            <w:spacing w:val="2"/>
            <w:lang w:eastAsia="en-US"/>
          </w:rPr>
          <w:t>www.cvm.gov.br</w:t>
        </w:r>
      </w:hyperlink>
      <w:r w:rsidRPr="000D3BAB">
        <w:rPr>
          <w:rFonts w:ascii="Times New Roman" w:eastAsia="MS Mincho" w:hAnsi="Times New Roman" w:cs="Times New Roman"/>
          <w:spacing w:val="2"/>
          <w:lang w:eastAsia="en-US"/>
        </w:rPr>
        <w:t>)</w:t>
      </w:r>
      <w:r>
        <w:rPr>
          <w:rFonts w:ascii="Times New Roman" w:eastAsia="MS Mincho" w:hAnsi="Times New Roman" w:cs="Times New Roman"/>
          <w:spacing w:val="2"/>
          <w:lang w:eastAsia="en-US"/>
        </w:rPr>
        <w:t xml:space="preserve">, BM&amp;FBOVESPA’s website at </w:t>
      </w:r>
      <w:r w:rsidRPr="000D3BAB">
        <w:rPr>
          <w:rFonts w:ascii="Times New Roman" w:eastAsia="MS Mincho" w:hAnsi="Times New Roman" w:cs="Times New Roman"/>
          <w:spacing w:val="2"/>
          <w:lang w:eastAsia="en-US"/>
        </w:rPr>
        <w:t>(</w:t>
      </w:r>
      <w:hyperlink r:id="rId10" w:history="1">
        <w:r w:rsidRPr="00804D45">
          <w:rPr>
            <w:rStyle w:val="Hyperlink"/>
            <w:rFonts w:ascii="Times New Roman" w:eastAsia="MS Mincho" w:hAnsi="Times New Roman" w:cs="Times New Roman"/>
            <w:spacing w:val="2"/>
            <w:lang w:eastAsia="en-US"/>
          </w:rPr>
          <w:t>www.bmfbovespa.com.br</w:t>
        </w:r>
      </w:hyperlink>
      <w:r w:rsidRPr="000D3BAB">
        <w:rPr>
          <w:rFonts w:ascii="Times New Roman" w:eastAsia="MS Mincho" w:hAnsi="Times New Roman" w:cs="Times New Roman"/>
          <w:spacing w:val="2"/>
          <w:lang w:eastAsia="en-US"/>
        </w:rPr>
        <w:t>)</w:t>
      </w:r>
      <w:r>
        <w:rPr>
          <w:rFonts w:ascii="Times New Roman" w:eastAsia="MS Mincho" w:hAnsi="Times New Roman" w:cs="Times New Roman"/>
          <w:spacing w:val="2"/>
          <w:lang w:eastAsia="en-US"/>
        </w:rPr>
        <w:t xml:space="preserve">, as well as on the Companies' website at </w:t>
      </w:r>
      <w:r w:rsidRPr="000D3BAB">
        <w:rPr>
          <w:rFonts w:ascii="Times New Roman" w:eastAsia="MS Mincho" w:hAnsi="Times New Roman" w:cs="Times New Roman"/>
          <w:spacing w:val="2"/>
          <w:lang w:eastAsia="en-US"/>
        </w:rPr>
        <w:t>(www.btgpactual.com).</w:t>
      </w:r>
      <w:r>
        <w:rPr>
          <w:rFonts w:ascii="Times New Roman" w:eastAsia="MS Mincho" w:hAnsi="Times New Roman" w:cs="Times New Roman"/>
          <w:spacing w:val="2"/>
          <w:lang w:eastAsia="en-US"/>
        </w:rPr>
        <w:t xml:space="preserve"> The Companies also recommend that </w:t>
      </w:r>
      <w:r w:rsidRPr="001F7F53">
        <w:rPr>
          <w:rFonts w:ascii="Times New Roman" w:eastAsia="MS Mincho" w:hAnsi="Times New Roman" w:cs="Times New Roman"/>
          <w:spacing w:val="2"/>
          <w:lang w:eastAsia="en-US"/>
        </w:rPr>
        <w:t>unit holders revi</w:t>
      </w:r>
      <w:r>
        <w:rPr>
          <w:rFonts w:ascii="Times New Roman" w:eastAsia="MS Mincho" w:hAnsi="Times New Roman" w:cs="Times New Roman"/>
          <w:spacing w:val="2"/>
          <w:lang w:eastAsia="en-US"/>
        </w:rPr>
        <w:t xml:space="preserve">ew the </w:t>
      </w:r>
      <w:r w:rsidRPr="001F7F53">
        <w:rPr>
          <w:rFonts w:ascii="Times New Roman" w:eastAsia="MS Mincho" w:hAnsi="Times New Roman" w:cs="Times New Roman"/>
          <w:spacing w:val="2"/>
          <w:lang w:eastAsia="en-US"/>
        </w:rPr>
        <w:t>Earnings Release</w:t>
      </w:r>
      <w:r w:rsidR="00641BA3">
        <w:rPr>
          <w:rFonts w:ascii="Times New Roman" w:eastAsia="MS Mincho" w:hAnsi="Times New Roman" w:cs="Times New Roman"/>
          <w:spacing w:val="2"/>
          <w:lang w:eastAsia="en-US"/>
        </w:rPr>
        <w:t>, which were</w:t>
      </w:r>
      <w:r>
        <w:rPr>
          <w:rFonts w:ascii="Times New Roman" w:eastAsia="MS Mincho" w:hAnsi="Times New Roman" w:cs="Times New Roman"/>
          <w:spacing w:val="2"/>
          <w:lang w:eastAsia="en-US"/>
        </w:rPr>
        <w:t xml:space="preserve"> also made available on the date hereof on the above-</w:t>
      </w:r>
      <w:r w:rsidR="00641BA3">
        <w:rPr>
          <w:rFonts w:ascii="Times New Roman" w:eastAsia="MS Mincho" w:hAnsi="Times New Roman" w:cs="Times New Roman"/>
          <w:spacing w:val="2"/>
          <w:lang w:eastAsia="en-US"/>
        </w:rPr>
        <w:t xml:space="preserve">mentioned </w:t>
      </w:r>
      <w:r>
        <w:rPr>
          <w:rFonts w:ascii="Times New Roman" w:eastAsia="MS Mincho" w:hAnsi="Times New Roman" w:cs="Times New Roman"/>
          <w:spacing w:val="2"/>
          <w:lang w:eastAsia="en-US"/>
        </w:rPr>
        <w:t>websites.</w:t>
      </w:r>
    </w:p>
    <w:p w:rsidR="00EA74D6" w:rsidRDefault="00EA74D6" w:rsidP="006E143A"/>
    <w:p w:rsidR="00EA74D6" w:rsidRDefault="00641BA3" w:rsidP="006E143A">
      <w:r>
        <w:t xml:space="preserve">The Companies cannot </w:t>
      </w:r>
      <w:r w:rsidR="00370B61">
        <w:t xml:space="preserve">estimate the extent to which BBTG11 holders will opt in favor of the Migration toward the New </w:t>
      </w:r>
      <w:r w:rsidR="00370B61" w:rsidRPr="00F53767">
        <w:t>Unit</w:t>
      </w:r>
      <w:r w:rsidR="00370B61">
        <w:t xml:space="preserve"> Programs</w:t>
      </w:r>
      <w:r w:rsidR="00610587">
        <w:t xml:space="preserve"> or, consequently,</w:t>
      </w:r>
      <w:r w:rsidR="00370B61">
        <w:t xml:space="preserve"> </w:t>
      </w:r>
      <w:r>
        <w:t>guarantee that the transactions described above will be concluded within the deadlines or in accordance with the terms or conditions estimated above, or even within different deadlines or in accordance with different terms or conditions, or in any other way.</w:t>
      </w:r>
    </w:p>
    <w:p w:rsidR="00641BA3" w:rsidRDefault="00641BA3" w:rsidP="006E143A"/>
    <w:p w:rsidR="00641BA3" w:rsidRDefault="00641BA3" w:rsidP="006E143A">
      <w:r>
        <w:t xml:space="preserve">Prior to opting in favor of the </w:t>
      </w:r>
      <w:r w:rsidR="009A3376">
        <w:t>Migration toward the New Unit Program</w:t>
      </w:r>
      <w:r>
        <w:t xml:space="preserve">, </w:t>
      </w:r>
      <w:r w:rsidRPr="001F7F53">
        <w:rPr>
          <w:rFonts w:ascii="Times New Roman" w:eastAsia="MS Mincho" w:hAnsi="Times New Roman" w:cs="Times New Roman"/>
          <w:spacing w:val="2"/>
          <w:lang w:eastAsia="en-US"/>
        </w:rPr>
        <w:t xml:space="preserve">unit holders should consult their own advisors, including with respect to the respective legal, accounting and tax consequences of such </w:t>
      </w:r>
      <w:r w:rsidR="009B7735" w:rsidRPr="001F7F53">
        <w:rPr>
          <w:rFonts w:ascii="Times New Roman" w:eastAsia="MS Mincho" w:hAnsi="Times New Roman" w:cs="Times New Roman"/>
          <w:spacing w:val="2"/>
          <w:lang w:eastAsia="en-US"/>
        </w:rPr>
        <w:t>decision for each unit holder, and carry out t</w:t>
      </w:r>
      <w:r w:rsidR="009B7735">
        <w:rPr>
          <w:rFonts w:ascii="Times New Roman" w:eastAsia="MS Mincho" w:hAnsi="Times New Roman" w:cs="Times New Roman"/>
          <w:spacing w:val="2"/>
          <w:lang w:eastAsia="en-US"/>
        </w:rPr>
        <w:t>heir own analyses on the proposal, as well as the risk resulting therefrom.</w:t>
      </w:r>
    </w:p>
    <w:p w:rsidR="00EA74D6" w:rsidRDefault="00EA74D6" w:rsidP="006E143A"/>
    <w:p w:rsidR="009B7735" w:rsidRPr="009B7735" w:rsidRDefault="009B7735" w:rsidP="009B7735">
      <w:r w:rsidRPr="009B7735">
        <w:t>The Companies will keep their shareholders and the market duly informed regarding the matters described above</w:t>
      </w:r>
      <w:r w:rsidR="00370B61">
        <w:t>.</w:t>
      </w:r>
    </w:p>
    <w:p w:rsidR="00A646DE" w:rsidRPr="00A646DE" w:rsidRDefault="00A646DE" w:rsidP="006E143A"/>
    <w:p w:rsidR="006E143A" w:rsidRPr="006E143A" w:rsidRDefault="006E143A" w:rsidP="006E143A">
      <w:pPr>
        <w:rPr>
          <w:u w:val="single"/>
        </w:rPr>
      </w:pPr>
    </w:p>
    <w:p w:rsidR="006E143A" w:rsidRPr="00BE4347" w:rsidRDefault="006E143A" w:rsidP="006E143A">
      <w:pPr>
        <w:autoSpaceDE w:val="0"/>
        <w:autoSpaceDN w:val="0"/>
        <w:adjustRightInd w:val="0"/>
        <w:spacing w:line="320" w:lineRule="exact"/>
        <w:jc w:val="both"/>
        <w:rPr>
          <w:rFonts w:ascii="Times New Roman" w:hAnsi="Times New Roman" w:cs="Times New Roman"/>
          <w:bCs/>
          <w:iCs/>
          <w:spacing w:val="2"/>
        </w:rPr>
      </w:pPr>
      <w:r w:rsidRPr="001533A6">
        <w:rPr>
          <w:rFonts w:ascii="Times New Roman" w:hAnsi="Times New Roman" w:cs="Times New Roman"/>
          <w:b/>
          <w:bCs/>
          <w:iCs/>
          <w:spacing w:val="2"/>
        </w:rPr>
        <w:t>LEGAL NOTICE</w:t>
      </w:r>
      <w:r w:rsidRPr="001533A6">
        <w:rPr>
          <w:rFonts w:ascii="Times New Roman" w:hAnsi="Times New Roman" w:cs="Times New Roman"/>
          <w:b/>
          <w:spacing w:val="2"/>
        </w:rPr>
        <w:t>.</w:t>
      </w:r>
      <w:r w:rsidRPr="001533A6">
        <w:rPr>
          <w:rFonts w:ascii="Times New Roman" w:hAnsi="Times New Roman" w:cs="Times New Roman"/>
          <w:bCs/>
          <w:iCs/>
          <w:spacing w:val="2"/>
        </w:rPr>
        <w:t xml:space="preserve"> This material fact contains forward-looking statements that are identified by terms and phrases such as “anticipate,” “believe,” “intend,” “estimate,” “expect,” “continue,” “should,” “could,” “may,” “plan,” “project,” “predict,” “will” and similar expressions and are mainly based on </w:t>
      </w:r>
      <w:r>
        <w:rPr>
          <w:rFonts w:ascii="Times New Roman" w:hAnsi="Times New Roman" w:cs="Times New Roman"/>
          <w:bCs/>
          <w:iCs/>
          <w:spacing w:val="2"/>
        </w:rPr>
        <w:t>the Companies</w:t>
      </w:r>
      <w:r w:rsidRPr="001533A6">
        <w:rPr>
          <w:rFonts w:ascii="Times New Roman" w:hAnsi="Times New Roman" w:cs="Times New Roman"/>
          <w:bCs/>
          <w:iCs/>
          <w:spacing w:val="2"/>
        </w:rPr>
        <w:t xml:space="preserve">’ current expectations and estimates of </w:t>
      </w:r>
      <w:r w:rsidRPr="001533A6">
        <w:rPr>
          <w:rFonts w:ascii="Times New Roman" w:hAnsi="Times New Roman" w:cs="Times New Roman"/>
          <w:bCs/>
          <w:iCs/>
          <w:spacing w:val="2"/>
        </w:rPr>
        <w:lastRenderedPageBreak/>
        <w:t xml:space="preserve">future events and trends that affect or may affect </w:t>
      </w:r>
      <w:r>
        <w:rPr>
          <w:rFonts w:ascii="Times New Roman" w:hAnsi="Times New Roman" w:cs="Times New Roman"/>
          <w:bCs/>
          <w:iCs/>
          <w:spacing w:val="2"/>
        </w:rPr>
        <w:t>their</w:t>
      </w:r>
      <w:r w:rsidRPr="001533A6">
        <w:rPr>
          <w:rFonts w:ascii="Times New Roman" w:hAnsi="Times New Roman" w:cs="Times New Roman"/>
          <w:bCs/>
          <w:iCs/>
          <w:spacing w:val="2"/>
        </w:rPr>
        <w:t xml:space="preserve"> business, financial condition, results of operations, cash flow, liquidity, prospects, the trading price of </w:t>
      </w:r>
      <w:r>
        <w:rPr>
          <w:rFonts w:ascii="Times New Roman" w:hAnsi="Times New Roman" w:cs="Times New Roman"/>
          <w:bCs/>
          <w:iCs/>
          <w:spacing w:val="2"/>
        </w:rPr>
        <w:t>their</w:t>
      </w:r>
      <w:r w:rsidRPr="001533A6">
        <w:rPr>
          <w:rFonts w:ascii="Times New Roman" w:hAnsi="Times New Roman" w:cs="Times New Roman"/>
          <w:bCs/>
          <w:iCs/>
          <w:spacing w:val="2"/>
        </w:rPr>
        <w:t xml:space="preserve"> securities (including </w:t>
      </w:r>
      <w:r w:rsidR="001F7F53">
        <w:rPr>
          <w:rFonts w:ascii="Times New Roman" w:hAnsi="Times New Roman" w:cs="Times New Roman"/>
          <w:bCs/>
          <w:iCs/>
          <w:spacing w:val="2"/>
        </w:rPr>
        <w:t>BBTG11 Units</w:t>
      </w:r>
      <w:r w:rsidR="009B7735">
        <w:rPr>
          <w:rFonts w:ascii="Times New Roman" w:hAnsi="Times New Roman" w:cs="Times New Roman"/>
          <w:bCs/>
          <w:iCs/>
          <w:spacing w:val="2"/>
        </w:rPr>
        <w:t xml:space="preserve">, </w:t>
      </w:r>
      <w:r w:rsidR="009B7735">
        <w:rPr>
          <w:rFonts w:ascii="Times New Roman" w:eastAsia="MS Mincho" w:hAnsi="Times New Roman" w:cs="Times New Roman"/>
          <w:bCs/>
          <w:iCs/>
          <w:spacing w:val="2"/>
          <w:lang w:eastAsia="en-US"/>
        </w:rPr>
        <w:t>BPAC11 Units, BBTG12 Units</w:t>
      </w:r>
      <w:r>
        <w:rPr>
          <w:rFonts w:ascii="Times New Roman" w:hAnsi="Times New Roman" w:cs="Times New Roman"/>
          <w:bCs/>
          <w:iCs/>
          <w:spacing w:val="2"/>
        </w:rPr>
        <w:t xml:space="preserve"> </w:t>
      </w:r>
      <w:r w:rsidRPr="005E5912">
        <w:t xml:space="preserve">or any of the </w:t>
      </w:r>
      <w:r w:rsidR="009B7735">
        <w:t xml:space="preserve">respective </w:t>
      </w:r>
      <w:r w:rsidRPr="005E5912">
        <w:t>securities underlying such units</w:t>
      </w:r>
      <w:r w:rsidRPr="001533A6">
        <w:rPr>
          <w:rFonts w:ascii="Times New Roman" w:hAnsi="Times New Roman" w:cs="Times New Roman"/>
          <w:bCs/>
          <w:iCs/>
          <w:spacing w:val="2"/>
        </w:rPr>
        <w:t xml:space="preserve">) and </w:t>
      </w:r>
      <w:r>
        <w:rPr>
          <w:rFonts w:ascii="Times New Roman" w:hAnsi="Times New Roman" w:cs="Times New Roman"/>
          <w:bCs/>
          <w:iCs/>
          <w:spacing w:val="2"/>
        </w:rPr>
        <w:t>their</w:t>
      </w:r>
      <w:r w:rsidRPr="001533A6">
        <w:rPr>
          <w:rFonts w:ascii="Times New Roman" w:hAnsi="Times New Roman" w:cs="Times New Roman"/>
          <w:bCs/>
          <w:iCs/>
          <w:spacing w:val="2"/>
        </w:rPr>
        <w:t xml:space="preserve"> ability to </w:t>
      </w:r>
      <w:r>
        <w:rPr>
          <w:rFonts w:ascii="Times New Roman" w:hAnsi="Times New Roman" w:cs="Times New Roman"/>
          <w:bCs/>
          <w:iCs/>
          <w:spacing w:val="2"/>
        </w:rPr>
        <w:t xml:space="preserve">obtain </w:t>
      </w:r>
      <w:r w:rsidR="009B7735">
        <w:rPr>
          <w:rFonts w:ascii="Times New Roman" w:hAnsi="Times New Roman" w:cs="Times New Roman"/>
          <w:bCs/>
          <w:iCs/>
          <w:spacing w:val="2"/>
        </w:rPr>
        <w:t>the expected benefits from the transactions being contemplated thereby</w:t>
      </w:r>
      <w:r w:rsidR="009B7735" w:rsidRPr="001533A6">
        <w:rPr>
          <w:rFonts w:ascii="Times New Roman" w:hAnsi="Times New Roman" w:cs="Times New Roman"/>
          <w:bCs/>
          <w:iCs/>
          <w:spacing w:val="2"/>
        </w:rPr>
        <w:t xml:space="preserve"> as described above on reasonable terms or at all</w:t>
      </w:r>
      <w:r w:rsidR="009B7735">
        <w:rPr>
          <w:rFonts w:ascii="Times New Roman" w:hAnsi="Times New Roman" w:cs="Times New Roman"/>
          <w:bCs/>
          <w:iCs/>
          <w:spacing w:val="2"/>
        </w:rPr>
        <w:t xml:space="preserve">, including, but not limited to, </w:t>
      </w:r>
      <w:r>
        <w:rPr>
          <w:rFonts w:ascii="Times New Roman" w:eastAsia="MS Mincho" w:hAnsi="Times New Roman" w:cs="Times New Roman"/>
          <w:spacing w:val="2"/>
          <w:lang w:eastAsia="en-US"/>
        </w:rPr>
        <w:t>greater transparency, better liquidity conditions or independent trading of their securities</w:t>
      </w:r>
      <w:r w:rsidRPr="001533A6">
        <w:rPr>
          <w:rFonts w:ascii="Times New Roman" w:hAnsi="Times New Roman" w:cs="Times New Roman"/>
          <w:bCs/>
          <w:iCs/>
          <w:spacing w:val="2"/>
        </w:rPr>
        <w:t xml:space="preserve">. </w:t>
      </w:r>
      <w:r w:rsidRPr="00BE4347">
        <w:rPr>
          <w:rFonts w:ascii="Times New Roman" w:hAnsi="Times New Roman" w:cs="Times New Roman"/>
          <w:bCs/>
          <w:iCs/>
          <w:spacing w:val="2"/>
        </w:rPr>
        <w:t>These forward-looking statements are subject to several risks and uncertainties, which may change from time to time. It’s impossible for the Companies to predict how forward-looking statements may be affected by such risks and uncertainties, and the Companies do not have any duty to, and do not intend to, update or revise the forward-looking statements in this announcement, except as may be required by law.</w:t>
      </w:r>
    </w:p>
    <w:p w:rsidR="006E143A" w:rsidRPr="00BE4347" w:rsidRDefault="006E143A" w:rsidP="006E143A">
      <w:pPr>
        <w:autoSpaceDE w:val="0"/>
        <w:autoSpaceDN w:val="0"/>
        <w:adjustRightInd w:val="0"/>
        <w:spacing w:line="320" w:lineRule="exact"/>
        <w:rPr>
          <w:rFonts w:ascii="Times New Roman" w:hAnsi="Times New Roman" w:cs="Times New Roman"/>
          <w:bCs/>
          <w:iCs/>
          <w:spacing w:val="2"/>
        </w:rPr>
      </w:pPr>
    </w:p>
    <w:p w:rsidR="006E143A" w:rsidRPr="00543F72" w:rsidRDefault="006E143A" w:rsidP="006E143A">
      <w:pPr>
        <w:autoSpaceDE w:val="0"/>
        <w:autoSpaceDN w:val="0"/>
        <w:adjustRightInd w:val="0"/>
        <w:spacing w:line="320" w:lineRule="exact"/>
        <w:jc w:val="center"/>
        <w:rPr>
          <w:rFonts w:ascii="Times New Roman" w:eastAsia="MS Mincho" w:hAnsi="Times New Roman" w:cs="Times New Roman"/>
          <w:bCs/>
          <w:iCs/>
          <w:spacing w:val="2"/>
          <w:lang w:val="pt-BR" w:eastAsia="en-US"/>
        </w:rPr>
      </w:pPr>
      <w:r w:rsidRPr="00BE4347">
        <w:rPr>
          <w:rFonts w:ascii="Times New Roman" w:eastAsia="MS Mincho" w:hAnsi="Times New Roman" w:cs="Times New Roman"/>
          <w:bCs/>
          <w:iCs/>
          <w:spacing w:val="2"/>
          <w:lang w:val="pt-BR" w:eastAsia="en-US"/>
        </w:rPr>
        <w:t xml:space="preserve">São Paulo, </w:t>
      </w:r>
      <w:r>
        <w:rPr>
          <w:rFonts w:ascii="Times New Roman" w:eastAsia="MS Mincho" w:hAnsi="Times New Roman" w:cs="Times New Roman"/>
          <w:bCs/>
          <w:iCs/>
          <w:spacing w:val="2"/>
          <w:lang w:val="pt-BR" w:eastAsia="en-US"/>
        </w:rPr>
        <w:t xml:space="preserve">February </w:t>
      </w:r>
      <w:r w:rsidR="00F46F81">
        <w:rPr>
          <w:rFonts w:ascii="Times New Roman" w:eastAsia="MS Mincho" w:hAnsi="Times New Roman" w:cs="Times New Roman"/>
          <w:bCs/>
          <w:iCs/>
          <w:spacing w:val="2"/>
          <w:lang w:val="pt-BR" w:eastAsia="en-US"/>
        </w:rPr>
        <w:t>14</w:t>
      </w:r>
      <w:r w:rsidRPr="00BE4347">
        <w:rPr>
          <w:rFonts w:ascii="Times New Roman" w:eastAsia="MS Mincho" w:hAnsi="Times New Roman" w:cs="Times New Roman"/>
          <w:bCs/>
          <w:iCs/>
          <w:spacing w:val="2"/>
          <w:lang w:val="pt-BR" w:eastAsia="en-US"/>
        </w:rPr>
        <w:t>, 2017.</w:t>
      </w:r>
    </w:p>
    <w:p w:rsidR="006E143A" w:rsidRDefault="006E143A" w:rsidP="006E143A">
      <w:pPr>
        <w:autoSpaceDE w:val="0"/>
        <w:autoSpaceDN w:val="0"/>
        <w:adjustRightInd w:val="0"/>
        <w:spacing w:line="320" w:lineRule="exact"/>
        <w:rPr>
          <w:rFonts w:ascii="Times New Roman" w:eastAsia="MS Mincho" w:hAnsi="Times New Roman" w:cs="Times New Roman"/>
          <w:bCs/>
          <w:iCs/>
          <w:spacing w:val="2"/>
          <w:lang w:val="pt-BR" w:eastAsia="en-US"/>
        </w:rPr>
      </w:pPr>
    </w:p>
    <w:p w:rsidR="00244F79" w:rsidRPr="00543F72" w:rsidRDefault="00244F79" w:rsidP="006E143A">
      <w:pPr>
        <w:autoSpaceDE w:val="0"/>
        <w:autoSpaceDN w:val="0"/>
        <w:adjustRightInd w:val="0"/>
        <w:spacing w:line="320" w:lineRule="exact"/>
        <w:rPr>
          <w:rFonts w:ascii="Times New Roman" w:eastAsia="MS Mincho" w:hAnsi="Times New Roman" w:cs="Times New Roman"/>
          <w:bCs/>
          <w:iCs/>
          <w:spacing w:val="2"/>
          <w:lang w:val="pt-BR" w:eastAsia="en-US"/>
        </w:rPr>
      </w:pPr>
    </w:p>
    <w:p w:rsidR="006E143A" w:rsidRPr="000D3BAB" w:rsidRDefault="006E143A" w:rsidP="006E143A">
      <w:pPr>
        <w:autoSpaceDE w:val="0"/>
        <w:autoSpaceDN w:val="0"/>
        <w:adjustRightInd w:val="0"/>
        <w:spacing w:line="320" w:lineRule="exact"/>
        <w:jc w:val="center"/>
        <w:rPr>
          <w:rFonts w:ascii="Times New Roman" w:eastAsia="MS Mincho" w:hAnsi="Times New Roman" w:cs="Times New Roman"/>
          <w:bCs/>
          <w:iCs/>
          <w:spacing w:val="2"/>
          <w:lang w:val="pt-BR" w:eastAsia="en-US"/>
        </w:rPr>
      </w:pPr>
      <w:r w:rsidRPr="000D3BAB">
        <w:rPr>
          <w:rFonts w:ascii="Times New Roman" w:eastAsia="MS Mincho" w:hAnsi="Times New Roman" w:cs="Times New Roman"/>
          <w:smallCaps/>
          <w:lang w:val="pt-BR" w:eastAsia="en-US"/>
        </w:rPr>
        <w:t>Banco BTG Pactual S.A.</w:t>
      </w:r>
    </w:p>
    <w:p w:rsidR="006E143A" w:rsidRPr="000D3BAB" w:rsidRDefault="006E143A" w:rsidP="006E143A">
      <w:pPr>
        <w:autoSpaceDE w:val="0"/>
        <w:autoSpaceDN w:val="0"/>
        <w:adjustRightInd w:val="0"/>
        <w:spacing w:line="320" w:lineRule="exact"/>
        <w:jc w:val="center"/>
        <w:rPr>
          <w:rFonts w:ascii="Times New Roman" w:eastAsia="MS Mincho" w:hAnsi="Times New Roman" w:cs="Times New Roman"/>
          <w:bCs/>
          <w:iCs/>
          <w:spacing w:val="2"/>
          <w:lang w:val="pt-BR" w:eastAsia="en-US"/>
        </w:rPr>
      </w:pPr>
      <w:r w:rsidRPr="000D3BAB">
        <w:rPr>
          <w:rFonts w:ascii="Times New Roman" w:eastAsia="MS Mincho" w:hAnsi="Times New Roman" w:cs="Times New Roman"/>
          <w:bCs/>
          <w:iCs/>
          <w:smallCaps/>
          <w:spacing w:val="2"/>
          <w:lang w:val="pt-BR" w:eastAsia="en-US"/>
        </w:rPr>
        <w:t>João Marcello Dantas Leite</w:t>
      </w:r>
      <w:r w:rsidRPr="000D3BAB">
        <w:rPr>
          <w:rFonts w:ascii="Times New Roman" w:eastAsia="MS Mincho" w:hAnsi="Times New Roman" w:cs="Times New Roman"/>
          <w:bCs/>
          <w:iCs/>
          <w:smallCaps/>
          <w:spacing w:val="2"/>
          <w:lang w:val="pt-BR" w:eastAsia="en-US"/>
        </w:rPr>
        <w:br/>
      </w:r>
      <w:r w:rsidRPr="00A664E6">
        <w:rPr>
          <w:rFonts w:ascii="Times New Roman" w:eastAsia="MS Mincho" w:hAnsi="Times New Roman" w:cs="Times New Roman"/>
          <w:bCs/>
          <w:iCs/>
          <w:spacing w:val="2"/>
          <w:lang w:val="pt-BR" w:eastAsia="en-US"/>
        </w:rPr>
        <w:t>Investor Relations Officer</w:t>
      </w:r>
    </w:p>
    <w:p w:rsidR="006E143A" w:rsidRPr="000D3BAB" w:rsidRDefault="006E143A" w:rsidP="006E143A">
      <w:pPr>
        <w:autoSpaceDE w:val="0"/>
        <w:autoSpaceDN w:val="0"/>
        <w:adjustRightInd w:val="0"/>
        <w:spacing w:line="320" w:lineRule="exact"/>
        <w:jc w:val="center"/>
        <w:rPr>
          <w:rFonts w:ascii="Times New Roman" w:eastAsia="MS Mincho" w:hAnsi="Times New Roman" w:cs="Times New Roman"/>
          <w:bCs/>
          <w:iCs/>
          <w:spacing w:val="2"/>
          <w:lang w:val="pt-BR" w:eastAsia="en-US"/>
        </w:rPr>
      </w:pPr>
    </w:p>
    <w:p w:rsidR="006E143A" w:rsidRPr="000D3BAB" w:rsidRDefault="006E143A" w:rsidP="006E143A">
      <w:pPr>
        <w:autoSpaceDE w:val="0"/>
        <w:autoSpaceDN w:val="0"/>
        <w:adjustRightInd w:val="0"/>
        <w:spacing w:line="320" w:lineRule="exact"/>
        <w:jc w:val="center"/>
        <w:rPr>
          <w:rFonts w:ascii="Times New Roman" w:eastAsia="MS Mincho" w:hAnsi="Times New Roman" w:cs="Times New Roman"/>
          <w:bCs/>
          <w:iCs/>
          <w:spacing w:val="2"/>
          <w:lang w:val="pt-BR" w:eastAsia="en-US"/>
        </w:rPr>
      </w:pPr>
      <w:r w:rsidRPr="000D3BAB">
        <w:rPr>
          <w:rFonts w:ascii="Times New Roman" w:eastAsia="MS Mincho" w:hAnsi="Times New Roman" w:cs="Times New Roman"/>
          <w:smallCaps/>
          <w:lang w:val="pt-BR" w:eastAsia="en-US"/>
        </w:rPr>
        <w:t>BTG Pactual Participations, Ltd.</w:t>
      </w:r>
    </w:p>
    <w:p w:rsidR="006E143A" w:rsidRPr="000D3BAB" w:rsidRDefault="006E143A" w:rsidP="006E143A">
      <w:pPr>
        <w:autoSpaceDE w:val="0"/>
        <w:autoSpaceDN w:val="0"/>
        <w:adjustRightInd w:val="0"/>
        <w:spacing w:line="320" w:lineRule="exact"/>
        <w:jc w:val="center"/>
        <w:rPr>
          <w:rFonts w:ascii="Times New Roman" w:eastAsia="MS Mincho" w:hAnsi="Times New Roman" w:cs="Times New Roman"/>
          <w:bCs/>
          <w:iCs/>
          <w:spacing w:val="2"/>
          <w:lang w:val="pt-BR" w:eastAsia="en-US"/>
        </w:rPr>
      </w:pPr>
      <w:r w:rsidRPr="000D3BAB">
        <w:rPr>
          <w:rFonts w:ascii="Times New Roman" w:eastAsia="MS Mincho" w:hAnsi="Times New Roman" w:cs="Times New Roman"/>
          <w:bCs/>
          <w:iCs/>
          <w:smallCaps/>
          <w:spacing w:val="2"/>
          <w:lang w:val="pt-BR" w:eastAsia="en-US"/>
        </w:rPr>
        <w:t>João Marcello Dantas Leite</w:t>
      </w:r>
      <w:r w:rsidRPr="000D3BAB">
        <w:rPr>
          <w:rFonts w:ascii="Times New Roman" w:eastAsia="MS Mincho" w:hAnsi="Times New Roman" w:cs="Times New Roman"/>
          <w:bCs/>
          <w:iCs/>
          <w:smallCaps/>
          <w:spacing w:val="2"/>
          <w:lang w:val="pt-BR" w:eastAsia="en-US"/>
        </w:rPr>
        <w:br/>
      </w:r>
      <w:r w:rsidRPr="00A664E6">
        <w:rPr>
          <w:rFonts w:ascii="Times New Roman" w:eastAsia="MS Mincho" w:hAnsi="Times New Roman" w:cs="Times New Roman"/>
          <w:bCs/>
          <w:iCs/>
          <w:spacing w:val="2"/>
          <w:lang w:val="pt-BR" w:eastAsia="en-US"/>
        </w:rPr>
        <w:t>Investor Relations Officer</w:t>
      </w:r>
    </w:p>
    <w:p w:rsidR="006E143A" w:rsidRPr="000D3BAB" w:rsidRDefault="006E143A" w:rsidP="006E143A">
      <w:pPr>
        <w:spacing w:line="320" w:lineRule="exact"/>
        <w:rPr>
          <w:lang w:val="pt-BR"/>
        </w:rPr>
      </w:pPr>
    </w:p>
    <w:p w:rsidR="006E143A" w:rsidRPr="00196B00" w:rsidRDefault="006E143A" w:rsidP="006E143A">
      <w:pPr>
        <w:jc w:val="center"/>
      </w:pPr>
    </w:p>
    <w:sectPr w:rsidR="006E143A" w:rsidRPr="00196B00" w:rsidSect="002361F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900" w:rsidRDefault="003F6900" w:rsidP="001543AF">
      <w:r>
        <w:separator/>
      </w:r>
    </w:p>
  </w:endnote>
  <w:endnote w:type="continuationSeparator" w:id="0">
    <w:p w:rsidR="003F6900" w:rsidRDefault="003F6900" w:rsidP="001543AF">
      <w:r>
        <w:continuationSeparator/>
      </w:r>
    </w:p>
  </w:endnote>
  <w:endnote w:type="continuationNotice" w:id="1">
    <w:p w:rsidR="003F6900" w:rsidRDefault="003F6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OT USE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FE" w:rsidRDefault="003E27FE" w:rsidP="001543AF">
    <w:pPr>
      <w:pStyle w:val="Footer"/>
      <w:jc w:val="center"/>
    </w:pPr>
    <w:r>
      <w:fldChar w:fldCharType="begin"/>
    </w:r>
    <w:r>
      <w:instrText xml:space="preserve"> IF </w:instrText>
    </w:r>
    <w:r>
      <w:fldChar w:fldCharType="begin"/>
    </w:r>
    <w:r>
      <w:instrText xml:space="preserve"> PAGE \* ARABIC  </w:instrText>
    </w:r>
    <w:r>
      <w:fldChar w:fldCharType="separate"/>
    </w:r>
    <w:r w:rsidR="00C14663">
      <w:rPr>
        <w:noProof/>
      </w:rPr>
      <w:instrText>1</w:instrText>
    </w:r>
    <w:r>
      <w:fldChar w:fldCharType="end"/>
    </w:r>
    <w:r>
      <w:instrText>= 1 "" "</w:instrText>
    </w:r>
    <w:r>
      <w:fldChar w:fldCharType="begin"/>
    </w:r>
    <w:r>
      <w:instrText xml:space="preserve"> PAGE \* MERGEFORMAT </w:instrText>
    </w:r>
    <w:r>
      <w:fldChar w:fldCharType="separate"/>
    </w:r>
    <w:r w:rsidR="00C14663">
      <w:rPr>
        <w:noProof/>
      </w:rPr>
      <w:instrText>2</w:instrText>
    </w:r>
    <w:r>
      <w:fldChar w:fldCharType="end"/>
    </w:r>
    <w:r>
      <w:instrText xml:space="preserve">" </w:instrText>
    </w:r>
    <w:r>
      <w:fldChar w:fldCharType="end"/>
    </w:r>
  </w:p>
  <w:p w:rsidR="003E27FE" w:rsidRPr="00A3769B" w:rsidRDefault="003E27FE" w:rsidP="00A376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900" w:rsidRDefault="003F6900" w:rsidP="001543AF">
      <w:r>
        <w:separator/>
      </w:r>
    </w:p>
  </w:footnote>
  <w:footnote w:type="continuationSeparator" w:id="0">
    <w:p w:rsidR="003F6900" w:rsidRPr="00A60233" w:rsidRDefault="003F6900" w:rsidP="00A60233">
      <w:r w:rsidRPr="00A60233">
        <w:rPr>
          <w:i/>
          <w:sz w:val="20"/>
        </w:rPr>
        <w:t>________________________</w:t>
      </w:r>
      <w:r w:rsidRPr="00A60233">
        <w:rPr>
          <w:i/>
          <w:sz w:val="20"/>
        </w:rPr>
        <w:br/>
        <w:t>(cont'd from previous page)</w:t>
      </w:r>
    </w:p>
  </w:footnote>
  <w:footnote w:type="continuationNotice" w:id="1">
    <w:p w:rsidR="003F6900" w:rsidRPr="00A60233" w:rsidRDefault="003F6900" w:rsidP="00A60233">
      <w:pPr>
        <w:jc w:val="right"/>
      </w:pPr>
      <w:r w:rsidRPr="00A60233">
        <w:rPr>
          <w:i/>
          <w:sz w:val="20"/>
        </w:rPr>
        <w:t>(cont'd)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E59"/>
    <w:multiLevelType w:val="hybridMultilevel"/>
    <w:tmpl w:val="A86CC9D6"/>
    <w:lvl w:ilvl="0" w:tplc="C47A0010">
      <w:start w:val="1"/>
      <w:numFmt w:val="decimal"/>
      <w:lvlText w:val="(%1)"/>
      <w:lvlJc w:val="left"/>
      <w:pPr>
        <w:ind w:left="1426" w:hanging="360"/>
      </w:pPr>
      <w:rPr>
        <w:rFonts w:hint="default"/>
        <w:sz w:val="18"/>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 w15:restartNumberingAfterBreak="0">
    <w:nsid w:val="06A347FF"/>
    <w:multiLevelType w:val="multilevel"/>
    <w:tmpl w:val="BF3029A0"/>
    <w:name w:val="FlatBulletsListTemplate"/>
    <w:styleLink w:val="FlatBulletsList"/>
    <w:lvl w:ilvl="0">
      <w:start w:val="1"/>
      <w:numFmt w:val="bullet"/>
      <w:pStyle w:val="BulletPara"/>
      <w:lvlText w:val=""/>
      <w:lvlJc w:val="left"/>
      <w:pPr>
        <w:ind w:left="1080" w:hanging="360"/>
      </w:pPr>
      <w:rPr>
        <w:rFonts w:ascii="Symbol" w:hAnsi="Symbol" w:hint="default"/>
      </w:rPr>
    </w:lvl>
    <w:lvl w:ilvl="1">
      <w:start w:val="1"/>
      <w:numFmt w:val="bullet"/>
      <w:lvlRestart w:val="0"/>
      <w:pStyle w:val="BulletPara2"/>
      <w:lvlText w:val=""/>
      <w:lvlJc w:val="left"/>
      <w:pPr>
        <w:ind w:left="1440" w:hanging="360"/>
      </w:pPr>
      <w:rPr>
        <w:rFonts w:ascii="Symbol" w:hAnsi="Symbol" w:hint="default"/>
      </w:rPr>
    </w:lvl>
    <w:lvl w:ilvl="2">
      <w:start w:val="1"/>
      <w:numFmt w:val="bullet"/>
      <w:lvlRestart w:val="0"/>
      <w:pStyle w:val="BulletParaAlt"/>
      <w:lvlText w:val="▪"/>
      <w:lvlJc w:val="left"/>
      <w:pPr>
        <w:ind w:left="1080" w:hanging="360"/>
      </w:pPr>
      <w:rPr>
        <w:rFonts w:ascii="Times New Roman" w:hAnsi="Times New Roman" w:cs="Times New Roman" w:hint="default"/>
        <w:color w:val="auto"/>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b/>
        <w:i w:val="0"/>
      </w:rPr>
    </w:lvl>
    <w:lvl w:ilvl="5">
      <w:start w:val="1"/>
      <w:numFmt w:val="none"/>
      <w:lvlRestart w:val="0"/>
      <w:suff w:val="nothing"/>
      <w:lvlText w:val=""/>
      <w:lvlJc w:val="left"/>
      <w:pPr>
        <w:ind w:left="0" w:firstLine="0"/>
      </w:pPr>
      <w:rPr>
        <w:rFonts w:hint="default"/>
        <w:b/>
        <w:i w:val="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lvlRestart w:val="0"/>
      <w:suff w:val="nothing"/>
      <w:lvlText w:val="%9"/>
      <w:lvlJc w:val="left"/>
      <w:pPr>
        <w:ind w:left="0" w:firstLine="0"/>
      </w:pPr>
      <w:rPr>
        <w:rFonts w:hint="default"/>
      </w:rPr>
    </w:lvl>
  </w:abstractNum>
  <w:abstractNum w:abstractNumId="2" w15:restartNumberingAfterBreak="0">
    <w:nsid w:val="3010077A"/>
    <w:multiLevelType w:val="multilevel"/>
    <w:tmpl w:val="0142904A"/>
    <w:name w:val="ShortOutlineListTemplate"/>
    <w:styleLink w:val="ShortOutlineList"/>
    <w:lvl w:ilvl="0">
      <w:start w:val="1"/>
      <w:numFmt w:val="decimal"/>
      <w:pStyle w:val="ShortOutline1"/>
      <w:lvlText w:val="%1."/>
      <w:lvlJc w:val="left"/>
      <w:pPr>
        <w:tabs>
          <w:tab w:val="num" w:pos="720"/>
        </w:tabs>
        <w:ind w:left="720" w:hanging="720"/>
      </w:pPr>
      <w:rPr>
        <w:color w:val="000000"/>
      </w:rPr>
    </w:lvl>
    <w:lvl w:ilvl="1">
      <w:start w:val="1"/>
      <w:numFmt w:val="lowerLetter"/>
      <w:pStyle w:val="ShortOutline2"/>
      <w:lvlText w:val="(%2)"/>
      <w:lvlJc w:val="left"/>
      <w:pPr>
        <w:tabs>
          <w:tab w:val="num" w:pos="1440"/>
        </w:tabs>
        <w:ind w:left="1440" w:hanging="720"/>
      </w:pPr>
      <w:rPr>
        <w:color w:val="000000"/>
      </w:rPr>
    </w:lvl>
    <w:lvl w:ilvl="2">
      <w:start w:val="1"/>
      <w:numFmt w:val="lowerRoman"/>
      <w:pStyle w:val="ShortOutline3"/>
      <w:lvlText w:val="(%3)"/>
      <w:lvlJc w:val="left"/>
      <w:pPr>
        <w:tabs>
          <w:tab w:val="num" w:pos="2160"/>
        </w:tabs>
        <w:ind w:left="2160" w:hanging="720"/>
      </w:pPr>
      <w:rPr>
        <w:color w:val="000000"/>
      </w:rPr>
    </w:lvl>
    <w:lvl w:ilvl="3">
      <w:start w:val="1"/>
      <w:numFmt w:val="decimal"/>
      <w:pStyle w:val="ShortOutline4"/>
      <w:lvlText w:val="(%4)"/>
      <w:lvlJc w:val="left"/>
      <w:pPr>
        <w:tabs>
          <w:tab w:val="num" w:pos="2880"/>
        </w:tabs>
        <w:ind w:left="2880" w:hanging="720"/>
      </w:pPr>
      <w:rPr>
        <w:color w:val="000000"/>
      </w:rPr>
    </w:lvl>
    <w:lvl w:ilvl="4">
      <w:start w:val="1"/>
      <w:numFmt w:val="upperLetter"/>
      <w:pStyle w:val="ShortOutline5"/>
      <w:lvlText w:val="(%5)"/>
      <w:lvlJc w:val="left"/>
      <w:pPr>
        <w:tabs>
          <w:tab w:val="num" w:pos="3600"/>
        </w:tabs>
        <w:ind w:left="3600" w:hanging="720"/>
      </w:pPr>
      <w:rPr>
        <w:color w:val="000000"/>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3" w15:restartNumberingAfterBreak="0">
    <w:nsid w:val="3094670C"/>
    <w:multiLevelType w:val="multilevel"/>
    <w:tmpl w:val="EFF2C24A"/>
    <w:name w:val="TableFootnotesListTemplate"/>
    <w:styleLink w:val="TableFootnotesList"/>
    <w:lvl w:ilvl="0">
      <w:start w:val="1"/>
      <w:numFmt w:val="none"/>
      <w:pStyle w:val="TableFootnoteLine"/>
      <w:suff w:val="nothing"/>
      <w:lvlText w:val=""/>
      <w:lvlJc w:val="left"/>
      <w:pPr>
        <w:ind w:left="0" w:firstLine="0"/>
      </w:pPr>
      <w:rPr>
        <w:rFonts w:hint="default"/>
        <w:u w:val="none"/>
      </w:rPr>
    </w:lvl>
    <w:lvl w:ilvl="1">
      <w:start w:val="1"/>
      <w:numFmt w:val="decimal"/>
      <w:pStyle w:val="TableFootnote"/>
      <w:lvlText w:val="(%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78B80A10"/>
    <w:multiLevelType w:val="multilevel"/>
    <w:tmpl w:val="7E1ED764"/>
    <w:name w:val="FlatNumbersListTemplate"/>
    <w:styleLink w:val="FlatNumbersList"/>
    <w:lvl w:ilvl="0">
      <w:start w:val="1"/>
      <w:numFmt w:val="decimal"/>
      <w:pStyle w:val="ListSinglePara"/>
      <w:lvlText w:val="%1."/>
      <w:lvlJc w:val="left"/>
      <w:pPr>
        <w:tabs>
          <w:tab w:val="num" w:pos="720"/>
        </w:tabs>
        <w:ind w:left="1080" w:hanging="360"/>
      </w:pPr>
      <w:rPr>
        <w:rFonts w:hint="default"/>
      </w:rPr>
    </w:lvl>
    <w:lvl w:ilvl="1">
      <w:start w:val="1"/>
      <w:numFmt w:val="decimal"/>
      <w:lvlRestart w:val="0"/>
      <w:pStyle w:val="ListDoublePara"/>
      <w:lvlText w:val="%2."/>
      <w:lvlJc w:val="left"/>
      <w:pPr>
        <w:ind w:left="0" w:firstLine="720"/>
      </w:pPr>
      <w:rPr>
        <w:rFonts w:hint="default"/>
      </w:rPr>
    </w:lvl>
    <w:lvl w:ilvl="2">
      <w:start w:val="1"/>
      <w:numFmt w:val="lowerLetter"/>
      <w:lvlRestart w:val="0"/>
      <w:pStyle w:val="abc"/>
      <w:lvlText w:val="(%3)"/>
      <w:lvlJc w:val="left"/>
      <w:pPr>
        <w:ind w:left="0" w:firstLine="720"/>
      </w:pPr>
      <w:rPr>
        <w:rFonts w:hint="default"/>
      </w:rPr>
    </w:lvl>
    <w:lvl w:ilvl="3">
      <w:start w:val="1"/>
      <w:numFmt w:val="lowerRoman"/>
      <w:lvlRestart w:val="0"/>
      <w:pStyle w:val="iiiiii"/>
      <w:lvlText w:val="(%4)"/>
      <w:lvlJc w:val="left"/>
      <w:pPr>
        <w:ind w:left="0" w:firstLine="720"/>
      </w:pPr>
      <w:rPr>
        <w:rFonts w:hint="default"/>
      </w:rPr>
    </w:lvl>
    <w:lvl w:ilvl="4">
      <w:start w:val="1"/>
      <w:numFmt w:val="ordinalText"/>
      <w:lvlRestart w:val="0"/>
      <w:pStyle w:val="OrdinalPara"/>
      <w:suff w:val="space"/>
      <w:lvlText w:val="%5,"/>
      <w:lvlJc w:val="left"/>
      <w:pPr>
        <w:ind w:left="0" w:firstLine="720"/>
      </w:pPr>
      <w:rPr>
        <w:rFonts w:hint="default"/>
      </w:rPr>
    </w:lvl>
    <w:lvl w:ilvl="5">
      <w:start w:val="1"/>
      <w:numFmt w:val="none"/>
      <w:lvlRestart w:val="0"/>
      <w:pStyle w:val="Question"/>
      <w:lvlText w:val="Q:"/>
      <w:lvlJc w:val="left"/>
      <w:pPr>
        <w:ind w:left="1440" w:hanging="720"/>
      </w:pPr>
      <w:rPr>
        <w:rFonts w:hint="default"/>
      </w:rPr>
    </w:lvl>
    <w:lvl w:ilvl="6">
      <w:start w:val="1"/>
      <w:numFmt w:val="none"/>
      <w:lvlRestart w:val="0"/>
      <w:pStyle w:val="Answer"/>
      <w:lvlText w:val="A:"/>
      <w:lvlJc w:val="left"/>
      <w:pPr>
        <w:ind w:left="1440" w:hanging="720"/>
      </w:pPr>
      <w:rPr>
        <w:rFonts w:hint="default"/>
      </w:rPr>
    </w:lvl>
    <w:lvl w:ilvl="7">
      <w:start w:val="1"/>
      <w:numFmt w:val="decimal"/>
      <w:lvlRestart w:val="0"/>
      <w:pStyle w:val="Parties"/>
      <w:lvlText w:val="(%8)"/>
      <w:lvlJc w:val="left"/>
      <w:pPr>
        <w:ind w:left="720" w:hanging="720"/>
      </w:pPr>
      <w:rPr>
        <w:rFonts w:hint="default"/>
        <w:b/>
        <w:i w:val="0"/>
      </w:rPr>
    </w:lvl>
    <w:lvl w:ilvl="8">
      <w:start w:val="1"/>
      <w:numFmt w:val="upperLetter"/>
      <w:lvlRestart w:val="0"/>
      <w:pStyle w:val="Recitals"/>
      <w:lvlText w:val="(%9)"/>
      <w:lvlJc w:val="left"/>
      <w:pPr>
        <w:ind w:left="720" w:hanging="720"/>
      </w:pPr>
      <w:rPr>
        <w:rFonts w:hint="default"/>
        <w:b/>
        <w:i w:val="0"/>
      </w:rPr>
    </w:lvl>
  </w:abstractNum>
  <w:abstractNum w:abstractNumId="5" w15:restartNumberingAfterBreak="0">
    <w:nsid w:val="7BF535F2"/>
    <w:multiLevelType w:val="hybridMultilevel"/>
    <w:tmpl w:val="ACC48934"/>
    <w:lvl w:ilvl="0" w:tplc="F216FD86">
      <w:start w:val="1"/>
      <w:numFmt w:val="decimal"/>
      <w:lvlText w:val="(%1)"/>
      <w:lvlJc w:val="left"/>
      <w:pPr>
        <w:tabs>
          <w:tab w:val="num" w:pos="720"/>
        </w:tabs>
        <w:ind w:left="720" w:hanging="360"/>
      </w:pPr>
    </w:lvl>
    <w:lvl w:ilvl="1" w:tplc="8626F46C" w:tentative="1">
      <w:start w:val="1"/>
      <w:numFmt w:val="decimal"/>
      <w:lvlText w:val="(%2)"/>
      <w:lvlJc w:val="left"/>
      <w:pPr>
        <w:tabs>
          <w:tab w:val="num" w:pos="1440"/>
        </w:tabs>
        <w:ind w:left="1440" w:hanging="360"/>
      </w:pPr>
    </w:lvl>
    <w:lvl w:ilvl="2" w:tplc="6E7860F6" w:tentative="1">
      <w:start w:val="1"/>
      <w:numFmt w:val="decimal"/>
      <w:lvlText w:val="(%3)"/>
      <w:lvlJc w:val="left"/>
      <w:pPr>
        <w:tabs>
          <w:tab w:val="num" w:pos="2160"/>
        </w:tabs>
        <w:ind w:left="2160" w:hanging="360"/>
      </w:pPr>
    </w:lvl>
    <w:lvl w:ilvl="3" w:tplc="153E4C62" w:tentative="1">
      <w:start w:val="1"/>
      <w:numFmt w:val="decimal"/>
      <w:lvlText w:val="(%4)"/>
      <w:lvlJc w:val="left"/>
      <w:pPr>
        <w:tabs>
          <w:tab w:val="num" w:pos="2880"/>
        </w:tabs>
        <w:ind w:left="2880" w:hanging="360"/>
      </w:pPr>
    </w:lvl>
    <w:lvl w:ilvl="4" w:tplc="D21C201A" w:tentative="1">
      <w:start w:val="1"/>
      <w:numFmt w:val="decimal"/>
      <w:lvlText w:val="(%5)"/>
      <w:lvlJc w:val="left"/>
      <w:pPr>
        <w:tabs>
          <w:tab w:val="num" w:pos="3600"/>
        </w:tabs>
        <w:ind w:left="3600" w:hanging="360"/>
      </w:pPr>
    </w:lvl>
    <w:lvl w:ilvl="5" w:tplc="FAB4933E" w:tentative="1">
      <w:start w:val="1"/>
      <w:numFmt w:val="decimal"/>
      <w:lvlText w:val="(%6)"/>
      <w:lvlJc w:val="left"/>
      <w:pPr>
        <w:tabs>
          <w:tab w:val="num" w:pos="4320"/>
        </w:tabs>
        <w:ind w:left="4320" w:hanging="360"/>
      </w:pPr>
    </w:lvl>
    <w:lvl w:ilvl="6" w:tplc="2228BECA" w:tentative="1">
      <w:start w:val="1"/>
      <w:numFmt w:val="decimal"/>
      <w:lvlText w:val="(%7)"/>
      <w:lvlJc w:val="left"/>
      <w:pPr>
        <w:tabs>
          <w:tab w:val="num" w:pos="5040"/>
        </w:tabs>
        <w:ind w:left="5040" w:hanging="360"/>
      </w:pPr>
    </w:lvl>
    <w:lvl w:ilvl="7" w:tplc="EAC670BC" w:tentative="1">
      <w:start w:val="1"/>
      <w:numFmt w:val="decimal"/>
      <w:lvlText w:val="(%8)"/>
      <w:lvlJc w:val="left"/>
      <w:pPr>
        <w:tabs>
          <w:tab w:val="num" w:pos="5760"/>
        </w:tabs>
        <w:ind w:left="5760" w:hanging="360"/>
      </w:pPr>
    </w:lvl>
    <w:lvl w:ilvl="8" w:tplc="5BF2E1D2"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1"/>
  </w:num>
  <w:num w:numId="6">
    <w:abstractNumId w:val="1"/>
  </w:num>
  <w:num w:numId="7">
    <w:abstractNumId w:val="1"/>
  </w:num>
  <w:num w:numId="8">
    <w:abstractNumId w:val="4"/>
  </w:num>
  <w:num w:numId="9">
    <w:abstractNumId w:val="4"/>
  </w:num>
  <w:num w:numId="10">
    <w:abstractNumId w:val="4"/>
  </w:num>
  <w:num w:numId="11">
    <w:abstractNumId w:val="4"/>
  </w:num>
  <w:num w:numId="12">
    <w:abstractNumId w:val="4"/>
  </w:num>
  <w:num w:numId="13">
    <w:abstractNumId w:val="1"/>
  </w:num>
  <w:num w:numId="14">
    <w:abstractNumId w:val="4"/>
  </w:num>
  <w:num w:numId="15">
    <w:abstractNumId w:val="3"/>
  </w:num>
  <w:num w:numId="16">
    <w:abstractNumId w:val="3"/>
  </w:num>
  <w:num w:numId="17">
    <w:abstractNumId w:val="3"/>
  </w:num>
  <w:num w:numId="18">
    <w:abstractNumId w:val="1"/>
  </w:num>
  <w:num w:numId="19">
    <w:abstractNumId w:val="1"/>
  </w:num>
  <w:num w:numId="20">
    <w:abstractNumId w:val="1"/>
  </w:num>
  <w:num w:numId="21">
    <w:abstractNumId w:val="3"/>
  </w:num>
  <w:num w:numId="22">
    <w:abstractNumId w:val="3"/>
  </w:num>
  <w:num w:numId="23">
    <w:abstractNumId w:val="4"/>
  </w:num>
  <w:num w:numId="24">
    <w:abstractNumId w:val="4"/>
  </w:num>
  <w:num w:numId="25">
    <w:abstractNumId w:val="4"/>
  </w:num>
  <w:num w:numId="26">
    <w:abstractNumId w:val="4"/>
  </w:num>
  <w:num w:numId="27">
    <w:abstractNumId w:val="4"/>
  </w:num>
  <w:num w:numId="28">
    <w:abstractNumId w:val="1"/>
  </w:num>
  <w:num w:numId="29">
    <w:abstractNumId w:val="1"/>
  </w:num>
  <w:num w:numId="30">
    <w:abstractNumId w:val="1"/>
  </w:num>
  <w:num w:numId="31">
    <w:abstractNumId w:val="4"/>
  </w:num>
  <w:num w:numId="32">
    <w:abstractNumId w:val="4"/>
  </w:num>
  <w:num w:numId="33">
    <w:abstractNumId w:val="4"/>
  </w:num>
  <w:num w:numId="34">
    <w:abstractNumId w:val="4"/>
  </w:num>
  <w:num w:numId="35">
    <w:abstractNumId w:val="4"/>
  </w:num>
  <w:num w:numId="36">
    <w:abstractNumId w:val="1"/>
  </w:num>
  <w:num w:numId="37">
    <w:abstractNumId w:val="4"/>
  </w:num>
  <w:num w:numId="38">
    <w:abstractNumId w:val="3"/>
  </w:num>
  <w:num w:numId="39">
    <w:abstractNumId w:val="3"/>
  </w:num>
  <w:num w:numId="40">
    <w:abstractNumId w:val="3"/>
  </w:num>
  <w:num w:numId="41">
    <w:abstractNumId w:val="1"/>
  </w:num>
  <w:num w:numId="42">
    <w:abstractNumId w:val="1"/>
  </w:num>
  <w:num w:numId="43">
    <w:abstractNumId w:val="1"/>
  </w:num>
  <w:num w:numId="44">
    <w:abstractNumId w:val="3"/>
  </w:num>
  <w:num w:numId="45">
    <w:abstractNumId w:val="3"/>
  </w:num>
  <w:num w:numId="46">
    <w:abstractNumId w:val="4"/>
  </w:num>
  <w:num w:numId="47">
    <w:abstractNumId w:val="2"/>
  </w:num>
  <w:num w:numId="48">
    <w:abstractNumId w:val="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footnotePr>
    <w:footnote w:id="-1"/>
    <w:footnote w:id="0"/>
    <w:footnote w:id="1"/>
  </w:footnotePr>
  <w:endnotePr>
    <w:endnote w:id="-1"/>
    <w:endnote w:id="0"/>
    <w:endnote w:id="1"/>
  </w:endnotePr>
  <w:compat>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E4"/>
    <w:rsid w:val="00025D32"/>
    <w:rsid w:val="00027130"/>
    <w:rsid w:val="00044E42"/>
    <w:rsid w:val="00055E51"/>
    <w:rsid w:val="000619B9"/>
    <w:rsid w:val="000774DE"/>
    <w:rsid w:val="00085DDA"/>
    <w:rsid w:val="00086A09"/>
    <w:rsid w:val="000A143E"/>
    <w:rsid w:val="000D47D9"/>
    <w:rsid w:val="001226DE"/>
    <w:rsid w:val="00140B5C"/>
    <w:rsid w:val="0014765B"/>
    <w:rsid w:val="001515AE"/>
    <w:rsid w:val="001543AF"/>
    <w:rsid w:val="00156C36"/>
    <w:rsid w:val="0016641B"/>
    <w:rsid w:val="00183070"/>
    <w:rsid w:val="00191E7F"/>
    <w:rsid w:val="00196B00"/>
    <w:rsid w:val="001B0061"/>
    <w:rsid w:val="001D29D2"/>
    <w:rsid w:val="001D3125"/>
    <w:rsid w:val="001E78E9"/>
    <w:rsid w:val="001F403D"/>
    <w:rsid w:val="001F7F53"/>
    <w:rsid w:val="00201C8C"/>
    <w:rsid w:val="00205E95"/>
    <w:rsid w:val="002258F0"/>
    <w:rsid w:val="002271E5"/>
    <w:rsid w:val="00232863"/>
    <w:rsid w:val="002361FE"/>
    <w:rsid w:val="00244F79"/>
    <w:rsid w:val="0024613F"/>
    <w:rsid w:val="00246D50"/>
    <w:rsid w:val="0024790B"/>
    <w:rsid w:val="0025171C"/>
    <w:rsid w:val="002649F3"/>
    <w:rsid w:val="00273722"/>
    <w:rsid w:val="00273852"/>
    <w:rsid w:val="00274470"/>
    <w:rsid w:val="002876BC"/>
    <w:rsid w:val="00293C95"/>
    <w:rsid w:val="002A4E74"/>
    <w:rsid w:val="002B3FB4"/>
    <w:rsid w:val="002C0C3D"/>
    <w:rsid w:val="002C2ECE"/>
    <w:rsid w:val="002F76F1"/>
    <w:rsid w:val="003329BC"/>
    <w:rsid w:val="00370B61"/>
    <w:rsid w:val="0037497F"/>
    <w:rsid w:val="003776D5"/>
    <w:rsid w:val="003A29F8"/>
    <w:rsid w:val="003A34BD"/>
    <w:rsid w:val="003B01CA"/>
    <w:rsid w:val="003C61E2"/>
    <w:rsid w:val="003D4AF9"/>
    <w:rsid w:val="003D63B6"/>
    <w:rsid w:val="003E0E7E"/>
    <w:rsid w:val="003E27FE"/>
    <w:rsid w:val="003E5C68"/>
    <w:rsid w:val="003F6900"/>
    <w:rsid w:val="00435140"/>
    <w:rsid w:val="004424D8"/>
    <w:rsid w:val="00464D4D"/>
    <w:rsid w:val="00464F0F"/>
    <w:rsid w:val="00467A78"/>
    <w:rsid w:val="004837EC"/>
    <w:rsid w:val="00485252"/>
    <w:rsid w:val="005101DE"/>
    <w:rsid w:val="005566E9"/>
    <w:rsid w:val="00560C5B"/>
    <w:rsid w:val="00562797"/>
    <w:rsid w:val="0056406C"/>
    <w:rsid w:val="00580CFB"/>
    <w:rsid w:val="005D55C5"/>
    <w:rsid w:val="005D7E4F"/>
    <w:rsid w:val="005E26F5"/>
    <w:rsid w:val="005E48A8"/>
    <w:rsid w:val="00610587"/>
    <w:rsid w:val="00611631"/>
    <w:rsid w:val="00613B1E"/>
    <w:rsid w:val="00641BA3"/>
    <w:rsid w:val="006A3DE4"/>
    <w:rsid w:val="006C3C8C"/>
    <w:rsid w:val="006E143A"/>
    <w:rsid w:val="006E5F38"/>
    <w:rsid w:val="006F6FDD"/>
    <w:rsid w:val="00726282"/>
    <w:rsid w:val="00750F84"/>
    <w:rsid w:val="0075308E"/>
    <w:rsid w:val="00755794"/>
    <w:rsid w:val="007775F4"/>
    <w:rsid w:val="007A69C7"/>
    <w:rsid w:val="007C0C88"/>
    <w:rsid w:val="007E61DA"/>
    <w:rsid w:val="00812F11"/>
    <w:rsid w:val="0081540B"/>
    <w:rsid w:val="00825EF6"/>
    <w:rsid w:val="0082632C"/>
    <w:rsid w:val="00846714"/>
    <w:rsid w:val="00872727"/>
    <w:rsid w:val="00893EF5"/>
    <w:rsid w:val="00894884"/>
    <w:rsid w:val="008B25F6"/>
    <w:rsid w:val="008D14AF"/>
    <w:rsid w:val="008E1436"/>
    <w:rsid w:val="008F5288"/>
    <w:rsid w:val="00924D8C"/>
    <w:rsid w:val="0096300F"/>
    <w:rsid w:val="00977F96"/>
    <w:rsid w:val="009A3376"/>
    <w:rsid w:val="009B2074"/>
    <w:rsid w:val="009B7735"/>
    <w:rsid w:val="009E399F"/>
    <w:rsid w:val="00A1265A"/>
    <w:rsid w:val="00A156B1"/>
    <w:rsid w:val="00A20FD5"/>
    <w:rsid w:val="00A2684B"/>
    <w:rsid w:val="00A3769B"/>
    <w:rsid w:val="00A51825"/>
    <w:rsid w:val="00A60233"/>
    <w:rsid w:val="00A646DE"/>
    <w:rsid w:val="00A83126"/>
    <w:rsid w:val="00AA5D0D"/>
    <w:rsid w:val="00AF63A7"/>
    <w:rsid w:val="00B53A16"/>
    <w:rsid w:val="00B54DFF"/>
    <w:rsid w:val="00B60983"/>
    <w:rsid w:val="00B70902"/>
    <w:rsid w:val="00B72638"/>
    <w:rsid w:val="00B86AF1"/>
    <w:rsid w:val="00B91709"/>
    <w:rsid w:val="00B9673E"/>
    <w:rsid w:val="00B979ED"/>
    <w:rsid w:val="00BD2D7E"/>
    <w:rsid w:val="00BD2FB9"/>
    <w:rsid w:val="00BD4F11"/>
    <w:rsid w:val="00BF2E49"/>
    <w:rsid w:val="00C0169E"/>
    <w:rsid w:val="00C01E51"/>
    <w:rsid w:val="00C033DD"/>
    <w:rsid w:val="00C03C67"/>
    <w:rsid w:val="00C14663"/>
    <w:rsid w:val="00C23F8E"/>
    <w:rsid w:val="00C4177C"/>
    <w:rsid w:val="00C46F7D"/>
    <w:rsid w:val="00C518B0"/>
    <w:rsid w:val="00C52D75"/>
    <w:rsid w:val="00C66700"/>
    <w:rsid w:val="00C720F0"/>
    <w:rsid w:val="00C847FE"/>
    <w:rsid w:val="00CC7B93"/>
    <w:rsid w:val="00CE0E2F"/>
    <w:rsid w:val="00D05384"/>
    <w:rsid w:val="00D106F8"/>
    <w:rsid w:val="00D13245"/>
    <w:rsid w:val="00D24666"/>
    <w:rsid w:val="00D53E5A"/>
    <w:rsid w:val="00DB248C"/>
    <w:rsid w:val="00DB3590"/>
    <w:rsid w:val="00E41721"/>
    <w:rsid w:val="00E61E98"/>
    <w:rsid w:val="00E67F27"/>
    <w:rsid w:val="00E70D2B"/>
    <w:rsid w:val="00E75FA9"/>
    <w:rsid w:val="00E91789"/>
    <w:rsid w:val="00E9426A"/>
    <w:rsid w:val="00EA0A23"/>
    <w:rsid w:val="00EA74D6"/>
    <w:rsid w:val="00ED1272"/>
    <w:rsid w:val="00EE3964"/>
    <w:rsid w:val="00EF2D23"/>
    <w:rsid w:val="00F17F2B"/>
    <w:rsid w:val="00F46F81"/>
    <w:rsid w:val="00F53767"/>
    <w:rsid w:val="00F552C6"/>
    <w:rsid w:val="00F62DD7"/>
    <w:rsid w:val="00FA0FA4"/>
    <w:rsid w:val="00FB470D"/>
    <w:rsid w:val="00FC368E"/>
    <w:rsid w:val="00FE39D2"/>
    <w:rsid w:val="00FE3F22"/>
    <w:rsid w:val="00FF23B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7F8B"/>
  <w15:docId w15:val="{B93F9A69-3C3A-4A82-A460-DE963F5D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19" w:qFormat="1"/>
    <w:lsdException w:name="heading 2" w:semiHidden="1" w:uiPriority="1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143A"/>
    <w:pPr>
      <w:spacing w:after="0" w:line="240" w:lineRule="auto"/>
    </w:pPr>
    <w:rPr>
      <w:rFonts w:eastAsiaTheme="minorEastAsia"/>
      <w:sz w:val="24"/>
      <w:szCs w:val="24"/>
      <w:lang w:eastAsia="zh-CN"/>
    </w:rPr>
  </w:style>
  <w:style w:type="paragraph" w:styleId="Heading1">
    <w:name w:val="heading 1"/>
    <w:basedOn w:val="Normal"/>
    <w:next w:val="Normal"/>
    <w:link w:val="Heading1Char"/>
    <w:uiPriority w:val="19"/>
    <w:unhideWhenUsed/>
    <w:rsid w:val="00E94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9"/>
    <w:unhideWhenUsed/>
    <w:rsid w:val="00E942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C033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uiPriority w:val="4"/>
    <w:rsid w:val="00E9426A"/>
    <w:pPr>
      <w:numPr>
        <w:ilvl w:val="2"/>
        <w:numId w:val="46"/>
      </w:numPr>
      <w:spacing w:before="240" w:after="240"/>
    </w:pPr>
  </w:style>
  <w:style w:type="paragraph" w:customStyle="1" w:styleId="iiiiii">
    <w:name w:val="(i)(ii)(iii)"/>
    <w:basedOn w:val="Normal"/>
    <w:uiPriority w:val="4"/>
    <w:rsid w:val="00E9426A"/>
    <w:pPr>
      <w:numPr>
        <w:ilvl w:val="3"/>
        <w:numId w:val="46"/>
      </w:numPr>
      <w:spacing w:before="240" w:after="240"/>
    </w:pPr>
  </w:style>
  <w:style w:type="paragraph" w:customStyle="1" w:styleId="SinglePara">
    <w:name w:val="Single Para"/>
    <w:aliases w:val="sp"/>
    <w:basedOn w:val="Normal"/>
    <w:qFormat/>
    <w:rsid w:val="00E9426A"/>
    <w:pPr>
      <w:spacing w:before="240" w:after="240"/>
      <w:ind w:firstLine="720"/>
    </w:pPr>
    <w:rPr>
      <w:lang w:bidi="he-IL"/>
    </w:rPr>
  </w:style>
  <w:style w:type="paragraph" w:customStyle="1" w:styleId="Question">
    <w:name w:val="Question"/>
    <w:aliases w:val="qt"/>
    <w:basedOn w:val="Normal"/>
    <w:next w:val="Answer"/>
    <w:uiPriority w:val="4"/>
    <w:rsid w:val="00E9426A"/>
    <w:pPr>
      <w:numPr>
        <w:ilvl w:val="5"/>
        <w:numId w:val="46"/>
      </w:numPr>
      <w:spacing w:before="240"/>
    </w:pPr>
    <w:rPr>
      <w:lang w:bidi="he-IL"/>
    </w:rPr>
  </w:style>
  <w:style w:type="paragraph" w:customStyle="1" w:styleId="Answer">
    <w:name w:val="Answer"/>
    <w:aliases w:val="an"/>
    <w:basedOn w:val="Normal"/>
    <w:next w:val="Question"/>
    <w:uiPriority w:val="4"/>
    <w:rsid w:val="00E9426A"/>
    <w:pPr>
      <w:numPr>
        <w:ilvl w:val="6"/>
        <w:numId w:val="46"/>
      </w:numPr>
      <w:spacing w:before="240"/>
    </w:pPr>
    <w:rPr>
      <w:lang w:bidi="he-IL"/>
    </w:rPr>
  </w:style>
  <w:style w:type="paragraph" w:styleId="BalloonText">
    <w:name w:val="Balloon Text"/>
    <w:basedOn w:val="Normal"/>
    <w:link w:val="BalloonTextChar"/>
    <w:uiPriority w:val="99"/>
    <w:semiHidden/>
    <w:unhideWhenUsed/>
    <w:rsid w:val="00E9426A"/>
    <w:rPr>
      <w:rFonts w:ascii="Tahoma" w:hAnsi="Tahoma" w:cs="Tahoma"/>
      <w:sz w:val="16"/>
      <w:szCs w:val="16"/>
    </w:rPr>
  </w:style>
  <w:style w:type="character" w:customStyle="1" w:styleId="BalloonTextChar">
    <w:name w:val="Balloon Text Char"/>
    <w:basedOn w:val="DefaultParagraphFont"/>
    <w:link w:val="BalloonText"/>
    <w:uiPriority w:val="99"/>
    <w:semiHidden/>
    <w:rsid w:val="00E9426A"/>
    <w:rPr>
      <w:rFonts w:ascii="Tahoma" w:eastAsiaTheme="minorEastAsia" w:hAnsi="Tahoma" w:cs="Tahoma"/>
      <w:sz w:val="16"/>
      <w:szCs w:val="16"/>
      <w:lang w:eastAsia="zh-CN"/>
    </w:rPr>
  </w:style>
  <w:style w:type="table" w:customStyle="1" w:styleId="BandedTable">
    <w:name w:val="Banded Table"/>
    <w:basedOn w:val="TableNormal"/>
    <w:uiPriority w:val="99"/>
    <w:rsid w:val="00E9426A"/>
    <w:pPr>
      <w:spacing w:after="0" w:line="240" w:lineRule="auto"/>
    </w:pPr>
    <w:rPr>
      <w:rFonts w:eastAsiaTheme="minorEastAsia"/>
      <w:sz w:val="24"/>
      <w:szCs w:val="24"/>
      <w:lang w:eastAsia="zh-C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color w:val="auto"/>
      </w:rPr>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BracketedComment">
    <w:name w:val="Bracketed Comment"/>
    <w:aliases w:val="br"/>
    <w:basedOn w:val="DefaultParagraphFont"/>
    <w:uiPriority w:val="9"/>
    <w:rsid w:val="00E9426A"/>
    <w:rPr>
      <w:b/>
    </w:rPr>
  </w:style>
  <w:style w:type="paragraph" w:customStyle="1" w:styleId="BulletPara">
    <w:name w:val="Bullet Para"/>
    <w:aliases w:val="bp"/>
    <w:basedOn w:val="Normal"/>
    <w:uiPriority w:val="4"/>
    <w:qFormat/>
    <w:rsid w:val="00E9426A"/>
    <w:pPr>
      <w:numPr>
        <w:numId w:val="43"/>
      </w:numPr>
    </w:pPr>
  </w:style>
  <w:style w:type="paragraph" w:customStyle="1" w:styleId="BulletParaAlt">
    <w:name w:val="Bullet Para Alt"/>
    <w:aliases w:val="bpa"/>
    <w:basedOn w:val="Normal"/>
    <w:uiPriority w:val="4"/>
    <w:rsid w:val="00E9426A"/>
    <w:pPr>
      <w:numPr>
        <w:ilvl w:val="2"/>
        <w:numId w:val="43"/>
      </w:numPr>
    </w:pPr>
  </w:style>
  <w:style w:type="paragraph" w:customStyle="1" w:styleId="BulletPara2">
    <w:name w:val="Bullet Para2"/>
    <w:aliases w:val="bp2"/>
    <w:basedOn w:val="Normal"/>
    <w:uiPriority w:val="4"/>
    <w:rsid w:val="00E9426A"/>
    <w:pPr>
      <w:numPr>
        <w:ilvl w:val="1"/>
        <w:numId w:val="43"/>
      </w:numPr>
    </w:pPr>
  </w:style>
  <w:style w:type="character" w:customStyle="1" w:styleId="Citation">
    <w:name w:val="Citation"/>
    <w:aliases w:val="ct"/>
    <w:basedOn w:val="DefaultParagraphFont"/>
    <w:uiPriority w:val="9"/>
    <w:rsid w:val="00E9426A"/>
    <w:rPr>
      <w:u w:val="single"/>
    </w:rPr>
  </w:style>
  <w:style w:type="paragraph" w:customStyle="1" w:styleId="CoverPara">
    <w:name w:val="Cover: Para"/>
    <w:aliases w:val="cp"/>
    <w:basedOn w:val="Normal"/>
    <w:rsid w:val="00E9426A"/>
    <w:pPr>
      <w:spacing w:before="120"/>
      <w:jc w:val="both"/>
    </w:pPr>
    <w:rPr>
      <w:sz w:val="20"/>
      <w:lang w:bidi="he-IL"/>
    </w:rPr>
  </w:style>
  <w:style w:type="paragraph" w:customStyle="1" w:styleId="CoverCenter">
    <w:name w:val="Cover: Center"/>
    <w:aliases w:val="cc"/>
    <w:basedOn w:val="CoverPara"/>
    <w:rsid w:val="00E9426A"/>
    <w:pPr>
      <w:keepLines/>
      <w:jc w:val="center"/>
    </w:pPr>
    <w:rPr>
      <w:b/>
      <w:sz w:val="24"/>
    </w:rPr>
  </w:style>
  <w:style w:type="paragraph" w:customStyle="1" w:styleId="CoverCenterLarge">
    <w:name w:val="Cover: CenterLarge"/>
    <w:aliases w:val="ccl"/>
    <w:basedOn w:val="CoverPara"/>
    <w:rsid w:val="00E9426A"/>
    <w:pPr>
      <w:keepLines/>
      <w:spacing w:before="200" w:after="120"/>
      <w:jc w:val="center"/>
    </w:pPr>
    <w:rPr>
      <w:b/>
      <w:bCs/>
      <w:sz w:val="32"/>
      <w:szCs w:val="32"/>
    </w:rPr>
  </w:style>
  <w:style w:type="paragraph" w:customStyle="1" w:styleId="CoverDivider">
    <w:name w:val="Cover: Divider"/>
    <w:aliases w:val="cd"/>
    <w:basedOn w:val="Normal"/>
    <w:next w:val="CoverPara"/>
    <w:rsid w:val="00E9426A"/>
    <w:pPr>
      <w:jc w:val="center"/>
    </w:pPr>
    <w:rPr>
      <w:sz w:val="16"/>
      <w:u w:val="single"/>
      <w:lang w:bidi="he-IL"/>
    </w:rPr>
  </w:style>
  <w:style w:type="table" w:styleId="DarkList">
    <w:name w:val="Dark List"/>
    <w:basedOn w:val="TableNormal"/>
    <w:uiPriority w:val="70"/>
    <w:rsid w:val="00E9426A"/>
    <w:pPr>
      <w:spacing w:after="0" w:line="240" w:lineRule="auto"/>
    </w:pPr>
    <w:rPr>
      <w:rFonts w:eastAsiaTheme="minorEastAsia"/>
      <w:color w:val="FFFFFF" w:themeColor="background1"/>
      <w:sz w:val="24"/>
      <w:szCs w:val="24"/>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DefinedTerm">
    <w:name w:val="Defined Term"/>
    <w:aliases w:val="dt"/>
    <w:basedOn w:val="DefaultParagraphFont"/>
    <w:uiPriority w:val="9"/>
    <w:rsid w:val="00E9426A"/>
    <w:rPr>
      <w:b/>
      <w:bCs/>
    </w:rPr>
  </w:style>
  <w:style w:type="paragraph" w:customStyle="1" w:styleId="DoublePara">
    <w:name w:val="Double Para"/>
    <w:aliases w:val="dp"/>
    <w:basedOn w:val="Normal"/>
    <w:qFormat/>
    <w:rsid w:val="00E9426A"/>
    <w:pPr>
      <w:spacing w:line="480" w:lineRule="auto"/>
      <w:ind w:firstLine="1440"/>
    </w:pPr>
    <w:rPr>
      <w:lang w:bidi="he-IL"/>
    </w:rPr>
  </w:style>
  <w:style w:type="paragraph" w:customStyle="1" w:styleId="DoubleParaFlush">
    <w:name w:val="Double Para Flush"/>
    <w:aliases w:val="dpf"/>
    <w:basedOn w:val="DoublePara"/>
    <w:next w:val="DoublePara"/>
    <w:rsid w:val="00E9426A"/>
    <w:pPr>
      <w:ind w:firstLine="0"/>
    </w:pPr>
  </w:style>
  <w:style w:type="character" w:customStyle="1" w:styleId="Draftline">
    <w:name w:val="Draftline"/>
    <w:basedOn w:val="DefaultParagraphFont"/>
    <w:semiHidden/>
    <w:rsid w:val="00E9426A"/>
    <w:rPr>
      <w:rFonts w:ascii="Times New Roman" w:hAnsi="Times New Roman" w:cs="Times New Roman"/>
      <w:dstrike w:val="0"/>
      <w:vanish/>
      <w:color w:val="FF0000"/>
      <w:sz w:val="15"/>
      <w:szCs w:val="15"/>
      <w:u w:val="none"/>
      <w:vertAlign w:val="baseline"/>
    </w:rPr>
  </w:style>
  <w:style w:type="paragraph" w:styleId="EndnoteText">
    <w:name w:val="endnote text"/>
    <w:basedOn w:val="Normal"/>
    <w:link w:val="EndnoteTextChar"/>
    <w:uiPriority w:val="99"/>
    <w:semiHidden/>
    <w:unhideWhenUsed/>
    <w:rsid w:val="00E9426A"/>
    <w:pPr>
      <w:spacing w:after="200"/>
      <w:ind w:left="360" w:hanging="360"/>
    </w:pPr>
    <w:rPr>
      <w:sz w:val="20"/>
      <w:szCs w:val="20"/>
    </w:rPr>
  </w:style>
  <w:style w:type="character" w:customStyle="1" w:styleId="EndnoteTextChar">
    <w:name w:val="Endnote Text Char"/>
    <w:basedOn w:val="DefaultParagraphFont"/>
    <w:link w:val="EndnoteText"/>
    <w:uiPriority w:val="99"/>
    <w:semiHidden/>
    <w:rsid w:val="00E9426A"/>
    <w:rPr>
      <w:rFonts w:eastAsiaTheme="minorEastAsia"/>
      <w:sz w:val="20"/>
      <w:szCs w:val="20"/>
      <w:lang w:eastAsia="zh-CN"/>
    </w:rPr>
  </w:style>
  <w:style w:type="table" w:customStyle="1" w:styleId="FinancialTable">
    <w:name w:val="Financial Table"/>
    <w:basedOn w:val="TableNormal"/>
    <w:uiPriority w:val="99"/>
    <w:rsid w:val="00E9426A"/>
    <w:pPr>
      <w:spacing w:after="0" w:line="240" w:lineRule="auto"/>
    </w:pPr>
    <w:rPr>
      <w:rFonts w:eastAsiaTheme="minorEastAsia"/>
      <w:sz w:val="18"/>
      <w:szCs w:val="24"/>
      <w:lang w:eastAsia="zh-CN"/>
    </w:rPr>
    <w:tblPr>
      <w:tblCellMar>
        <w:top w:w="29" w:type="dxa"/>
        <w:left w:w="86" w:type="dxa"/>
        <w:bottom w:w="29" w:type="dxa"/>
        <w:right w:w="86" w:type="dxa"/>
      </w:tblCellMar>
    </w:tblPr>
    <w:trPr>
      <w:cantSplit/>
    </w:trPr>
    <w:tcPr>
      <w:vAlign w:val="bottom"/>
    </w:tcPr>
    <w:tblStylePr w:type="firstRow">
      <w:pPr>
        <w:jc w:val="center"/>
      </w:pPr>
      <w:rPr>
        <w:b/>
      </w:rPr>
      <w:tblPr/>
      <w:trPr>
        <w:cantSplit w:val="0"/>
        <w:tblHeader/>
      </w:trPr>
    </w:tblStylePr>
    <w:tblStylePr w:type="firstCol">
      <w:pPr>
        <w:wordWrap/>
        <w:ind w:hangingChars="120" w:hanging="120"/>
      </w:pPr>
    </w:tblStylePr>
  </w:style>
  <w:style w:type="paragraph" w:customStyle="1" w:styleId="FooterB">
    <w:name w:val="Footer B"/>
    <w:link w:val="FooterBChar"/>
    <w:rsid w:val="00F46F81"/>
    <w:pPr>
      <w:spacing w:line="320" w:lineRule="exact"/>
      <w:jc w:val="both"/>
    </w:pPr>
    <w:rPr>
      <w:rFonts w:ascii="Times New Roman" w:eastAsia="Times New Roman" w:hAnsi="Times New Roman" w:cs="Times New Roman"/>
      <w:bCs/>
      <w:sz w:val="15"/>
    </w:rPr>
  </w:style>
  <w:style w:type="paragraph" w:styleId="FootnoteText">
    <w:name w:val="footnote text"/>
    <w:basedOn w:val="Normal"/>
    <w:link w:val="FootnoteTextChar"/>
    <w:unhideWhenUsed/>
    <w:rsid w:val="00E9426A"/>
    <w:pPr>
      <w:spacing w:after="200"/>
      <w:ind w:left="360" w:hanging="360"/>
    </w:pPr>
    <w:rPr>
      <w:sz w:val="20"/>
      <w:szCs w:val="20"/>
      <w:lang w:bidi="he-IL"/>
    </w:rPr>
  </w:style>
  <w:style w:type="character" w:customStyle="1" w:styleId="FootnoteTextChar">
    <w:name w:val="Footnote Text Char"/>
    <w:basedOn w:val="DefaultParagraphFont"/>
    <w:link w:val="FootnoteText"/>
    <w:rsid w:val="00E9426A"/>
    <w:rPr>
      <w:rFonts w:eastAsiaTheme="minorEastAsia"/>
      <w:sz w:val="20"/>
      <w:szCs w:val="20"/>
      <w:lang w:eastAsia="zh-CN" w:bidi="he-IL"/>
    </w:rPr>
  </w:style>
  <w:style w:type="paragraph" w:customStyle="1" w:styleId="FootnoteText2">
    <w:name w:val="Footnote Text2"/>
    <w:basedOn w:val="Normal"/>
    <w:semiHidden/>
    <w:rsid w:val="00E9426A"/>
    <w:pPr>
      <w:spacing w:after="240"/>
      <w:ind w:left="720"/>
    </w:pPr>
    <w:rPr>
      <w:lang w:bidi="he-IL"/>
    </w:rPr>
  </w:style>
  <w:style w:type="paragraph" w:customStyle="1" w:styleId="Graphic">
    <w:name w:val="Graphic"/>
    <w:aliases w:val="g"/>
    <w:basedOn w:val="Normal"/>
    <w:next w:val="SinglePara"/>
    <w:rsid w:val="00E9426A"/>
    <w:pPr>
      <w:spacing w:before="240"/>
      <w:jc w:val="center"/>
    </w:pPr>
    <w:rPr>
      <w:sz w:val="16"/>
      <w:szCs w:val="16"/>
      <w:lang w:bidi="he-IL"/>
    </w:rPr>
  </w:style>
  <w:style w:type="character" w:customStyle="1" w:styleId="Heading1Char">
    <w:name w:val="Heading 1 Char"/>
    <w:basedOn w:val="DefaultParagraphFont"/>
    <w:link w:val="Heading1"/>
    <w:uiPriority w:val="19"/>
    <w:rsid w:val="00E9426A"/>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19"/>
    <w:rsid w:val="00E9426A"/>
    <w:rPr>
      <w:rFonts w:asciiTheme="majorHAnsi" w:eastAsiaTheme="majorEastAsia" w:hAnsiTheme="majorHAnsi" w:cstheme="majorBidi"/>
      <w:b/>
      <w:bCs/>
      <w:color w:val="4F81BD" w:themeColor="accent1"/>
      <w:sz w:val="26"/>
      <w:szCs w:val="26"/>
      <w:lang w:eastAsia="zh-CN"/>
    </w:rPr>
  </w:style>
  <w:style w:type="paragraph" w:customStyle="1" w:styleId="HeadingCenter">
    <w:name w:val="Heading: Center"/>
    <w:aliases w:val="hc"/>
    <w:basedOn w:val="Normal"/>
    <w:next w:val="SinglePara"/>
    <w:link w:val="HeadingCenterChar"/>
    <w:rsid w:val="00E9426A"/>
    <w:pPr>
      <w:keepNext/>
      <w:keepLines/>
      <w:spacing w:before="240" w:after="240"/>
      <w:jc w:val="center"/>
    </w:pPr>
    <w:rPr>
      <w:rFonts w:asciiTheme="majorHAnsi" w:hAnsiTheme="majorHAnsi"/>
      <w:lang w:bidi="he-IL"/>
    </w:rPr>
  </w:style>
  <w:style w:type="character" w:customStyle="1" w:styleId="HeadingCenterChar">
    <w:name w:val="Heading: Center Char"/>
    <w:aliases w:val="hc Char"/>
    <w:basedOn w:val="DefaultParagraphFont"/>
    <w:link w:val="HeadingCenter"/>
    <w:rsid w:val="00E9426A"/>
    <w:rPr>
      <w:rFonts w:asciiTheme="majorHAnsi" w:eastAsiaTheme="minorEastAsia" w:hAnsiTheme="majorHAnsi"/>
      <w:sz w:val="24"/>
      <w:szCs w:val="24"/>
      <w:lang w:eastAsia="zh-CN" w:bidi="he-IL"/>
    </w:rPr>
  </w:style>
  <w:style w:type="paragraph" w:customStyle="1" w:styleId="HeadingCenterBold">
    <w:name w:val="Heading: CenterBold"/>
    <w:aliases w:val="hcb"/>
    <w:basedOn w:val="HeadingCenter"/>
    <w:next w:val="SinglePara"/>
    <w:qFormat/>
    <w:rsid w:val="00E9426A"/>
    <w:rPr>
      <w:rFonts w:cs="Times New Roman Bold"/>
      <w:b/>
    </w:rPr>
  </w:style>
  <w:style w:type="paragraph" w:customStyle="1" w:styleId="HeadingCenterLarge">
    <w:name w:val="Heading: CenterLarge"/>
    <w:aliases w:val="hcl"/>
    <w:basedOn w:val="HeadingCenter"/>
    <w:next w:val="SinglePara"/>
    <w:rsid w:val="00E9426A"/>
    <w:rPr>
      <w:b/>
      <w:sz w:val="32"/>
    </w:rPr>
  </w:style>
  <w:style w:type="paragraph" w:customStyle="1" w:styleId="HeadingCenterUnd">
    <w:name w:val="Heading: CenterUnd"/>
    <w:aliases w:val="hcu"/>
    <w:basedOn w:val="HeadingCenter"/>
    <w:next w:val="SinglePara"/>
    <w:rsid w:val="00E9426A"/>
    <w:rPr>
      <w:u w:val="single"/>
    </w:rPr>
  </w:style>
  <w:style w:type="paragraph" w:customStyle="1" w:styleId="HeadingLeftBold">
    <w:name w:val="Heading: LeftBold"/>
    <w:aliases w:val="hlb"/>
    <w:basedOn w:val="Normal"/>
    <w:next w:val="SinglePara"/>
    <w:link w:val="HeadingLeftBoldChar"/>
    <w:qFormat/>
    <w:rsid w:val="00E9426A"/>
    <w:pPr>
      <w:keepNext/>
      <w:keepLines/>
      <w:spacing w:before="240"/>
    </w:pPr>
    <w:rPr>
      <w:rFonts w:asciiTheme="majorHAnsi" w:hAnsiTheme="majorHAnsi"/>
      <w:b/>
      <w:bCs/>
      <w:lang w:bidi="he-IL"/>
    </w:rPr>
  </w:style>
  <w:style w:type="character" w:customStyle="1" w:styleId="HeadingLeftBoldChar">
    <w:name w:val="Heading: LeftBold Char"/>
    <w:aliases w:val="hlb Char"/>
    <w:basedOn w:val="DefaultParagraphFont"/>
    <w:link w:val="HeadingLeftBold"/>
    <w:rsid w:val="00E9426A"/>
    <w:rPr>
      <w:rFonts w:asciiTheme="majorHAnsi" w:eastAsiaTheme="minorEastAsia" w:hAnsiTheme="majorHAnsi"/>
      <w:b/>
      <w:bCs/>
      <w:sz w:val="24"/>
      <w:szCs w:val="24"/>
      <w:lang w:eastAsia="zh-CN" w:bidi="he-IL"/>
    </w:rPr>
  </w:style>
  <w:style w:type="paragraph" w:customStyle="1" w:styleId="HeadingIndent">
    <w:name w:val="Heading: Indent"/>
    <w:aliases w:val="hin"/>
    <w:basedOn w:val="HeadingLeftBold"/>
    <w:next w:val="SinglePara"/>
    <w:rsid w:val="00E9426A"/>
    <w:pPr>
      <w:ind w:left="360"/>
    </w:pPr>
    <w:rPr>
      <w:i/>
    </w:rPr>
  </w:style>
  <w:style w:type="paragraph" w:customStyle="1" w:styleId="HeadingLeftBoldItal">
    <w:name w:val="Heading: LeftBoldItal"/>
    <w:aliases w:val="hlbi"/>
    <w:basedOn w:val="HeadingLeftBold"/>
    <w:next w:val="SinglePara"/>
    <w:rsid w:val="00E9426A"/>
    <w:rPr>
      <w:rFonts w:cs="Times New Roman Bold"/>
      <w:i/>
      <w:iCs/>
    </w:rPr>
  </w:style>
  <w:style w:type="paragraph" w:customStyle="1" w:styleId="HeadingLeftBoldUnd">
    <w:name w:val="Heading: LeftBoldUnd"/>
    <w:aliases w:val="hlbu"/>
    <w:basedOn w:val="HeadingLeftBold"/>
    <w:next w:val="SinglePara"/>
    <w:rsid w:val="00E9426A"/>
    <w:rPr>
      <w:rFonts w:cs="Times New Roman Bold"/>
      <w:u w:val="single"/>
    </w:rPr>
  </w:style>
  <w:style w:type="paragraph" w:customStyle="1" w:styleId="HeadingLeftItal">
    <w:name w:val="Heading: LeftItal"/>
    <w:aliases w:val="hli"/>
    <w:basedOn w:val="HeadingLeftBold"/>
    <w:next w:val="SinglePara"/>
    <w:rsid w:val="00E9426A"/>
    <w:rPr>
      <w:b w:val="0"/>
      <w:i/>
    </w:rPr>
  </w:style>
  <w:style w:type="paragraph" w:customStyle="1" w:styleId="HeadingLeftUnd">
    <w:name w:val="Heading: LeftUnd"/>
    <w:aliases w:val="hlu"/>
    <w:basedOn w:val="HeadingLeftBold"/>
    <w:next w:val="SinglePara"/>
    <w:rsid w:val="00E9426A"/>
    <w:rPr>
      <w:b w:val="0"/>
      <w:u w:val="single"/>
    </w:rPr>
  </w:style>
  <w:style w:type="paragraph" w:customStyle="1" w:styleId="HeadingRight">
    <w:name w:val="Heading: Right"/>
    <w:aliases w:val="hr"/>
    <w:basedOn w:val="Normal"/>
    <w:next w:val="Normal"/>
    <w:rsid w:val="00E9426A"/>
    <w:pPr>
      <w:keepNext/>
      <w:keepLines/>
      <w:spacing w:before="240"/>
      <w:jc w:val="right"/>
    </w:pPr>
    <w:rPr>
      <w:rFonts w:asciiTheme="majorHAnsi" w:hAnsiTheme="majorHAnsi"/>
      <w:u w:val="single"/>
      <w:lang w:bidi="he-IL"/>
    </w:rPr>
  </w:style>
  <w:style w:type="paragraph" w:customStyle="1" w:styleId="HeadingRightTitle">
    <w:name w:val="Heading: RightTitle"/>
    <w:aliases w:val="hrt"/>
    <w:basedOn w:val="HeadingRight"/>
    <w:next w:val="HeadingCenterBold"/>
    <w:rsid w:val="00E9426A"/>
    <w:pPr>
      <w:spacing w:after="240"/>
    </w:pPr>
    <w:rPr>
      <w:rFonts w:cs="Times New Roman Bold"/>
      <w:b/>
      <w:bCs/>
      <w:u w:val="none"/>
    </w:rPr>
  </w:style>
  <w:style w:type="paragraph" w:customStyle="1" w:styleId="HeadingTOC1">
    <w:name w:val="Heading: TOC1"/>
    <w:aliases w:val="ht1"/>
    <w:basedOn w:val="HeadingCenter"/>
    <w:next w:val="SinglePara"/>
    <w:link w:val="HeadingTOC1Char"/>
    <w:qFormat/>
    <w:rsid w:val="00E9426A"/>
    <w:pPr>
      <w:outlineLvl w:val="0"/>
    </w:pPr>
    <w:rPr>
      <w:b/>
    </w:rPr>
  </w:style>
  <w:style w:type="character" w:customStyle="1" w:styleId="HeadingTOC1Char">
    <w:name w:val="Heading: TOC1 Char"/>
    <w:aliases w:val="ht1 Char"/>
    <w:basedOn w:val="HeadingCenterChar"/>
    <w:link w:val="HeadingTOC1"/>
    <w:rsid w:val="00E9426A"/>
    <w:rPr>
      <w:rFonts w:asciiTheme="majorHAnsi" w:eastAsiaTheme="minorEastAsia" w:hAnsiTheme="majorHAnsi"/>
      <w:b/>
      <w:sz w:val="24"/>
      <w:szCs w:val="24"/>
      <w:lang w:eastAsia="zh-CN" w:bidi="he-IL"/>
    </w:rPr>
  </w:style>
  <w:style w:type="paragraph" w:customStyle="1" w:styleId="HeadingTOC2">
    <w:name w:val="Heading: TOC2"/>
    <w:aliases w:val="ht2"/>
    <w:basedOn w:val="HeadingLeftBold"/>
    <w:next w:val="SinglePara"/>
    <w:link w:val="HeadingTOC2Char"/>
    <w:qFormat/>
    <w:rsid w:val="00E9426A"/>
    <w:pPr>
      <w:outlineLvl w:val="1"/>
    </w:pPr>
    <w:rPr>
      <w:b w:val="0"/>
      <w:u w:val="single"/>
    </w:rPr>
  </w:style>
  <w:style w:type="character" w:customStyle="1" w:styleId="HeadingTOC2Char">
    <w:name w:val="Heading: TOC2 Char"/>
    <w:aliases w:val="ht2 Char"/>
    <w:basedOn w:val="DefaultParagraphFont"/>
    <w:link w:val="HeadingTOC2"/>
    <w:rsid w:val="00E9426A"/>
    <w:rPr>
      <w:rFonts w:asciiTheme="majorHAnsi" w:eastAsiaTheme="minorEastAsia" w:hAnsiTheme="majorHAnsi"/>
      <w:bCs/>
      <w:sz w:val="24"/>
      <w:szCs w:val="24"/>
      <w:u w:val="single"/>
      <w:lang w:eastAsia="zh-CN" w:bidi="he-IL"/>
    </w:rPr>
  </w:style>
  <w:style w:type="table" w:customStyle="1" w:styleId="IndentedTable">
    <w:name w:val="Indented Table"/>
    <w:basedOn w:val="TableNormal"/>
    <w:uiPriority w:val="99"/>
    <w:rsid w:val="00E9426A"/>
    <w:pPr>
      <w:spacing w:after="0" w:line="240" w:lineRule="auto"/>
    </w:pPr>
    <w:rPr>
      <w:rFonts w:eastAsiaTheme="minorEastAsia"/>
      <w:sz w:val="24"/>
      <w:szCs w:val="24"/>
      <w:lang w:eastAsia="zh-CN"/>
    </w:rPr>
    <w:tblPr>
      <w:tblInd w:w="720" w:type="dxa"/>
      <w:tblCellMar>
        <w:top w:w="29" w:type="dxa"/>
        <w:left w:w="86" w:type="dxa"/>
        <w:bottom w:w="29" w:type="dxa"/>
        <w:right w:w="86" w:type="dxa"/>
      </w:tblCellMar>
    </w:tblPr>
    <w:trPr>
      <w:cantSplit/>
    </w:trPr>
  </w:style>
  <w:style w:type="paragraph" w:customStyle="1" w:styleId="ListDoublePara">
    <w:name w:val="List Double Para"/>
    <w:aliases w:val="ldp"/>
    <w:basedOn w:val="Normal"/>
    <w:uiPriority w:val="4"/>
    <w:rsid w:val="00E9426A"/>
    <w:pPr>
      <w:numPr>
        <w:ilvl w:val="1"/>
        <w:numId w:val="46"/>
      </w:numPr>
      <w:spacing w:line="480" w:lineRule="auto"/>
    </w:pPr>
  </w:style>
  <w:style w:type="paragraph" w:customStyle="1" w:styleId="ListSinglePara">
    <w:name w:val="List Single Para"/>
    <w:aliases w:val="lsp"/>
    <w:basedOn w:val="Normal"/>
    <w:uiPriority w:val="4"/>
    <w:rsid w:val="00E9426A"/>
    <w:pPr>
      <w:numPr>
        <w:numId w:val="46"/>
      </w:numPr>
      <w:tabs>
        <w:tab w:val="clear" w:pos="720"/>
      </w:tabs>
      <w:spacing w:before="240" w:after="240"/>
    </w:pPr>
  </w:style>
  <w:style w:type="paragraph" w:customStyle="1" w:styleId="NoticeAddress">
    <w:name w:val="Notice Address"/>
    <w:aliases w:val="na"/>
    <w:basedOn w:val="Normal"/>
    <w:next w:val="NoticeHeading"/>
    <w:rsid w:val="00E9426A"/>
    <w:pPr>
      <w:keepLines/>
      <w:tabs>
        <w:tab w:val="left" w:pos="2880"/>
      </w:tabs>
      <w:spacing w:before="240"/>
      <w:ind w:left="2160"/>
    </w:pPr>
    <w:rPr>
      <w:lang w:bidi="he-IL"/>
    </w:rPr>
  </w:style>
  <w:style w:type="paragraph" w:customStyle="1" w:styleId="NoticeHeading">
    <w:name w:val="Notice Heading"/>
    <w:aliases w:val="nh"/>
    <w:basedOn w:val="Normal"/>
    <w:next w:val="NoticeAddress"/>
    <w:rsid w:val="00E9426A"/>
    <w:pPr>
      <w:keepNext/>
      <w:keepLines/>
      <w:spacing w:before="240"/>
      <w:ind w:left="1440"/>
    </w:pPr>
    <w:rPr>
      <w:lang w:bidi="he-IL"/>
    </w:rPr>
  </w:style>
  <w:style w:type="paragraph" w:customStyle="1" w:styleId="OrdinalPara">
    <w:name w:val="Ordinal Para"/>
    <w:aliases w:val="op"/>
    <w:basedOn w:val="Normal"/>
    <w:uiPriority w:val="4"/>
    <w:rsid w:val="00E9426A"/>
    <w:pPr>
      <w:numPr>
        <w:ilvl w:val="4"/>
        <w:numId w:val="46"/>
      </w:numPr>
      <w:spacing w:before="240" w:after="240"/>
    </w:pPr>
  </w:style>
  <w:style w:type="paragraph" w:customStyle="1" w:styleId="Parties">
    <w:name w:val="Parties"/>
    <w:basedOn w:val="Normal"/>
    <w:uiPriority w:val="4"/>
    <w:rsid w:val="00E9426A"/>
    <w:pPr>
      <w:keepLines/>
      <w:numPr>
        <w:ilvl w:val="7"/>
        <w:numId w:val="46"/>
      </w:numPr>
      <w:spacing w:before="240" w:after="240"/>
    </w:pPr>
  </w:style>
  <w:style w:type="paragraph" w:customStyle="1" w:styleId="QuoteBlock">
    <w:name w:val="Quote Block"/>
    <w:aliases w:val="qb"/>
    <w:basedOn w:val="Normal"/>
    <w:next w:val="DoubleParaFlush"/>
    <w:qFormat/>
    <w:rsid w:val="00E9426A"/>
    <w:pPr>
      <w:spacing w:after="240"/>
      <w:ind w:left="720" w:right="720"/>
      <w:jc w:val="both"/>
    </w:pPr>
    <w:rPr>
      <w:lang w:bidi="he-IL"/>
    </w:rPr>
  </w:style>
  <w:style w:type="paragraph" w:customStyle="1" w:styleId="QuoteBlockIndent">
    <w:name w:val="Quote Block Indent"/>
    <w:aliases w:val="qbi"/>
    <w:basedOn w:val="QuoteBlock"/>
    <w:next w:val="DoubleParaFlush"/>
    <w:rsid w:val="00E9426A"/>
    <w:pPr>
      <w:ind w:firstLine="720"/>
    </w:pPr>
  </w:style>
  <w:style w:type="paragraph" w:customStyle="1" w:styleId="Recitals">
    <w:name w:val="Recitals"/>
    <w:basedOn w:val="Normal"/>
    <w:uiPriority w:val="4"/>
    <w:rsid w:val="00E9426A"/>
    <w:pPr>
      <w:keepLines/>
      <w:numPr>
        <w:ilvl w:val="8"/>
        <w:numId w:val="46"/>
      </w:numPr>
      <w:spacing w:before="240" w:after="240"/>
    </w:pPr>
  </w:style>
  <w:style w:type="character" w:customStyle="1" w:styleId="Reference">
    <w:name w:val="Reference"/>
    <w:aliases w:val="rf"/>
    <w:basedOn w:val="DefaultParagraphFont"/>
    <w:uiPriority w:val="9"/>
    <w:rsid w:val="00E9426A"/>
    <w:rPr>
      <w:u w:val="single"/>
    </w:rPr>
  </w:style>
  <w:style w:type="character" w:customStyle="1" w:styleId="Run-inheading">
    <w:name w:val="Run-in heading"/>
    <w:aliases w:val="ri"/>
    <w:basedOn w:val="DefaultParagraphFont"/>
    <w:uiPriority w:val="9"/>
    <w:rsid w:val="00E9426A"/>
    <w:rPr>
      <w:i/>
      <w:iCs/>
    </w:rPr>
  </w:style>
  <w:style w:type="numbering" w:customStyle="1" w:styleId="FlatBulletsList">
    <w:name w:val="FlatBulletsList"/>
    <w:basedOn w:val="NoList"/>
    <w:uiPriority w:val="99"/>
    <w:rsid w:val="00E9426A"/>
    <w:pPr>
      <w:numPr>
        <w:numId w:val="5"/>
      </w:numPr>
    </w:pPr>
  </w:style>
  <w:style w:type="numbering" w:customStyle="1" w:styleId="FlatNumbersList">
    <w:name w:val="FlatNumbersList"/>
    <w:basedOn w:val="NoList"/>
    <w:uiPriority w:val="99"/>
    <w:rsid w:val="00E9426A"/>
    <w:pPr>
      <w:numPr>
        <w:numId w:val="1"/>
      </w:numPr>
    </w:pPr>
  </w:style>
  <w:style w:type="table" w:customStyle="1" w:styleId="ShadedTable">
    <w:name w:val="Shaded Table"/>
    <w:basedOn w:val="TableNormal"/>
    <w:uiPriority w:val="99"/>
    <w:rsid w:val="00E9426A"/>
    <w:pPr>
      <w:spacing w:after="0" w:line="240" w:lineRule="auto"/>
    </w:pPr>
    <w:rPr>
      <w:rFonts w:eastAsiaTheme="minorEastAsia"/>
      <w:sz w:val="24"/>
      <w:szCs w:val="24"/>
      <w:lang w:eastAsia="zh-CN"/>
    </w:rPr>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jc w:val="center"/>
    </w:trPr>
    <w:tcPr>
      <w:shd w:val="clear" w:color="auto" w:fill="auto"/>
      <w:vAlign w:val="bottom"/>
    </w:tcPr>
    <w:tblStylePr w:type="firstRow">
      <w:pPr>
        <w:jc w:val="center"/>
      </w:pPr>
      <w:rPr>
        <w:b/>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shd w:val="clear" w:color="auto" w:fill="D9D9D9" w:themeFill="background1" w:themeFillShade="D9"/>
      </w:tcPr>
    </w:tblStylePr>
  </w:style>
  <w:style w:type="paragraph" w:customStyle="1" w:styleId="SignatureBlock">
    <w:name w:val="Signature Block"/>
    <w:aliases w:val="sb"/>
    <w:basedOn w:val="Normal"/>
    <w:rsid w:val="00E9426A"/>
    <w:pPr>
      <w:keepLines/>
      <w:tabs>
        <w:tab w:val="left" w:pos="5472"/>
        <w:tab w:val="left" w:pos="6192"/>
        <w:tab w:val="right" w:pos="9360"/>
      </w:tabs>
      <w:spacing w:before="480"/>
      <w:ind w:left="5040"/>
    </w:pPr>
    <w:rPr>
      <w:lang w:bidi="he-IL"/>
    </w:rPr>
  </w:style>
  <w:style w:type="paragraph" w:customStyle="1" w:styleId="SingleParaAlt">
    <w:name w:val="Single Para Alt"/>
    <w:aliases w:val="spa"/>
    <w:basedOn w:val="Normal"/>
    <w:rsid w:val="00E9426A"/>
    <w:pPr>
      <w:spacing w:before="240" w:after="240"/>
      <w:ind w:firstLine="1440"/>
    </w:pPr>
    <w:rPr>
      <w:lang w:bidi="he-IL"/>
    </w:rPr>
  </w:style>
  <w:style w:type="paragraph" w:customStyle="1" w:styleId="SingleParaFlush">
    <w:name w:val="Single Para Flush"/>
    <w:aliases w:val="spf"/>
    <w:basedOn w:val="SinglePara"/>
    <w:rsid w:val="00E9426A"/>
    <w:pPr>
      <w:ind w:firstLine="0"/>
    </w:pPr>
  </w:style>
  <w:style w:type="paragraph" w:customStyle="1" w:styleId="SubheadBold">
    <w:name w:val="Subhead: Bold"/>
    <w:aliases w:val="shb"/>
    <w:basedOn w:val="Normal"/>
    <w:next w:val="SingleParaFlush"/>
    <w:rsid w:val="00E9426A"/>
    <w:pPr>
      <w:keepNext/>
      <w:keepLines/>
      <w:spacing w:before="240"/>
      <w:ind w:left="720"/>
    </w:pPr>
    <w:rPr>
      <w:rFonts w:asciiTheme="majorHAnsi" w:hAnsiTheme="majorHAnsi"/>
      <w:b/>
    </w:rPr>
  </w:style>
  <w:style w:type="paragraph" w:customStyle="1" w:styleId="SubheadBoldItal">
    <w:name w:val="Subhead: BoldItal"/>
    <w:aliases w:val="shbi"/>
    <w:basedOn w:val="SubheadBold"/>
    <w:next w:val="SingleParaFlush"/>
    <w:rsid w:val="00E9426A"/>
    <w:rPr>
      <w:i/>
    </w:rPr>
  </w:style>
  <w:style w:type="paragraph" w:customStyle="1" w:styleId="SubheadItal">
    <w:name w:val="Subhead: Ital"/>
    <w:aliases w:val="shi"/>
    <w:basedOn w:val="SubheadBold"/>
    <w:next w:val="SingleParaFlush"/>
    <w:rsid w:val="00E9426A"/>
    <w:rPr>
      <w:b w:val="0"/>
      <w:i/>
    </w:rPr>
  </w:style>
  <w:style w:type="table" w:styleId="TableGrid">
    <w:name w:val="Table Grid"/>
    <w:basedOn w:val="TableNormal"/>
    <w:uiPriority w:val="59"/>
    <w:rsid w:val="00E9426A"/>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aliases w:val="tf"/>
    <w:basedOn w:val="Normal"/>
    <w:uiPriority w:val="4"/>
    <w:rsid w:val="00E9426A"/>
    <w:pPr>
      <w:numPr>
        <w:ilvl w:val="1"/>
        <w:numId w:val="45"/>
      </w:numPr>
      <w:spacing w:after="120"/>
    </w:pPr>
    <w:rPr>
      <w:sz w:val="20"/>
      <w:szCs w:val="20"/>
      <w:lang w:bidi="he-IL"/>
    </w:rPr>
  </w:style>
  <w:style w:type="paragraph" w:customStyle="1" w:styleId="TableFootnoteLine">
    <w:name w:val="Table: Footnote Line"/>
    <w:aliases w:val="tfl"/>
    <w:basedOn w:val="Normal"/>
    <w:next w:val="TableFootnote"/>
    <w:uiPriority w:val="4"/>
    <w:rsid w:val="00E9426A"/>
    <w:pPr>
      <w:keepNext/>
      <w:keepLines/>
      <w:numPr>
        <w:numId w:val="45"/>
      </w:numPr>
      <w:pBdr>
        <w:bottom w:val="single" w:sz="8" w:space="1" w:color="auto"/>
      </w:pBdr>
      <w:ind w:right="6480"/>
    </w:pPr>
    <w:rPr>
      <w:lang w:bidi="he-IL"/>
    </w:rPr>
  </w:style>
  <w:style w:type="numbering" w:customStyle="1" w:styleId="TableFootnotesList">
    <w:name w:val="TableFootnotesList"/>
    <w:basedOn w:val="NoList"/>
    <w:uiPriority w:val="99"/>
    <w:rsid w:val="00E9426A"/>
    <w:pPr>
      <w:numPr>
        <w:numId w:val="15"/>
      </w:numPr>
    </w:pPr>
  </w:style>
  <w:style w:type="table" w:customStyle="1" w:styleId="TextTable">
    <w:name w:val="Text Table"/>
    <w:basedOn w:val="TableNormal"/>
    <w:uiPriority w:val="99"/>
    <w:rsid w:val="00E9426A"/>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paragraph" w:styleId="TOC1">
    <w:name w:val="toc 1"/>
    <w:basedOn w:val="Normal"/>
    <w:next w:val="Normal"/>
    <w:autoRedefine/>
    <w:uiPriority w:val="39"/>
    <w:semiHidden/>
    <w:unhideWhenUsed/>
    <w:rsid w:val="00E9426A"/>
    <w:pPr>
      <w:tabs>
        <w:tab w:val="right" w:leader="dot" w:pos="9360"/>
      </w:tabs>
      <w:spacing w:before="240"/>
      <w:ind w:left="720" w:right="720" w:hanging="720"/>
    </w:pPr>
  </w:style>
  <w:style w:type="paragraph" w:styleId="TOC2">
    <w:name w:val="toc 2"/>
    <w:basedOn w:val="Normal"/>
    <w:next w:val="Normal"/>
    <w:autoRedefine/>
    <w:uiPriority w:val="39"/>
    <w:semiHidden/>
    <w:unhideWhenUsed/>
    <w:rsid w:val="00E9426A"/>
    <w:pPr>
      <w:tabs>
        <w:tab w:val="right" w:leader="dot" w:pos="9360"/>
      </w:tabs>
      <w:spacing w:before="240"/>
      <w:ind w:left="1440" w:right="720" w:hanging="720"/>
    </w:pPr>
  </w:style>
  <w:style w:type="paragraph" w:styleId="TOC3">
    <w:name w:val="toc 3"/>
    <w:basedOn w:val="Normal"/>
    <w:next w:val="Normal"/>
    <w:autoRedefine/>
    <w:uiPriority w:val="39"/>
    <w:semiHidden/>
    <w:unhideWhenUsed/>
    <w:rsid w:val="00E9426A"/>
    <w:pPr>
      <w:tabs>
        <w:tab w:val="right" w:leader="dot" w:pos="9360"/>
      </w:tabs>
      <w:spacing w:before="240"/>
      <w:ind w:left="2160" w:right="720" w:hanging="720"/>
    </w:pPr>
  </w:style>
  <w:style w:type="paragraph" w:styleId="TOC4">
    <w:name w:val="toc 4"/>
    <w:basedOn w:val="Normal"/>
    <w:next w:val="Normal"/>
    <w:autoRedefine/>
    <w:uiPriority w:val="39"/>
    <w:semiHidden/>
    <w:unhideWhenUsed/>
    <w:rsid w:val="00E9426A"/>
    <w:pPr>
      <w:tabs>
        <w:tab w:val="right" w:leader="dot" w:pos="9360"/>
      </w:tabs>
      <w:spacing w:before="240"/>
      <w:ind w:left="2880" w:right="720" w:hanging="720"/>
    </w:pPr>
  </w:style>
  <w:style w:type="paragraph" w:styleId="TOC5">
    <w:name w:val="toc 5"/>
    <w:basedOn w:val="Normal"/>
    <w:next w:val="Normal"/>
    <w:autoRedefine/>
    <w:uiPriority w:val="39"/>
    <w:semiHidden/>
    <w:unhideWhenUsed/>
    <w:rsid w:val="00E9426A"/>
    <w:pPr>
      <w:tabs>
        <w:tab w:val="right" w:leader="dot" w:pos="9360"/>
      </w:tabs>
      <w:spacing w:before="40"/>
      <w:ind w:left="3600" w:right="720" w:hanging="720"/>
    </w:pPr>
  </w:style>
  <w:style w:type="paragraph" w:styleId="TOC6">
    <w:name w:val="toc 6"/>
    <w:basedOn w:val="Normal"/>
    <w:next w:val="Normal"/>
    <w:autoRedefine/>
    <w:uiPriority w:val="39"/>
    <w:semiHidden/>
    <w:unhideWhenUsed/>
    <w:rsid w:val="00E9426A"/>
    <w:pPr>
      <w:tabs>
        <w:tab w:val="right" w:leader="dot" w:pos="9360"/>
      </w:tabs>
      <w:spacing w:before="240"/>
      <w:ind w:left="4320" w:right="720" w:hanging="720"/>
    </w:pPr>
  </w:style>
  <w:style w:type="paragraph" w:styleId="TOC7">
    <w:name w:val="toc 7"/>
    <w:basedOn w:val="Normal"/>
    <w:next w:val="Normal"/>
    <w:autoRedefine/>
    <w:uiPriority w:val="39"/>
    <w:semiHidden/>
    <w:unhideWhenUsed/>
    <w:rsid w:val="00E9426A"/>
    <w:pPr>
      <w:tabs>
        <w:tab w:val="right" w:leader="dot" w:pos="9360"/>
      </w:tabs>
      <w:spacing w:before="240"/>
      <w:ind w:left="5040" w:right="720" w:hanging="720"/>
    </w:pPr>
  </w:style>
  <w:style w:type="paragraph" w:styleId="TOC8">
    <w:name w:val="toc 8"/>
    <w:basedOn w:val="Normal"/>
    <w:next w:val="Normal"/>
    <w:autoRedefine/>
    <w:uiPriority w:val="39"/>
    <w:semiHidden/>
    <w:unhideWhenUsed/>
    <w:rsid w:val="00E9426A"/>
    <w:pPr>
      <w:tabs>
        <w:tab w:val="right" w:leader="dot" w:pos="9360"/>
      </w:tabs>
      <w:spacing w:before="240"/>
      <w:ind w:left="5760" w:right="720" w:hanging="720"/>
    </w:pPr>
  </w:style>
  <w:style w:type="paragraph" w:styleId="TOC9">
    <w:name w:val="toc 9"/>
    <w:basedOn w:val="Normal"/>
    <w:next w:val="Normal"/>
    <w:autoRedefine/>
    <w:uiPriority w:val="39"/>
    <w:semiHidden/>
    <w:unhideWhenUsed/>
    <w:rsid w:val="00E9426A"/>
    <w:pPr>
      <w:tabs>
        <w:tab w:val="right" w:leader="dot" w:pos="9360"/>
      </w:tabs>
      <w:spacing w:before="240"/>
      <w:ind w:left="6480" w:right="720" w:hanging="720"/>
    </w:pPr>
  </w:style>
  <w:style w:type="paragraph" w:customStyle="1" w:styleId="WarningPara">
    <w:name w:val="Warning Para"/>
    <w:aliases w:val="wp"/>
    <w:basedOn w:val="SinglePara"/>
    <w:next w:val="SinglePara"/>
    <w:rsid w:val="00E9426A"/>
    <w:rPr>
      <w:b/>
      <w:caps/>
    </w:rPr>
  </w:style>
  <w:style w:type="character" w:styleId="BookTitle">
    <w:name w:val="Book Title"/>
    <w:basedOn w:val="DefaultParagraphFont"/>
    <w:uiPriority w:val="33"/>
    <w:semiHidden/>
    <w:rsid w:val="00C033DD"/>
    <w:rPr>
      <w:b/>
      <w:bCs/>
      <w:smallCaps/>
      <w:spacing w:val="5"/>
    </w:rPr>
  </w:style>
  <w:style w:type="paragraph" w:styleId="ListParagraph">
    <w:name w:val="List Paragraph"/>
    <w:basedOn w:val="Normal"/>
    <w:uiPriority w:val="34"/>
    <w:semiHidden/>
    <w:rsid w:val="00C033DD"/>
    <w:pPr>
      <w:ind w:left="720"/>
      <w:contextualSpacing/>
    </w:pPr>
  </w:style>
  <w:style w:type="paragraph" w:styleId="NoSpacing">
    <w:name w:val="No Spacing"/>
    <w:uiPriority w:val="1"/>
    <w:semiHidden/>
    <w:rsid w:val="00C033DD"/>
    <w:pPr>
      <w:spacing w:after="0" w:line="240" w:lineRule="auto"/>
    </w:pPr>
    <w:rPr>
      <w:rFonts w:eastAsiaTheme="minorEastAsia"/>
      <w:sz w:val="24"/>
      <w:szCs w:val="24"/>
      <w:lang w:eastAsia="zh-CN"/>
    </w:rPr>
  </w:style>
  <w:style w:type="paragraph" w:styleId="Quote">
    <w:name w:val="Quote"/>
    <w:basedOn w:val="Normal"/>
    <w:next w:val="Normal"/>
    <w:link w:val="QuoteChar"/>
    <w:uiPriority w:val="29"/>
    <w:semiHidden/>
    <w:rsid w:val="00C033DD"/>
    <w:rPr>
      <w:i/>
      <w:iCs/>
      <w:color w:val="000000" w:themeColor="text1"/>
    </w:rPr>
  </w:style>
  <w:style w:type="character" w:customStyle="1" w:styleId="QuoteChar">
    <w:name w:val="Quote Char"/>
    <w:basedOn w:val="DefaultParagraphFont"/>
    <w:link w:val="Quote"/>
    <w:uiPriority w:val="29"/>
    <w:rsid w:val="00C033DD"/>
    <w:rPr>
      <w:rFonts w:eastAsiaTheme="minorEastAsia"/>
      <w:i/>
      <w:iCs/>
      <w:color w:val="000000" w:themeColor="text1"/>
      <w:sz w:val="24"/>
      <w:szCs w:val="24"/>
      <w:lang w:eastAsia="zh-CN"/>
    </w:rPr>
  </w:style>
  <w:style w:type="paragraph" w:styleId="IntenseQuote">
    <w:name w:val="Intense Quote"/>
    <w:basedOn w:val="Normal"/>
    <w:next w:val="Normal"/>
    <w:link w:val="IntenseQuoteChar"/>
    <w:uiPriority w:val="30"/>
    <w:semiHidden/>
    <w:rsid w:val="00C033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033DD"/>
    <w:rPr>
      <w:rFonts w:eastAsiaTheme="minorEastAsia"/>
      <w:b/>
      <w:bCs/>
      <w:i/>
      <w:iCs/>
      <w:color w:val="4F81BD" w:themeColor="accent1"/>
      <w:sz w:val="24"/>
      <w:szCs w:val="24"/>
      <w:lang w:eastAsia="zh-CN"/>
    </w:rPr>
  </w:style>
  <w:style w:type="character" w:customStyle="1" w:styleId="Heading3Char">
    <w:name w:val="Heading 3 Char"/>
    <w:basedOn w:val="DefaultParagraphFont"/>
    <w:link w:val="Heading3"/>
    <w:uiPriority w:val="9"/>
    <w:semiHidden/>
    <w:rsid w:val="00C033DD"/>
    <w:rPr>
      <w:rFonts w:asciiTheme="majorHAnsi" w:eastAsiaTheme="majorEastAsia" w:hAnsiTheme="majorHAnsi" w:cstheme="majorBidi"/>
      <w:b/>
      <w:bCs/>
      <w:color w:val="4F81BD" w:themeColor="accent1"/>
      <w:sz w:val="24"/>
      <w:szCs w:val="24"/>
      <w:lang w:eastAsia="zh-CN"/>
    </w:rPr>
  </w:style>
  <w:style w:type="paragraph" w:styleId="Title">
    <w:name w:val="Title"/>
    <w:basedOn w:val="Normal"/>
    <w:next w:val="Normal"/>
    <w:link w:val="TitleChar"/>
    <w:uiPriority w:val="10"/>
    <w:rsid w:val="00C033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33DD"/>
    <w:rPr>
      <w:rFonts w:asciiTheme="majorHAnsi" w:eastAsiaTheme="majorEastAsia" w:hAnsiTheme="majorHAnsi" w:cstheme="majorBidi"/>
      <w:color w:val="17365D" w:themeColor="text2" w:themeShade="BF"/>
      <w:spacing w:val="5"/>
      <w:kern w:val="28"/>
      <w:sz w:val="52"/>
      <w:szCs w:val="52"/>
      <w:lang w:eastAsia="zh-CN"/>
    </w:rPr>
  </w:style>
  <w:style w:type="paragraph" w:styleId="Subtitle">
    <w:name w:val="Subtitle"/>
    <w:basedOn w:val="Normal"/>
    <w:next w:val="Normal"/>
    <w:link w:val="SubtitleChar"/>
    <w:uiPriority w:val="11"/>
    <w:rsid w:val="00C033D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033DD"/>
    <w:rPr>
      <w:rFonts w:asciiTheme="majorHAnsi" w:eastAsiaTheme="majorEastAsia" w:hAnsiTheme="majorHAnsi" w:cstheme="majorBidi"/>
      <w:i/>
      <w:iCs/>
      <w:color w:val="4F81BD" w:themeColor="accent1"/>
      <w:spacing w:val="15"/>
      <w:sz w:val="24"/>
      <w:szCs w:val="24"/>
      <w:lang w:eastAsia="zh-CN"/>
    </w:rPr>
  </w:style>
  <w:style w:type="character" w:styleId="SubtleEmphasis">
    <w:name w:val="Subtle Emphasis"/>
    <w:basedOn w:val="DefaultParagraphFont"/>
    <w:uiPriority w:val="19"/>
    <w:rsid w:val="00C033DD"/>
    <w:rPr>
      <w:i/>
      <w:iCs/>
      <w:color w:val="808080" w:themeColor="text1" w:themeTint="7F"/>
    </w:rPr>
  </w:style>
  <w:style w:type="character" w:styleId="Emphasis">
    <w:name w:val="Emphasis"/>
    <w:basedOn w:val="DefaultParagraphFont"/>
    <w:uiPriority w:val="20"/>
    <w:rsid w:val="00C033DD"/>
    <w:rPr>
      <w:i/>
      <w:iCs/>
    </w:rPr>
  </w:style>
  <w:style w:type="character" w:styleId="IntenseEmphasis">
    <w:name w:val="Intense Emphasis"/>
    <w:basedOn w:val="DefaultParagraphFont"/>
    <w:uiPriority w:val="21"/>
    <w:rsid w:val="00C033DD"/>
    <w:rPr>
      <w:b/>
      <w:bCs/>
      <w:i/>
      <w:iCs/>
      <w:color w:val="4F81BD" w:themeColor="accent1"/>
    </w:rPr>
  </w:style>
  <w:style w:type="character" w:styleId="Strong">
    <w:name w:val="Strong"/>
    <w:basedOn w:val="DefaultParagraphFont"/>
    <w:uiPriority w:val="22"/>
    <w:rsid w:val="00C033DD"/>
    <w:rPr>
      <w:b/>
      <w:bCs/>
    </w:rPr>
  </w:style>
  <w:style w:type="character" w:styleId="SubtleReference">
    <w:name w:val="Subtle Reference"/>
    <w:basedOn w:val="DefaultParagraphFont"/>
    <w:uiPriority w:val="31"/>
    <w:rsid w:val="00C033DD"/>
    <w:rPr>
      <w:smallCaps/>
      <w:color w:val="C0504D" w:themeColor="accent2"/>
      <w:u w:val="single"/>
    </w:rPr>
  </w:style>
  <w:style w:type="character" w:styleId="IntenseReference">
    <w:name w:val="Intense Reference"/>
    <w:basedOn w:val="DefaultParagraphFont"/>
    <w:uiPriority w:val="32"/>
    <w:rsid w:val="00C033DD"/>
    <w:rPr>
      <w:b/>
      <w:bCs/>
      <w:smallCaps/>
      <w:color w:val="C0504D" w:themeColor="accent2"/>
      <w:spacing w:val="5"/>
      <w:u w:val="single"/>
    </w:rPr>
  </w:style>
  <w:style w:type="paragraph" w:styleId="Header">
    <w:name w:val="header"/>
    <w:basedOn w:val="Normal"/>
    <w:link w:val="HeaderChar"/>
    <w:uiPriority w:val="99"/>
    <w:unhideWhenUsed/>
    <w:rsid w:val="001543AF"/>
    <w:pPr>
      <w:tabs>
        <w:tab w:val="center" w:pos="4680"/>
        <w:tab w:val="right" w:pos="9360"/>
      </w:tabs>
    </w:pPr>
  </w:style>
  <w:style w:type="character" w:customStyle="1" w:styleId="HeaderChar">
    <w:name w:val="Header Char"/>
    <w:basedOn w:val="DefaultParagraphFont"/>
    <w:link w:val="Header"/>
    <w:uiPriority w:val="99"/>
    <w:rsid w:val="001543AF"/>
    <w:rPr>
      <w:rFonts w:eastAsiaTheme="minorEastAsia"/>
      <w:sz w:val="24"/>
      <w:szCs w:val="24"/>
      <w:lang w:eastAsia="zh-CN"/>
    </w:rPr>
  </w:style>
  <w:style w:type="paragraph" w:styleId="Footer">
    <w:name w:val="footer"/>
    <w:basedOn w:val="Normal"/>
    <w:link w:val="FooterChar"/>
    <w:uiPriority w:val="99"/>
    <w:unhideWhenUsed/>
    <w:rsid w:val="001543AF"/>
    <w:pPr>
      <w:tabs>
        <w:tab w:val="center" w:pos="4680"/>
        <w:tab w:val="right" w:pos="9360"/>
      </w:tabs>
    </w:pPr>
  </w:style>
  <w:style w:type="character" w:customStyle="1" w:styleId="FooterChar">
    <w:name w:val="Footer Char"/>
    <w:basedOn w:val="DefaultParagraphFont"/>
    <w:link w:val="Footer"/>
    <w:uiPriority w:val="99"/>
    <w:rsid w:val="001543AF"/>
    <w:rPr>
      <w:rFonts w:eastAsiaTheme="minorEastAsia"/>
      <w:sz w:val="24"/>
      <w:szCs w:val="24"/>
      <w:lang w:eastAsia="zh-CN"/>
    </w:rPr>
  </w:style>
  <w:style w:type="paragraph" w:customStyle="1" w:styleId="ShortOutline1">
    <w:name w:val="ShortOutline1"/>
    <w:basedOn w:val="Normal"/>
    <w:link w:val="ShortOutline1Char"/>
    <w:rsid w:val="00273852"/>
    <w:pPr>
      <w:numPr>
        <w:numId w:val="47"/>
      </w:numPr>
      <w:spacing w:before="240" w:after="240"/>
      <w:outlineLvl w:val="0"/>
    </w:pPr>
  </w:style>
  <w:style w:type="character" w:customStyle="1" w:styleId="ShortOutline1Char">
    <w:name w:val="ShortOutline1 Char"/>
    <w:basedOn w:val="DefaultParagraphFont"/>
    <w:link w:val="ShortOutline1"/>
    <w:rsid w:val="00273852"/>
    <w:rPr>
      <w:rFonts w:eastAsiaTheme="minorEastAsia"/>
      <w:sz w:val="24"/>
      <w:szCs w:val="24"/>
      <w:lang w:eastAsia="zh-CN"/>
    </w:rPr>
  </w:style>
  <w:style w:type="paragraph" w:customStyle="1" w:styleId="ShortOutline2">
    <w:name w:val="ShortOutline2"/>
    <w:basedOn w:val="Normal"/>
    <w:link w:val="ShortOutline2Char"/>
    <w:rsid w:val="00273852"/>
    <w:pPr>
      <w:numPr>
        <w:ilvl w:val="1"/>
        <w:numId w:val="47"/>
      </w:numPr>
      <w:spacing w:before="240" w:after="240"/>
      <w:outlineLvl w:val="1"/>
    </w:pPr>
    <w:rPr>
      <w:color w:val="000000"/>
    </w:rPr>
  </w:style>
  <w:style w:type="character" w:customStyle="1" w:styleId="ShortOutline2Char">
    <w:name w:val="ShortOutline2 Char"/>
    <w:basedOn w:val="DefaultParagraphFont"/>
    <w:link w:val="ShortOutline2"/>
    <w:rsid w:val="00273852"/>
    <w:rPr>
      <w:rFonts w:eastAsiaTheme="minorEastAsia"/>
      <w:color w:val="000000"/>
      <w:sz w:val="24"/>
      <w:szCs w:val="24"/>
      <w:lang w:eastAsia="zh-CN"/>
    </w:rPr>
  </w:style>
  <w:style w:type="paragraph" w:customStyle="1" w:styleId="ShortOutline3">
    <w:name w:val="ShortOutline3"/>
    <w:basedOn w:val="Normal"/>
    <w:link w:val="ShortOutline3Char"/>
    <w:rsid w:val="00273852"/>
    <w:pPr>
      <w:numPr>
        <w:ilvl w:val="2"/>
        <w:numId w:val="47"/>
      </w:numPr>
      <w:spacing w:before="240" w:after="240"/>
      <w:outlineLvl w:val="2"/>
    </w:pPr>
    <w:rPr>
      <w:color w:val="000000"/>
    </w:rPr>
  </w:style>
  <w:style w:type="character" w:customStyle="1" w:styleId="ShortOutline3Char">
    <w:name w:val="ShortOutline3 Char"/>
    <w:basedOn w:val="DefaultParagraphFont"/>
    <w:link w:val="ShortOutline3"/>
    <w:rsid w:val="00273852"/>
    <w:rPr>
      <w:rFonts w:eastAsiaTheme="minorEastAsia"/>
      <w:color w:val="000000"/>
      <w:sz w:val="24"/>
      <w:szCs w:val="24"/>
      <w:lang w:eastAsia="zh-CN"/>
    </w:rPr>
  </w:style>
  <w:style w:type="paragraph" w:customStyle="1" w:styleId="ShortOutline4">
    <w:name w:val="ShortOutline4"/>
    <w:basedOn w:val="Normal"/>
    <w:link w:val="ShortOutline4Char"/>
    <w:rsid w:val="00273852"/>
    <w:pPr>
      <w:numPr>
        <w:ilvl w:val="3"/>
        <w:numId w:val="47"/>
      </w:numPr>
      <w:spacing w:before="240" w:after="240"/>
      <w:outlineLvl w:val="3"/>
    </w:pPr>
    <w:rPr>
      <w:color w:val="000000"/>
    </w:rPr>
  </w:style>
  <w:style w:type="character" w:customStyle="1" w:styleId="ShortOutline4Char">
    <w:name w:val="ShortOutline4 Char"/>
    <w:basedOn w:val="DefaultParagraphFont"/>
    <w:link w:val="ShortOutline4"/>
    <w:rsid w:val="00273852"/>
    <w:rPr>
      <w:rFonts w:eastAsiaTheme="minorEastAsia"/>
      <w:color w:val="000000"/>
      <w:sz w:val="24"/>
      <w:szCs w:val="24"/>
      <w:lang w:eastAsia="zh-CN"/>
    </w:rPr>
  </w:style>
  <w:style w:type="paragraph" w:customStyle="1" w:styleId="ShortOutline5">
    <w:name w:val="ShortOutline5"/>
    <w:basedOn w:val="Normal"/>
    <w:link w:val="ShortOutline5Char"/>
    <w:rsid w:val="00273852"/>
    <w:pPr>
      <w:numPr>
        <w:ilvl w:val="4"/>
        <w:numId w:val="47"/>
      </w:numPr>
      <w:spacing w:before="240" w:after="240"/>
      <w:outlineLvl w:val="4"/>
    </w:pPr>
    <w:rPr>
      <w:color w:val="000000"/>
    </w:rPr>
  </w:style>
  <w:style w:type="character" w:customStyle="1" w:styleId="ShortOutline5Char">
    <w:name w:val="ShortOutline5 Char"/>
    <w:basedOn w:val="DefaultParagraphFont"/>
    <w:link w:val="ShortOutline5"/>
    <w:rsid w:val="00273852"/>
    <w:rPr>
      <w:rFonts w:eastAsiaTheme="minorEastAsia"/>
      <w:color w:val="000000"/>
      <w:sz w:val="24"/>
      <w:szCs w:val="24"/>
      <w:lang w:eastAsia="zh-CN"/>
    </w:rPr>
  </w:style>
  <w:style w:type="numbering" w:customStyle="1" w:styleId="ShortOutlineList">
    <w:name w:val="ShortOutlineList"/>
    <w:basedOn w:val="NoList"/>
    <w:rsid w:val="00273852"/>
    <w:pPr>
      <w:numPr>
        <w:numId w:val="47"/>
      </w:numPr>
    </w:pPr>
  </w:style>
  <w:style w:type="character" w:styleId="FootnoteReference">
    <w:name w:val="footnote reference"/>
    <w:basedOn w:val="DefaultParagraphFont"/>
    <w:uiPriority w:val="99"/>
    <w:semiHidden/>
    <w:unhideWhenUsed/>
    <w:rsid w:val="00B72638"/>
    <w:rPr>
      <w:vertAlign w:val="superscript"/>
    </w:rPr>
  </w:style>
  <w:style w:type="character" w:customStyle="1" w:styleId="FooterBChar">
    <w:name w:val="Footer B Char"/>
    <w:basedOn w:val="DefaultParagraphFont"/>
    <w:link w:val="FooterB"/>
    <w:rsid w:val="00F46F81"/>
    <w:rPr>
      <w:rFonts w:ascii="Times New Roman" w:eastAsia="Times New Roman" w:hAnsi="Times New Roman" w:cs="Times New Roman"/>
      <w:bCs/>
      <w:sz w:val="15"/>
    </w:rPr>
  </w:style>
  <w:style w:type="paragraph" w:styleId="NormalWeb">
    <w:name w:val="Normal (Web)"/>
    <w:basedOn w:val="Normal"/>
    <w:uiPriority w:val="99"/>
    <w:semiHidden/>
    <w:unhideWhenUsed/>
    <w:rsid w:val="003D63B6"/>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A2684B"/>
    <w:rPr>
      <w:color w:val="0000FF" w:themeColor="hyperlink"/>
      <w:u w:val="single"/>
    </w:rPr>
  </w:style>
  <w:style w:type="paragraph" w:styleId="Revision">
    <w:name w:val="Revision"/>
    <w:hidden/>
    <w:uiPriority w:val="99"/>
    <w:semiHidden/>
    <w:rsid w:val="0056406C"/>
    <w:pPr>
      <w:spacing w:after="0" w:line="240" w:lineRule="auto"/>
    </w:pPr>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90783">
      <w:bodyDiv w:val="1"/>
      <w:marLeft w:val="0"/>
      <w:marRight w:val="0"/>
      <w:marTop w:val="0"/>
      <w:marBottom w:val="0"/>
      <w:divBdr>
        <w:top w:val="none" w:sz="0" w:space="0" w:color="auto"/>
        <w:left w:val="none" w:sz="0" w:space="0" w:color="auto"/>
        <w:bottom w:val="none" w:sz="0" w:space="0" w:color="auto"/>
        <w:right w:val="none" w:sz="0" w:space="0" w:color="auto"/>
      </w:divBdr>
    </w:div>
    <w:div w:id="1092512856">
      <w:bodyDiv w:val="1"/>
      <w:marLeft w:val="0"/>
      <w:marRight w:val="0"/>
      <w:marTop w:val="0"/>
      <w:marBottom w:val="0"/>
      <w:divBdr>
        <w:top w:val="none" w:sz="0" w:space="0" w:color="auto"/>
        <w:left w:val="none" w:sz="0" w:space="0" w:color="auto"/>
        <w:bottom w:val="none" w:sz="0" w:space="0" w:color="auto"/>
        <w:right w:val="none" w:sz="0" w:space="0" w:color="auto"/>
      </w:divBdr>
    </w:div>
    <w:div w:id="1241408340">
      <w:bodyDiv w:val="1"/>
      <w:marLeft w:val="0"/>
      <w:marRight w:val="0"/>
      <w:marTop w:val="0"/>
      <w:marBottom w:val="0"/>
      <w:divBdr>
        <w:top w:val="none" w:sz="0" w:space="0" w:color="auto"/>
        <w:left w:val="none" w:sz="0" w:space="0" w:color="auto"/>
        <w:bottom w:val="none" w:sz="0" w:space="0" w:color="auto"/>
        <w:right w:val="none" w:sz="0" w:space="0" w:color="auto"/>
      </w:divBdr>
      <w:divsChild>
        <w:div w:id="1758551969">
          <w:marLeft w:val="547"/>
          <w:marRight w:val="0"/>
          <w:marTop w:val="0"/>
          <w:marBottom w:val="0"/>
          <w:divBdr>
            <w:top w:val="none" w:sz="0" w:space="0" w:color="auto"/>
            <w:left w:val="none" w:sz="0" w:space="0" w:color="auto"/>
            <w:bottom w:val="none" w:sz="0" w:space="0" w:color="auto"/>
            <w:right w:val="none" w:sz="0" w:space="0" w:color="auto"/>
          </w:divBdr>
        </w:div>
      </w:divsChild>
    </w:div>
    <w:div w:id="1891963909">
      <w:bodyDiv w:val="1"/>
      <w:marLeft w:val="0"/>
      <w:marRight w:val="0"/>
      <w:marTop w:val="0"/>
      <w:marBottom w:val="0"/>
      <w:divBdr>
        <w:top w:val="none" w:sz="0" w:space="0" w:color="auto"/>
        <w:left w:val="none" w:sz="0" w:space="0" w:color="auto"/>
        <w:bottom w:val="none" w:sz="0" w:space="0" w:color="auto"/>
        <w:right w:val="none" w:sz="0" w:space="0" w:color="auto"/>
      </w:divBdr>
      <w:divsChild>
        <w:div w:id="425736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010.dr@bradesco.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mfbovespa.com.br" TargetMode="External"/><Relationship Id="rId4" Type="http://schemas.openxmlformats.org/officeDocument/2006/relationships/webSettings" Target="webSettings.xml"/><Relationship Id="rId9" Type="http://schemas.openxmlformats.org/officeDocument/2006/relationships/hyperlink" Target="http://www.cvm.gov.br" TargetMode="External"/></Relationships>
</file>

<file path=word/theme/theme1.xml><?xml version="1.0" encoding="utf-8"?>
<a:theme xmlns:a="http://schemas.openxmlformats.org/drawingml/2006/main" name="Skadde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adden Times NR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Skadden, Arps</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Andreu, Felipe</cp:lastModifiedBy>
  <cp:revision>2</cp:revision>
  <dcterms:created xsi:type="dcterms:W3CDTF">2017-02-15T00:06:00Z</dcterms:created>
  <dcterms:modified xsi:type="dcterms:W3CDTF">2017-02-15T00:06:00Z</dcterms:modified>
</cp:coreProperties>
</file>