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873" w:rsidRPr="00A56C60" w:rsidRDefault="00BC3DE8" w:rsidP="000B6FC0">
      <w:pPr>
        <w:pStyle w:val="Kop2"/>
        <w:rPr>
          <w:lang w:val="en-GB"/>
        </w:rPr>
      </w:pPr>
      <w:bookmarkStart w:id="0" w:name="_GoBack"/>
      <w:bookmarkEnd w:id="0"/>
      <w:r w:rsidRPr="00A56C60">
        <w:rPr>
          <w:noProof/>
          <w:lang w:val="en-GB" w:eastAsia="en-GB"/>
        </w:rPr>
        <w:drawing>
          <wp:inline distT="0" distB="0" distL="0" distR="0" wp14:anchorId="4A518F67" wp14:editId="35F745ED">
            <wp:extent cx="2019300" cy="841375"/>
            <wp:effectExtent l="19050" t="0" r="0" b="0"/>
            <wp:docPr id="1" name="Afbeelding 2" descr="Macintosh HD:Users:Roel:Downloads:I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acintosh HD:Users:Roel:Downloads:ICT_logo.jpg"/>
                    <pic:cNvPicPr>
                      <a:picLocks noChangeAspect="1" noChangeArrowheads="1"/>
                    </pic:cNvPicPr>
                  </pic:nvPicPr>
                  <pic:blipFill>
                    <a:blip r:embed="rId8"/>
                    <a:srcRect/>
                    <a:stretch>
                      <a:fillRect/>
                    </a:stretch>
                  </pic:blipFill>
                  <pic:spPr bwMode="auto">
                    <a:xfrm>
                      <a:off x="0" y="0"/>
                      <a:ext cx="2019300" cy="841375"/>
                    </a:xfrm>
                    <a:prstGeom prst="rect">
                      <a:avLst/>
                    </a:prstGeom>
                    <a:noFill/>
                    <a:ln w="9525">
                      <a:noFill/>
                      <a:miter lim="800000"/>
                      <a:headEnd/>
                      <a:tailEnd/>
                    </a:ln>
                  </pic:spPr>
                </pic:pic>
              </a:graphicData>
            </a:graphic>
          </wp:inline>
        </w:drawing>
      </w:r>
    </w:p>
    <w:p w:rsidR="00D76873" w:rsidRPr="00A56C60" w:rsidRDefault="00D76873" w:rsidP="00D75221">
      <w:pPr>
        <w:pStyle w:val="Kop1"/>
        <w:tabs>
          <w:tab w:val="right" w:pos="9072"/>
        </w:tabs>
        <w:rPr>
          <w:rFonts w:ascii="Arial" w:hAnsi="Arial" w:cs="Arial"/>
          <w:color w:val="auto"/>
          <w:sz w:val="20"/>
          <w:lang w:val="en-GB"/>
        </w:rPr>
      </w:pPr>
      <w:r w:rsidRPr="00A56C60">
        <w:rPr>
          <w:rFonts w:ascii="Arial" w:hAnsi="Arial" w:cs="Arial"/>
          <w:color w:val="auto"/>
          <w:sz w:val="20"/>
          <w:lang w:val="en-GB"/>
        </w:rPr>
        <w:t>PRESS RELEASE</w:t>
      </w:r>
      <w:r w:rsidRPr="00A56C60">
        <w:rPr>
          <w:rFonts w:ascii="Arial" w:hAnsi="Arial" w:cs="Arial"/>
          <w:color w:val="auto"/>
          <w:sz w:val="20"/>
          <w:lang w:val="en-GB"/>
        </w:rPr>
        <w:tab/>
      </w:r>
      <w:r w:rsidRPr="00A56C60">
        <w:rPr>
          <w:rFonts w:ascii="Arial" w:hAnsi="Arial" w:cs="Arial"/>
          <w:b w:val="0"/>
          <w:color w:val="auto"/>
          <w:sz w:val="20"/>
          <w:lang w:val="en-GB"/>
        </w:rPr>
        <w:t xml:space="preserve">pages: </w:t>
      </w:r>
      <w:r w:rsidR="00EC3A08">
        <w:rPr>
          <w:rFonts w:ascii="Arial" w:hAnsi="Arial" w:cs="Arial"/>
          <w:b w:val="0"/>
          <w:color w:val="auto"/>
          <w:sz w:val="20"/>
          <w:lang w:val="en-GB"/>
        </w:rPr>
        <w:t>1</w:t>
      </w:r>
    </w:p>
    <w:p w:rsidR="00D76873" w:rsidRPr="00A56C60" w:rsidRDefault="00D76873" w:rsidP="00D75221">
      <w:pPr>
        <w:rPr>
          <w:rFonts w:ascii="Arial" w:hAnsi="Arial" w:cs="Arial"/>
          <w:sz w:val="20"/>
          <w:lang w:val="en-GB"/>
        </w:rPr>
      </w:pPr>
    </w:p>
    <w:p w:rsidR="00D76873" w:rsidRPr="00A56C60" w:rsidRDefault="00D76873" w:rsidP="00D75221">
      <w:pPr>
        <w:rPr>
          <w:rFonts w:ascii="Arial" w:hAnsi="Arial" w:cs="Arial"/>
          <w:sz w:val="20"/>
          <w:lang w:val="en-GB"/>
        </w:rPr>
      </w:pPr>
    </w:p>
    <w:p w:rsidR="001E4884" w:rsidRDefault="001E4884" w:rsidP="00651D0C">
      <w:pPr>
        <w:rPr>
          <w:rFonts w:ascii="Arial" w:hAnsi="Arial" w:cs="Arial"/>
          <w:sz w:val="20"/>
          <w:szCs w:val="20"/>
          <w:lang w:val="en-US"/>
        </w:rPr>
      </w:pPr>
    </w:p>
    <w:p w:rsidR="001E4884" w:rsidRDefault="001E4884" w:rsidP="00651D0C">
      <w:pPr>
        <w:rPr>
          <w:rFonts w:ascii="Arial" w:hAnsi="Arial" w:cs="Arial"/>
          <w:sz w:val="20"/>
          <w:szCs w:val="20"/>
          <w:lang w:val="en-US"/>
        </w:rPr>
      </w:pPr>
    </w:p>
    <w:p w:rsidR="00EC3A08" w:rsidRDefault="00EC3A08" w:rsidP="00651D0C">
      <w:pPr>
        <w:rPr>
          <w:rFonts w:ascii="Arial" w:hAnsi="Arial" w:cs="Arial"/>
          <w:sz w:val="20"/>
          <w:szCs w:val="20"/>
          <w:lang w:val="en-US"/>
        </w:rPr>
      </w:pPr>
    </w:p>
    <w:p w:rsidR="00B4551E" w:rsidRPr="00F56450" w:rsidRDefault="00D76873" w:rsidP="00651D0C">
      <w:pPr>
        <w:rPr>
          <w:rFonts w:ascii="Arial" w:hAnsi="Arial" w:cs="Arial"/>
          <w:sz w:val="20"/>
          <w:szCs w:val="20"/>
          <w:lang w:val="en-US"/>
        </w:rPr>
      </w:pPr>
      <w:r w:rsidRPr="00F56450">
        <w:rPr>
          <w:rFonts w:ascii="Arial" w:hAnsi="Arial" w:cs="Arial"/>
          <w:sz w:val="20"/>
          <w:szCs w:val="20"/>
          <w:lang w:val="en-US"/>
        </w:rPr>
        <w:t xml:space="preserve">Barendrecht, </w:t>
      </w:r>
      <w:r w:rsidR="00FE0A52">
        <w:rPr>
          <w:rFonts w:ascii="Arial" w:hAnsi="Arial" w:cs="Arial"/>
          <w:sz w:val="20"/>
          <w:szCs w:val="20"/>
          <w:lang w:val="en-US"/>
        </w:rPr>
        <w:t>January</w:t>
      </w:r>
      <w:r w:rsidR="00EA4464">
        <w:rPr>
          <w:rFonts w:ascii="Arial" w:hAnsi="Arial" w:cs="Arial"/>
          <w:sz w:val="20"/>
          <w:szCs w:val="20"/>
          <w:lang w:val="en-US"/>
        </w:rPr>
        <w:t xml:space="preserve"> </w:t>
      </w:r>
      <w:r w:rsidR="00FE0A52">
        <w:rPr>
          <w:rFonts w:ascii="Arial" w:hAnsi="Arial" w:cs="Arial"/>
          <w:sz w:val="20"/>
          <w:szCs w:val="20"/>
          <w:lang w:val="en-US"/>
        </w:rPr>
        <w:t>25</w:t>
      </w:r>
      <w:r w:rsidR="00887A2D" w:rsidRPr="00F56450">
        <w:rPr>
          <w:rFonts w:ascii="Arial" w:hAnsi="Arial" w:cs="Arial"/>
          <w:sz w:val="20"/>
          <w:szCs w:val="20"/>
          <w:lang w:val="en-US"/>
        </w:rPr>
        <w:t>,</w:t>
      </w:r>
      <w:r w:rsidR="006B6027" w:rsidRPr="00F56450">
        <w:rPr>
          <w:rFonts w:ascii="Arial" w:hAnsi="Arial" w:cs="Arial"/>
          <w:sz w:val="20"/>
          <w:szCs w:val="20"/>
          <w:lang w:val="en-US"/>
        </w:rPr>
        <w:t xml:space="preserve"> 201</w:t>
      </w:r>
      <w:r w:rsidR="00FE0A52">
        <w:rPr>
          <w:rFonts w:ascii="Arial" w:hAnsi="Arial" w:cs="Arial"/>
          <w:sz w:val="20"/>
          <w:szCs w:val="20"/>
          <w:lang w:val="en-US"/>
        </w:rPr>
        <w:t>8</w:t>
      </w:r>
    </w:p>
    <w:p w:rsidR="00852999" w:rsidRPr="00F56450" w:rsidRDefault="00852999" w:rsidP="00651D0C">
      <w:pPr>
        <w:rPr>
          <w:rFonts w:ascii="Arial" w:hAnsi="Arial" w:cs="Arial"/>
          <w:sz w:val="20"/>
          <w:szCs w:val="20"/>
          <w:lang w:val="en-US"/>
        </w:rPr>
      </w:pPr>
    </w:p>
    <w:p w:rsidR="00887A2D" w:rsidRPr="00F56450" w:rsidRDefault="00887A2D" w:rsidP="005A044E">
      <w:pPr>
        <w:rPr>
          <w:rFonts w:ascii="Arial" w:hAnsi="Arial" w:cs="Arial"/>
          <w:b/>
          <w:sz w:val="20"/>
          <w:szCs w:val="20"/>
          <w:lang w:val="en-US"/>
        </w:rPr>
      </w:pPr>
    </w:p>
    <w:p w:rsidR="00EC3A08" w:rsidRDefault="00EC3A08" w:rsidP="005A044E">
      <w:pPr>
        <w:rPr>
          <w:rFonts w:ascii="Arial" w:hAnsi="Arial" w:cs="Arial"/>
          <w:b/>
          <w:lang w:val="en-US"/>
        </w:rPr>
      </w:pPr>
    </w:p>
    <w:p w:rsidR="005A044E" w:rsidRPr="003C460B" w:rsidRDefault="005A044E" w:rsidP="005A044E">
      <w:pPr>
        <w:rPr>
          <w:rFonts w:ascii="Arial" w:hAnsi="Arial" w:cs="Arial"/>
          <w:b/>
          <w:lang w:val="en-US" w:eastAsia="nl-NL"/>
        </w:rPr>
      </w:pPr>
      <w:r w:rsidRPr="003C460B">
        <w:rPr>
          <w:rFonts w:ascii="Arial" w:hAnsi="Arial" w:cs="Arial"/>
          <w:b/>
          <w:lang w:val="en-US"/>
        </w:rPr>
        <w:t xml:space="preserve">ICT Group </w:t>
      </w:r>
      <w:r w:rsidR="00FE0A52">
        <w:rPr>
          <w:rFonts w:ascii="Arial" w:hAnsi="Arial" w:cs="Arial"/>
          <w:b/>
          <w:lang w:val="en-US"/>
        </w:rPr>
        <w:t>completes</w:t>
      </w:r>
      <w:r w:rsidR="003C460B" w:rsidRPr="003C460B">
        <w:rPr>
          <w:rFonts w:ascii="Arial" w:hAnsi="Arial" w:cs="Arial"/>
          <w:b/>
          <w:lang w:val="en-US"/>
        </w:rPr>
        <w:t xml:space="preserve"> </w:t>
      </w:r>
      <w:r w:rsidR="00FE0A52">
        <w:rPr>
          <w:rFonts w:ascii="Arial" w:hAnsi="Arial" w:cs="Arial"/>
          <w:b/>
          <w:lang w:val="en-US"/>
        </w:rPr>
        <w:t xml:space="preserve">acquisition of </w:t>
      </w:r>
      <w:r w:rsidR="003C460B" w:rsidRPr="003C460B">
        <w:rPr>
          <w:rFonts w:ascii="Arial" w:hAnsi="Arial" w:cs="Arial"/>
          <w:b/>
          <w:lang w:val="en-US"/>
        </w:rPr>
        <w:t>NedMobiel</w:t>
      </w:r>
    </w:p>
    <w:p w:rsidR="002C6F0C" w:rsidRPr="00F56450" w:rsidRDefault="002C6F0C" w:rsidP="002C6F0C">
      <w:pPr>
        <w:pStyle w:val="Geenafstand"/>
        <w:rPr>
          <w:rFonts w:ascii="Arial" w:hAnsi="Arial" w:cs="Arial"/>
          <w:b/>
          <w:sz w:val="20"/>
          <w:lang w:val="en-US"/>
        </w:rPr>
      </w:pPr>
    </w:p>
    <w:p w:rsidR="007212A0" w:rsidRPr="00F56450" w:rsidRDefault="007212A0" w:rsidP="002C6F0C">
      <w:pPr>
        <w:pStyle w:val="Geenafstand"/>
        <w:jc w:val="both"/>
        <w:rPr>
          <w:rFonts w:ascii="Arial" w:hAnsi="Arial" w:cs="Arial"/>
          <w:b/>
          <w:sz w:val="20"/>
          <w:lang w:val="en-US"/>
        </w:rPr>
      </w:pPr>
    </w:p>
    <w:p w:rsidR="00EC3A08" w:rsidRPr="00EC3A08" w:rsidRDefault="003C460B" w:rsidP="003C460B">
      <w:pPr>
        <w:spacing w:line="276" w:lineRule="auto"/>
        <w:rPr>
          <w:rFonts w:ascii="Arial" w:hAnsi="Arial" w:cs="Arial"/>
          <w:sz w:val="20"/>
          <w:szCs w:val="20"/>
          <w:lang w:val="en"/>
        </w:rPr>
      </w:pPr>
      <w:r w:rsidRPr="00EC3A08">
        <w:rPr>
          <w:rStyle w:val="Zwaar"/>
          <w:rFonts w:ascii="Arial" w:hAnsi="Arial" w:cs="Arial"/>
          <w:sz w:val="20"/>
          <w:szCs w:val="20"/>
          <w:lang w:val="en"/>
        </w:rPr>
        <w:t xml:space="preserve">ICT Group N.V. (ICT) announces that </w:t>
      </w:r>
      <w:r w:rsidR="00FE0A52" w:rsidRPr="00EC3A08">
        <w:rPr>
          <w:rStyle w:val="Zwaar"/>
          <w:rFonts w:ascii="Arial" w:hAnsi="Arial" w:cs="Arial"/>
          <w:sz w:val="20"/>
          <w:szCs w:val="20"/>
          <w:lang w:val="en"/>
        </w:rPr>
        <w:t>it has completed the purchase of</w:t>
      </w:r>
      <w:r w:rsidRPr="00EC3A08">
        <w:rPr>
          <w:rStyle w:val="Zwaar"/>
          <w:rFonts w:ascii="Arial" w:hAnsi="Arial" w:cs="Arial"/>
          <w:sz w:val="20"/>
          <w:szCs w:val="20"/>
          <w:lang w:val="en"/>
        </w:rPr>
        <w:t xml:space="preserve"> 100% of the shares of NedMobiel</w:t>
      </w:r>
      <w:r w:rsidR="007C0C7A" w:rsidRPr="00EC3A08">
        <w:rPr>
          <w:rStyle w:val="Zwaar"/>
          <w:rFonts w:ascii="Arial" w:hAnsi="Arial" w:cs="Arial"/>
          <w:sz w:val="20"/>
          <w:szCs w:val="20"/>
          <w:lang w:val="en"/>
        </w:rPr>
        <w:t xml:space="preserve"> B.V.</w:t>
      </w:r>
      <w:r w:rsidRPr="00EC3A08">
        <w:rPr>
          <w:rStyle w:val="Zwaar"/>
          <w:rFonts w:ascii="Arial" w:hAnsi="Arial" w:cs="Arial"/>
          <w:sz w:val="20"/>
          <w:szCs w:val="20"/>
          <w:lang w:val="en"/>
        </w:rPr>
        <w:t xml:space="preserve">, </w:t>
      </w:r>
      <w:r w:rsidR="00EC3A08" w:rsidRPr="00EC3A08">
        <w:rPr>
          <w:rStyle w:val="Zwaar"/>
          <w:rFonts w:ascii="Arial" w:hAnsi="Arial" w:cs="Arial"/>
          <w:sz w:val="20"/>
          <w:szCs w:val="20"/>
          <w:lang w:val="en"/>
        </w:rPr>
        <w:t>a Dutch</w:t>
      </w:r>
      <w:r w:rsidRPr="00EC3A08">
        <w:rPr>
          <w:rStyle w:val="Zwaar"/>
          <w:rFonts w:ascii="Arial" w:hAnsi="Arial" w:cs="Arial"/>
          <w:sz w:val="20"/>
          <w:szCs w:val="20"/>
          <w:lang w:val="en"/>
        </w:rPr>
        <w:t xml:space="preserve"> </w:t>
      </w:r>
      <w:r w:rsidR="007C0C7A" w:rsidRPr="00EC3A08">
        <w:rPr>
          <w:rStyle w:val="Zwaar"/>
          <w:rFonts w:ascii="Arial" w:hAnsi="Arial" w:cs="Arial"/>
          <w:sz w:val="20"/>
          <w:szCs w:val="20"/>
          <w:lang w:val="en"/>
        </w:rPr>
        <w:t xml:space="preserve">expert </w:t>
      </w:r>
      <w:r w:rsidRPr="00EC3A08">
        <w:rPr>
          <w:rStyle w:val="Zwaar"/>
          <w:rFonts w:ascii="Arial" w:hAnsi="Arial" w:cs="Arial"/>
          <w:sz w:val="20"/>
          <w:szCs w:val="20"/>
          <w:lang w:val="en"/>
        </w:rPr>
        <w:t xml:space="preserve">consultancy </w:t>
      </w:r>
      <w:r w:rsidR="007C0C7A" w:rsidRPr="00EC3A08">
        <w:rPr>
          <w:rStyle w:val="Zwaar"/>
          <w:rFonts w:ascii="Arial" w:hAnsi="Arial" w:cs="Arial"/>
          <w:sz w:val="20"/>
          <w:szCs w:val="20"/>
          <w:lang w:val="en"/>
        </w:rPr>
        <w:t xml:space="preserve">company </w:t>
      </w:r>
      <w:r w:rsidRPr="00EC3A08">
        <w:rPr>
          <w:rStyle w:val="Zwaar"/>
          <w:rFonts w:ascii="Arial" w:hAnsi="Arial" w:cs="Arial"/>
          <w:sz w:val="20"/>
          <w:szCs w:val="20"/>
          <w:lang w:val="en"/>
        </w:rPr>
        <w:t xml:space="preserve">for </w:t>
      </w:r>
      <w:r w:rsidRPr="00EC3A08">
        <w:rPr>
          <w:rFonts w:ascii="Arial" w:hAnsi="Arial" w:cs="Arial"/>
          <w:b/>
          <w:sz w:val="20"/>
          <w:szCs w:val="20"/>
          <w:lang w:val="en-US"/>
        </w:rPr>
        <w:t xml:space="preserve">complex </w:t>
      </w:r>
      <w:r w:rsidRPr="00EC3A08">
        <w:rPr>
          <w:rStyle w:val="Zwaar"/>
          <w:rFonts w:ascii="Arial" w:hAnsi="Arial" w:cs="Arial"/>
          <w:sz w:val="20"/>
          <w:szCs w:val="20"/>
          <w:lang w:val="en"/>
        </w:rPr>
        <w:t>infras</w:t>
      </w:r>
      <w:r w:rsidR="00FD54C3" w:rsidRPr="00EC3A08">
        <w:rPr>
          <w:rStyle w:val="Zwaar"/>
          <w:rFonts w:ascii="Arial" w:hAnsi="Arial" w:cs="Arial"/>
          <w:sz w:val="20"/>
          <w:szCs w:val="20"/>
          <w:lang w:val="en"/>
        </w:rPr>
        <w:t>tructures</w:t>
      </w:r>
      <w:r w:rsidR="00FE0A52" w:rsidRPr="00EC3A08">
        <w:rPr>
          <w:rStyle w:val="Zwaar"/>
          <w:rFonts w:ascii="Arial" w:hAnsi="Arial" w:cs="Arial"/>
          <w:sz w:val="20"/>
          <w:szCs w:val="20"/>
          <w:lang w:val="en"/>
        </w:rPr>
        <w:t>. The purchase consideration has been paid in cash.</w:t>
      </w:r>
      <w:r w:rsidR="00FE0A52" w:rsidRPr="00EC3A08">
        <w:rPr>
          <w:rFonts w:ascii="Arial" w:hAnsi="Arial" w:cs="Arial"/>
          <w:sz w:val="20"/>
          <w:szCs w:val="20"/>
          <w:lang w:val="en"/>
        </w:rPr>
        <w:t xml:space="preserve"> </w:t>
      </w:r>
    </w:p>
    <w:p w:rsidR="00EC3A08" w:rsidRDefault="00EC3A08" w:rsidP="003C460B">
      <w:pPr>
        <w:spacing w:line="276" w:lineRule="auto"/>
        <w:rPr>
          <w:rFonts w:ascii="Arial" w:hAnsi="Arial" w:cs="Arial"/>
          <w:color w:val="252524"/>
          <w:sz w:val="20"/>
          <w:szCs w:val="20"/>
          <w:lang w:val="en"/>
        </w:rPr>
      </w:pPr>
    </w:p>
    <w:p w:rsidR="00EC3A08" w:rsidRDefault="00EC3A08" w:rsidP="003C460B">
      <w:pPr>
        <w:spacing w:after="225" w:line="276" w:lineRule="auto"/>
        <w:rPr>
          <w:rFonts w:ascii="Arial" w:hAnsi="Arial" w:cs="Arial"/>
          <w:b/>
          <w:sz w:val="20"/>
          <w:szCs w:val="20"/>
          <w:lang w:val="en-GB"/>
        </w:rPr>
      </w:pPr>
      <w:r w:rsidRPr="00EC3A08">
        <w:rPr>
          <w:rFonts w:ascii="Arial" w:hAnsi="Arial" w:cs="Arial"/>
          <w:sz w:val="20"/>
          <w:szCs w:val="20"/>
          <w:lang w:val="en-GB"/>
        </w:rPr>
        <w:t xml:space="preserve">NedMobiel </w:t>
      </w:r>
      <w:r w:rsidR="00833A07">
        <w:rPr>
          <w:rFonts w:ascii="Arial" w:hAnsi="Arial" w:cs="Arial"/>
          <w:sz w:val="20"/>
          <w:szCs w:val="20"/>
          <w:lang w:val="en-GB"/>
        </w:rPr>
        <w:t xml:space="preserve">has extensive </w:t>
      </w:r>
      <w:r w:rsidRPr="00EC3A08">
        <w:rPr>
          <w:rFonts w:ascii="Arial" w:hAnsi="Arial" w:cs="Arial"/>
          <w:sz w:val="20"/>
          <w:szCs w:val="20"/>
          <w:lang w:val="en-GB"/>
        </w:rPr>
        <w:t xml:space="preserve">expertise in (tunnel) safety, asset management and project management. </w:t>
      </w:r>
      <w:r w:rsidR="00FE0A52" w:rsidRPr="00EC3A08">
        <w:rPr>
          <w:rFonts w:ascii="Arial" w:hAnsi="Arial" w:cs="Arial"/>
          <w:sz w:val="20"/>
          <w:szCs w:val="20"/>
          <w:lang w:val="en-GB"/>
        </w:rPr>
        <w:t>NedMobiel will work closely with ICT</w:t>
      </w:r>
      <w:r w:rsidR="007D5F49">
        <w:rPr>
          <w:rFonts w:ascii="Arial" w:hAnsi="Arial" w:cs="Arial"/>
          <w:sz w:val="20"/>
          <w:szCs w:val="20"/>
          <w:lang w:val="en-GB"/>
        </w:rPr>
        <w:t xml:space="preserve"> Netherlands’ </w:t>
      </w:r>
      <w:r w:rsidR="00FE0A52" w:rsidRPr="00EC3A08">
        <w:rPr>
          <w:rFonts w:ascii="Arial" w:hAnsi="Arial" w:cs="Arial"/>
          <w:sz w:val="20"/>
          <w:szCs w:val="20"/>
          <w:lang w:val="en-GB"/>
        </w:rPr>
        <w:t>business unit</w:t>
      </w:r>
      <w:r w:rsidR="007D5F49">
        <w:rPr>
          <w:rFonts w:ascii="Arial" w:hAnsi="Arial" w:cs="Arial"/>
          <w:sz w:val="20"/>
          <w:szCs w:val="20"/>
          <w:lang w:val="en-GB"/>
        </w:rPr>
        <w:t>s</w:t>
      </w:r>
      <w:r w:rsidR="00FE0A52" w:rsidRPr="00EC3A08">
        <w:rPr>
          <w:rFonts w:ascii="Arial" w:hAnsi="Arial" w:cs="Arial"/>
          <w:sz w:val="20"/>
          <w:szCs w:val="20"/>
          <w:lang w:val="en-GB"/>
        </w:rPr>
        <w:t xml:space="preserve"> </w:t>
      </w:r>
      <w:r w:rsidR="007D5F49">
        <w:rPr>
          <w:rFonts w:ascii="Arial" w:hAnsi="Arial" w:cs="Arial"/>
          <w:sz w:val="20"/>
          <w:szCs w:val="20"/>
          <w:lang w:val="en-GB"/>
        </w:rPr>
        <w:t xml:space="preserve">Water and Infrastructures and </w:t>
      </w:r>
      <w:r w:rsidR="00FE0A52" w:rsidRPr="00EC3A08">
        <w:rPr>
          <w:rFonts w:ascii="Arial" w:hAnsi="Arial" w:cs="Arial"/>
          <w:sz w:val="20"/>
          <w:szCs w:val="20"/>
          <w:lang w:val="en-GB"/>
        </w:rPr>
        <w:t>Engineering Contractors and will be able to benefit from the strong position that ICT holds in the national rail, road, water and infra</w:t>
      </w:r>
      <w:r w:rsidR="007D5F49">
        <w:rPr>
          <w:rFonts w:ascii="Arial" w:hAnsi="Arial" w:cs="Arial"/>
          <w:sz w:val="20"/>
          <w:szCs w:val="20"/>
          <w:lang w:val="en-GB"/>
        </w:rPr>
        <w:t xml:space="preserve"> </w:t>
      </w:r>
      <w:r w:rsidR="00FE0A52" w:rsidRPr="00EC3A08">
        <w:rPr>
          <w:rFonts w:ascii="Arial" w:hAnsi="Arial" w:cs="Arial"/>
          <w:sz w:val="20"/>
          <w:szCs w:val="20"/>
          <w:lang w:val="en-GB"/>
        </w:rPr>
        <w:t>sectors. This acquisition supports ICT’s transition from a leading software integrator to a total technology and service provider, by increasing revenue from projects as well as from services.</w:t>
      </w:r>
    </w:p>
    <w:p w:rsidR="00F71EEB" w:rsidRPr="000816F5" w:rsidRDefault="001E4884" w:rsidP="003C460B">
      <w:pPr>
        <w:spacing w:after="225" w:line="276" w:lineRule="auto"/>
        <w:rPr>
          <w:rFonts w:ascii="Arial" w:hAnsi="Arial" w:cs="Arial"/>
          <w:sz w:val="20"/>
          <w:szCs w:val="20"/>
          <w:lang w:val="en-GB"/>
        </w:rPr>
      </w:pPr>
      <w:r w:rsidRPr="000816F5">
        <w:rPr>
          <w:rFonts w:ascii="Arial" w:hAnsi="Arial" w:cs="Arial"/>
          <w:b/>
          <w:sz w:val="20"/>
          <w:szCs w:val="20"/>
          <w:lang w:val="en-GB"/>
        </w:rPr>
        <w:t xml:space="preserve"> </w:t>
      </w:r>
      <w:r w:rsidR="00440EE9" w:rsidRPr="000816F5">
        <w:rPr>
          <w:rFonts w:ascii="Arial" w:hAnsi="Arial" w:cs="Arial"/>
          <w:b/>
          <w:sz w:val="20"/>
          <w:szCs w:val="20"/>
          <w:lang w:val="en-GB"/>
        </w:rPr>
        <w:t>ICT Group N.V.</w:t>
      </w:r>
      <w:r w:rsidR="00440EE9" w:rsidRPr="000816F5">
        <w:rPr>
          <w:rFonts w:ascii="Arial" w:hAnsi="Arial" w:cs="Arial"/>
          <w:sz w:val="20"/>
          <w:szCs w:val="20"/>
          <w:lang w:val="en-GB"/>
        </w:rPr>
        <w:t xml:space="preserve"> is a leading industrial technology solutions and services provider. Our specific industry knowledge of various markets, enables us to realis</w:t>
      </w:r>
      <w:r w:rsidR="006B6027" w:rsidRPr="000816F5">
        <w:rPr>
          <w:rFonts w:ascii="Arial" w:hAnsi="Arial" w:cs="Arial"/>
          <w:sz w:val="20"/>
          <w:szCs w:val="20"/>
          <w:lang w:val="en-GB"/>
        </w:rPr>
        <w:t>e innovative solutions. Over 1000</w:t>
      </w:r>
      <w:r w:rsidR="00440EE9" w:rsidRPr="000816F5">
        <w:rPr>
          <w:rFonts w:ascii="Arial" w:hAnsi="Arial" w:cs="Arial"/>
          <w:sz w:val="20"/>
          <w:szCs w:val="20"/>
          <w:lang w:val="en-GB"/>
        </w:rPr>
        <w:t xml:space="preserve"> passionate technical specialists are working for the ICT Group. The following subsidiaries are the main operating entities of the ICT Group: ICT Netherlands (ICT Automatisering Nederland B.V.), Strypes Bulgaria (Strypes EOOD ltd), Raster (Raster Industriele Automatisering B.V. and Raster Products B.V.), Improve (Improve Quality Services B.V.), BMA (Buro Medische Automatisering B.V.) (51%), ICT Mobile B.V. (51%)</w:t>
      </w:r>
      <w:r w:rsidR="00B257F3">
        <w:rPr>
          <w:rFonts w:ascii="Arial" w:hAnsi="Arial" w:cs="Arial"/>
          <w:sz w:val="20"/>
          <w:szCs w:val="20"/>
          <w:lang w:val="en-GB"/>
        </w:rPr>
        <w:t>.</w:t>
      </w:r>
      <w:r w:rsidR="006B6027" w:rsidRPr="000816F5">
        <w:rPr>
          <w:rFonts w:ascii="Arial" w:hAnsi="Arial" w:cs="Arial"/>
          <w:sz w:val="20"/>
          <w:szCs w:val="20"/>
          <w:lang w:val="en-GB"/>
        </w:rPr>
        <w:t xml:space="preserve"> </w:t>
      </w:r>
      <w:r w:rsidR="00440EE9" w:rsidRPr="000816F5">
        <w:rPr>
          <w:rFonts w:ascii="Arial" w:hAnsi="Arial" w:cs="Arial"/>
          <w:sz w:val="20"/>
          <w:szCs w:val="20"/>
          <w:lang w:val="en-GB"/>
        </w:rPr>
        <w:t xml:space="preserve"> For more information: </w:t>
      </w:r>
      <w:r w:rsidR="00440EE9" w:rsidRPr="000816F5">
        <w:rPr>
          <w:rFonts w:ascii="Arial" w:hAnsi="Arial" w:cs="Arial"/>
          <w:sz w:val="20"/>
          <w:szCs w:val="20"/>
          <w:u w:val="single"/>
          <w:lang w:val="en-GB"/>
        </w:rPr>
        <w:t>www.ict.eu</w:t>
      </w:r>
      <w:r w:rsidR="00765B05" w:rsidRPr="000816F5">
        <w:rPr>
          <w:rFonts w:ascii="Arial" w:hAnsi="Arial" w:cs="Arial"/>
          <w:sz w:val="20"/>
          <w:szCs w:val="20"/>
          <w:u w:val="single"/>
          <w:lang w:val="en-GB"/>
        </w:rPr>
        <w:t>.</w:t>
      </w:r>
      <w:r w:rsidR="00577C77" w:rsidRPr="000816F5">
        <w:rPr>
          <w:rFonts w:ascii="Arial" w:hAnsi="Arial" w:cs="Arial"/>
          <w:sz w:val="20"/>
          <w:szCs w:val="20"/>
          <w:lang w:val="en-GB"/>
        </w:rPr>
        <w:br/>
      </w:r>
      <w:r w:rsidR="00577C77" w:rsidRPr="000816F5">
        <w:rPr>
          <w:rFonts w:ascii="Arial" w:hAnsi="Arial" w:cs="Arial"/>
          <w:sz w:val="20"/>
          <w:szCs w:val="20"/>
          <w:lang w:val="en-GB"/>
        </w:rPr>
        <w:br/>
      </w:r>
    </w:p>
    <w:sectPr w:rsidR="00F71EEB" w:rsidRPr="000816F5" w:rsidSect="00622EC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53F" w:rsidRDefault="0009053F" w:rsidP="00F05D10">
      <w:r>
        <w:separator/>
      </w:r>
    </w:p>
  </w:endnote>
  <w:endnote w:type="continuationSeparator" w:id="0">
    <w:p w:rsidR="0009053F" w:rsidRDefault="0009053F" w:rsidP="00F0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53F" w:rsidRDefault="0009053F" w:rsidP="00F05D10">
      <w:r>
        <w:separator/>
      </w:r>
    </w:p>
  </w:footnote>
  <w:footnote w:type="continuationSeparator" w:id="0">
    <w:p w:rsidR="0009053F" w:rsidRDefault="0009053F" w:rsidP="00F05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96589"/>
    <w:multiLevelType w:val="hybridMultilevel"/>
    <w:tmpl w:val="F3EEA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384EA7"/>
    <w:multiLevelType w:val="hybridMultilevel"/>
    <w:tmpl w:val="27460766"/>
    <w:lvl w:ilvl="0" w:tplc="9F007384">
      <w:numFmt w:val="bullet"/>
      <w:lvlText w:val="-"/>
      <w:lvlJc w:val="left"/>
      <w:pPr>
        <w:ind w:left="1080" w:hanging="360"/>
      </w:pPr>
      <w:rPr>
        <w:rFonts w:ascii="Arial" w:eastAsia="MS Mincho"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724075"/>
    <w:multiLevelType w:val="hybridMultilevel"/>
    <w:tmpl w:val="FE38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111B0"/>
    <w:multiLevelType w:val="hybridMultilevel"/>
    <w:tmpl w:val="942E4E7A"/>
    <w:lvl w:ilvl="0" w:tplc="57048818">
      <w:numFmt w:val="bullet"/>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05627"/>
    <w:multiLevelType w:val="hybridMultilevel"/>
    <w:tmpl w:val="D0F62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A1"/>
    <w:rsid w:val="00007884"/>
    <w:rsid w:val="000079A9"/>
    <w:rsid w:val="00026254"/>
    <w:rsid w:val="0004023A"/>
    <w:rsid w:val="00041E18"/>
    <w:rsid w:val="00044A45"/>
    <w:rsid w:val="00070D32"/>
    <w:rsid w:val="000816F5"/>
    <w:rsid w:val="0009053F"/>
    <w:rsid w:val="00093395"/>
    <w:rsid w:val="000A62B2"/>
    <w:rsid w:val="000B6FC0"/>
    <w:rsid w:val="000C15E0"/>
    <w:rsid w:val="000C792F"/>
    <w:rsid w:val="000D3753"/>
    <w:rsid w:val="000E0EDF"/>
    <w:rsid w:val="000E188A"/>
    <w:rsid w:val="000F0598"/>
    <w:rsid w:val="000F0F83"/>
    <w:rsid w:val="000F67D0"/>
    <w:rsid w:val="001000F9"/>
    <w:rsid w:val="00106FA5"/>
    <w:rsid w:val="001158E5"/>
    <w:rsid w:val="00132252"/>
    <w:rsid w:val="00134B03"/>
    <w:rsid w:val="00142E28"/>
    <w:rsid w:val="00146510"/>
    <w:rsid w:val="001523BD"/>
    <w:rsid w:val="00157989"/>
    <w:rsid w:val="00176115"/>
    <w:rsid w:val="00182261"/>
    <w:rsid w:val="00182A95"/>
    <w:rsid w:val="00192598"/>
    <w:rsid w:val="001C3A4B"/>
    <w:rsid w:val="001C72B1"/>
    <w:rsid w:val="001D32C7"/>
    <w:rsid w:val="001E131A"/>
    <w:rsid w:val="001E4884"/>
    <w:rsid w:val="001E7171"/>
    <w:rsid w:val="00205E31"/>
    <w:rsid w:val="00210637"/>
    <w:rsid w:val="00210C0F"/>
    <w:rsid w:val="002401D4"/>
    <w:rsid w:val="00244777"/>
    <w:rsid w:val="002624D1"/>
    <w:rsid w:val="00267060"/>
    <w:rsid w:val="00274549"/>
    <w:rsid w:val="002853F5"/>
    <w:rsid w:val="002874FB"/>
    <w:rsid w:val="002877F1"/>
    <w:rsid w:val="002924F2"/>
    <w:rsid w:val="002933F2"/>
    <w:rsid w:val="0029605E"/>
    <w:rsid w:val="002A5C46"/>
    <w:rsid w:val="002B0EDB"/>
    <w:rsid w:val="002C57F4"/>
    <w:rsid w:val="002C6F0C"/>
    <w:rsid w:val="002C71E0"/>
    <w:rsid w:val="002C7758"/>
    <w:rsid w:val="002D242A"/>
    <w:rsid w:val="002D2B9F"/>
    <w:rsid w:val="002D56C2"/>
    <w:rsid w:val="002E0428"/>
    <w:rsid w:val="002E1C52"/>
    <w:rsid w:val="002E576C"/>
    <w:rsid w:val="002F08FC"/>
    <w:rsid w:val="0031514B"/>
    <w:rsid w:val="0031648A"/>
    <w:rsid w:val="003225A2"/>
    <w:rsid w:val="00344096"/>
    <w:rsid w:val="00345B61"/>
    <w:rsid w:val="00345C2D"/>
    <w:rsid w:val="00351C62"/>
    <w:rsid w:val="00361954"/>
    <w:rsid w:val="00362F09"/>
    <w:rsid w:val="00370A93"/>
    <w:rsid w:val="00373C20"/>
    <w:rsid w:val="00375C4E"/>
    <w:rsid w:val="00382FC6"/>
    <w:rsid w:val="003872A5"/>
    <w:rsid w:val="00397A87"/>
    <w:rsid w:val="00397FB7"/>
    <w:rsid w:val="003A7536"/>
    <w:rsid w:val="003C2123"/>
    <w:rsid w:val="003C2F20"/>
    <w:rsid w:val="003C460B"/>
    <w:rsid w:val="003C50C0"/>
    <w:rsid w:val="003D5F59"/>
    <w:rsid w:val="003D7FA1"/>
    <w:rsid w:val="003F31E2"/>
    <w:rsid w:val="004268BA"/>
    <w:rsid w:val="00426BFC"/>
    <w:rsid w:val="00440EE9"/>
    <w:rsid w:val="00441A45"/>
    <w:rsid w:val="00463A85"/>
    <w:rsid w:val="004950EE"/>
    <w:rsid w:val="00495216"/>
    <w:rsid w:val="004A2E9F"/>
    <w:rsid w:val="004A304B"/>
    <w:rsid w:val="004A45BA"/>
    <w:rsid w:val="004B11F9"/>
    <w:rsid w:val="004B231C"/>
    <w:rsid w:val="004B2A1F"/>
    <w:rsid w:val="004B5459"/>
    <w:rsid w:val="004C09A3"/>
    <w:rsid w:val="004C30CF"/>
    <w:rsid w:val="004C31BA"/>
    <w:rsid w:val="004E1C23"/>
    <w:rsid w:val="00511B2B"/>
    <w:rsid w:val="00523A00"/>
    <w:rsid w:val="005375F4"/>
    <w:rsid w:val="005421A3"/>
    <w:rsid w:val="005516CD"/>
    <w:rsid w:val="005564ED"/>
    <w:rsid w:val="00570A1B"/>
    <w:rsid w:val="00577C77"/>
    <w:rsid w:val="0059189B"/>
    <w:rsid w:val="00597C6A"/>
    <w:rsid w:val="005A044E"/>
    <w:rsid w:val="005A73D4"/>
    <w:rsid w:val="005B0F14"/>
    <w:rsid w:val="005B4ECB"/>
    <w:rsid w:val="005C46A8"/>
    <w:rsid w:val="005D02A1"/>
    <w:rsid w:val="005D22CC"/>
    <w:rsid w:val="005E07E8"/>
    <w:rsid w:val="005E49E3"/>
    <w:rsid w:val="005E4F58"/>
    <w:rsid w:val="005E6A72"/>
    <w:rsid w:val="005F77D8"/>
    <w:rsid w:val="00616110"/>
    <w:rsid w:val="00617248"/>
    <w:rsid w:val="0062280F"/>
    <w:rsid w:val="00622EC7"/>
    <w:rsid w:val="006332DD"/>
    <w:rsid w:val="0064587F"/>
    <w:rsid w:val="00651D0C"/>
    <w:rsid w:val="00670470"/>
    <w:rsid w:val="006718B6"/>
    <w:rsid w:val="00680569"/>
    <w:rsid w:val="0068414F"/>
    <w:rsid w:val="0069553E"/>
    <w:rsid w:val="006B505A"/>
    <w:rsid w:val="006B6027"/>
    <w:rsid w:val="006D3C2D"/>
    <w:rsid w:val="006D4477"/>
    <w:rsid w:val="006E1DBB"/>
    <w:rsid w:val="006F4311"/>
    <w:rsid w:val="00701856"/>
    <w:rsid w:val="007029E7"/>
    <w:rsid w:val="00704FBF"/>
    <w:rsid w:val="0071596D"/>
    <w:rsid w:val="007163EB"/>
    <w:rsid w:val="00717DA8"/>
    <w:rsid w:val="007212A0"/>
    <w:rsid w:val="007217DE"/>
    <w:rsid w:val="00723E93"/>
    <w:rsid w:val="00725930"/>
    <w:rsid w:val="00730234"/>
    <w:rsid w:val="007379D8"/>
    <w:rsid w:val="00740DEE"/>
    <w:rsid w:val="00765B05"/>
    <w:rsid w:val="007B4A9A"/>
    <w:rsid w:val="007B591E"/>
    <w:rsid w:val="007C0C7A"/>
    <w:rsid w:val="007C365F"/>
    <w:rsid w:val="007C6408"/>
    <w:rsid w:val="007C6A4E"/>
    <w:rsid w:val="007D1007"/>
    <w:rsid w:val="007D5F49"/>
    <w:rsid w:val="007E08DE"/>
    <w:rsid w:val="007F2951"/>
    <w:rsid w:val="007F2B3C"/>
    <w:rsid w:val="00801A02"/>
    <w:rsid w:val="0081482A"/>
    <w:rsid w:val="00814B09"/>
    <w:rsid w:val="00833A07"/>
    <w:rsid w:val="008405F4"/>
    <w:rsid w:val="00852999"/>
    <w:rsid w:val="00876D1C"/>
    <w:rsid w:val="008846CA"/>
    <w:rsid w:val="00884837"/>
    <w:rsid w:val="00886F3D"/>
    <w:rsid w:val="00887A2D"/>
    <w:rsid w:val="00896A37"/>
    <w:rsid w:val="008A45FB"/>
    <w:rsid w:val="008A4DAC"/>
    <w:rsid w:val="008A6329"/>
    <w:rsid w:val="008C4143"/>
    <w:rsid w:val="008C44B1"/>
    <w:rsid w:val="008C6437"/>
    <w:rsid w:val="008D54C6"/>
    <w:rsid w:val="008E2782"/>
    <w:rsid w:val="008E4E94"/>
    <w:rsid w:val="008E5303"/>
    <w:rsid w:val="00920121"/>
    <w:rsid w:val="00920FCD"/>
    <w:rsid w:val="00935443"/>
    <w:rsid w:val="00937C43"/>
    <w:rsid w:val="0094474E"/>
    <w:rsid w:val="00977595"/>
    <w:rsid w:val="00995583"/>
    <w:rsid w:val="00996D59"/>
    <w:rsid w:val="009A2ED9"/>
    <w:rsid w:val="009A3905"/>
    <w:rsid w:val="009B273E"/>
    <w:rsid w:val="009B7122"/>
    <w:rsid w:val="009B758D"/>
    <w:rsid w:val="009C13AB"/>
    <w:rsid w:val="009D04FE"/>
    <w:rsid w:val="009D6356"/>
    <w:rsid w:val="009D78F3"/>
    <w:rsid w:val="009E4D6D"/>
    <w:rsid w:val="009E6857"/>
    <w:rsid w:val="009F6684"/>
    <w:rsid w:val="009F7D8F"/>
    <w:rsid w:val="00A14D68"/>
    <w:rsid w:val="00A1618E"/>
    <w:rsid w:val="00A17FD6"/>
    <w:rsid w:val="00A22572"/>
    <w:rsid w:val="00A3099F"/>
    <w:rsid w:val="00A367C5"/>
    <w:rsid w:val="00A43E2C"/>
    <w:rsid w:val="00A5580B"/>
    <w:rsid w:val="00A56C60"/>
    <w:rsid w:val="00A66330"/>
    <w:rsid w:val="00A706F8"/>
    <w:rsid w:val="00A779F0"/>
    <w:rsid w:val="00A96722"/>
    <w:rsid w:val="00A97DE7"/>
    <w:rsid w:val="00AA2F4A"/>
    <w:rsid w:val="00AD2E4A"/>
    <w:rsid w:val="00AD5BD3"/>
    <w:rsid w:val="00AF25B8"/>
    <w:rsid w:val="00B21AF5"/>
    <w:rsid w:val="00B257F3"/>
    <w:rsid w:val="00B30927"/>
    <w:rsid w:val="00B42295"/>
    <w:rsid w:val="00B4532B"/>
    <w:rsid w:val="00B4551E"/>
    <w:rsid w:val="00B5081B"/>
    <w:rsid w:val="00B50C05"/>
    <w:rsid w:val="00B56E49"/>
    <w:rsid w:val="00B57176"/>
    <w:rsid w:val="00B81D0D"/>
    <w:rsid w:val="00B93544"/>
    <w:rsid w:val="00B9630A"/>
    <w:rsid w:val="00B9697D"/>
    <w:rsid w:val="00BB4CA1"/>
    <w:rsid w:val="00BC3DE8"/>
    <w:rsid w:val="00BD2403"/>
    <w:rsid w:val="00BD3C9B"/>
    <w:rsid w:val="00BD4F3F"/>
    <w:rsid w:val="00BD712D"/>
    <w:rsid w:val="00BE0A53"/>
    <w:rsid w:val="00BE7AF0"/>
    <w:rsid w:val="00BF2368"/>
    <w:rsid w:val="00BF3DBC"/>
    <w:rsid w:val="00BF693A"/>
    <w:rsid w:val="00C065B2"/>
    <w:rsid w:val="00C24D50"/>
    <w:rsid w:val="00C27DCE"/>
    <w:rsid w:val="00C50FD6"/>
    <w:rsid w:val="00C56C26"/>
    <w:rsid w:val="00C81592"/>
    <w:rsid w:val="00CA3E98"/>
    <w:rsid w:val="00CB06AA"/>
    <w:rsid w:val="00CD3AF6"/>
    <w:rsid w:val="00CE1A68"/>
    <w:rsid w:val="00CE5D1F"/>
    <w:rsid w:val="00D02C68"/>
    <w:rsid w:val="00D10EF1"/>
    <w:rsid w:val="00D158E5"/>
    <w:rsid w:val="00D1657A"/>
    <w:rsid w:val="00D44C86"/>
    <w:rsid w:val="00D461A0"/>
    <w:rsid w:val="00D46A2B"/>
    <w:rsid w:val="00D47E1F"/>
    <w:rsid w:val="00D553BD"/>
    <w:rsid w:val="00D75221"/>
    <w:rsid w:val="00D76873"/>
    <w:rsid w:val="00D82F92"/>
    <w:rsid w:val="00D94799"/>
    <w:rsid w:val="00DA4299"/>
    <w:rsid w:val="00DB03B3"/>
    <w:rsid w:val="00DB51D5"/>
    <w:rsid w:val="00DC2B98"/>
    <w:rsid w:val="00DC537C"/>
    <w:rsid w:val="00DD1501"/>
    <w:rsid w:val="00DF3108"/>
    <w:rsid w:val="00E00CA0"/>
    <w:rsid w:val="00E105F4"/>
    <w:rsid w:val="00E227E6"/>
    <w:rsid w:val="00E313EB"/>
    <w:rsid w:val="00E31FCB"/>
    <w:rsid w:val="00E56942"/>
    <w:rsid w:val="00E600A7"/>
    <w:rsid w:val="00E653B6"/>
    <w:rsid w:val="00E7424F"/>
    <w:rsid w:val="00E74E30"/>
    <w:rsid w:val="00E925F3"/>
    <w:rsid w:val="00EA4464"/>
    <w:rsid w:val="00EA6B3B"/>
    <w:rsid w:val="00EC135D"/>
    <w:rsid w:val="00EC3A08"/>
    <w:rsid w:val="00ED2998"/>
    <w:rsid w:val="00EE5086"/>
    <w:rsid w:val="00EE5725"/>
    <w:rsid w:val="00EF4B11"/>
    <w:rsid w:val="00F05D05"/>
    <w:rsid w:val="00F05D10"/>
    <w:rsid w:val="00F11028"/>
    <w:rsid w:val="00F120C5"/>
    <w:rsid w:val="00F27BA9"/>
    <w:rsid w:val="00F40160"/>
    <w:rsid w:val="00F56450"/>
    <w:rsid w:val="00F602A8"/>
    <w:rsid w:val="00F71EEB"/>
    <w:rsid w:val="00F72BAD"/>
    <w:rsid w:val="00F76BE6"/>
    <w:rsid w:val="00F902A2"/>
    <w:rsid w:val="00F93548"/>
    <w:rsid w:val="00F97947"/>
    <w:rsid w:val="00F97D0D"/>
    <w:rsid w:val="00FA5A07"/>
    <w:rsid w:val="00FA60CE"/>
    <w:rsid w:val="00FC3CC2"/>
    <w:rsid w:val="00FC68F6"/>
    <w:rsid w:val="00FD54C3"/>
    <w:rsid w:val="00FE0A52"/>
    <w:rsid w:val="00FE6E8C"/>
    <w:rsid w:val="00FE7F08"/>
    <w:rsid w:val="00FF3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16C0E1-5DCA-4441-B017-0DEB1303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A3905"/>
    <w:rPr>
      <w:sz w:val="24"/>
      <w:szCs w:val="24"/>
      <w:lang w:val="nl-NL" w:eastAsia="en-US"/>
    </w:rPr>
  </w:style>
  <w:style w:type="paragraph" w:styleId="Kop1">
    <w:name w:val="heading 1"/>
    <w:basedOn w:val="Standaard"/>
    <w:next w:val="Standaard"/>
    <w:link w:val="Kop1Char"/>
    <w:uiPriority w:val="9"/>
    <w:qFormat/>
    <w:rsid w:val="009A3905"/>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nhideWhenUsed/>
    <w:qFormat/>
    <w:locked/>
    <w:rsid w:val="007212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5D02A1"/>
    <w:rPr>
      <w:rFonts w:ascii="Calibri" w:eastAsia="MS Gothic" w:hAnsi="Calibri"/>
      <w:b/>
      <w:bCs/>
      <w:color w:val="345A8A"/>
      <w:sz w:val="32"/>
      <w:szCs w:val="32"/>
      <w:lang w:val="nl-NL" w:eastAsia="en-US"/>
    </w:rPr>
  </w:style>
  <w:style w:type="paragraph" w:styleId="Ballontekst">
    <w:name w:val="Balloon Text"/>
    <w:basedOn w:val="Standaard"/>
    <w:link w:val="BallontekstChar"/>
    <w:uiPriority w:val="99"/>
    <w:semiHidden/>
    <w:rsid w:val="003C50C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C50C0"/>
    <w:rPr>
      <w:rFonts w:ascii="Tahoma" w:hAnsi="Tahoma" w:cs="Tahoma"/>
      <w:sz w:val="16"/>
      <w:szCs w:val="16"/>
    </w:rPr>
  </w:style>
  <w:style w:type="paragraph" w:styleId="Koptekst">
    <w:name w:val="header"/>
    <w:basedOn w:val="Standaard"/>
    <w:link w:val="KoptekstChar"/>
    <w:uiPriority w:val="99"/>
    <w:rsid w:val="00D75221"/>
    <w:pPr>
      <w:tabs>
        <w:tab w:val="center" w:pos="4536"/>
        <w:tab w:val="right" w:pos="9072"/>
      </w:tabs>
    </w:pPr>
    <w:rPr>
      <w:rFonts w:ascii="Times New Roman" w:hAnsi="Times New Roman"/>
      <w:szCs w:val="20"/>
    </w:rPr>
  </w:style>
  <w:style w:type="character" w:customStyle="1" w:styleId="KoptekstChar">
    <w:name w:val="Koptekst Char"/>
    <w:basedOn w:val="Standaardalinea-lettertype"/>
    <w:link w:val="Koptekst"/>
    <w:uiPriority w:val="99"/>
    <w:locked/>
    <w:rsid w:val="00D75221"/>
    <w:rPr>
      <w:rFonts w:ascii="Times New Roman" w:hAnsi="Times New Roman" w:cs="Times New Roman"/>
      <w:sz w:val="20"/>
      <w:szCs w:val="20"/>
    </w:rPr>
  </w:style>
  <w:style w:type="character" w:styleId="Hyperlink">
    <w:name w:val="Hyperlink"/>
    <w:basedOn w:val="Standaardalinea-lettertype"/>
    <w:uiPriority w:val="99"/>
    <w:rsid w:val="00D75221"/>
    <w:rPr>
      <w:rFonts w:cs="Times New Roman"/>
      <w:color w:val="0000FF"/>
      <w:u w:val="single"/>
    </w:rPr>
  </w:style>
  <w:style w:type="paragraph" w:styleId="Geenafstand">
    <w:name w:val="No Spacing"/>
    <w:uiPriority w:val="1"/>
    <w:qFormat/>
    <w:rsid w:val="00D75221"/>
    <w:rPr>
      <w:rFonts w:ascii="Times New Roman" w:hAnsi="Times New Roman"/>
      <w:sz w:val="24"/>
      <w:szCs w:val="20"/>
      <w:lang w:val="nl-NL" w:eastAsia="en-US"/>
    </w:rPr>
  </w:style>
  <w:style w:type="paragraph" w:styleId="Lijstalinea">
    <w:name w:val="List Paragraph"/>
    <w:basedOn w:val="Standaard"/>
    <w:uiPriority w:val="34"/>
    <w:qFormat/>
    <w:rsid w:val="009A3905"/>
    <w:pPr>
      <w:ind w:left="720"/>
      <w:contextualSpacing/>
    </w:pPr>
  </w:style>
  <w:style w:type="character" w:styleId="Verwijzingopmerking">
    <w:name w:val="annotation reference"/>
    <w:basedOn w:val="Standaardalinea-lettertype"/>
    <w:uiPriority w:val="99"/>
    <w:semiHidden/>
    <w:rsid w:val="00E56942"/>
    <w:rPr>
      <w:rFonts w:cs="Times New Roman"/>
      <w:sz w:val="16"/>
      <w:szCs w:val="16"/>
    </w:rPr>
  </w:style>
  <w:style w:type="paragraph" w:styleId="Tekstopmerking">
    <w:name w:val="annotation text"/>
    <w:basedOn w:val="Standaard"/>
    <w:link w:val="TekstopmerkingChar"/>
    <w:uiPriority w:val="99"/>
    <w:semiHidden/>
    <w:rsid w:val="009A3905"/>
    <w:rPr>
      <w:sz w:val="20"/>
      <w:szCs w:val="20"/>
    </w:rPr>
  </w:style>
  <w:style w:type="character" w:customStyle="1" w:styleId="TekstopmerkingChar">
    <w:name w:val="Tekst opmerking Char"/>
    <w:basedOn w:val="Standaardalinea-lettertype"/>
    <w:link w:val="Tekstopmerking"/>
    <w:uiPriority w:val="99"/>
    <w:semiHidden/>
    <w:locked/>
    <w:rsid w:val="00E56942"/>
    <w:rPr>
      <w:sz w:val="20"/>
      <w:szCs w:val="20"/>
      <w:lang w:val="nl-NL" w:eastAsia="en-US"/>
    </w:rPr>
  </w:style>
  <w:style w:type="paragraph" w:styleId="Onderwerpvanopmerking">
    <w:name w:val="annotation subject"/>
    <w:basedOn w:val="Tekstopmerking"/>
    <w:next w:val="Tekstopmerking"/>
    <w:link w:val="OnderwerpvanopmerkingChar"/>
    <w:uiPriority w:val="99"/>
    <w:semiHidden/>
    <w:rsid w:val="009A3905"/>
    <w:rPr>
      <w:b/>
      <w:bCs/>
    </w:rPr>
  </w:style>
  <w:style w:type="character" w:customStyle="1" w:styleId="OnderwerpvanopmerkingChar">
    <w:name w:val="Onderwerp van opmerking Char"/>
    <w:basedOn w:val="TekstopmerkingChar"/>
    <w:link w:val="Onderwerpvanopmerking"/>
    <w:uiPriority w:val="99"/>
    <w:semiHidden/>
    <w:locked/>
    <w:rsid w:val="00E56942"/>
    <w:rPr>
      <w:b/>
      <w:bCs/>
      <w:sz w:val="20"/>
      <w:szCs w:val="20"/>
      <w:lang w:val="nl-NL" w:eastAsia="en-US"/>
    </w:rPr>
  </w:style>
  <w:style w:type="paragraph" w:styleId="Voettekst">
    <w:name w:val="footer"/>
    <w:basedOn w:val="Standaard"/>
    <w:link w:val="VoettekstChar"/>
    <w:uiPriority w:val="99"/>
    <w:semiHidden/>
    <w:unhideWhenUsed/>
    <w:rsid w:val="00F05D10"/>
    <w:pPr>
      <w:tabs>
        <w:tab w:val="center" w:pos="4680"/>
        <w:tab w:val="right" w:pos="9360"/>
      </w:tabs>
    </w:pPr>
  </w:style>
  <w:style w:type="character" w:customStyle="1" w:styleId="VoettekstChar">
    <w:name w:val="Voettekst Char"/>
    <w:basedOn w:val="Standaardalinea-lettertype"/>
    <w:link w:val="Voettekst"/>
    <w:uiPriority w:val="99"/>
    <w:semiHidden/>
    <w:rsid w:val="00F05D10"/>
    <w:rPr>
      <w:sz w:val="24"/>
      <w:szCs w:val="24"/>
      <w:lang w:val="nl-NL" w:eastAsia="en-US"/>
    </w:rPr>
  </w:style>
  <w:style w:type="paragraph" w:styleId="Revisie">
    <w:name w:val="Revision"/>
    <w:hidden/>
    <w:uiPriority w:val="99"/>
    <w:semiHidden/>
    <w:rsid w:val="009A3905"/>
    <w:rPr>
      <w:sz w:val="24"/>
      <w:szCs w:val="24"/>
      <w:lang w:val="nl-NL" w:eastAsia="en-US"/>
    </w:rPr>
  </w:style>
  <w:style w:type="character" w:customStyle="1" w:styleId="Kop2Char">
    <w:name w:val="Kop 2 Char"/>
    <w:basedOn w:val="Standaardalinea-lettertype"/>
    <w:link w:val="Kop2"/>
    <w:rsid w:val="007212A0"/>
    <w:rPr>
      <w:rFonts w:asciiTheme="majorHAnsi" w:eastAsiaTheme="majorEastAsia" w:hAnsiTheme="majorHAnsi" w:cstheme="majorBidi"/>
      <w:b/>
      <w:bCs/>
      <w:color w:val="4F81BD" w:themeColor="accent1"/>
      <w:sz w:val="26"/>
      <w:szCs w:val="26"/>
      <w:lang w:val="nl-NL" w:eastAsia="en-US"/>
    </w:rPr>
  </w:style>
  <w:style w:type="character" w:styleId="Zwaar">
    <w:name w:val="Strong"/>
    <w:basedOn w:val="Standaardalinea-lettertype"/>
    <w:uiPriority w:val="22"/>
    <w:qFormat/>
    <w:locked/>
    <w:rsid w:val="003C4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9371">
      <w:bodyDiv w:val="1"/>
      <w:marLeft w:val="0"/>
      <w:marRight w:val="0"/>
      <w:marTop w:val="0"/>
      <w:marBottom w:val="0"/>
      <w:divBdr>
        <w:top w:val="none" w:sz="0" w:space="0" w:color="auto"/>
        <w:left w:val="none" w:sz="0" w:space="0" w:color="auto"/>
        <w:bottom w:val="none" w:sz="0" w:space="0" w:color="auto"/>
        <w:right w:val="none" w:sz="0" w:space="0" w:color="auto"/>
      </w:divBdr>
    </w:div>
    <w:div w:id="234511584">
      <w:bodyDiv w:val="1"/>
      <w:marLeft w:val="0"/>
      <w:marRight w:val="0"/>
      <w:marTop w:val="0"/>
      <w:marBottom w:val="0"/>
      <w:divBdr>
        <w:top w:val="none" w:sz="0" w:space="0" w:color="auto"/>
        <w:left w:val="none" w:sz="0" w:space="0" w:color="auto"/>
        <w:bottom w:val="none" w:sz="0" w:space="0" w:color="auto"/>
        <w:right w:val="none" w:sz="0" w:space="0" w:color="auto"/>
      </w:divBdr>
    </w:div>
    <w:div w:id="438112281">
      <w:marLeft w:val="0"/>
      <w:marRight w:val="0"/>
      <w:marTop w:val="0"/>
      <w:marBottom w:val="0"/>
      <w:divBdr>
        <w:top w:val="none" w:sz="0" w:space="0" w:color="auto"/>
        <w:left w:val="none" w:sz="0" w:space="0" w:color="auto"/>
        <w:bottom w:val="none" w:sz="0" w:space="0" w:color="auto"/>
        <w:right w:val="none" w:sz="0" w:space="0" w:color="auto"/>
      </w:divBdr>
    </w:div>
    <w:div w:id="438112284">
      <w:marLeft w:val="0"/>
      <w:marRight w:val="0"/>
      <w:marTop w:val="0"/>
      <w:marBottom w:val="0"/>
      <w:divBdr>
        <w:top w:val="none" w:sz="0" w:space="0" w:color="auto"/>
        <w:left w:val="none" w:sz="0" w:space="0" w:color="auto"/>
        <w:bottom w:val="none" w:sz="0" w:space="0" w:color="auto"/>
        <w:right w:val="none" w:sz="0" w:space="0" w:color="auto"/>
      </w:divBdr>
    </w:div>
    <w:div w:id="438112287">
      <w:marLeft w:val="0"/>
      <w:marRight w:val="0"/>
      <w:marTop w:val="0"/>
      <w:marBottom w:val="0"/>
      <w:divBdr>
        <w:top w:val="none" w:sz="0" w:space="0" w:color="auto"/>
        <w:left w:val="none" w:sz="0" w:space="0" w:color="auto"/>
        <w:bottom w:val="none" w:sz="0" w:space="0" w:color="auto"/>
        <w:right w:val="none" w:sz="0" w:space="0" w:color="auto"/>
      </w:divBdr>
      <w:divsChild>
        <w:div w:id="438112282">
          <w:marLeft w:val="0"/>
          <w:marRight w:val="0"/>
          <w:marTop w:val="0"/>
          <w:marBottom w:val="0"/>
          <w:divBdr>
            <w:top w:val="none" w:sz="0" w:space="0" w:color="auto"/>
            <w:left w:val="none" w:sz="0" w:space="0" w:color="auto"/>
            <w:bottom w:val="none" w:sz="0" w:space="0" w:color="auto"/>
            <w:right w:val="none" w:sz="0" w:space="0" w:color="auto"/>
          </w:divBdr>
          <w:divsChild>
            <w:div w:id="438112285">
              <w:marLeft w:val="0"/>
              <w:marRight w:val="0"/>
              <w:marTop w:val="0"/>
              <w:marBottom w:val="0"/>
              <w:divBdr>
                <w:top w:val="none" w:sz="0" w:space="0" w:color="auto"/>
                <w:left w:val="none" w:sz="0" w:space="0" w:color="auto"/>
                <w:bottom w:val="none" w:sz="0" w:space="0" w:color="auto"/>
                <w:right w:val="none" w:sz="0" w:space="0" w:color="auto"/>
              </w:divBdr>
              <w:divsChild>
                <w:div w:id="438112291">
                  <w:marLeft w:val="0"/>
                  <w:marRight w:val="0"/>
                  <w:marTop w:val="0"/>
                  <w:marBottom w:val="0"/>
                  <w:divBdr>
                    <w:top w:val="none" w:sz="0" w:space="0" w:color="auto"/>
                    <w:left w:val="none" w:sz="0" w:space="0" w:color="auto"/>
                    <w:bottom w:val="none" w:sz="0" w:space="0" w:color="auto"/>
                    <w:right w:val="none" w:sz="0" w:space="0" w:color="auto"/>
                  </w:divBdr>
                  <w:divsChild>
                    <w:div w:id="438112286">
                      <w:marLeft w:val="0"/>
                      <w:marRight w:val="0"/>
                      <w:marTop w:val="0"/>
                      <w:marBottom w:val="0"/>
                      <w:divBdr>
                        <w:top w:val="none" w:sz="0" w:space="0" w:color="auto"/>
                        <w:left w:val="none" w:sz="0" w:space="0" w:color="auto"/>
                        <w:bottom w:val="none" w:sz="0" w:space="0" w:color="auto"/>
                        <w:right w:val="none" w:sz="0" w:space="0" w:color="auto"/>
                      </w:divBdr>
                      <w:divsChild>
                        <w:div w:id="438112288">
                          <w:marLeft w:val="0"/>
                          <w:marRight w:val="0"/>
                          <w:marTop w:val="0"/>
                          <w:marBottom w:val="0"/>
                          <w:divBdr>
                            <w:top w:val="none" w:sz="0" w:space="0" w:color="auto"/>
                            <w:left w:val="none" w:sz="0" w:space="0" w:color="auto"/>
                            <w:bottom w:val="none" w:sz="0" w:space="0" w:color="auto"/>
                            <w:right w:val="none" w:sz="0" w:space="0" w:color="auto"/>
                          </w:divBdr>
                          <w:divsChild>
                            <w:div w:id="4381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112289">
      <w:marLeft w:val="0"/>
      <w:marRight w:val="0"/>
      <w:marTop w:val="0"/>
      <w:marBottom w:val="0"/>
      <w:divBdr>
        <w:top w:val="none" w:sz="0" w:space="0" w:color="auto"/>
        <w:left w:val="none" w:sz="0" w:space="0" w:color="auto"/>
        <w:bottom w:val="none" w:sz="0" w:space="0" w:color="auto"/>
        <w:right w:val="none" w:sz="0" w:space="0" w:color="auto"/>
      </w:divBdr>
    </w:div>
    <w:div w:id="438112290">
      <w:marLeft w:val="0"/>
      <w:marRight w:val="0"/>
      <w:marTop w:val="0"/>
      <w:marBottom w:val="0"/>
      <w:divBdr>
        <w:top w:val="none" w:sz="0" w:space="0" w:color="auto"/>
        <w:left w:val="none" w:sz="0" w:space="0" w:color="auto"/>
        <w:bottom w:val="none" w:sz="0" w:space="0" w:color="auto"/>
        <w:right w:val="none" w:sz="0" w:space="0" w:color="auto"/>
      </w:divBdr>
    </w:div>
    <w:div w:id="659191999">
      <w:bodyDiv w:val="1"/>
      <w:marLeft w:val="0"/>
      <w:marRight w:val="0"/>
      <w:marTop w:val="0"/>
      <w:marBottom w:val="0"/>
      <w:divBdr>
        <w:top w:val="none" w:sz="0" w:space="0" w:color="auto"/>
        <w:left w:val="none" w:sz="0" w:space="0" w:color="auto"/>
        <w:bottom w:val="none" w:sz="0" w:space="0" w:color="auto"/>
        <w:right w:val="none" w:sz="0" w:space="0" w:color="auto"/>
      </w:divBdr>
    </w:div>
    <w:div w:id="733814649">
      <w:bodyDiv w:val="1"/>
      <w:marLeft w:val="0"/>
      <w:marRight w:val="0"/>
      <w:marTop w:val="0"/>
      <w:marBottom w:val="0"/>
      <w:divBdr>
        <w:top w:val="none" w:sz="0" w:space="0" w:color="auto"/>
        <w:left w:val="none" w:sz="0" w:space="0" w:color="auto"/>
        <w:bottom w:val="none" w:sz="0" w:space="0" w:color="auto"/>
        <w:right w:val="none" w:sz="0" w:space="0" w:color="auto"/>
      </w:divBdr>
    </w:div>
    <w:div w:id="906497314">
      <w:bodyDiv w:val="1"/>
      <w:marLeft w:val="0"/>
      <w:marRight w:val="0"/>
      <w:marTop w:val="0"/>
      <w:marBottom w:val="0"/>
      <w:divBdr>
        <w:top w:val="none" w:sz="0" w:space="0" w:color="auto"/>
        <w:left w:val="none" w:sz="0" w:space="0" w:color="auto"/>
        <w:bottom w:val="none" w:sz="0" w:space="0" w:color="auto"/>
        <w:right w:val="none" w:sz="0" w:space="0" w:color="auto"/>
      </w:divBdr>
    </w:div>
    <w:div w:id="1138378255">
      <w:bodyDiv w:val="1"/>
      <w:marLeft w:val="0"/>
      <w:marRight w:val="0"/>
      <w:marTop w:val="0"/>
      <w:marBottom w:val="0"/>
      <w:divBdr>
        <w:top w:val="none" w:sz="0" w:space="0" w:color="auto"/>
        <w:left w:val="none" w:sz="0" w:space="0" w:color="auto"/>
        <w:bottom w:val="none" w:sz="0" w:space="0" w:color="auto"/>
        <w:right w:val="none" w:sz="0" w:space="0" w:color="auto"/>
      </w:divBdr>
    </w:div>
    <w:div w:id="1463233898">
      <w:bodyDiv w:val="1"/>
      <w:marLeft w:val="0"/>
      <w:marRight w:val="0"/>
      <w:marTop w:val="0"/>
      <w:marBottom w:val="0"/>
      <w:divBdr>
        <w:top w:val="none" w:sz="0" w:space="0" w:color="auto"/>
        <w:left w:val="none" w:sz="0" w:space="0" w:color="auto"/>
        <w:bottom w:val="none" w:sz="0" w:space="0" w:color="auto"/>
        <w:right w:val="none" w:sz="0" w:space="0" w:color="auto"/>
      </w:divBdr>
      <w:divsChild>
        <w:div w:id="683020955">
          <w:marLeft w:val="0"/>
          <w:marRight w:val="0"/>
          <w:marTop w:val="0"/>
          <w:marBottom w:val="0"/>
          <w:divBdr>
            <w:top w:val="none" w:sz="0" w:space="0" w:color="auto"/>
            <w:left w:val="none" w:sz="0" w:space="0" w:color="auto"/>
            <w:bottom w:val="none" w:sz="0" w:space="0" w:color="auto"/>
            <w:right w:val="none" w:sz="0" w:space="0" w:color="auto"/>
          </w:divBdr>
          <w:divsChild>
            <w:div w:id="1329014794">
              <w:marLeft w:val="0"/>
              <w:marRight w:val="0"/>
              <w:marTop w:val="0"/>
              <w:marBottom w:val="0"/>
              <w:divBdr>
                <w:top w:val="none" w:sz="0" w:space="0" w:color="auto"/>
                <w:left w:val="none" w:sz="0" w:space="0" w:color="auto"/>
                <w:bottom w:val="none" w:sz="0" w:space="0" w:color="auto"/>
                <w:right w:val="none" w:sz="0" w:space="0" w:color="auto"/>
              </w:divBdr>
              <w:divsChild>
                <w:div w:id="1989169390">
                  <w:marLeft w:val="0"/>
                  <w:marRight w:val="0"/>
                  <w:marTop w:val="0"/>
                  <w:marBottom w:val="0"/>
                  <w:divBdr>
                    <w:top w:val="none" w:sz="0" w:space="0" w:color="auto"/>
                    <w:left w:val="none" w:sz="0" w:space="0" w:color="auto"/>
                    <w:bottom w:val="none" w:sz="0" w:space="0" w:color="auto"/>
                    <w:right w:val="none" w:sz="0" w:space="0" w:color="auto"/>
                  </w:divBdr>
                  <w:divsChild>
                    <w:div w:id="1351296483">
                      <w:marLeft w:val="0"/>
                      <w:marRight w:val="0"/>
                      <w:marTop w:val="0"/>
                      <w:marBottom w:val="0"/>
                      <w:divBdr>
                        <w:top w:val="none" w:sz="0" w:space="0" w:color="auto"/>
                        <w:left w:val="none" w:sz="0" w:space="0" w:color="auto"/>
                        <w:bottom w:val="none" w:sz="0" w:space="0" w:color="auto"/>
                        <w:right w:val="none" w:sz="0" w:space="0" w:color="auto"/>
                      </w:divBdr>
                      <w:divsChild>
                        <w:div w:id="1543636964">
                          <w:marLeft w:val="0"/>
                          <w:marRight w:val="0"/>
                          <w:marTop w:val="0"/>
                          <w:marBottom w:val="0"/>
                          <w:divBdr>
                            <w:top w:val="none" w:sz="0" w:space="0" w:color="auto"/>
                            <w:left w:val="none" w:sz="0" w:space="0" w:color="auto"/>
                            <w:bottom w:val="none" w:sz="0" w:space="0" w:color="auto"/>
                            <w:right w:val="none" w:sz="0" w:space="0" w:color="auto"/>
                          </w:divBdr>
                          <w:divsChild>
                            <w:div w:id="753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15963">
      <w:bodyDiv w:val="1"/>
      <w:marLeft w:val="0"/>
      <w:marRight w:val="0"/>
      <w:marTop w:val="0"/>
      <w:marBottom w:val="0"/>
      <w:divBdr>
        <w:top w:val="none" w:sz="0" w:space="0" w:color="auto"/>
        <w:left w:val="none" w:sz="0" w:space="0" w:color="auto"/>
        <w:bottom w:val="none" w:sz="0" w:space="0" w:color="auto"/>
        <w:right w:val="none" w:sz="0" w:space="0" w:color="auto"/>
      </w:divBdr>
    </w:div>
    <w:div w:id="18197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561BE-BCAF-4D35-B386-43D8E548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7E8FB7F3</Template>
  <TotalTime>1</TotalTime>
  <Pages>1</Pages>
  <Words>212</Words>
  <Characters>1283</Characters>
  <Application>Microsoft Office Word</Application>
  <DocSecurity>4</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NCI Translation Center</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Translated by NCI Translation Center</dc:creator>
  <cp:lastModifiedBy>Monique Dassen</cp:lastModifiedBy>
  <cp:revision>2</cp:revision>
  <cp:lastPrinted>2016-07-03T21:33:00Z</cp:lastPrinted>
  <dcterms:created xsi:type="dcterms:W3CDTF">2018-01-24T20:37:00Z</dcterms:created>
  <dcterms:modified xsi:type="dcterms:W3CDTF">2018-01-24T20:37:00Z</dcterms:modified>
</cp:coreProperties>
</file>