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DC" w:rsidRPr="00E60DDC" w:rsidRDefault="00E60DDC" w:rsidP="00E60DDC">
      <w:pPr>
        <w:spacing w:before="100" w:beforeAutospacing="1" w:after="100" w:afterAutospacing="1" w:line="240" w:lineRule="auto"/>
        <w:jc w:val="center"/>
        <w:rPr>
          <w:rFonts w:ascii="Arial" w:eastAsia="Times New Roman" w:hAnsi="Arial" w:cs="Arial"/>
          <w:color w:val="000000"/>
          <w:sz w:val="20"/>
          <w:szCs w:val="20"/>
        </w:rPr>
      </w:pPr>
      <w:bookmarkStart w:id="0" w:name="_GoBack"/>
      <w:proofErr w:type="spellStart"/>
      <w:r w:rsidRPr="00E60DDC">
        <w:rPr>
          <w:rFonts w:ascii="Arial" w:eastAsia="Times New Roman" w:hAnsi="Arial" w:cs="Arial"/>
          <w:b/>
          <w:bCs/>
          <w:color w:val="000000"/>
          <w:sz w:val="20"/>
          <w:szCs w:val="20"/>
        </w:rPr>
        <w:t>Kiadis</w:t>
      </w:r>
      <w:proofErr w:type="spellEnd"/>
      <w:r w:rsidRPr="00E60DDC">
        <w:rPr>
          <w:rFonts w:ascii="Arial" w:eastAsia="Times New Roman" w:hAnsi="Arial" w:cs="Arial"/>
          <w:b/>
          <w:bCs/>
          <w:color w:val="000000"/>
          <w:sz w:val="20"/>
          <w:szCs w:val="20"/>
        </w:rPr>
        <w:t xml:space="preserve"> Pharma announces abstracts and presentations for the 60th American Society of Hematology (ASH) Annual Meeting</w:t>
      </w:r>
    </w:p>
    <w:bookmarkEnd w:id="0"/>
    <w:p w:rsidR="00E60DDC" w:rsidRPr="00E60DDC" w:rsidRDefault="00E60DDC" w:rsidP="00E60DDC">
      <w:pPr>
        <w:spacing w:before="100" w:beforeAutospacing="1" w:after="100" w:afterAutospacing="1" w:line="240" w:lineRule="auto"/>
        <w:rPr>
          <w:rFonts w:ascii="Arial" w:eastAsia="Times New Roman" w:hAnsi="Arial" w:cs="Arial"/>
          <w:color w:val="000000"/>
          <w:sz w:val="20"/>
          <w:szCs w:val="20"/>
        </w:rPr>
      </w:pPr>
      <w:r w:rsidRPr="00E60DDC">
        <w:rPr>
          <w:rFonts w:ascii="Arial" w:eastAsia="Times New Roman" w:hAnsi="Arial" w:cs="Arial"/>
          <w:b/>
          <w:bCs/>
          <w:color w:val="000000"/>
          <w:sz w:val="20"/>
          <w:szCs w:val="20"/>
        </w:rPr>
        <w:t xml:space="preserve">Amsterdam, The Netherlands, November 7, 2018 - </w:t>
      </w:r>
      <w:proofErr w:type="spellStart"/>
      <w:r w:rsidRPr="00E60DDC">
        <w:rPr>
          <w:rFonts w:ascii="Arial" w:eastAsia="Times New Roman" w:hAnsi="Arial" w:cs="Arial"/>
          <w:b/>
          <w:bCs/>
          <w:color w:val="000000"/>
          <w:sz w:val="20"/>
          <w:szCs w:val="20"/>
        </w:rPr>
        <w:t>Kiadis</w:t>
      </w:r>
      <w:proofErr w:type="spellEnd"/>
      <w:r w:rsidRPr="00E60DDC">
        <w:rPr>
          <w:rFonts w:ascii="Arial" w:eastAsia="Times New Roman" w:hAnsi="Arial" w:cs="Arial"/>
          <w:b/>
          <w:bCs/>
          <w:color w:val="000000"/>
          <w:sz w:val="20"/>
          <w:szCs w:val="20"/>
        </w:rPr>
        <w:t xml:space="preserve"> Pharma N.V. ("</w:t>
      </w:r>
      <w:proofErr w:type="spellStart"/>
      <w:r w:rsidRPr="00E60DDC">
        <w:rPr>
          <w:rFonts w:ascii="Arial" w:eastAsia="Times New Roman" w:hAnsi="Arial" w:cs="Arial"/>
          <w:b/>
          <w:bCs/>
          <w:color w:val="000000"/>
          <w:sz w:val="20"/>
          <w:szCs w:val="20"/>
        </w:rPr>
        <w:t>Kiadis</w:t>
      </w:r>
      <w:proofErr w:type="spellEnd"/>
      <w:r w:rsidRPr="00E60DDC">
        <w:rPr>
          <w:rFonts w:ascii="Arial" w:eastAsia="Times New Roman" w:hAnsi="Arial" w:cs="Arial"/>
          <w:b/>
          <w:bCs/>
          <w:color w:val="000000"/>
          <w:sz w:val="20"/>
          <w:szCs w:val="20"/>
        </w:rPr>
        <w:t xml:space="preserve"> Pharma" or the "Company") (Euronext Amsterdam and Brussels: KDS)</w:t>
      </w:r>
      <w:r w:rsidRPr="00E60DDC">
        <w:rPr>
          <w:rFonts w:ascii="Arial" w:eastAsia="Times New Roman" w:hAnsi="Arial" w:cs="Arial"/>
          <w:color w:val="000000"/>
          <w:sz w:val="20"/>
          <w:szCs w:val="20"/>
        </w:rPr>
        <w:t>, a clinical-stage biopharmaceutical company, today announces two data presentations at the </w:t>
      </w:r>
      <w:hyperlink r:id="rId5" w:tgtFrame="_blank" w:history="1">
        <w:r w:rsidRPr="00E60DDC">
          <w:rPr>
            <w:rFonts w:ascii="Arial" w:eastAsia="Times New Roman" w:hAnsi="Arial" w:cs="Arial"/>
            <w:color w:val="0000FF"/>
            <w:sz w:val="20"/>
            <w:szCs w:val="20"/>
            <w:u w:val="single"/>
          </w:rPr>
          <w:t>60th American Society of Hematology (ASH) Annual Meeting.</w:t>
        </w:r>
      </w:hyperlink>
      <w:r w:rsidRPr="00E60DDC">
        <w:rPr>
          <w:rFonts w:ascii="Arial" w:eastAsia="Times New Roman" w:hAnsi="Arial" w:cs="Arial"/>
          <w:color w:val="000000"/>
          <w:sz w:val="20"/>
          <w:szCs w:val="20"/>
        </w:rPr>
        <w:t> The event will be held December 1-4, 2018, at the San Diego Convention Center in San Diego, CA.</w:t>
      </w:r>
    </w:p>
    <w:p w:rsidR="00E60DDC" w:rsidRPr="00E60DDC" w:rsidRDefault="00E60DDC" w:rsidP="00E60DDC">
      <w:pPr>
        <w:spacing w:before="100" w:beforeAutospacing="1" w:after="100" w:afterAutospacing="1" w:line="240" w:lineRule="auto"/>
        <w:rPr>
          <w:rFonts w:ascii="Arial" w:eastAsia="Times New Roman" w:hAnsi="Arial" w:cs="Arial"/>
          <w:color w:val="000000"/>
          <w:sz w:val="20"/>
          <w:szCs w:val="20"/>
        </w:rPr>
      </w:pPr>
      <w:hyperlink r:id="rId6" w:tgtFrame="_blank" w:history="1">
        <w:r w:rsidRPr="00E60DDC">
          <w:rPr>
            <w:rFonts w:ascii="Arial" w:eastAsia="Times New Roman" w:hAnsi="Arial" w:cs="Arial"/>
            <w:b/>
            <w:bCs/>
            <w:color w:val="0000FF"/>
            <w:sz w:val="20"/>
            <w:szCs w:val="20"/>
            <w:u w:val="single"/>
          </w:rPr>
          <w:t>A</w:t>
        </w:r>
      </w:hyperlink>
      <w:hyperlink r:id="rId7" w:tgtFrame="_blank" w:history="1">
        <w:r w:rsidRPr="00E60DDC">
          <w:rPr>
            <w:rFonts w:ascii="Arial" w:eastAsia="Times New Roman" w:hAnsi="Arial" w:cs="Arial"/>
            <w:b/>
            <w:bCs/>
            <w:color w:val="0000FF"/>
            <w:sz w:val="20"/>
            <w:szCs w:val="20"/>
            <w:u w:val="single"/>
          </w:rPr>
          <w:t>bstract 120</w:t>
        </w:r>
      </w:hyperlink>
      <w:r w:rsidRPr="00E60DDC">
        <w:rPr>
          <w:rFonts w:ascii="Arial" w:eastAsia="Times New Roman" w:hAnsi="Arial" w:cs="Arial"/>
          <w:b/>
          <w:bCs/>
          <w:color w:val="000000"/>
          <w:sz w:val="20"/>
          <w:szCs w:val="20"/>
        </w:rPr>
        <w:t>: </w:t>
      </w:r>
      <w:r w:rsidRPr="00E60DDC">
        <w:rPr>
          <w:rFonts w:ascii="Arial" w:eastAsia="Times New Roman" w:hAnsi="Arial" w:cs="Arial"/>
          <w:color w:val="000000"/>
          <w:sz w:val="20"/>
          <w:szCs w:val="20"/>
        </w:rPr>
        <w:t xml:space="preserve">Efficacy and Safety of a Single Dose of Donor Lymphocytes Depleted of </w:t>
      </w:r>
      <w:proofErr w:type="spellStart"/>
      <w:r w:rsidRPr="00E60DDC">
        <w:rPr>
          <w:rFonts w:ascii="Arial" w:eastAsia="Times New Roman" w:hAnsi="Arial" w:cs="Arial"/>
          <w:color w:val="000000"/>
          <w:sz w:val="20"/>
          <w:szCs w:val="20"/>
        </w:rPr>
        <w:t>Alloreactive</w:t>
      </w:r>
      <w:proofErr w:type="spellEnd"/>
      <w:r w:rsidRPr="00E60DDC">
        <w:rPr>
          <w:rFonts w:ascii="Arial" w:eastAsia="Times New Roman" w:hAnsi="Arial" w:cs="Arial"/>
          <w:color w:val="000000"/>
          <w:sz w:val="20"/>
          <w:szCs w:val="20"/>
        </w:rPr>
        <w:t xml:space="preserve"> T-Cells (ATIR101) Following T-Cell-Depleted </w:t>
      </w:r>
      <w:proofErr w:type="spellStart"/>
      <w:r w:rsidRPr="00E60DDC">
        <w:rPr>
          <w:rFonts w:ascii="Arial" w:eastAsia="Times New Roman" w:hAnsi="Arial" w:cs="Arial"/>
          <w:color w:val="000000"/>
          <w:sz w:val="20"/>
          <w:szCs w:val="20"/>
        </w:rPr>
        <w:t>Haploidentical</w:t>
      </w:r>
      <w:proofErr w:type="spellEnd"/>
      <w:r w:rsidRPr="00E60DDC">
        <w:rPr>
          <w:rFonts w:ascii="Arial" w:eastAsia="Times New Roman" w:hAnsi="Arial" w:cs="Arial"/>
          <w:color w:val="000000"/>
          <w:sz w:val="20"/>
          <w:szCs w:val="20"/>
        </w:rPr>
        <w:t xml:space="preserve"> HSCT: A Pooled Analysis of Two Phase II Studies</w:t>
      </w:r>
      <w:r w:rsidRPr="00E60DDC">
        <w:rPr>
          <w:rFonts w:ascii="Arial" w:eastAsia="Times New Roman" w:hAnsi="Arial" w:cs="Arial"/>
          <w:color w:val="000000"/>
          <w:sz w:val="20"/>
          <w:szCs w:val="20"/>
        </w:rPr>
        <w:br/>
      </w:r>
      <w:r w:rsidRPr="00E60DDC">
        <w:rPr>
          <w:rFonts w:ascii="Arial" w:eastAsia="Times New Roman" w:hAnsi="Arial" w:cs="Arial"/>
          <w:b/>
          <w:bCs/>
          <w:color w:val="000000"/>
          <w:sz w:val="20"/>
          <w:szCs w:val="20"/>
        </w:rPr>
        <w:t>Type:</w:t>
      </w:r>
      <w:r w:rsidRPr="00E60DDC">
        <w:rPr>
          <w:rFonts w:ascii="Arial" w:eastAsia="Times New Roman" w:hAnsi="Arial" w:cs="Arial"/>
          <w:color w:val="000000"/>
          <w:sz w:val="20"/>
          <w:szCs w:val="20"/>
        </w:rPr>
        <w:t> Oral</w:t>
      </w:r>
      <w:r w:rsidRPr="00E60DDC">
        <w:rPr>
          <w:rFonts w:ascii="Arial" w:eastAsia="Times New Roman" w:hAnsi="Arial" w:cs="Arial"/>
          <w:color w:val="000000"/>
          <w:sz w:val="20"/>
          <w:szCs w:val="20"/>
        </w:rPr>
        <w:br/>
      </w:r>
      <w:r w:rsidRPr="00E60DDC">
        <w:rPr>
          <w:rFonts w:ascii="Arial" w:eastAsia="Times New Roman" w:hAnsi="Arial" w:cs="Arial"/>
          <w:b/>
          <w:bCs/>
          <w:color w:val="000000"/>
          <w:sz w:val="20"/>
          <w:szCs w:val="20"/>
        </w:rPr>
        <w:t>Session: </w:t>
      </w:r>
      <w:r w:rsidRPr="00E60DDC">
        <w:rPr>
          <w:rFonts w:ascii="Arial" w:eastAsia="Times New Roman" w:hAnsi="Arial" w:cs="Arial"/>
          <w:color w:val="000000"/>
          <w:sz w:val="20"/>
          <w:szCs w:val="20"/>
        </w:rPr>
        <w:t>711. Cell Collection and Processing I</w:t>
      </w:r>
      <w:r w:rsidRPr="00E60DDC">
        <w:rPr>
          <w:rFonts w:ascii="Arial" w:eastAsia="Times New Roman" w:hAnsi="Arial" w:cs="Arial"/>
          <w:color w:val="000000"/>
          <w:sz w:val="20"/>
          <w:szCs w:val="20"/>
        </w:rPr>
        <w:br/>
      </w:r>
      <w:r w:rsidRPr="00E60DDC">
        <w:rPr>
          <w:rFonts w:ascii="Arial" w:eastAsia="Times New Roman" w:hAnsi="Arial" w:cs="Arial"/>
          <w:b/>
          <w:bCs/>
          <w:color w:val="000000"/>
          <w:sz w:val="20"/>
          <w:szCs w:val="20"/>
        </w:rPr>
        <w:t>Authors:</w:t>
      </w:r>
      <w:r w:rsidRPr="00E60DDC">
        <w:rPr>
          <w:rFonts w:ascii="Arial" w:eastAsia="Times New Roman" w:hAnsi="Arial" w:cs="Arial"/>
          <w:color w:val="000000"/>
          <w:sz w:val="20"/>
          <w:szCs w:val="20"/>
        </w:rPr>
        <w:t> Denis-Claude Roy et al</w:t>
      </w:r>
      <w:proofErr w:type="gramStart"/>
      <w:r w:rsidRPr="00E60DDC">
        <w:rPr>
          <w:rFonts w:ascii="Arial" w:eastAsia="Times New Roman" w:hAnsi="Arial" w:cs="Arial"/>
          <w:color w:val="000000"/>
          <w:sz w:val="20"/>
          <w:szCs w:val="20"/>
        </w:rPr>
        <w:t>.</w:t>
      </w:r>
      <w:proofErr w:type="gramEnd"/>
      <w:r w:rsidRPr="00E60DDC">
        <w:rPr>
          <w:rFonts w:ascii="Arial" w:eastAsia="Times New Roman" w:hAnsi="Arial" w:cs="Arial"/>
          <w:color w:val="000000"/>
          <w:sz w:val="20"/>
          <w:szCs w:val="20"/>
        </w:rPr>
        <w:br/>
      </w:r>
      <w:r w:rsidRPr="00E60DDC">
        <w:rPr>
          <w:rFonts w:ascii="Arial" w:eastAsia="Times New Roman" w:hAnsi="Arial" w:cs="Arial"/>
          <w:b/>
          <w:bCs/>
          <w:color w:val="000000"/>
          <w:sz w:val="20"/>
          <w:szCs w:val="20"/>
        </w:rPr>
        <w:t>Date &amp; Presentation time:</w:t>
      </w:r>
      <w:r w:rsidRPr="00E60DDC">
        <w:rPr>
          <w:rFonts w:ascii="Arial" w:eastAsia="Times New Roman" w:hAnsi="Arial" w:cs="Arial"/>
          <w:color w:val="000000"/>
          <w:sz w:val="20"/>
          <w:szCs w:val="20"/>
        </w:rPr>
        <w:t> Saturday, December 1, 2018, 10:45 AM</w:t>
      </w:r>
      <w:r w:rsidRPr="00E60DDC">
        <w:rPr>
          <w:rFonts w:ascii="Arial" w:eastAsia="Times New Roman" w:hAnsi="Arial" w:cs="Arial"/>
          <w:color w:val="000000"/>
          <w:sz w:val="20"/>
          <w:szCs w:val="20"/>
        </w:rPr>
        <w:br/>
      </w:r>
      <w:r w:rsidRPr="00E60DDC">
        <w:rPr>
          <w:rFonts w:ascii="Arial" w:eastAsia="Times New Roman" w:hAnsi="Arial" w:cs="Arial"/>
          <w:b/>
          <w:bCs/>
          <w:color w:val="000000"/>
          <w:sz w:val="20"/>
          <w:szCs w:val="20"/>
        </w:rPr>
        <w:t>Location:</w:t>
      </w:r>
      <w:r w:rsidRPr="00E60DDC">
        <w:rPr>
          <w:rFonts w:ascii="Arial" w:eastAsia="Times New Roman" w:hAnsi="Arial" w:cs="Arial"/>
          <w:color w:val="000000"/>
          <w:sz w:val="20"/>
          <w:szCs w:val="20"/>
        </w:rPr>
        <w:t> Grand Hall A (Manchester Grand Hyatt San Diego)</w:t>
      </w:r>
    </w:p>
    <w:p w:rsidR="00E60DDC" w:rsidRPr="00E60DDC" w:rsidRDefault="00E60DDC" w:rsidP="00E60DDC">
      <w:pPr>
        <w:spacing w:before="100" w:beforeAutospacing="1" w:after="100" w:afterAutospacing="1" w:line="240" w:lineRule="auto"/>
        <w:rPr>
          <w:rFonts w:ascii="Arial" w:eastAsia="Times New Roman" w:hAnsi="Arial" w:cs="Arial"/>
          <w:color w:val="000000"/>
          <w:sz w:val="20"/>
          <w:szCs w:val="20"/>
        </w:rPr>
      </w:pPr>
      <w:r w:rsidRPr="00E60DDC">
        <w:rPr>
          <w:rFonts w:ascii="Arial" w:eastAsia="Times New Roman" w:hAnsi="Arial" w:cs="Arial"/>
          <w:b/>
          <w:bCs/>
          <w:color w:val="000000"/>
          <w:sz w:val="20"/>
          <w:szCs w:val="20"/>
        </w:rPr>
        <w:t>Background: </w:t>
      </w:r>
      <w:r w:rsidRPr="00E60DDC">
        <w:rPr>
          <w:rFonts w:ascii="Arial" w:eastAsia="Times New Roman" w:hAnsi="Arial" w:cs="Arial"/>
          <w:color w:val="000000"/>
          <w:sz w:val="20"/>
          <w:szCs w:val="20"/>
        </w:rPr>
        <w:t xml:space="preserve">An ex vivo </w:t>
      </w:r>
      <w:proofErr w:type="spellStart"/>
      <w:r w:rsidRPr="00E60DDC">
        <w:rPr>
          <w:rFonts w:ascii="Arial" w:eastAsia="Times New Roman" w:hAnsi="Arial" w:cs="Arial"/>
          <w:color w:val="000000"/>
          <w:sz w:val="20"/>
          <w:szCs w:val="20"/>
        </w:rPr>
        <w:t>photodepletion</w:t>
      </w:r>
      <w:proofErr w:type="spellEnd"/>
      <w:r w:rsidRPr="00E60DDC">
        <w:rPr>
          <w:rFonts w:ascii="Arial" w:eastAsia="Times New Roman" w:hAnsi="Arial" w:cs="Arial"/>
          <w:color w:val="000000"/>
          <w:sz w:val="20"/>
          <w:szCs w:val="20"/>
        </w:rPr>
        <w:t xml:space="preserve"> method has been developed to produce ATIR101 </w:t>
      </w:r>
      <w:r w:rsidRPr="00E60DDC">
        <w:rPr>
          <w:rFonts w:ascii="Arial" w:eastAsia="Times New Roman" w:hAnsi="Arial" w:cs="Arial"/>
          <w:i/>
          <w:iCs/>
          <w:color w:val="000000"/>
          <w:sz w:val="20"/>
          <w:szCs w:val="20"/>
        </w:rPr>
        <w:t>(</w:t>
      </w:r>
      <w:proofErr w:type="spellStart"/>
      <w:r w:rsidRPr="00E60DDC">
        <w:rPr>
          <w:rFonts w:ascii="Arial" w:eastAsia="Times New Roman" w:hAnsi="Arial" w:cs="Arial"/>
          <w:i/>
          <w:iCs/>
          <w:color w:val="000000"/>
          <w:sz w:val="20"/>
          <w:szCs w:val="20"/>
        </w:rPr>
        <w:t>Kiadis</w:t>
      </w:r>
      <w:proofErr w:type="spellEnd"/>
      <w:r w:rsidRPr="00E60DDC">
        <w:rPr>
          <w:rFonts w:ascii="Arial" w:eastAsia="Times New Roman" w:hAnsi="Arial" w:cs="Arial"/>
          <w:i/>
          <w:iCs/>
          <w:color w:val="000000"/>
          <w:sz w:val="20"/>
          <w:szCs w:val="20"/>
        </w:rPr>
        <w:t xml:space="preserve"> Pharma)</w:t>
      </w:r>
      <w:r w:rsidRPr="00E60DDC">
        <w:rPr>
          <w:rFonts w:ascii="Arial" w:eastAsia="Times New Roman" w:hAnsi="Arial" w:cs="Arial"/>
          <w:color w:val="000000"/>
          <w:sz w:val="20"/>
          <w:szCs w:val="20"/>
        </w:rPr>
        <w:t xml:space="preserve">, a donor lymphocyte infusion (2.0 million cells/kg) administered after </w:t>
      </w:r>
      <w:proofErr w:type="spellStart"/>
      <w:r w:rsidRPr="00E60DDC">
        <w:rPr>
          <w:rFonts w:ascii="Arial" w:eastAsia="Times New Roman" w:hAnsi="Arial" w:cs="Arial"/>
          <w:color w:val="000000"/>
          <w:sz w:val="20"/>
          <w:szCs w:val="20"/>
        </w:rPr>
        <w:t>haploidentical</w:t>
      </w:r>
      <w:proofErr w:type="spellEnd"/>
      <w:r w:rsidRPr="00E60DDC">
        <w:rPr>
          <w:rFonts w:ascii="Arial" w:eastAsia="Times New Roman" w:hAnsi="Arial" w:cs="Arial"/>
          <w:color w:val="000000"/>
          <w:sz w:val="20"/>
          <w:szCs w:val="20"/>
        </w:rPr>
        <w:t xml:space="preserve"> allogeneic hematopoietic stem cell transplantation (</w:t>
      </w:r>
      <w:proofErr w:type="spellStart"/>
      <w:r w:rsidRPr="00E60DDC">
        <w:rPr>
          <w:rFonts w:ascii="Arial" w:eastAsia="Times New Roman" w:hAnsi="Arial" w:cs="Arial"/>
          <w:color w:val="000000"/>
          <w:sz w:val="20"/>
          <w:szCs w:val="20"/>
        </w:rPr>
        <w:t>haplo</w:t>
      </w:r>
      <w:proofErr w:type="spellEnd"/>
      <w:r w:rsidRPr="00E60DDC">
        <w:rPr>
          <w:rFonts w:ascii="Arial" w:eastAsia="Times New Roman" w:hAnsi="Arial" w:cs="Arial"/>
          <w:color w:val="000000"/>
          <w:sz w:val="20"/>
          <w:szCs w:val="20"/>
        </w:rPr>
        <w:t xml:space="preserve">-HSCT) to aid immune reconstitution. ATIR101 is depleted of </w:t>
      </w:r>
      <w:proofErr w:type="spellStart"/>
      <w:r w:rsidRPr="00E60DDC">
        <w:rPr>
          <w:rFonts w:ascii="Arial" w:eastAsia="Times New Roman" w:hAnsi="Arial" w:cs="Arial"/>
          <w:color w:val="000000"/>
          <w:sz w:val="20"/>
          <w:szCs w:val="20"/>
        </w:rPr>
        <w:t>alloreactive</w:t>
      </w:r>
      <w:proofErr w:type="spellEnd"/>
      <w:r w:rsidRPr="00E60DDC">
        <w:rPr>
          <w:rFonts w:ascii="Arial" w:eastAsia="Times New Roman" w:hAnsi="Arial" w:cs="Arial"/>
          <w:color w:val="000000"/>
          <w:sz w:val="20"/>
          <w:szCs w:val="20"/>
        </w:rPr>
        <w:t xml:space="preserve"> T-cells and early administration after T-cell-depleted </w:t>
      </w:r>
      <w:proofErr w:type="spellStart"/>
      <w:r w:rsidRPr="00E60DDC">
        <w:rPr>
          <w:rFonts w:ascii="Arial" w:eastAsia="Times New Roman" w:hAnsi="Arial" w:cs="Arial"/>
          <w:color w:val="000000"/>
          <w:sz w:val="20"/>
          <w:szCs w:val="20"/>
        </w:rPr>
        <w:t>haplo</w:t>
      </w:r>
      <w:proofErr w:type="spellEnd"/>
      <w:r w:rsidRPr="00E60DDC">
        <w:rPr>
          <w:rFonts w:ascii="Arial" w:eastAsia="Times New Roman" w:hAnsi="Arial" w:cs="Arial"/>
          <w:color w:val="000000"/>
          <w:sz w:val="20"/>
          <w:szCs w:val="20"/>
        </w:rPr>
        <w:t>-HSCT has the potential to reduce serious complications resulting from delayed immune reconstitution, such as infections, malignant relapse, and severe graft-versus-host disease (GVHD) in the recipient. The safety and efficacy of a single dose of ATIR101 are presented here in a pooled analysis of two phase II clinical trials: CR-AIR-007 (NCT01794299) &amp; CR-AIR-008 (NCT02500550).</w:t>
      </w:r>
    </w:p>
    <w:p w:rsidR="00E60DDC" w:rsidRPr="00E60DDC" w:rsidRDefault="00E60DDC" w:rsidP="00E60DDC">
      <w:pPr>
        <w:spacing w:before="100" w:beforeAutospacing="1" w:after="100" w:afterAutospacing="1" w:line="240" w:lineRule="auto"/>
        <w:rPr>
          <w:rFonts w:ascii="Arial" w:eastAsia="Times New Roman" w:hAnsi="Arial" w:cs="Arial"/>
          <w:color w:val="000000"/>
          <w:sz w:val="20"/>
          <w:szCs w:val="20"/>
        </w:rPr>
      </w:pPr>
      <w:hyperlink r:id="rId8" w:tgtFrame="_blank" w:history="1">
        <w:r w:rsidRPr="00E60DDC">
          <w:rPr>
            <w:rFonts w:ascii="Arial" w:eastAsia="Times New Roman" w:hAnsi="Arial" w:cs="Arial"/>
            <w:b/>
            <w:bCs/>
            <w:color w:val="0000FF"/>
            <w:sz w:val="20"/>
            <w:szCs w:val="20"/>
            <w:u w:val="single"/>
          </w:rPr>
          <w:t>Abstract 3474</w:t>
        </w:r>
      </w:hyperlink>
      <w:r w:rsidRPr="00E60DDC">
        <w:rPr>
          <w:rFonts w:ascii="Arial" w:eastAsia="Times New Roman" w:hAnsi="Arial" w:cs="Arial"/>
          <w:b/>
          <w:bCs/>
          <w:color w:val="000000"/>
          <w:sz w:val="20"/>
          <w:szCs w:val="20"/>
        </w:rPr>
        <w:t>:  </w:t>
      </w:r>
      <w:r w:rsidRPr="00E60DDC">
        <w:rPr>
          <w:rFonts w:ascii="Arial" w:eastAsia="Times New Roman" w:hAnsi="Arial" w:cs="Arial"/>
          <w:color w:val="000000"/>
          <w:sz w:val="20"/>
          <w:szCs w:val="20"/>
        </w:rPr>
        <w:t xml:space="preserve">Depletion of </w:t>
      </w:r>
      <w:proofErr w:type="spellStart"/>
      <w:r w:rsidRPr="00E60DDC">
        <w:rPr>
          <w:rFonts w:ascii="Arial" w:eastAsia="Times New Roman" w:hAnsi="Arial" w:cs="Arial"/>
          <w:color w:val="000000"/>
          <w:sz w:val="20"/>
          <w:szCs w:val="20"/>
        </w:rPr>
        <w:t>Alloreactive</w:t>
      </w:r>
      <w:proofErr w:type="spellEnd"/>
      <w:r w:rsidRPr="00E60DDC">
        <w:rPr>
          <w:rFonts w:ascii="Arial" w:eastAsia="Times New Roman" w:hAnsi="Arial" w:cs="Arial"/>
          <w:color w:val="000000"/>
          <w:sz w:val="20"/>
          <w:szCs w:val="20"/>
        </w:rPr>
        <w:t xml:space="preserve"> T Cells after </w:t>
      </w:r>
      <w:proofErr w:type="spellStart"/>
      <w:r w:rsidRPr="00E60DDC">
        <w:rPr>
          <w:rFonts w:ascii="Arial" w:eastAsia="Times New Roman" w:hAnsi="Arial" w:cs="Arial"/>
          <w:color w:val="000000"/>
          <w:sz w:val="20"/>
          <w:szCs w:val="20"/>
        </w:rPr>
        <w:t>Haploidentical</w:t>
      </w:r>
      <w:proofErr w:type="spellEnd"/>
      <w:r w:rsidRPr="00E60DDC">
        <w:rPr>
          <w:rFonts w:ascii="Arial" w:eastAsia="Times New Roman" w:hAnsi="Arial" w:cs="Arial"/>
          <w:color w:val="000000"/>
          <w:sz w:val="20"/>
          <w:szCs w:val="20"/>
        </w:rPr>
        <w:t xml:space="preserve"> HSCT: Comparison of Outcomes for </w:t>
      </w:r>
      <w:r w:rsidRPr="00E60DDC">
        <w:rPr>
          <w:rFonts w:ascii="Arial" w:eastAsia="Times New Roman" w:hAnsi="Arial" w:cs="Arial"/>
          <w:i/>
          <w:iCs/>
          <w:color w:val="000000"/>
          <w:sz w:val="20"/>
          <w:szCs w:val="20"/>
        </w:rPr>
        <w:t>Ex Vivo</w:t>
      </w:r>
      <w:r w:rsidRPr="00E60DDC">
        <w:rPr>
          <w:rFonts w:ascii="Arial" w:eastAsia="Times New Roman" w:hAnsi="Arial" w:cs="Arial"/>
          <w:color w:val="000000"/>
          <w:sz w:val="20"/>
          <w:szCs w:val="20"/>
        </w:rPr>
        <w:t> Versus </w:t>
      </w:r>
      <w:r w:rsidRPr="00E60DDC">
        <w:rPr>
          <w:rFonts w:ascii="Arial" w:eastAsia="Times New Roman" w:hAnsi="Arial" w:cs="Arial"/>
          <w:i/>
          <w:iCs/>
          <w:color w:val="000000"/>
          <w:sz w:val="20"/>
          <w:szCs w:val="20"/>
        </w:rPr>
        <w:t>In Vivo</w:t>
      </w:r>
      <w:r w:rsidRPr="00E60DDC">
        <w:rPr>
          <w:rFonts w:ascii="Arial" w:eastAsia="Times New Roman" w:hAnsi="Arial" w:cs="Arial"/>
          <w:color w:val="000000"/>
          <w:sz w:val="20"/>
          <w:szCs w:val="20"/>
        </w:rPr>
        <w:t> Treatment Strategies</w:t>
      </w:r>
      <w:r w:rsidRPr="00E60DDC">
        <w:rPr>
          <w:rFonts w:ascii="Arial" w:eastAsia="Times New Roman" w:hAnsi="Arial" w:cs="Arial"/>
          <w:color w:val="000000"/>
          <w:sz w:val="20"/>
          <w:szCs w:val="20"/>
        </w:rPr>
        <w:br/>
      </w:r>
      <w:r w:rsidRPr="00E60DDC">
        <w:rPr>
          <w:rFonts w:ascii="Arial" w:eastAsia="Times New Roman" w:hAnsi="Arial" w:cs="Arial"/>
          <w:b/>
          <w:bCs/>
          <w:color w:val="000000"/>
          <w:sz w:val="20"/>
          <w:szCs w:val="20"/>
        </w:rPr>
        <w:t>Type:</w:t>
      </w:r>
      <w:r w:rsidRPr="00E60DDC">
        <w:rPr>
          <w:rFonts w:ascii="Arial" w:eastAsia="Times New Roman" w:hAnsi="Arial" w:cs="Arial"/>
          <w:color w:val="000000"/>
          <w:sz w:val="20"/>
          <w:szCs w:val="20"/>
        </w:rPr>
        <w:t> Poster</w:t>
      </w:r>
      <w:r w:rsidRPr="00E60DDC">
        <w:rPr>
          <w:rFonts w:ascii="Arial" w:eastAsia="Times New Roman" w:hAnsi="Arial" w:cs="Arial"/>
          <w:color w:val="000000"/>
          <w:sz w:val="20"/>
          <w:szCs w:val="20"/>
        </w:rPr>
        <w:br/>
      </w:r>
      <w:r w:rsidRPr="00E60DDC">
        <w:rPr>
          <w:rFonts w:ascii="Arial" w:eastAsia="Times New Roman" w:hAnsi="Arial" w:cs="Arial"/>
          <w:b/>
          <w:bCs/>
          <w:color w:val="000000"/>
          <w:sz w:val="20"/>
          <w:szCs w:val="20"/>
        </w:rPr>
        <w:t>Session:</w:t>
      </w:r>
      <w:r w:rsidRPr="00E60DDC">
        <w:rPr>
          <w:rFonts w:ascii="Arial" w:eastAsia="Times New Roman" w:hAnsi="Arial" w:cs="Arial"/>
          <w:color w:val="000000"/>
          <w:sz w:val="20"/>
          <w:szCs w:val="20"/>
        </w:rPr>
        <w:t> 732. Clinical Allogeneic Transplantation</w:t>
      </w:r>
      <w:r w:rsidRPr="00E60DDC">
        <w:rPr>
          <w:rFonts w:ascii="Arial" w:eastAsia="Times New Roman" w:hAnsi="Arial" w:cs="Arial"/>
          <w:color w:val="000000"/>
          <w:sz w:val="20"/>
          <w:szCs w:val="20"/>
        </w:rPr>
        <w:br/>
      </w:r>
      <w:r w:rsidRPr="00E60DDC">
        <w:rPr>
          <w:rFonts w:ascii="Arial" w:eastAsia="Times New Roman" w:hAnsi="Arial" w:cs="Arial"/>
          <w:b/>
          <w:bCs/>
          <w:color w:val="000000"/>
          <w:sz w:val="20"/>
          <w:szCs w:val="20"/>
        </w:rPr>
        <w:t>Authors: </w:t>
      </w:r>
      <w:r w:rsidRPr="00E60DDC">
        <w:rPr>
          <w:rFonts w:ascii="Arial" w:eastAsia="Times New Roman" w:hAnsi="Arial" w:cs="Arial"/>
          <w:color w:val="000000"/>
          <w:sz w:val="20"/>
          <w:szCs w:val="20"/>
        </w:rPr>
        <w:t>Steven Devine et al. </w:t>
      </w:r>
      <w:r w:rsidRPr="00E60DDC">
        <w:rPr>
          <w:rFonts w:ascii="Arial" w:eastAsia="Times New Roman" w:hAnsi="Arial" w:cs="Arial"/>
          <w:color w:val="000000"/>
          <w:sz w:val="20"/>
          <w:szCs w:val="20"/>
        </w:rPr>
        <w:br/>
      </w:r>
      <w:r w:rsidRPr="00E60DDC">
        <w:rPr>
          <w:rFonts w:ascii="Arial" w:eastAsia="Times New Roman" w:hAnsi="Arial" w:cs="Arial"/>
          <w:b/>
          <w:bCs/>
          <w:color w:val="000000"/>
          <w:sz w:val="20"/>
          <w:szCs w:val="20"/>
        </w:rPr>
        <w:t>Date &amp; Presentation time:</w:t>
      </w:r>
      <w:r w:rsidRPr="00E60DDC">
        <w:rPr>
          <w:rFonts w:ascii="Arial" w:eastAsia="Times New Roman" w:hAnsi="Arial" w:cs="Arial"/>
          <w:color w:val="000000"/>
          <w:sz w:val="20"/>
          <w:szCs w:val="20"/>
        </w:rPr>
        <w:t> Sunday, December 2, 2018, 6:00 PM-8:00 PM</w:t>
      </w:r>
      <w:r w:rsidRPr="00E60DDC">
        <w:rPr>
          <w:rFonts w:ascii="Arial" w:eastAsia="Times New Roman" w:hAnsi="Arial" w:cs="Arial"/>
          <w:color w:val="000000"/>
          <w:sz w:val="20"/>
          <w:szCs w:val="20"/>
        </w:rPr>
        <w:br/>
      </w:r>
      <w:r w:rsidRPr="00E60DDC">
        <w:rPr>
          <w:rFonts w:ascii="Arial" w:eastAsia="Times New Roman" w:hAnsi="Arial" w:cs="Arial"/>
          <w:b/>
          <w:bCs/>
          <w:color w:val="000000"/>
          <w:sz w:val="20"/>
          <w:szCs w:val="20"/>
        </w:rPr>
        <w:t>Location:</w:t>
      </w:r>
      <w:r w:rsidRPr="00E60DDC">
        <w:rPr>
          <w:rFonts w:ascii="Arial" w:eastAsia="Times New Roman" w:hAnsi="Arial" w:cs="Arial"/>
          <w:color w:val="000000"/>
          <w:sz w:val="20"/>
          <w:szCs w:val="20"/>
        </w:rPr>
        <w:t> Hall GH (San Diego Convention Center)</w:t>
      </w:r>
    </w:p>
    <w:p w:rsidR="00E60DDC" w:rsidRPr="00E60DDC" w:rsidRDefault="00E60DDC" w:rsidP="00E60DDC">
      <w:pPr>
        <w:spacing w:before="100" w:beforeAutospacing="1" w:after="100" w:afterAutospacing="1" w:line="240" w:lineRule="auto"/>
        <w:rPr>
          <w:rFonts w:ascii="Arial" w:eastAsia="Times New Roman" w:hAnsi="Arial" w:cs="Arial"/>
          <w:color w:val="000000"/>
          <w:sz w:val="20"/>
          <w:szCs w:val="20"/>
        </w:rPr>
      </w:pPr>
      <w:r w:rsidRPr="00E60DDC">
        <w:rPr>
          <w:rFonts w:ascii="Arial" w:eastAsia="Times New Roman" w:hAnsi="Arial" w:cs="Arial"/>
          <w:b/>
          <w:bCs/>
          <w:color w:val="000000"/>
          <w:sz w:val="20"/>
          <w:szCs w:val="20"/>
        </w:rPr>
        <w:t>Background: </w:t>
      </w:r>
      <w:r w:rsidRPr="00E60DDC">
        <w:rPr>
          <w:rFonts w:ascii="Arial" w:eastAsia="Times New Roman" w:hAnsi="Arial" w:cs="Arial"/>
          <w:color w:val="000000"/>
          <w:sz w:val="20"/>
          <w:szCs w:val="20"/>
        </w:rPr>
        <w:t xml:space="preserve">The use of </w:t>
      </w:r>
      <w:proofErr w:type="spellStart"/>
      <w:r w:rsidRPr="00E60DDC">
        <w:rPr>
          <w:rFonts w:ascii="Arial" w:eastAsia="Times New Roman" w:hAnsi="Arial" w:cs="Arial"/>
          <w:color w:val="000000"/>
          <w:sz w:val="20"/>
          <w:szCs w:val="20"/>
        </w:rPr>
        <w:t>haploidentical</w:t>
      </w:r>
      <w:proofErr w:type="spellEnd"/>
      <w:r w:rsidRPr="00E60DDC">
        <w:rPr>
          <w:rFonts w:ascii="Arial" w:eastAsia="Times New Roman" w:hAnsi="Arial" w:cs="Arial"/>
          <w:color w:val="000000"/>
          <w:sz w:val="20"/>
          <w:szCs w:val="20"/>
        </w:rPr>
        <w:t xml:space="preserve"> allogeneic hematopoietic stem cell transplantation (</w:t>
      </w:r>
      <w:proofErr w:type="spellStart"/>
      <w:r w:rsidRPr="00E60DDC">
        <w:rPr>
          <w:rFonts w:ascii="Arial" w:eastAsia="Times New Roman" w:hAnsi="Arial" w:cs="Arial"/>
          <w:color w:val="000000"/>
          <w:sz w:val="20"/>
          <w:szCs w:val="20"/>
        </w:rPr>
        <w:t>haplo</w:t>
      </w:r>
      <w:proofErr w:type="spellEnd"/>
      <w:r w:rsidRPr="00E60DDC">
        <w:rPr>
          <w:rFonts w:ascii="Arial" w:eastAsia="Times New Roman" w:hAnsi="Arial" w:cs="Arial"/>
          <w:color w:val="000000"/>
          <w:sz w:val="20"/>
          <w:szCs w:val="20"/>
        </w:rPr>
        <w:t xml:space="preserve">-HSCT) has increased owing to therapeutic advances that have mitigated the main barriers such as high incidence of graft-versus-host disease (GVHD) and non-relapse mortality (NRM). Such T-cell depletion </w:t>
      </w:r>
      <w:proofErr w:type="gramStart"/>
      <w:r w:rsidRPr="00E60DDC">
        <w:rPr>
          <w:rFonts w:ascii="Arial" w:eastAsia="Times New Roman" w:hAnsi="Arial" w:cs="Arial"/>
          <w:color w:val="000000"/>
          <w:sz w:val="20"/>
          <w:szCs w:val="20"/>
        </w:rPr>
        <w:t>can</w:t>
      </w:r>
      <w:proofErr w:type="gramEnd"/>
      <w:r w:rsidRPr="00E60DDC">
        <w:rPr>
          <w:rFonts w:ascii="Arial" w:eastAsia="Times New Roman" w:hAnsi="Arial" w:cs="Arial"/>
          <w:color w:val="000000"/>
          <w:sz w:val="20"/>
          <w:szCs w:val="20"/>
        </w:rPr>
        <w:t xml:space="preserve"> be performed </w:t>
      </w:r>
      <w:r w:rsidRPr="00E60DDC">
        <w:rPr>
          <w:rFonts w:ascii="Arial" w:eastAsia="Times New Roman" w:hAnsi="Arial" w:cs="Arial"/>
          <w:i/>
          <w:iCs/>
          <w:color w:val="000000"/>
          <w:sz w:val="20"/>
          <w:szCs w:val="20"/>
        </w:rPr>
        <w:t>in vivo</w:t>
      </w:r>
      <w:r w:rsidRPr="00E60DDC">
        <w:rPr>
          <w:rFonts w:ascii="Arial" w:eastAsia="Times New Roman" w:hAnsi="Arial" w:cs="Arial"/>
          <w:color w:val="000000"/>
          <w:sz w:val="20"/>
          <w:szCs w:val="20"/>
        </w:rPr>
        <w:t xml:space="preserve"> early after T-cell-replete </w:t>
      </w:r>
      <w:proofErr w:type="spellStart"/>
      <w:r w:rsidRPr="00E60DDC">
        <w:rPr>
          <w:rFonts w:ascii="Arial" w:eastAsia="Times New Roman" w:hAnsi="Arial" w:cs="Arial"/>
          <w:color w:val="000000"/>
          <w:sz w:val="20"/>
          <w:szCs w:val="20"/>
        </w:rPr>
        <w:t>haplo</w:t>
      </w:r>
      <w:proofErr w:type="spellEnd"/>
      <w:r w:rsidRPr="00E60DDC">
        <w:rPr>
          <w:rFonts w:ascii="Arial" w:eastAsia="Times New Roman" w:hAnsi="Arial" w:cs="Arial"/>
          <w:color w:val="000000"/>
          <w:sz w:val="20"/>
          <w:szCs w:val="20"/>
        </w:rPr>
        <w:t>-HSCT using post-transplant cyclophosphamide (</w:t>
      </w:r>
      <w:proofErr w:type="spellStart"/>
      <w:r w:rsidRPr="00E60DDC">
        <w:rPr>
          <w:rFonts w:ascii="Arial" w:eastAsia="Times New Roman" w:hAnsi="Arial" w:cs="Arial"/>
          <w:color w:val="000000"/>
          <w:sz w:val="20"/>
          <w:szCs w:val="20"/>
        </w:rPr>
        <w:t>PTCy</w:t>
      </w:r>
      <w:proofErr w:type="spellEnd"/>
      <w:r w:rsidRPr="00E60DDC">
        <w:rPr>
          <w:rFonts w:ascii="Arial" w:eastAsia="Times New Roman" w:hAnsi="Arial" w:cs="Arial"/>
          <w:color w:val="000000"/>
          <w:sz w:val="20"/>
          <w:szCs w:val="20"/>
        </w:rPr>
        <w:t xml:space="preserve">). Alternatively, T-cell-depleted </w:t>
      </w:r>
      <w:proofErr w:type="spellStart"/>
      <w:r w:rsidRPr="00E60DDC">
        <w:rPr>
          <w:rFonts w:ascii="Arial" w:eastAsia="Times New Roman" w:hAnsi="Arial" w:cs="Arial"/>
          <w:color w:val="000000"/>
          <w:sz w:val="20"/>
          <w:szCs w:val="20"/>
        </w:rPr>
        <w:t>haplo</w:t>
      </w:r>
      <w:proofErr w:type="spellEnd"/>
      <w:r w:rsidRPr="00E60DDC">
        <w:rPr>
          <w:rFonts w:ascii="Arial" w:eastAsia="Times New Roman" w:hAnsi="Arial" w:cs="Arial"/>
          <w:color w:val="000000"/>
          <w:sz w:val="20"/>
          <w:szCs w:val="20"/>
        </w:rPr>
        <w:t>-HSCT can be supplemented with T-lymphocytes that are depleted </w:t>
      </w:r>
      <w:r w:rsidRPr="00E60DDC">
        <w:rPr>
          <w:rFonts w:ascii="Arial" w:eastAsia="Times New Roman" w:hAnsi="Arial" w:cs="Arial"/>
          <w:i/>
          <w:iCs/>
          <w:color w:val="000000"/>
          <w:sz w:val="20"/>
          <w:szCs w:val="20"/>
        </w:rPr>
        <w:t>ex vivo </w:t>
      </w:r>
      <w:r w:rsidRPr="00E60DDC">
        <w:rPr>
          <w:rFonts w:ascii="Arial" w:eastAsia="Times New Roman" w:hAnsi="Arial" w:cs="Arial"/>
          <w:color w:val="000000"/>
          <w:sz w:val="20"/>
          <w:szCs w:val="20"/>
        </w:rPr>
        <w:t xml:space="preserve">of their </w:t>
      </w:r>
      <w:proofErr w:type="spellStart"/>
      <w:r w:rsidRPr="00E60DDC">
        <w:rPr>
          <w:rFonts w:ascii="Arial" w:eastAsia="Times New Roman" w:hAnsi="Arial" w:cs="Arial"/>
          <w:color w:val="000000"/>
          <w:sz w:val="20"/>
          <w:szCs w:val="20"/>
        </w:rPr>
        <w:t>alloreactive</w:t>
      </w:r>
      <w:proofErr w:type="spellEnd"/>
      <w:r w:rsidRPr="00E60DDC">
        <w:rPr>
          <w:rFonts w:ascii="Arial" w:eastAsia="Times New Roman" w:hAnsi="Arial" w:cs="Arial"/>
          <w:color w:val="000000"/>
          <w:sz w:val="20"/>
          <w:szCs w:val="20"/>
        </w:rPr>
        <w:t xml:space="preserve"> component in the form of ATIR101 </w:t>
      </w:r>
      <w:r w:rsidRPr="00E60DDC">
        <w:rPr>
          <w:rFonts w:ascii="Arial" w:eastAsia="Times New Roman" w:hAnsi="Arial" w:cs="Arial"/>
          <w:i/>
          <w:iCs/>
          <w:color w:val="000000"/>
          <w:sz w:val="20"/>
          <w:szCs w:val="20"/>
        </w:rPr>
        <w:t>(</w:t>
      </w:r>
      <w:proofErr w:type="spellStart"/>
      <w:r w:rsidRPr="00E60DDC">
        <w:rPr>
          <w:rFonts w:ascii="Arial" w:eastAsia="Times New Roman" w:hAnsi="Arial" w:cs="Arial"/>
          <w:i/>
          <w:iCs/>
          <w:color w:val="000000"/>
          <w:sz w:val="20"/>
          <w:szCs w:val="20"/>
        </w:rPr>
        <w:t>Kiadis</w:t>
      </w:r>
      <w:proofErr w:type="spellEnd"/>
      <w:r w:rsidRPr="00E60DDC">
        <w:rPr>
          <w:rFonts w:ascii="Arial" w:eastAsia="Times New Roman" w:hAnsi="Arial" w:cs="Arial"/>
          <w:i/>
          <w:iCs/>
          <w:color w:val="000000"/>
          <w:sz w:val="20"/>
          <w:szCs w:val="20"/>
        </w:rPr>
        <w:t xml:space="preserve"> Pharma)</w:t>
      </w:r>
      <w:r w:rsidRPr="00E60DDC">
        <w:rPr>
          <w:rFonts w:ascii="Arial" w:eastAsia="Times New Roman" w:hAnsi="Arial" w:cs="Arial"/>
          <w:color w:val="000000"/>
          <w:sz w:val="20"/>
          <w:szCs w:val="20"/>
        </w:rPr>
        <w:t xml:space="preserve">. Although ATIR101 requires cell manufacturing and is more expensive, it limits toxicity to the patient, enables </w:t>
      </w:r>
      <w:proofErr w:type="spellStart"/>
      <w:r w:rsidRPr="00E60DDC">
        <w:rPr>
          <w:rFonts w:ascii="Arial" w:eastAsia="Times New Roman" w:hAnsi="Arial" w:cs="Arial"/>
          <w:color w:val="000000"/>
          <w:sz w:val="20"/>
          <w:szCs w:val="20"/>
        </w:rPr>
        <w:t>haplo</w:t>
      </w:r>
      <w:proofErr w:type="spellEnd"/>
      <w:r w:rsidRPr="00E60DDC">
        <w:rPr>
          <w:rFonts w:ascii="Arial" w:eastAsia="Times New Roman" w:hAnsi="Arial" w:cs="Arial"/>
          <w:color w:val="000000"/>
          <w:sz w:val="20"/>
          <w:szCs w:val="20"/>
        </w:rPr>
        <w:t xml:space="preserve">-HSCT without the use of </w:t>
      </w:r>
      <w:proofErr w:type="spellStart"/>
      <w:r w:rsidRPr="00E60DDC">
        <w:rPr>
          <w:rFonts w:ascii="Arial" w:eastAsia="Times New Roman" w:hAnsi="Arial" w:cs="Arial"/>
          <w:color w:val="000000"/>
          <w:sz w:val="20"/>
          <w:szCs w:val="20"/>
        </w:rPr>
        <w:t>immunosuppressants</w:t>
      </w:r>
      <w:proofErr w:type="spellEnd"/>
      <w:r w:rsidRPr="00E60DDC">
        <w:rPr>
          <w:rFonts w:ascii="Arial" w:eastAsia="Times New Roman" w:hAnsi="Arial" w:cs="Arial"/>
          <w:color w:val="000000"/>
          <w:sz w:val="20"/>
          <w:szCs w:val="20"/>
        </w:rPr>
        <w:t xml:space="preserve">, and may reduce relapse rates. Both strategies are promising, but no attempt has yet been made to compare clinical results in similar patient populations to delineate key features of </w:t>
      </w:r>
      <w:proofErr w:type="spellStart"/>
      <w:r w:rsidRPr="00E60DDC">
        <w:rPr>
          <w:rFonts w:ascii="Arial" w:eastAsia="Times New Roman" w:hAnsi="Arial" w:cs="Arial"/>
          <w:color w:val="000000"/>
          <w:sz w:val="20"/>
          <w:szCs w:val="20"/>
        </w:rPr>
        <w:t>alloreactive</w:t>
      </w:r>
      <w:proofErr w:type="spellEnd"/>
      <w:r w:rsidRPr="00E60DDC">
        <w:rPr>
          <w:rFonts w:ascii="Arial" w:eastAsia="Times New Roman" w:hAnsi="Arial" w:cs="Arial"/>
          <w:color w:val="000000"/>
          <w:sz w:val="20"/>
          <w:szCs w:val="20"/>
        </w:rPr>
        <w:t xml:space="preserve"> T-cell depletion performed either </w:t>
      </w:r>
      <w:r w:rsidRPr="00E60DDC">
        <w:rPr>
          <w:rFonts w:ascii="Arial" w:eastAsia="Times New Roman" w:hAnsi="Arial" w:cs="Arial"/>
          <w:i/>
          <w:iCs/>
          <w:color w:val="000000"/>
          <w:sz w:val="20"/>
          <w:szCs w:val="20"/>
        </w:rPr>
        <w:t>ex vivo</w:t>
      </w:r>
      <w:r w:rsidRPr="00E60DDC">
        <w:rPr>
          <w:rFonts w:ascii="Arial" w:eastAsia="Times New Roman" w:hAnsi="Arial" w:cs="Arial"/>
          <w:color w:val="000000"/>
          <w:sz w:val="20"/>
          <w:szCs w:val="20"/>
        </w:rPr>
        <w:t> or </w:t>
      </w:r>
      <w:r w:rsidRPr="00E60DDC">
        <w:rPr>
          <w:rFonts w:ascii="Arial" w:eastAsia="Times New Roman" w:hAnsi="Arial" w:cs="Arial"/>
          <w:i/>
          <w:iCs/>
          <w:color w:val="000000"/>
          <w:sz w:val="20"/>
          <w:szCs w:val="20"/>
        </w:rPr>
        <w:t>in vivo</w:t>
      </w:r>
      <w:r w:rsidRPr="00E60DDC">
        <w:rPr>
          <w:rFonts w:ascii="Arial" w:eastAsia="Times New Roman" w:hAnsi="Arial" w:cs="Arial"/>
          <w:color w:val="000000"/>
          <w:sz w:val="20"/>
          <w:szCs w:val="20"/>
        </w:rPr>
        <w:t>.</w:t>
      </w:r>
    </w:p>
    <w:p w:rsidR="00E60DDC" w:rsidRPr="00E60DDC" w:rsidRDefault="00E60DDC" w:rsidP="00E60DDC">
      <w:pPr>
        <w:spacing w:before="100" w:beforeAutospacing="1" w:after="100" w:afterAutospacing="1" w:line="240" w:lineRule="auto"/>
        <w:rPr>
          <w:rFonts w:ascii="Arial" w:eastAsia="Times New Roman" w:hAnsi="Arial" w:cs="Arial"/>
          <w:color w:val="000000"/>
          <w:sz w:val="20"/>
          <w:szCs w:val="20"/>
        </w:rPr>
      </w:pPr>
      <w:r w:rsidRPr="00E60DDC">
        <w:rPr>
          <w:rFonts w:ascii="Arial" w:eastAsia="Times New Roman" w:hAnsi="Arial" w:cs="Arial"/>
          <w:color w:val="000000"/>
          <w:sz w:val="20"/>
          <w:szCs w:val="20"/>
        </w:rPr>
        <w:t>For more information, please contact:</w:t>
      </w:r>
    </w:p>
    <w:tbl>
      <w:tblPr>
        <w:tblW w:w="0" w:type="auto"/>
        <w:tblCellMar>
          <w:left w:w="0" w:type="dxa"/>
          <w:right w:w="0" w:type="dxa"/>
        </w:tblCellMar>
        <w:tblLook w:val="04A0" w:firstRow="1" w:lastRow="0" w:firstColumn="1" w:lastColumn="0" w:noHBand="0" w:noVBand="1"/>
      </w:tblPr>
      <w:tblGrid>
        <w:gridCol w:w="5137"/>
        <w:gridCol w:w="3624"/>
      </w:tblGrid>
      <w:tr w:rsidR="00E60DDC" w:rsidRPr="00E60DDC" w:rsidTr="00E60DDC">
        <w:tc>
          <w:tcPr>
            <w:tcW w:w="0" w:type="auto"/>
            <w:tcBorders>
              <w:top w:val="nil"/>
              <w:left w:val="nil"/>
              <w:bottom w:val="nil"/>
              <w:right w:val="nil"/>
            </w:tcBorders>
            <w:tcMar>
              <w:top w:w="45" w:type="dxa"/>
              <w:left w:w="45" w:type="dxa"/>
              <w:bottom w:w="45" w:type="dxa"/>
              <w:right w:w="45" w:type="dxa"/>
            </w:tcMar>
            <w:hideMark/>
          </w:tcPr>
          <w:p w:rsidR="00E60DDC" w:rsidRPr="00E60DDC" w:rsidRDefault="00E60DDC" w:rsidP="00E60DDC">
            <w:pPr>
              <w:spacing w:after="0" w:line="240" w:lineRule="auto"/>
              <w:rPr>
                <w:rFonts w:ascii="Arial" w:eastAsia="Times New Roman" w:hAnsi="Arial" w:cs="Arial"/>
                <w:color w:val="000000"/>
                <w:sz w:val="20"/>
                <w:szCs w:val="20"/>
              </w:rPr>
            </w:pPr>
            <w:proofErr w:type="spellStart"/>
            <w:r w:rsidRPr="00E60DDC">
              <w:rPr>
                <w:rFonts w:ascii="Arial" w:eastAsia="Times New Roman" w:hAnsi="Arial" w:cs="Arial"/>
                <w:b/>
                <w:bCs/>
                <w:color w:val="000000"/>
                <w:sz w:val="20"/>
                <w:szCs w:val="20"/>
              </w:rPr>
              <w:t>Kiadis</w:t>
            </w:r>
            <w:proofErr w:type="spellEnd"/>
            <w:r w:rsidRPr="00E60DDC">
              <w:rPr>
                <w:rFonts w:ascii="Arial" w:eastAsia="Times New Roman" w:hAnsi="Arial" w:cs="Arial"/>
                <w:b/>
                <w:bCs/>
                <w:color w:val="000000"/>
                <w:sz w:val="20"/>
                <w:szCs w:val="20"/>
              </w:rPr>
              <w:t xml:space="preserve"> Pharma:</w:t>
            </w:r>
            <w:r w:rsidRPr="00E60DDC">
              <w:rPr>
                <w:rFonts w:ascii="Arial" w:eastAsia="Times New Roman" w:hAnsi="Arial" w:cs="Arial"/>
                <w:color w:val="000000"/>
                <w:sz w:val="20"/>
                <w:szCs w:val="20"/>
              </w:rPr>
              <w:br/>
              <w:t xml:space="preserve">Karl </w:t>
            </w:r>
            <w:proofErr w:type="spellStart"/>
            <w:r w:rsidRPr="00E60DDC">
              <w:rPr>
                <w:rFonts w:ascii="Arial" w:eastAsia="Times New Roman" w:hAnsi="Arial" w:cs="Arial"/>
                <w:color w:val="000000"/>
                <w:sz w:val="20"/>
                <w:szCs w:val="20"/>
              </w:rPr>
              <w:t>Hård</w:t>
            </w:r>
            <w:proofErr w:type="spellEnd"/>
            <w:r w:rsidRPr="00E60DDC">
              <w:rPr>
                <w:rFonts w:ascii="Arial" w:eastAsia="Times New Roman" w:hAnsi="Arial" w:cs="Arial"/>
                <w:color w:val="000000"/>
                <w:sz w:val="20"/>
                <w:szCs w:val="20"/>
              </w:rPr>
              <w:t>, Head of Investor Relations &amp; Communications</w:t>
            </w:r>
            <w:r w:rsidRPr="00E60DDC">
              <w:rPr>
                <w:rFonts w:ascii="Arial" w:eastAsia="Times New Roman" w:hAnsi="Arial" w:cs="Arial"/>
                <w:color w:val="000000"/>
                <w:sz w:val="20"/>
                <w:szCs w:val="20"/>
              </w:rPr>
              <w:br/>
              <w:t>Tel. +31 611 096 298</w:t>
            </w:r>
            <w:r w:rsidRPr="00E60DDC">
              <w:rPr>
                <w:rFonts w:ascii="Arial" w:eastAsia="Times New Roman" w:hAnsi="Arial" w:cs="Arial"/>
                <w:color w:val="000000"/>
                <w:sz w:val="20"/>
                <w:szCs w:val="20"/>
              </w:rPr>
              <w:br/>
            </w:r>
            <w:hyperlink r:id="rId9" w:tgtFrame="_blank" w:history="1">
              <w:r w:rsidRPr="00E60DDC">
                <w:rPr>
                  <w:rFonts w:ascii="Arial" w:eastAsia="Times New Roman" w:hAnsi="Arial" w:cs="Arial"/>
                  <w:color w:val="0000FF"/>
                  <w:sz w:val="20"/>
                  <w:szCs w:val="20"/>
                  <w:u w:val="single"/>
                </w:rPr>
                <w:t>k.hard@kiadis.com</w:t>
              </w:r>
            </w:hyperlink>
          </w:p>
        </w:tc>
        <w:tc>
          <w:tcPr>
            <w:tcW w:w="0" w:type="auto"/>
            <w:tcBorders>
              <w:top w:val="nil"/>
              <w:left w:val="nil"/>
              <w:bottom w:val="nil"/>
              <w:right w:val="nil"/>
            </w:tcBorders>
            <w:tcMar>
              <w:top w:w="45" w:type="dxa"/>
              <w:left w:w="45" w:type="dxa"/>
              <w:bottom w:w="45" w:type="dxa"/>
              <w:right w:w="45" w:type="dxa"/>
            </w:tcMar>
            <w:hideMark/>
          </w:tcPr>
          <w:p w:rsidR="00E60DDC" w:rsidRPr="00E60DDC" w:rsidRDefault="00E60DDC" w:rsidP="00E60DDC">
            <w:pPr>
              <w:spacing w:after="0" w:line="240" w:lineRule="auto"/>
              <w:rPr>
                <w:rFonts w:ascii="Arial" w:eastAsia="Times New Roman" w:hAnsi="Arial" w:cs="Arial"/>
                <w:color w:val="000000"/>
                <w:sz w:val="20"/>
                <w:szCs w:val="20"/>
              </w:rPr>
            </w:pPr>
            <w:r w:rsidRPr="00E60DDC">
              <w:rPr>
                <w:rFonts w:ascii="Arial" w:eastAsia="Times New Roman" w:hAnsi="Arial" w:cs="Arial"/>
                <w:b/>
                <w:bCs/>
                <w:color w:val="000000"/>
                <w:sz w:val="20"/>
                <w:szCs w:val="20"/>
              </w:rPr>
              <w:t>Optimum Strategic Communications:</w:t>
            </w:r>
            <w:r w:rsidRPr="00E60DDC">
              <w:rPr>
                <w:rFonts w:ascii="Arial" w:eastAsia="Times New Roman" w:hAnsi="Arial" w:cs="Arial"/>
                <w:color w:val="000000"/>
                <w:sz w:val="20"/>
                <w:szCs w:val="20"/>
              </w:rPr>
              <w:br/>
              <w:t xml:space="preserve">Mary Clark, Supriya </w:t>
            </w:r>
            <w:proofErr w:type="spellStart"/>
            <w:r w:rsidRPr="00E60DDC">
              <w:rPr>
                <w:rFonts w:ascii="Arial" w:eastAsia="Times New Roman" w:hAnsi="Arial" w:cs="Arial"/>
                <w:color w:val="000000"/>
                <w:sz w:val="20"/>
                <w:szCs w:val="20"/>
              </w:rPr>
              <w:t>Mathur</w:t>
            </w:r>
            <w:proofErr w:type="spellEnd"/>
            <w:r w:rsidRPr="00E60DDC">
              <w:rPr>
                <w:rFonts w:ascii="Arial" w:eastAsia="Times New Roman" w:hAnsi="Arial" w:cs="Arial"/>
                <w:color w:val="000000"/>
                <w:sz w:val="20"/>
                <w:szCs w:val="20"/>
              </w:rPr>
              <w:t>, Hollie Vile</w:t>
            </w:r>
            <w:r w:rsidRPr="00E60DDC">
              <w:rPr>
                <w:rFonts w:ascii="Arial" w:eastAsia="Times New Roman" w:hAnsi="Arial" w:cs="Arial"/>
                <w:color w:val="000000"/>
                <w:sz w:val="20"/>
                <w:szCs w:val="20"/>
              </w:rPr>
              <w:br/>
              <w:t>Tel: +44 203 950 9144</w:t>
            </w:r>
            <w:r w:rsidRPr="00E60DDC">
              <w:rPr>
                <w:rFonts w:ascii="Arial" w:eastAsia="Times New Roman" w:hAnsi="Arial" w:cs="Arial"/>
                <w:color w:val="000000"/>
                <w:sz w:val="20"/>
                <w:szCs w:val="20"/>
              </w:rPr>
              <w:br/>
              <w:t xml:space="preserve">David </w:t>
            </w:r>
            <w:proofErr w:type="spellStart"/>
            <w:r w:rsidRPr="00E60DDC">
              <w:rPr>
                <w:rFonts w:ascii="Arial" w:eastAsia="Times New Roman" w:hAnsi="Arial" w:cs="Arial"/>
                <w:color w:val="000000"/>
                <w:sz w:val="20"/>
                <w:szCs w:val="20"/>
              </w:rPr>
              <w:t>Brilleslijper</w:t>
            </w:r>
            <w:proofErr w:type="spellEnd"/>
            <w:r w:rsidRPr="00E60DDC">
              <w:rPr>
                <w:rFonts w:ascii="Arial" w:eastAsia="Times New Roman" w:hAnsi="Arial" w:cs="Arial"/>
                <w:color w:val="000000"/>
                <w:sz w:val="20"/>
                <w:szCs w:val="20"/>
              </w:rPr>
              <w:t xml:space="preserve"> (Amsterdam)</w:t>
            </w:r>
            <w:r w:rsidRPr="00E60DDC">
              <w:rPr>
                <w:rFonts w:ascii="Arial" w:eastAsia="Times New Roman" w:hAnsi="Arial" w:cs="Arial"/>
                <w:color w:val="000000"/>
                <w:sz w:val="20"/>
                <w:szCs w:val="20"/>
              </w:rPr>
              <w:br/>
              <w:t>Tel: +31 610 942 514</w:t>
            </w:r>
            <w:r w:rsidRPr="00E60DDC">
              <w:rPr>
                <w:rFonts w:ascii="Arial" w:eastAsia="Times New Roman" w:hAnsi="Arial" w:cs="Arial"/>
                <w:color w:val="000000"/>
                <w:sz w:val="20"/>
                <w:szCs w:val="20"/>
              </w:rPr>
              <w:br/>
            </w:r>
            <w:hyperlink r:id="rId10" w:tgtFrame="_blank" w:history="1">
              <w:r w:rsidRPr="00E60DDC">
                <w:rPr>
                  <w:rFonts w:ascii="Arial" w:eastAsia="Times New Roman" w:hAnsi="Arial" w:cs="Arial"/>
                  <w:color w:val="0000FF"/>
                  <w:sz w:val="20"/>
                  <w:szCs w:val="20"/>
                  <w:u w:val="single"/>
                </w:rPr>
                <w:t>kiadis@optimumcomms.com</w:t>
              </w:r>
            </w:hyperlink>
            <w:r w:rsidRPr="00E60DDC">
              <w:rPr>
                <w:rFonts w:ascii="Arial" w:eastAsia="Times New Roman" w:hAnsi="Arial" w:cs="Arial"/>
                <w:color w:val="000000"/>
                <w:sz w:val="20"/>
                <w:szCs w:val="20"/>
              </w:rPr>
              <w:br/>
            </w:r>
            <w:r w:rsidRPr="00E60DDC">
              <w:rPr>
                <w:rFonts w:ascii="Arial" w:eastAsia="Times New Roman" w:hAnsi="Arial" w:cs="Arial"/>
                <w:color w:val="000000"/>
                <w:sz w:val="20"/>
                <w:szCs w:val="20"/>
              </w:rPr>
              <w:lastRenderedPageBreak/>
              <w:br/>
              <w:t> </w:t>
            </w:r>
          </w:p>
        </w:tc>
      </w:tr>
    </w:tbl>
    <w:p w:rsidR="00E60DDC" w:rsidRPr="00E60DDC" w:rsidRDefault="00E60DDC" w:rsidP="00E60DDC">
      <w:pPr>
        <w:spacing w:before="100" w:beforeAutospacing="1" w:after="100" w:afterAutospacing="1" w:line="240" w:lineRule="auto"/>
        <w:rPr>
          <w:rFonts w:ascii="Arial" w:eastAsia="Times New Roman" w:hAnsi="Arial" w:cs="Arial"/>
          <w:color w:val="000000"/>
          <w:sz w:val="20"/>
          <w:szCs w:val="20"/>
        </w:rPr>
      </w:pPr>
      <w:r w:rsidRPr="00E60DDC">
        <w:rPr>
          <w:rFonts w:ascii="Arial" w:eastAsia="Times New Roman" w:hAnsi="Arial" w:cs="Arial"/>
          <w:b/>
          <w:bCs/>
          <w:color w:val="000000"/>
          <w:sz w:val="20"/>
          <w:szCs w:val="20"/>
        </w:rPr>
        <w:lastRenderedPageBreak/>
        <w:t xml:space="preserve">About </w:t>
      </w:r>
      <w:proofErr w:type="spellStart"/>
      <w:r w:rsidRPr="00E60DDC">
        <w:rPr>
          <w:rFonts w:ascii="Arial" w:eastAsia="Times New Roman" w:hAnsi="Arial" w:cs="Arial"/>
          <w:b/>
          <w:bCs/>
          <w:color w:val="000000"/>
          <w:sz w:val="20"/>
          <w:szCs w:val="20"/>
        </w:rPr>
        <w:t>Kiadis</w:t>
      </w:r>
      <w:proofErr w:type="spellEnd"/>
      <w:r w:rsidRPr="00E60DDC">
        <w:rPr>
          <w:rFonts w:ascii="Arial" w:eastAsia="Times New Roman" w:hAnsi="Arial" w:cs="Arial"/>
          <w:b/>
          <w:bCs/>
          <w:color w:val="000000"/>
          <w:sz w:val="20"/>
          <w:szCs w:val="20"/>
        </w:rPr>
        <w:t xml:space="preserve"> Pharma</w:t>
      </w:r>
      <w:r w:rsidRPr="00E60DDC">
        <w:rPr>
          <w:rFonts w:ascii="Arial" w:eastAsia="Times New Roman" w:hAnsi="Arial" w:cs="Arial"/>
          <w:color w:val="000000"/>
          <w:sz w:val="20"/>
          <w:szCs w:val="20"/>
        </w:rPr>
        <w:br/>
      </w:r>
      <w:proofErr w:type="spellStart"/>
      <w:r w:rsidRPr="00E60DDC">
        <w:rPr>
          <w:rFonts w:ascii="Arial" w:eastAsia="Times New Roman" w:hAnsi="Arial" w:cs="Arial"/>
          <w:color w:val="000000"/>
          <w:sz w:val="20"/>
          <w:szCs w:val="20"/>
        </w:rPr>
        <w:t>Kiadis</w:t>
      </w:r>
      <w:proofErr w:type="spellEnd"/>
      <w:r w:rsidRPr="00E60DDC">
        <w:rPr>
          <w:rFonts w:ascii="Arial" w:eastAsia="Times New Roman" w:hAnsi="Arial" w:cs="Arial"/>
          <w:color w:val="000000"/>
          <w:sz w:val="20"/>
          <w:szCs w:val="20"/>
        </w:rPr>
        <w:t xml:space="preserve"> Pharma is developing its lead product candidate, ATIR101, for use in conjunction with </w:t>
      </w:r>
      <w:proofErr w:type="spellStart"/>
      <w:r w:rsidRPr="00E60DDC">
        <w:rPr>
          <w:rFonts w:ascii="Arial" w:eastAsia="Times New Roman" w:hAnsi="Arial" w:cs="Arial"/>
          <w:color w:val="000000"/>
          <w:sz w:val="20"/>
          <w:szCs w:val="20"/>
        </w:rPr>
        <w:t>haploidentical</w:t>
      </w:r>
      <w:proofErr w:type="spellEnd"/>
      <w:r w:rsidRPr="00E60DDC">
        <w:rPr>
          <w:rFonts w:ascii="Arial" w:eastAsia="Times New Roman" w:hAnsi="Arial" w:cs="Arial"/>
          <w:color w:val="000000"/>
          <w:sz w:val="20"/>
          <w:szCs w:val="20"/>
        </w:rPr>
        <w:t xml:space="preserve"> (genetically half-matched) hematopoietic stem-cell transplantations (HSCT) for adult blood cancers to address key limitations of </w:t>
      </w:r>
      <w:proofErr w:type="spellStart"/>
      <w:r w:rsidRPr="00E60DDC">
        <w:rPr>
          <w:rFonts w:ascii="Arial" w:eastAsia="Times New Roman" w:hAnsi="Arial" w:cs="Arial"/>
          <w:color w:val="000000"/>
          <w:sz w:val="20"/>
          <w:szCs w:val="20"/>
        </w:rPr>
        <w:t>haploidentical</w:t>
      </w:r>
      <w:proofErr w:type="spellEnd"/>
      <w:r w:rsidRPr="00E60DDC">
        <w:rPr>
          <w:rFonts w:ascii="Arial" w:eastAsia="Times New Roman" w:hAnsi="Arial" w:cs="Arial"/>
          <w:color w:val="000000"/>
          <w:sz w:val="20"/>
          <w:szCs w:val="20"/>
        </w:rPr>
        <w:t xml:space="preserve"> HSCT, without prophylactic immunosuppression and its associated morbidity and mortality. Based on the positive results from the single dose Phase 2 CR-AIR-007 study, the Company submitted a marketing authorization application to the European Medicines Agency in April 2017 for approval of ATIR101 as an adjunctive treatment in </w:t>
      </w:r>
      <w:proofErr w:type="spellStart"/>
      <w:r w:rsidRPr="00E60DDC">
        <w:rPr>
          <w:rFonts w:ascii="Arial" w:eastAsia="Times New Roman" w:hAnsi="Arial" w:cs="Arial"/>
          <w:color w:val="000000"/>
          <w:sz w:val="20"/>
          <w:szCs w:val="20"/>
        </w:rPr>
        <w:t>haploidentical</w:t>
      </w:r>
      <w:proofErr w:type="spellEnd"/>
      <w:r w:rsidRPr="00E60DDC">
        <w:rPr>
          <w:rFonts w:ascii="Arial" w:eastAsia="Times New Roman" w:hAnsi="Arial" w:cs="Arial"/>
          <w:color w:val="000000"/>
          <w:sz w:val="20"/>
          <w:szCs w:val="20"/>
        </w:rPr>
        <w:t xml:space="preserve"> HSCT for high risk adult hematological malignancies. If the product is conditionally approved, </w:t>
      </w:r>
      <w:proofErr w:type="spellStart"/>
      <w:r w:rsidRPr="00E60DDC">
        <w:rPr>
          <w:rFonts w:ascii="Arial" w:eastAsia="Times New Roman" w:hAnsi="Arial" w:cs="Arial"/>
          <w:color w:val="000000"/>
          <w:sz w:val="20"/>
          <w:szCs w:val="20"/>
        </w:rPr>
        <w:t>Kiadis</w:t>
      </w:r>
      <w:proofErr w:type="spellEnd"/>
      <w:r w:rsidRPr="00E60DDC">
        <w:rPr>
          <w:rFonts w:ascii="Arial" w:eastAsia="Times New Roman" w:hAnsi="Arial" w:cs="Arial"/>
          <w:color w:val="000000"/>
          <w:sz w:val="20"/>
          <w:szCs w:val="20"/>
        </w:rPr>
        <w:t xml:space="preserve"> Pharma intends to launch ATIR101 through its own commercial organization in a first EU member state in the second half of 2019.</w:t>
      </w:r>
    </w:p>
    <w:p w:rsidR="00E60DDC" w:rsidRPr="00E60DDC" w:rsidRDefault="00E60DDC" w:rsidP="00E60DDC">
      <w:pPr>
        <w:spacing w:before="100" w:beforeAutospacing="1" w:after="100" w:afterAutospacing="1" w:line="240" w:lineRule="auto"/>
        <w:rPr>
          <w:rFonts w:ascii="Arial" w:eastAsia="Times New Roman" w:hAnsi="Arial" w:cs="Arial"/>
          <w:color w:val="000000"/>
          <w:sz w:val="20"/>
          <w:szCs w:val="20"/>
        </w:rPr>
      </w:pPr>
      <w:r w:rsidRPr="00E60DDC">
        <w:rPr>
          <w:rFonts w:ascii="Arial" w:eastAsia="Times New Roman" w:hAnsi="Arial" w:cs="Arial"/>
          <w:color w:val="000000"/>
          <w:sz w:val="20"/>
          <w:szCs w:val="20"/>
        </w:rPr>
        <w:t xml:space="preserve">In December 2017, </w:t>
      </w:r>
      <w:proofErr w:type="spellStart"/>
      <w:r w:rsidRPr="00E60DDC">
        <w:rPr>
          <w:rFonts w:ascii="Arial" w:eastAsia="Times New Roman" w:hAnsi="Arial" w:cs="Arial"/>
          <w:color w:val="000000"/>
          <w:sz w:val="20"/>
          <w:szCs w:val="20"/>
        </w:rPr>
        <w:t>Kiadis</w:t>
      </w:r>
      <w:proofErr w:type="spellEnd"/>
      <w:r w:rsidRPr="00E60DDC">
        <w:rPr>
          <w:rFonts w:ascii="Arial" w:eastAsia="Times New Roman" w:hAnsi="Arial" w:cs="Arial"/>
          <w:color w:val="000000"/>
          <w:sz w:val="20"/>
          <w:szCs w:val="20"/>
        </w:rPr>
        <w:t xml:space="preserve"> Pharma commenced an international, multicenter, randomized and controlled Phase 3 clinical trial of ATIR101 against the Post-Transplant Cyclophosphamide, (</w:t>
      </w:r>
      <w:proofErr w:type="spellStart"/>
      <w:r w:rsidRPr="00E60DDC">
        <w:rPr>
          <w:rFonts w:ascii="Arial" w:eastAsia="Times New Roman" w:hAnsi="Arial" w:cs="Arial"/>
          <w:color w:val="000000"/>
          <w:sz w:val="20"/>
          <w:szCs w:val="20"/>
        </w:rPr>
        <w:t>PTCy</w:t>
      </w:r>
      <w:proofErr w:type="spellEnd"/>
      <w:r w:rsidRPr="00E60DDC">
        <w:rPr>
          <w:rFonts w:ascii="Arial" w:eastAsia="Times New Roman" w:hAnsi="Arial" w:cs="Arial"/>
          <w:color w:val="000000"/>
          <w:sz w:val="20"/>
          <w:szCs w:val="20"/>
        </w:rPr>
        <w:t xml:space="preserve">) protocol, </w:t>
      </w:r>
      <w:proofErr w:type="gramStart"/>
      <w:r w:rsidRPr="00E60DDC">
        <w:rPr>
          <w:rFonts w:ascii="Arial" w:eastAsia="Times New Roman" w:hAnsi="Arial" w:cs="Arial"/>
          <w:color w:val="000000"/>
          <w:sz w:val="20"/>
          <w:szCs w:val="20"/>
        </w:rPr>
        <w:t>the</w:t>
      </w:r>
      <w:proofErr w:type="gramEnd"/>
      <w:r w:rsidRPr="00E60DDC">
        <w:rPr>
          <w:rFonts w:ascii="Arial" w:eastAsia="Times New Roman" w:hAnsi="Arial" w:cs="Arial"/>
          <w:color w:val="000000"/>
          <w:sz w:val="20"/>
          <w:szCs w:val="20"/>
        </w:rPr>
        <w:t xml:space="preserve"> main protocol used to perform a </w:t>
      </w:r>
      <w:proofErr w:type="spellStart"/>
      <w:r w:rsidRPr="00E60DDC">
        <w:rPr>
          <w:rFonts w:ascii="Arial" w:eastAsia="Times New Roman" w:hAnsi="Arial" w:cs="Arial"/>
          <w:color w:val="000000"/>
          <w:sz w:val="20"/>
          <w:szCs w:val="20"/>
        </w:rPr>
        <w:t>haploidentical</w:t>
      </w:r>
      <w:proofErr w:type="spellEnd"/>
      <w:r w:rsidRPr="00E60DDC">
        <w:rPr>
          <w:rFonts w:ascii="Arial" w:eastAsia="Times New Roman" w:hAnsi="Arial" w:cs="Arial"/>
          <w:color w:val="000000"/>
          <w:sz w:val="20"/>
          <w:szCs w:val="20"/>
        </w:rPr>
        <w:t xml:space="preserve"> HSCT. The trial will be performed in 250 patients with acute leukemia and myelodysplastic syndrome at approximately 50 sites in the United States, Canada, Europe and certain additional countries. ATIR101 received regenerative medicine advanced therapy (RMAT) designation from the FDA in September 2017, which provides benefits that are materially equivalent to a Breakthrough Therapy designation from the FDA. In addition, ATIR101 has been granted multiple orphan drug designations both in the European Union and the United States.</w:t>
      </w:r>
    </w:p>
    <w:p w:rsidR="00E60DDC" w:rsidRPr="00E60DDC" w:rsidRDefault="00E60DDC" w:rsidP="00E60DDC">
      <w:pPr>
        <w:spacing w:before="100" w:beforeAutospacing="1" w:after="100" w:afterAutospacing="1" w:line="240" w:lineRule="auto"/>
        <w:rPr>
          <w:rFonts w:ascii="Arial" w:eastAsia="Times New Roman" w:hAnsi="Arial" w:cs="Arial"/>
          <w:color w:val="000000"/>
          <w:sz w:val="20"/>
          <w:szCs w:val="20"/>
        </w:rPr>
      </w:pPr>
      <w:r w:rsidRPr="00E60DDC">
        <w:rPr>
          <w:rFonts w:ascii="Arial" w:eastAsia="Times New Roman" w:hAnsi="Arial" w:cs="Arial"/>
          <w:color w:val="000000"/>
          <w:sz w:val="20"/>
          <w:szCs w:val="20"/>
        </w:rPr>
        <w:t>The Company's shares are listed on Euronext Amsterdam and Brussels under the ticker KDS.</w:t>
      </w:r>
    </w:p>
    <w:p w:rsidR="00E60DDC" w:rsidRPr="00E60DDC" w:rsidRDefault="00E60DDC" w:rsidP="00E60DDC">
      <w:pPr>
        <w:spacing w:before="100" w:beforeAutospacing="1" w:after="100" w:afterAutospacing="1" w:line="240" w:lineRule="auto"/>
        <w:rPr>
          <w:rFonts w:ascii="Arial" w:eastAsia="Times New Roman" w:hAnsi="Arial" w:cs="Arial"/>
          <w:color w:val="000000"/>
          <w:sz w:val="20"/>
          <w:szCs w:val="20"/>
        </w:rPr>
      </w:pPr>
      <w:r w:rsidRPr="00E60DDC">
        <w:rPr>
          <w:rFonts w:ascii="Arial" w:eastAsia="Times New Roman" w:hAnsi="Arial" w:cs="Arial"/>
          <w:b/>
          <w:bCs/>
          <w:color w:val="000000"/>
          <w:sz w:val="20"/>
          <w:szCs w:val="20"/>
        </w:rPr>
        <w:t>Forward Looking Statements</w:t>
      </w:r>
      <w:r w:rsidRPr="00E60DDC">
        <w:rPr>
          <w:rFonts w:ascii="Arial" w:eastAsia="Times New Roman" w:hAnsi="Arial" w:cs="Arial"/>
          <w:color w:val="000000"/>
          <w:sz w:val="20"/>
          <w:szCs w:val="20"/>
        </w:rPr>
        <w:br/>
      </w:r>
      <w:r w:rsidRPr="00E60DDC">
        <w:rPr>
          <w:rFonts w:ascii="Arial" w:eastAsia="Times New Roman" w:hAnsi="Arial" w:cs="Arial"/>
          <w:i/>
          <w:iCs/>
          <w:color w:val="000000"/>
          <w:sz w:val="20"/>
          <w:szCs w:val="20"/>
        </w:rPr>
        <w:t xml:space="preserve">Certain statements, beliefs and opinions in this press release are forward-looking, which reflect </w:t>
      </w:r>
      <w:proofErr w:type="spellStart"/>
      <w:r w:rsidRPr="00E60DDC">
        <w:rPr>
          <w:rFonts w:ascii="Arial" w:eastAsia="Times New Roman" w:hAnsi="Arial" w:cs="Arial"/>
          <w:i/>
          <w:iCs/>
          <w:color w:val="000000"/>
          <w:sz w:val="20"/>
          <w:szCs w:val="20"/>
        </w:rPr>
        <w:t>Kiadis</w:t>
      </w:r>
      <w:proofErr w:type="spellEnd"/>
      <w:r w:rsidRPr="00E60DDC">
        <w:rPr>
          <w:rFonts w:ascii="Arial" w:eastAsia="Times New Roman" w:hAnsi="Arial" w:cs="Arial"/>
          <w:i/>
          <w:iCs/>
          <w:color w:val="000000"/>
          <w:sz w:val="20"/>
          <w:szCs w:val="20"/>
        </w:rPr>
        <w:t xml:space="preserve"> Pharma's or, as appropriate, </w:t>
      </w:r>
      <w:proofErr w:type="spellStart"/>
      <w:r w:rsidRPr="00E60DDC">
        <w:rPr>
          <w:rFonts w:ascii="Arial" w:eastAsia="Times New Roman" w:hAnsi="Arial" w:cs="Arial"/>
          <w:i/>
          <w:iCs/>
          <w:color w:val="000000"/>
          <w:sz w:val="20"/>
          <w:szCs w:val="20"/>
        </w:rPr>
        <w:t>Kiadis</w:t>
      </w:r>
      <w:proofErr w:type="spellEnd"/>
      <w:r w:rsidRPr="00E60DDC">
        <w:rPr>
          <w:rFonts w:ascii="Arial" w:eastAsia="Times New Roman" w:hAnsi="Arial" w:cs="Arial"/>
          <w:i/>
          <w:iCs/>
          <w:color w:val="000000"/>
          <w:sz w:val="20"/>
          <w:szCs w:val="20"/>
        </w:rPr>
        <w:t xml:space="preserve"> Pharma's directors' current expectations and projections about future events. By their nature, forward-looking statements involve a number of risks, uncertainties and assumptions that could cause actual results or events to differ materially from those expressed or implied by the forward-looking statements. These risks, uncertainties and assumptions could adversely affect the outcome and financial effects of the plans and events described herein. A multitude of factors including, but not limited to, changes in demand, regulation,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w:t>
      </w:r>
      <w:proofErr w:type="spellStart"/>
      <w:r w:rsidRPr="00E60DDC">
        <w:rPr>
          <w:rFonts w:ascii="Arial" w:eastAsia="Times New Roman" w:hAnsi="Arial" w:cs="Arial"/>
          <w:i/>
          <w:iCs/>
          <w:color w:val="000000"/>
          <w:sz w:val="20"/>
          <w:szCs w:val="20"/>
        </w:rPr>
        <w:t>Kiadis</w:t>
      </w:r>
      <w:proofErr w:type="spellEnd"/>
      <w:r w:rsidRPr="00E60DDC">
        <w:rPr>
          <w:rFonts w:ascii="Arial" w:eastAsia="Times New Roman" w:hAnsi="Arial" w:cs="Arial"/>
          <w:i/>
          <w:iCs/>
          <w:color w:val="000000"/>
          <w:sz w:val="20"/>
          <w:szCs w:val="20"/>
        </w:rPr>
        <w:t xml:space="preserve"> Pharma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w:t>
      </w:r>
      <w:proofErr w:type="spellStart"/>
      <w:r w:rsidRPr="00E60DDC">
        <w:rPr>
          <w:rFonts w:ascii="Arial" w:eastAsia="Times New Roman" w:hAnsi="Arial" w:cs="Arial"/>
          <w:i/>
          <w:iCs/>
          <w:color w:val="000000"/>
          <w:sz w:val="20"/>
          <w:szCs w:val="20"/>
        </w:rPr>
        <w:t>Kiadis</w:t>
      </w:r>
      <w:proofErr w:type="spellEnd"/>
      <w:r w:rsidRPr="00E60DDC">
        <w:rPr>
          <w:rFonts w:ascii="Arial" w:eastAsia="Times New Roman" w:hAnsi="Arial" w:cs="Arial"/>
          <w:i/>
          <w:iCs/>
          <w:color w:val="000000"/>
          <w:sz w:val="20"/>
          <w:szCs w:val="20"/>
        </w:rPr>
        <w:t xml:space="preserve"> Pharma nor its advisers or representatives nor any of its subsidiary undertakings or any such person's officers or employees guarantees that the assumptions underlying such forward-looking statements are free from errors nor does either accept any responsibility for the future accuracy of the forward-looking statements contained in this press release or the actual occurrence of the forecasted developments. You should not place undue reliance on forward-looking statements, which speak only as of the date of this press release.</w:t>
      </w:r>
    </w:p>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DC"/>
    <w:rsid w:val="00E60DDC"/>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E60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DDC"/>
    <w:rPr>
      <w:b/>
      <w:bCs/>
    </w:rPr>
  </w:style>
  <w:style w:type="character" w:styleId="Hyperlink">
    <w:name w:val="Hyperlink"/>
    <w:basedOn w:val="DefaultParagraphFont"/>
    <w:uiPriority w:val="99"/>
    <w:semiHidden/>
    <w:unhideWhenUsed/>
    <w:rsid w:val="00E60DDC"/>
    <w:rPr>
      <w:color w:val="0000FF"/>
      <w:u w:val="single"/>
    </w:rPr>
  </w:style>
  <w:style w:type="character" w:styleId="Emphasis">
    <w:name w:val="Emphasis"/>
    <w:basedOn w:val="DefaultParagraphFont"/>
    <w:uiPriority w:val="20"/>
    <w:qFormat/>
    <w:rsid w:val="00E60D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E60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DDC"/>
    <w:rPr>
      <w:b/>
      <w:bCs/>
    </w:rPr>
  </w:style>
  <w:style w:type="character" w:styleId="Hyperlink">
    <w:name w:val="Hyperlink"/>
    <w:basedOn w:val="DefaultParagraphFont"/>
    <w:uiPriority w:val="99"/>
    <w:semiHidden/>
    <w:unhideWhenUsed/>
    <w:rsid w:val="00E60DDC"/>
    <w:rPr>
      <w:color w:val="0000FF"/>
      <w:u w:val="single"/>
    </w:rPr>
  </w:style>
  <w:style w:type="character" w:styleId="Emphasis">
    <w:name w:val="Emphasis"/>
    <w:basedOn w:val="DefaultParagraphFont"/>
    <w:uiPriority w:val="20"/>
    <w:qFormat/>
    <w:rsid w:val="00E60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confex.com/ash/2018/webprogram/Paper118857.html" TargetMode="External"/><Relationship Id="rId3" Type="http://schemas.openxmlformats.org/officeDocument/2006/relationships/settings" Target="settings.xml"/><Relationship Id="rId7" Type="http://schemas.openxmlformats.org/officeDocument/2006/relationships/hyperlink" Target="https://ash.confex.com/ash/2018/webprogram/Paper119086.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sh.confex.com/ash/2018/webprogram/Paper119086.html" TargetMode="External"/><Relationship Id="rId11" Type="http://schemas.openxmlformats.org/officeDocument/2006/relationships/fontTable" Target="fontTable.xml"/><Relationship Id="rId5" Type="http://schemas.openxmlformats.org/officeDocument/2006/relationships/hyperlink" Target="http://www.hematology.org/Annual-Meeting/" TargetMode="External"/><Relationship Id="rId10" Type="http://schemas.openxmlformats.org/officeDocument/2006/relationships/hyperlink" Target="mailto:kiadis@optimumcomms.com" TargetMode="External"/><Relationship Id="rId4" Type="http://schemas.openxmlformats.org/officeDocument/2006/relationships/webSettings" Target="webSettings.xml"/><Relationship Id="rId9" Type="http://schemas.openxmlformats.org/officeDocument/2006/relationships/hyperlink" Target="mailto:k.hard@kiad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2018-11-07T06:15:00Z</dcterms:created>
  <dcterms:modified xsi:type="dcterms:W3CDTF">2018-11-07T06:16:00Z</dcterms:modified>
</cp:coreProperties>
</file>