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50A" w:rsidRPr="0067250A" w:rsidRDefault="0067250A" w:rsidP="0067250A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kern w:val="36"/>
          <w:sz w:val="36"/>
          <w:szCs w:val="36"/>
        </w:rPr>
      </w:pPr>
      <w:proofErr w:type="spellStart"/>
      <w:proofErr w:type="gramStart"/>
      <w:r w:rsidRPr="0067250A">
        <w:rPr>
          <w:rFonts w:ascii="Arial" w:eastAsia="Times New Roman" w:hAnsi="Arial" w:cs="Arial"/>
          <w:kern w:val="36"/>
          <w:sz w:val="36"/>
          <w:szCs w:val="36"/>
        </w:rPr>
        <w:t>argenx</w:t>
      </w:r>
      <w:proofErr w:type="spellEnd"/>
      <w:proofErr w:type="gramEnd"/>
      <w:r w:rsidRPr="0067250A">
        <w:rPr>
          <w:rFonts w:ascii="Arial" w:eastAsia="Times New Roman" w:hAnsi="Arial" w:cs="Arial"/>
          <w:kern w:val="36"/>
          <w:sz w:val="36"/>
          <w:szCs w:val="36"/>
        </w:rPr>
        <w:t xml:space="preserve"> to Present at Upcoming Investor Conferences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November 7, 2018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Breda, the Netherlands / Ghent, Belgium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 – </w:t>
      </w:r>
      <w:proofErr w:type="spellStart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argenx</w:t>
      </w:r>
      <w:proofErr w:type="spellEnd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(Euronext &amp; Nasdaq: ARGX), a clinical-stage biotechnology company developing a deep pipeline of differentiated antibody-based therapies for the treatment of severe autoimmune diseases and cancer, today announced that management will present at several upcoming investor conferences in November:</w:t>
      </w:r>
    </w:p>
    <w:p w:rsidR="0067250A" w:rsidRPr="0067250A" w:rsidRDefault="0067250A" w:rsidP="00672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Credit Suisse 27</w:t>
      </w: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th</w:t>
      </w: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 Annual Healthcare Conference. 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Company presentation on Wednesday, November 14, 2018 at 1:40 p.m. MT in Scottsdale.</w:t>
      </w:r>
    </w:p>
    <w:p w:rsidR="0067250A" w:rsidRPr="0067250A" w:rsidRDefault="0067250A" w:rsidP="00672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Jefferies 2018 London Healthcare Conference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. Company presentation on Thursday, November 15, 2018 at 3:20 p.m. UTC in London.</w:t>
      </w:r>
    </w:p>
    <w:p w:rsidR="0067250A" w:rsidRPr="0067250A" w:rsidRDefault="0067250A" w:rsidP="00672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proofErr w:type="spellStart"/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Evercore</w:t>
      </w:r>
      <w:proofErr w:type="spellEnd"/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ISI </w:t>
      </w:r>
      <w:proofErr w:type="spellStart"/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HealthCONx</w:t>
      </w:r>
      <w:proofErr w:type="spellEnd"/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Conference. 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Company presentation on Tuesday, November 27, 2018 at 7:35 a.m. ET in Boston.</w:t>
      </w:r>
    </w:p>
    <w:p w:rsidR="0067250A" w:rsidRPr="0067250A" w:rsidRDefault="0067250A" w:rsidP="0067250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Piper </w:t>
      </w:r>
      <w:proofErr w:type="spellStart"/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Jaffray</w:t>
      </w:r>
      <w:proofErr w:type="spellEnd"/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 30</w:t>
      </w: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  <w:vertAlign w:val="superscript"/>
        </w:rPr>
        <w:t>th</w:t>
      </w: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 Annual Healthcare Conference. 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Company presentation on Wednesday, November 28, 2018 at 2:00 p.m. ET in New York City.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Live webcasts of each conference presentation will be available on the Company’s website at www.argenx.com. Replays of the webcasts will be available for 90 days following each presentation.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 xml:space="preserve">About </w:t>
      </w:r>
      <w:proofErr w:type="spellStart"/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argenx</w:t>
      </w:r>
      <w:proofErr w:type="spellEnd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</w:r>
      <w:proofErr w:type="spellStart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argenx</w:t>
      </w:r>
      <w:proofErr w:type="spellEnd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is a clinical-stage biotechnology company developing a deep pipeline of differentiated antibody-based therapies for the treatment of severe auto-immune diseases and cancer. The company is focused on developing product candidates with the potential to be either first-in-class against novel targets or best-in-class against known, but complex, targets in order to treat diseases with a significant unmet medical need. </w:t>
      </w:r>
      <w:proofErr w:type="spellStart"/>
      <w:proofErr w:type="gramStart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argenx’s</w:t>
      </w:r>
      <w:proofErr w:type="spellEnd"/>
      <w:proofErr w:type="gramEnd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ability to execute on this focus is enabled by its suite of differentiated technologies. The SIMPLE Antibody™ Platform, based on the powerful llama immune system, allows </w:t>
      </w:r>
      <w:proofErr w:type="spellStart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argenx</w:t>
      </w:r>
      <w:proofErr w:type="spellEnd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 to exploit novel and complex targets, and the three antibody engineering technologies are designed to enable the expansion of the therapeutic index of the company’s product candidates. 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www.argenx.com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t>For further information, please contact: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 xml:space="preserve">Joke </w:t>
      </w:r>
      <w:proofErr w:type="spellStart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Comijn</w:t>
      </w:r>
      <w:proofErr w:type="spellEnd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, Director Corporate Communications &amp; Investor Relations (EU) 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  <w:t>+32 (0)477 77 29 44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  <w:t>+32 (0)9 310 34 19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  <w:t>info@argenx.com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Beth DelGiacco, VP Investor Relations (US</w:t>
      </w:r>
      <w:proofErr w:type="gramStart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t>)</w:t>
      </w:r>
      <w:proofErr w:type="gramEnd"/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  <w:t>+1 518 424 4980</w:t>
      </w:r>
      <w:r w:rsidRPr="0067250A"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  <w:br/>
      </w:r>
      <w:hyperlink r:id="rId6" w:tgtFrame="_blank" w:history="1">
        <w:r w:rsidRPr="0067250A">
          <w:rPr>
            <w:rFonts w:ascii="Arial" w:eastAsia="Times New Roman" w:hAnsi="Arial" w:cs="Arial"/>
            <w:color w:val="0000FF"/>
            <w:sz w:val="23"/>
            <w:szCs w:val="23"/>
            <w:u w:val="single"/>
            <w:shd w:val="clear" w:color="auto" w:fill="FFFFFF"/>
          </w:rPr>
          <w:t>bdelgiacco@argenx.com</w:t>
        </w:r>
      </w:hyperlink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b/>
          <w:bCs/>
          <w:color w:val="000000"/>
          <w:sz w:val="23"/>
          <w:szCs w:val="23"/>
          <w:shd w:val="clear" w:color="auto" w:fill="FFFFFF"/>
        </w:rPr>
        <w:lastRenderedPageBreak/>
        <w:t>Forward-looking Statements</w:t>
      </w:r>
    </w:p>
    <w:p w:rsidR="0067250A" w:rsidRPr="0067250A" w:rsidRDefault="0067250A" w:rsidP="0067250A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</w:rPr>
      </w:pPr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The contents of this announcement include statements that are, or may be deemed to be, “forward-looking statements.” These forward-looking statements can be identified by the use of forward-looking terminology, including the terms “believes,” “estimates,” “anticipates,” “expects,” “intends,” “may,” “will,” or “should” and include statements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makes concerning the intended results of its strategy. By their nature, forward-looking statements involve risks and uncertainties and readers are cautioned that any such forward-looking statements are not guarantees of future performance.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actual results may differ materially from those predicted by the forward-looking statements as a result of various important factors, including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expectations regarding its the inherent uncertainties associated with competitive developments, preclinical and clinical trial and product development activities and regulatory approval requirements;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reliance on collaborations with third parties; estimating the commercial potential of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product candidates;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ability to obtain and maintain protection of intellectual property for its technologies and drugs;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limited operating history; and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ability to obtain additional funding for operations and to complete the development and commercialization of its product candidates. A further list and description of these risks, uncertainties and other risks can be found in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U.S. Securities and Exchange Commission (SEC) filings and reports, including in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argenx’s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most recent annual report on Form 20-F filed with the SEC as well as subsequent filings and reports filed by </w:t>
      </w:r>
      <w:proofErr w:type="spell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</w:t>
      </w:r>
      <w:proofErr w:type="spell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with the SEC. Given these uncertainties, the reader is advised not to place any undue reliance on such forward-looking statements. These forward-looking statements speak only as of the date of publication of this document. </w:t>
      </w:r>
      <w:proofErr w:type="spellStart"/>
      <w:proofErr w:type="gramStart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>argenx</w:t>
      </w:r>
      <w:proofErr w:type="spellEnd"/>
      <w:proofErr w:type="gramEnd"/>
      <w:r w:rsidRPr="0067250A">
        <w:rPr>
          <w:rFonts w:ascii="Arial" w:eastAsia="Times New Roman" w:hAnsi="Arial" w:cs="Arial"/>
          <w:i/>
          <w:iCs/>
          <w:color w:val="000000"/>
          <w:sz w:val="23"/>
          <w:szCs w:val="23"/>
          <w:shd w:val="clear" w:color="auto" w:fill="FFFFFF"/>
        </w:rPr>
        <w:t xml:space="preserve"> undertakes no obligation to publicly update or revise the information in this press release, including any forward-looking statements, except as may be required by law.</w:t>
      </w:r>
    </w:p>
    <w:p w:rsidR="00F35D3D" w:rsidRDefault="00F35D3D">
      <w:bookmarkStart w:id="0" w:name="_GoBack"/>
      <w:bookmarkEnd w:id="0"/>
    </w:p>
    <w:sectPr w:rsidR="00F3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829AE"/>
    <w:multiLevelType w:val="multilevel"/>
    <w:tmpl w:val="44F289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50A"/>
    <w:rsid w:val="0067250A"/>
    <w:rsid w:val="00F3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5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25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250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725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50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672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7250A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67250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67250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1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1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delgiacco@argenx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648</Words>
  <Characters>3695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Nasdaq OMX Group, Inc.</Company>
  <LinksUpToDate>false</LinksUpToDate>
  <CharactersWithSpaces>4335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Jurate Slepikaite</dc:creator>
  <cp:lastModifiedBy>Jurate Slepikaite</cp:lastModifiedBy>
  <cp:revision>1</cp:revision>
  <dcterms:created xsi:type="dcterms:W3CDTF">2018-11-07T06:03:00Z</dcterms:created>
  <dcterms:modified xsi:type="dcterms:W3CDTF">2018-11-07T06:03:00Z</dcterms:modified>
</cp:coreProperties>
</file>