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E7510A" w14:textId="77777777" w:rsidR="006115E7" w:rsidRPr="00916CD0" w:rsidRDefault="00F46A5F">
      <w:pPr>
        <w:pStyle w:val="BodyA"/>
        <w:spacing w:after="200" w:line="360" w:lineRule="auto"/>
        <w:jc w:val="center"/>
        <w:rPr>
          <w:rFonts w:ascii="Arial" w:hAnsi="Arial" w:cs="Arial"/>
          <w:b/>
          <w:sz w:val="20"/>
          <w:szCs w:val="20"/>
        </w:rPr>
      </w:pPr>
      <w:bookmarkStart w:id="0" w:name="_GoBack"/>
      <w:r w:rsidRPr="00916CD0">
        <w:rPr>
          <w:rFonts w:ascii="Arial" w:hAnsi="Arial" w:cs="Arial"/>
          <w:b/>
          <w:sz w:val="20"/>
          <w:szCs w:val="20"/>
        </w:rPr>
        <w:t>N</w:t>
      </w:r>
      <w:r w:rsidR="00CE2A3A" w:rsidRPr="00916CD0">
        <w:rPr>
          <w:rFonts w:ascii="Arial" w:hAnsi="Arial" w:cs="Arial"/>
          <w:b/>
          <w:sz w:val="20"/>
          <w:szCs w:val="20"/>
        </w:rPr>
        <w:t>ine months 2018 trading update</w:t>
      </w:r>
    </w:p>
    <w:p w14:paraId="7A1CB935" w14:textId="77777777" w:rsidR="006115E7" w:rsidRPr="00916CD0" w:rsidRDefault="006115E7" w:rsidP="006115E7">
      <w:pPr>
        <w:pStyle w:val="BodyA"/>
        <w:spacing w:after="200" w:line="360" w:lineRule="auto"/>
        <w:jc w:val="center"/>
        <w:rPr>
          <w:rFonts w:ascii="Arial" w:hAnsi="Arial" w:cs="Arial"/>
          <w:b/>
          <w:sz w:val="20"/>
          <w:szCs w:val="20"/>
        </w:rPr>
      </w:pPr>
      <w:r w:rsidRPr="00916CD0">
        <w:rPr>
          <w:rFonts w:ascii="Arial" w:hAnsi="Arial" w:cs="Arial"/>
          <w:b/>
          <w:sz w:val="20"/>
          <w:szCs w:val="20"/>
        </w:rPr>
        <w:t>Operational improvements and significant progress with portfolio repositioning strategy underpinning performance</w:t>
      </w:r>
    </w:p>
    <w:p w14:paraId="3AFA1885" w14:textId="77777777" w:rsidR="008D3E22" w:rsidRDefault="008D3E22" w:rsidP="00955F81">
      <w:pPr>
        <w:pStyle w:val="BodyA"/>
        <w:spacing w:after="200" w:line="360" w:lineRule="auto"/>
        <w:jc w:val="both"/>
        <w:rPr>
          <w:rFonts w:ascii="Arial" w:hAnsi="Arial" w:cs="Arial"/>
          <w:sz w:val="20"/>
          <w:szCs w:val="20"/>
        </w:rPr>
      </w:pPr>
      <w:r w:rsidRPr="004D3E48">
        <w:rPr>
          <w:rFonts w:ascii="Arial" w:hAnsi="Arial" w:cs="Arial"/>
          <w:sz w:val="20"/>
          <w:szCs w:val="20"/>
        </w:rPr>
        <w:t xml:space="preserve">Jersey, </w:t>
      </w:r>
      <w:r>
        <w:rPr>
          <w:rFonts w:ascii="Arial" w:hAnsi="Arial" w:cs="Arial"/>
          <w:sz w:val="20"/>
          <w:szCs w:val="20"/>
        </w:rPr>
        <w:t>13</w:t>
      </w:r>
      <w:r w:rsidRPr="004D3E48">
        <w:rPr>
          <w:rFonts w:ascii="Arial" w:hAnsi="Arial" w:cs="Arial"/>
          <w:sz w:val="20"/>
          <w:szCs w:val="20"/>
        </w:rPr>
        <w:t xml:space="preserve"> </w:t>
      </w:r>
      <w:r w:rsidR="00955F81">
        <w:rPr>
          <w:rFonts w:ascii="Arial" w:hAnsi="Arial" w:cs="Arial"/>
          <w:sz w:val="20"/>
          <w:szCs w:val="20"/>
        </w:rPr>
        <w:t>November</w:t>
      </w:r>
      <w:r w:rsidR="00955F81" w:rsidRPr="004D3E48">
        <w:rPr>
          <w:rFonts w:ascii="Arial" w:hAnsi="Arial" w:cs="Arial"/>
          <w:sz w:val="20"/>
          <w:szCs w:val="20"/>
        </w:rPr>
        <w:t xml:space="preserve"> </w:t>
      </w:r>
      <w:r w:rsidRPr="004D3E48">
        <w:rPr>
          <w:rFonts w:ascii="Arial" w:hAnsi="Arial" w:cs="Arial"/>
          <w:sz w:val="20"/>
          <w:szCs w:val="20"/>
        </w:rPr>
        <w:t>201</w:t>
      </w:r>
      <w:r>
        <w:rPr>
          <w:rFonts w:ascii="Arial" w:hAnsi="Arial" w:cs="Arial"/>
          <w:sz w:val="20"/>
          <w:szCs w:val="20"/>
        </w:rPr>
        <w:t>8,</w:t>
      </w:r>
      <w:r w:rsidRPr="004D3E48">
        <w:rPr>
          <w:rFonts w:ascii="Arial" w:hAnsi="Arial" w:cs="Arial"/>
          <w:sz w:val="20"/>
          <w:szCs w:val="20"/>
        </w:rPr>
        <w:t xml:space="preserve"> Atrium European Real Estate Limited (VSE/Euronext: ATRS), (the “Company” and together with its subsidiaries, the</w:t>
      </w:r>
      <w:r w:rsidR="0092779A">
        <w:rPr>
          <w:rFonts w:ascii="Arial" w:hAnsi="Arial" w:cs="Arial"/>
          <w:sz w:val="20"/>
          <w:szCs w:val="20"/>
        </w:rPr>
        <w:t xml:space="preserve"> “Atrium Group” or</w:t>
      </w:r>
      <w:r w:rsidRPr="004D3E48">
        <w:rPr>
          <w:rFonts w:ascii="Arial" w:hAnsi="Arial" w:cs="Arial"/>
          <w:sz w:val="20"/>
          <w:szCs w:val="20"/>
        </w:rPr>
        <w:t xml:space="preserve"> </w:t>
      </w:r>
      <w:r w:rsidR="0092779A">
        <w:rPr>
          <w:rFonts w:ascii="Arial" w:hAnsi="Arial" w:cs="Arial"/>
          <w:sz w:val="20"/>
          <w:szCs w:val="20"/>
        </w:rPr>
        <w:t xml:space="preserve">the </w:t>
      </w:r>
      <w:r w:rsidRPr="004D3E48">
        <w:rPr>
          <w:rFonts w:ascii="Arial" w:hAnsi="Arial" w:cs="Arial"/>
          <w:sz w:val="20"/>
          <w:szCs w:val="20"/>
        </w:rPr>
        <w:t xml:space="preserve">“Group”), a leading owner, operator and redeveloper of shopping </w:t>
      </w:r>
      <w:proofErr w:type="spellStart"/>
      <w:r w:rsidRPr="004D3E48">
        <w:rPr>
          <w:rFonts w:ascii="Arial" w:hAnsi="Arial" w:cs="Arial"/>
          <w:sz w:val="20"/>
          <w:szCs w:val="20"/>
        </w:rPr>
        <w:t>centres</w:t>
      </w:r>
      <w:proofErr w:type="spellEnd"/>
      <w:r w:rsidRPr="004D3E48">
        <w:rPr>
          <w:rFonts w:ascii="Arial" w:hAnsi="Arial" w:cs="Arial"/>
          <w:sz w:val="20"/>
          <w:szCs w:val="20"/>
        </w:rPr>
        <w:t xml:space="preserve"> and retail real estate in Central Europe, provides an update on trading for the</w:t>
      </w:r>
      <w:r>
        <w:rPr>
          <w:rFonts w:ascii="Arial" w:hAnsi="Arial" w:cs="Arial"/>
          <w:sz w:val="20"/>
          <w:szCs w:val="20"/>
        </w:rPr>
        <w:t xml:space="preserve"> nine</w:t>
      </w:r>
      <w:r w:rsidRPr="00F4236D">
        <w:rPr>
          <w:rFonts w:ascii="Arial" w:hAnsi="Arial" w:cs="Arial"/>
          <w:sz w:val="20"/>
          <w:szCs w:val="20"/>
        </w:rPr>
        <w:t xml:space="preserve"> months ended 3</w:t>
      </w:r>
      <w:r>
        <w:rPr>
          <w:rFonts w:ascii="Arial" w:hAnsi="Arial" w:cs="Arial"/>
          <w:sz w:val="20"/>
          <w:szCs w:val="20"/>
        </w:rPr>
        <w:t>0</w:t>
      </w:r>
      <w:r w:rsidRPr="00F4236D">
        <w:rPr>
          <w:rFonts w:ascii="Arial" w:hAnsi="Arial" w:cs="Arial"/>
          <w:sz w:val="20"/>
          <w:szCs w:val="20"/>
        </w:rPr>
        <w:t xml:space="preserve"> </w:t>
      </w:r>
      <w:r>
        <w:rPr>
          <w:rFonts w:ascii="Arial" w:hAnsi="Arial" w:cs="Arial"/>
          <w:sz w:val="20"/>
          <w:szCs w:val="20"/>
        </w:rPr>
        <w:t>September</w:t>
      </w:r>
      <w:r w:rsidRPr="00F4236D">
        <w:rPr>
          <w:rFonts w:ascii="Arial" w:hAnsi="Arial" w:cs="Arial"/>
          <w:sz w:val="20"/>
          <w:szCs w:val="20"/>
        </w:rPr>
        <w:t xml:space="preserve"> 201</w:t>
      </w:r>
      <w:r>
        <w:rPr>
          <w:rFonts w:ascii="Arial" w:hAnsi="Arial" w:cs="Arial"/>
          <w:sz w:val="20"/>
          <w:szCs w:val="20"/>
        </w:rPr>
        <w:t>8</w:t>
      </w:r>
      <w:r w:rsidRPr="00F4236D">
        <w:rPr>
          <w:rFonts w:ascii="Arial" w:hAnsi="Arial" w:cs="Arial"/>
          <w:sz w:val="20"/>
          <w:szCs w:val="20"/>
        </w:rPr>
        <w:t>.</w:t>
      </w:r>
    </w:p>
    <w:p w14:paraId="0C6F6A87" w14:textId="0D1C86D8" w:rsidR="008D3E22" w:rsidRDefault="009A6BB9" w:rsidP="008D3E22">
      <w:pPr>
        <w:pStyle w:val="Default"/>
        <w:spacing w:line="360" w:lineRule="auto"/>
        <w:ind w:right="-378"/>
        <w:jc w:val="both"/>
        <w:rPr>
          <w:rFonts w:ascii="Arial" w:hAnsi="Arial" w:cs="Arial"/>
          <w:b/>
          <w:bCs/>
          <w:sz w:val="20"/>
          <w:lang w:val="en-GB"/>
        </w:rPr>
      </w:pPr>
      <w:r w:rsidRPr="009A6BB9">
        <w:rPr>
          <w:rFonts w:ascii="Arial" w:hAnsi="Arial" w:cs="Arial"/>
          <w:b/>
          <w:bCs/>
          <w:sz w:val="20"/>
          <w:lang w:val="en-GB"/>
        </w:rPr>
        <w:t>9M 2018 Key highlights</w:t>
      </w:r>
    </w:p>
    <w:p w14:paraId="1A6DD5FA" w14:textId="7DA04E1B" w:rsidR="009A6BB9" w:rsidRDefault="009A6BB9" w:rsidP="009A6BB9">
      <w:pPr>
        <w:pStyle w:val="Default"/>
        <w:numPr>
          <w:ilvl w:val="0"/>
          <w:numId w:val="5"/>
        </w:numPr>
        <w:spacing w:line="360" w:lineRule="auto"/>
        <w:ind w:right="-378"/>
        <w:jc w:val="both"/>
        <w:rPr>
          <w:rFonts w:ascii="Arial" w:hAnsi="Arial" w:cs="Arial"/>
          <w:sz w:val="20"/>
        </w:rPr>
      </w:pPr>
      <w:r w:rsidRPr="009A6BB9">
        <w:rPr>
          <w:rFonts w:ascii="Arial" w:hAnsi="Arial" w:cs="Arial"/>
          <w:sz w:val="20"/>
          <w:lang w:val="en-GB"/>
        </w:rPr>
        <w:t xml:space="preserve">1.7% increase in like-for-like NRI excluding Russia, </w:t>
      </w:r>
      <w:r w:rsidRPr="009A6BB9">
        <w:rPr>
          <w:rFonts w:ascii="Arial" w:hAnsi="Arial" w:cs="Arial"/>
          <w:sz w:val="20"/>
        </w:rPr>
        <w:t>0.9% for the Group</w:t>
      </w:r>
    </w:p>
    <w:p w14:paraId="09E1665C" w14:textId="47E86C66" w:rsidR="009A6BB9" w:rsidRDefault="009A6BB9" w:rsidP="009A6BB9">
      <w:pPr>
        <w:pStyle w:val="Default"/>
        <w:numPr>
          <w:ilvl w:val="0"/>
          <w:numId w:val="5"/>
        </w:numPr>
        <w:spacing w:line="360" w:lineRule="auto"/>
        <w:ind w:right="-378"/>
        <w:jc w:val="both"/>
        <w:rPr>
          <w:rFonts w:ascii="Arial" w:hAnsi="Arial" w:cs="Arial"/>
          <w:sz w:val="20"/>
        </w:rPr>
      </w:pPr>
      <w:r w:rsidRPr="009A6BB9">
        <w:rPr>
          <w:rFonts w:ascii="Arial" w:hAnsi="Arial" w:cs="Arial"/>
          <w:sz w:val="20"/>
          <w:lang w:val="en-GB"/>
        </w:rPr>
        <w:t>Strong operating margin and occupancy rate of 97.4% and 96.6%, respectively</w:t>
      </w:r>
    </w:p>
    <w:p w14:paraId="285A95C3" w14:textId="6D50EEF7" w:rsidR="009A6BB9" w:rsidRDefault="009A6BB9" w:rsidP="009A6BB9">
      <w:pPr>
        <w:pStyle w:val="Default"/>
        <w:numPr>
          <w:ilvl w:val="0"/>
          <w:numId w:val="5"/>
        </w:numPr>
        <w:spacing w:line="360" w:lineRule="auto"/>
        <w:ind w:right="-378"/>
        <w:jc w:val="both"/>
        <w:rPr>
          <w:rFonts w:ascii="Arial" w:hAnsi="Arial" w:cs="Arial"/>
          <w:sz w:val="20"/>
        </w:rPr>
      </w:pPr>
      <w:r w:rsidRPr="009A6BB9">
        <w:rPr>
          <w:rFonts w:ascii="Arial" w:hAnsi="Arial" w:cs="Arial"/>
          <w:sz w:val="20"/>
          <w:lang w:val="en-GB"/>
        </w:rPr>
        <w:t>EBITDA margin increased by 3pp to 88% driven by the cost savings programme</w:t>
      </w:r>
    </w:p>
    <w:p w14:paraId="6D61A3C0" w14:textId="48E827AE" w:rsidR="009A6BB9" w:rsidRDefault="009A6BB9" w:rsidP="009A6BB9">
      <w:pPr>
        <w:pStyle w:val="Default"/>
        <w:numPr>
          <w:ilvl w:val="0"/>
          <w:numId w:val="5"/>
        </w:numPr>
        <w:spacing w:line="360" w:lineRule="auto"/>
        <w:ind w:right="-378"/>
        <w:jc w:val="both"/>
        <w:rPr>
          <w:rFonts w:ascii="Arial" w:hAnsi="Arial" w:cs="Arial"/>
          <w:sz w:val="20"/>
        </w:rPr>
      </w:pPr>
      <w:r w:rsidRPr="009A6BB9">
        <w:rPr>
          <w:rFonts w:ascii="Arial" w:hAnsi="Arial" w:cs="Arial"/>
          <w:sz w:val="20"/>
          <w:lang w:val="en-GB"/>
        </w:rPr>
        <w:t>13 assets sold since December 2017 for a total of €176m, at 9% above book value</w:t>
      </w:r>
    </w:p>
    <w:p w14:paraId="62CE91AE" w14:textId="77777777" w:rsidR="009A6BB9" w:rsidRPr="009A6BB9" w:rsidRDefault="009A6BB9" w:rsidP="009A6BB9">
      <w:pPr>
        <w:pStyle w:val="Default"/>
        <w:numPr>
          <w:ilvl w:val="0"/>
          <w:numId w:val="5"/>
        </w:numPr>
        <w:spacing w:line="360" w:lineRule="auto"/>
        <w:ind w:right="-378"/>
        <w:rPr>
          <w:rFonts w:ascii="Arial" w:hAnsi="Arial" w:cs="Arial"/>
          <w:sz w:val="20"/>
          <w:lang w:val="en-GB"/>
        </w:rPr>
      </w:pPr>
      <w:r w:rsidRPr="009A6BB9">
        <w:rPr>
          <w:rFonts w:ascii="Arial" w:hAnsi="Arial" w:cs="Arial"/>
          <w:sz w:val="20"/>
        </w:rPr>
        <w:t xml:space="preserve">Wars </w:t>
      </w:r>
      <w:proofErr w:type="spellStart"/>
      <w:r w:rsidRPr="009A6BB9">
        <w:rPr>
          <w:rFonts w:ascii="Arial" w:hAnsi="Arial" w:cs="Arial"/>
          <w:sz w:val="20"/>
        </w:rPr>
        <w:t>Sawa</w:t>
      </w:r>
      <w:proofErr w:type="spellEnd"/>
      <w:r w:rsidRPr="009A6BB9">
        <w:rPr>
          <w:rFonts w:ascii="Arial" w:hAnsi="Arial" w:cs="Arial"/>
          <w:sz w:val="20"/>
        </w:rPr>
        <w:t xml:space="preserve"> Junior, a prime high-footfall retail asset in Warsaw acquired </w:t>
      </w:r>
      <w:r w:rsidRPr="009A6BB9">
        <w:rPr>
          <w:rFonts w:ascii="Arial" w:hAnsi="Arial" w:cs="Arial"/>
          <w:sz w:val="20"/>
          <w:lang w:val="en-GB"/>
        </w:rPr>
        <w:t>in October</w:t>
      </w:r>
      <w:r w:rsidRPr="009A6BB9">
        <w:rPr>
          <w:rFonts w:ascii="Arial" w:hAnsi="Arial" w:cs="Arial"/>
          <w:sz w:val="20"/>
        </w:rPr>
        <w:t xml:space="preserve"> for </w:t>
      </w:r>
      <w:r w:rsidRPr="009A6BB9">
        <w:rPr>
          <w:rFonts w:ascii="Arial" w:hAnsi="Arial" w:cs="Arial"/>
          <w:sz w:val="20"/>
          <w:lang w:val="en-GB"/>
        </w:rPr>
        <w:t xml:space="preserve">€301.5m </w:t>
      </w:r>
    </w:p>
    <w:p w14:paraId="257D764D" w14:textId="77777777" w:rsidR="009A6BB9" w:rsidRPr="009A6BB9" w:rsidRDefault="009A6BB9" w:rsidP="009A6BB9">
      <w:pPr>
        <w:pStyle w:val="Default"/>
        <w:numPr>
          <w:ilvl w:val="0"/>
          <w:numId w:val="5"/>
        </w:numPr>
        <w:spacing w:line="360" w:lineRule="auto"/>
        <w:ind w:right="-378"/>
        <w:rPr>
          <w:rFonts w:ascii="Arial" w:hAnsi="Arial" w:cs="Arial"/>
          <w:sz w:val="20"/>
          <w:lang w:val="en-GB"/>
        </w:rPr>
      </w:pPr>
      <w:r w:rsidRPr="009A6BB9">
        <w:rPr>
          <w:rFonts w:ascii="Arial" w:hAnsi="Arial" w:cs="Arial"/>
          <w:sz w:val="20"/>
          <w:lang w:val="en-GB"/>
        </w:rPr>
        <w:t xml:space="preserve">3 redevelopment projects opened in Q4 2018 in Warsaw </w:t>
      </w:r>
    </w:p>
    <w:p w14:paraId="5BB84F45" w14:textId="77777777" w:rsidR="009A6BB9" w:rsidRPr="009A6BB9" w:rsidRDefault="009A6BB9" w:rsidP="009A6BB9">
      <w:pPr>
        <w:pStyle w:val="Default"/>
        <w:numPr>
          <w:ilvl w:val="0"/>
          <w:numId w:val="5"/>
        </w:numPr>
        <w:spacing w:line="360" w:lineRule="auto"/>
        <w:ind w:right="-378"/>
        <w:rPr>
          <w:rFonts w:ascii="Arial" w:hAnsi="Arial" w:cs="Arial"/>
          <w:sz w:val="20"/>
          <w:lang w:val="en-GB"/>
        </w:rPr>
      </w:pPr>
      <w:r w:rsidRPr="009A6BB9">
        <w:rPr>
          <w:rFonts w:ascii="Arial" w:hAnsi="Arial" w:cs="Arial"/>
          <w:sz w:val="20"/>
          <w:lang w:val="en-GB"/>
        </w:rPr>
        <w:t>Increased liquidity by extension of the revolving credit facility to €300m until 2023</w:t>
      </w:r>
    </w:p>
    <w:p w14:paraId="7DE91765" w14:textId="24C8BEC3" w:rsidR="009A6BB9" w:rsidRDefault="009A6BB9" w:rsidP="009A6BB9">
      <w:pPr>
        <w:pStyle w:val="Default"/>
        <w:numPr>
          <w:ilvl w:val="0"/>
          <w:numId w:val="5"/>
        </w:numPr>
        <w:spacing w:line="360" w:lineRule="auto"/>
        <w:ind w:right="-378"/>
        <w:jc w:val="both"/>
        <w:rPr>
          <w:rFonts w:ascii="Arial" w:hAnsi="Arial" w:cs="Arial"/>
          <w:sz w:val="20"/>
        </w:rPr>
      </w:pPr>
      <w:r w:rsidRPr="009A6BB9">
        <w:rPr>
          <w:rFonts w:ascii="Arial" w:hAnsi="Arial" w:cs="Arial"/>
          <w:sz w:val="20"/>
          <w:lang w:val="en-GB"/>
        </w:rPr>
        <w:t xml:space="preserve">Issuance of €300m unsecured </w:t>
      </w:r>
      <w:proofErr w:type="gramStart"/>
      <w:r w:rsidRPr="009A6BB9">
        <w:rPr>
          <w:rFonts w:ascii="Arial" w:hAnsi="Arial" w:cs="Arial"/>
          <w:sz w:val="20"/>
          <w:lang w:val="en-GB"/>
        </w:rPr>
        <w:t>7 year</w:t>
      </w:r>
      <w:proofErr w:type="gramEnd"/>
      <w:r w:rsidRPr="009A6BB9">
        <w:rPr>
          <w:rFonts w:ascii="Arial" w:hAnsi="Arial" w:cs="Arial"/>
          <w:sz w:val="20"/>
          <w:lang w:val="en-GB"/>
        </w:rPr>
        <w:t xml:space="preserve"> Eurobond at 3% (Repurchased</w:t>
      </w:r>
      <w:r w:rsidRPr="009A6BB9">
        <w:rPr>
          <w:rFonts w:ascii="Arial" w:hAnsi="Arial" w:cs="Arial"/>
          <w:b/>
          <w:sz w:val="20"/>
        </w:rPr>
        <w:t xml:space="preserve"> </w:t>
      </w:r>
      <w:r w:rsidRPr="009A6BB9">
        <w:rPr>
          <w:rFonts w:ascii="Arial" w:hAnsi="Arial" w:cs="Arial"/>
          <w:sz w:val="20"/>
          <w:lang w:val="en-GB"/>
        </w:rPr>
        <w:t xml:space="preserve">€242m </w:t>
      </w:r>
      <w:r w:rsidRPr="009A6BB9">
        <w:rPr>
          <w:rFonts w:ascii="Arial" w:hAnsi="Arial" w:cs="Arial"/>
          <w:sz w:val="20"/>
        </w:rPr>
        <w:t>2020/2022 Notes)</w:t>
      </w:r>
    </w:p>
    <w:p w14:paraId="444B0B0B" w14:textId="0DF3746C" w:rsidR="009A6BB9" w:rsidRDefault="009A6BB9" w:rsidP="008D3E22">
      <w:pPr>
        <w:pStyle w:val="Default"/>
        <w:spacing w:line="360" w:lineRule="auto"/>
        <w:ind w:right="-378"/>
        <w:jc w:val="both"/>
        <w:rPr>
          <w:rFonts w:ascii="Arial" w:hAnsi="Arial" w:cs="Arial"/>
          <w:sz w:val="20"/>
        </w:rPr>
      </w:pPr>
    </w:p>
    <w:p w14:paraId="4FC61B64" w14:textId="77777777" w:rsidR="009A6BB9" w:rsidRDefault="009A6BB9" w:rsidP="008D3E22">
      <w:pPr>
        <w:pStyle w:val="Default"/>
        <w:spacing w:line="360" w:lineRule="auto"/>
        <w:ind w:right="-378"/>
        <w:jc w:val="both"/>
        <w:rPr>
          <w:rFonts w:ascii="Arial" w:hAnsi="Arial" w:cs="Arial"/>
          <w:sz w:val="20"/>
        </w:rPr>
      </w:pPr>
    </w:p>
    <w:p w14:paraId="29567E02" w14:textId="77777777" w:rsidR="003E6CA6" w:rsidRPr="003E6CA6" w:rsidRDefault="003E6CA6" w:rsidP="003E6CA6">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right="-46"/>
        <w:jc w:val="both"/>
        <w:rPr>
          <w:rFonts w:ascii="Arial" w:hAnsi="Arial" w:cs="Arial"/>
          <w:sz w:val="20"/>
        </w:rPr>
      </w:pPr>
      <w:r>
        <w:rPr>
          <w:rFonts w:ascii="Arial" w:hAnsi="Arial" w:cs="Arial"/>
          <w:sz w:val="20"/>
        </w:rPr>
        <w:t xml:space="preserve">0.9% rise in </w:t>
      </w:r>
      <w:r w:rsidRPr="00071D85">
        <w:rPr>
          <w:rFonts w:ascii="Arial" w:hAnsi="Arial" w:cs="Arial"/>
          <w:sz w:val="20"/>
          <w:szCs w:val="20"/>
        </w:rPr>
        <w:t>EPRA like</w:t>
      </w:r>
      <w:r>
        <w:rPr>
          <w:rFonts w:ascii="Arial" w:hAnsi="Arial" w:cs="Arial"/>
          <w:sz w:val="20"/>
          <w:szCs w:val="20"/>
        </w:rPr>
        <w:t>-</w:t>
      </w:r>
      <w:r w:rsidRPr="00071D85">
        <w:rPr>
          <w:rFonts w:ascii="Arial" w:hAnsi="Arial" w:cs="Arial"/>
          <w:sz w:val="20"/>
          <w:szCs w:val="20"/>
        </w:rPr>
        <w:t>for</w:t>
      </w:r>
      <w:r>
        <w:rPr>
          <w:rFonts w:ascii="Arial" w:hAnsi="Arial" w:cs="Arial"/>
          <w:sz w:val="20"/>
          <w:szCs w:val="20"/>
        </w:rPr>
        <w:t>-</w:t>
      </w:r>
      <w:r w:rsidRPr="00071D85">
        <w:rPr>
          <w:rFonts w:ascii="Arial" w:hAnsi="Arial" w:cs="Arial"/>
          <w:sz w:val="20"/>
          <w:szCs w:val="20"/>
        </w:rPr>
        <w:t xml:space="preserve">like net rental income </w:t>
      </w:r>
      <w:r>
        <w:rPr>
          <w:rFonts w:ascii="Arial" w:hAnsi="Arial" w:cs="Arial"/>
          <w:sz w:val="20"/>
          <w:szCs w:val="20"/>
        </w:rPr>
        <w:t>(NRI) and a 1</w:t>
      </w:r>
      <w:r w:rsidRPr="00071D85">
        <w:rPr>
          <w:rFonts w:ascii="Arial" w:hAnsi="Arial" w:cs="Arial"/>
          <w:sz w:val="20"/>
          <w:szCs w:val="20"/>
        </w:rPr>
        <w:t>.</w:t>
      </w:r>
      <w:r>
        <w:rPr>
          <w:rFonts w:ascii="Arial" w:hAnsi="Arial" w:cs="Arial"/>
          <w:sz w:val="20"/>
          <w:szCs w:val="20"/>
        </w:rPr>
        <w:t>7</w:t>
      </w:r>
      <w:r w:rsidRPr="00071D85">
        <w:rPr>
          <w:rFonts w:ascii="Arial" w:hAnsi="Arial" w:cs="Arial"/>
          <w:sz w:val="20"/>
          <w:szCs w:val="20"/>
        </w:rPr>
        <w:t xml:space="preserve">% </w:t>
      </w:r>
      <w:r>
        <w:rPr>
          <w:rFonts w:ascii="Arial" w:hAnsi="Arial" w:cs="Arial"/>
          <w:sz w:val="20"/>
          <w:szCs w:val="20"/>
        </w:rPr>
        <w:t xml:space="preserve">increase </w:t>
      </w:r>
      <w:r w:rsidRPr="00071D85">
        <w:rPr>
          <w:rFonts w:ascii="Arial" w:hAnsi="Arial" w:cs="Arial"/>
          <w:sz w:val="20"/>
          <w:szCs w:val="20"/>
        </w:rPr>
        <w:t>excluding Russia</w:t>
      </w:r>
      <w:r w:rsidR="00BC717B">
        <w:rPr>
          <w:rFonts w:ascii="Arial" w:hAnsi="Arial" w:cs="Arial"/>
          <w:sz w:val="20"/>
          <w:szCs w:val="20"/>
        </w:rPr>
        <w:t>.</w:t>
      </w:r>
    </w:p>
    <w:p w14:paraId="762CD8B5" w14:textId="77777777" w:rsidR="002B18C4" w:rsidRPr="009A76FB" w:rsidRDefault="0037603A">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right="-46"/>
        <w:jc w:val="both"/>
        <w:rPr>
          <w:rFonts w:ascii="Arial" w:hAnsi="Arial" w:cs="Arial"/>
          <w:sz w:val="20"/>
        </w:rPr>
      </w:pPr>
      <w:r>
        <w:rPr>
          <w:rFonts w:ascii="Arial" w:hAnsi="Arial" w:cs="Arial"/>
          <w:sz w:val="20"/>
          <w:szCs w:val="20"/>
        </w:rPr>
        <w:t>E</w:t>
      </w:r>
      <w:r w:rsidR="002B18C4" w:rsidRPr="009A76FB">
        <w:rPr>
          <w:rFonts w:ascii="Arial" w:hAnsi="Arial" w:cs="Arial"/>
          <w:sz w:val="20"/>
          <w:szCs w:val="20"/>
        </w:rPr>
        <w:t>xiting the Hungarian and Romanian markets</w:t>
      </w:r>
      <w:r w:rsidR="00F56546">
        <w:rPr>
          <w:rFonts w:ascii="Arial" w:hAnsi="Arial" w:cs="Arial"/>
          <w:sz w:val="20"/>
          <w:szCs w:val="20"/>
        </w:rPr>
        <w:t>,</w:t>
      </w:r>
      <w:r w:rsidR="002B18C4" w:rsidRPr="009A76FB">
        <w:rPr>
          <w:rFonts w:ascii="Arial" w:hAnsi="Arial" w:cs="Arial"/>
          <w:sz w:val="20"/>
          <w:szCs w:val="20"/>
        </w:rPr>
        <w:t xml:space="preserve"> </w:t>
      </w:r>
      <w:r w:rsidR="00364EDA">
        <w:rPr>
          <w:rFonts w:ascii="Arial" w:hAnsi="Arial" w:cs="Arial"/>
          <w:sz w:val="20"/>
          <w:szCs w:val="20"/>
        </w:rPr>
        <w:t>dispos</w:t>
      </w:r>
      <w:r w:rsidR="00F56546">
        <w:rPr>
          <w:rFonts w:ascii="Arial" w:hAnsi="Arial" w:cs="Arial"/>
          <w:sz w:val="20"/>
          <w:szCs w:val="20"/>
        </w:rPr>
        <w:t>ing</w:t>
      </w:r>
      <w:r w:rsidR="00364EDA">
        <w:rPr>
          <w:rFonts w:ascii="Arial" w:hAnsi="Arial" w:cs="Arial"/>
          <w:sz w:val="20"/>
          <w:szCs w:val="20"/>
        </w:rPr>
        <w:t xml:space="preserve"> of </w:t>
      </w:r>
      <w:r w:rsidR="00296ABC">
        <w:rPr>
          <w:rFonts w:ascii="Arial" w:hAnsi="Arial" w:cs="Arial"/>
          <w:sz w:val="20"/>
          <w:szCs w:val="20"/>
        </w:rPr>
        <w:t>non</w:t>
      </w:r>
      <w:r w:rsidR="00B0315C">
        <w:rPr>
          <w:rFonts w:ascii="Arial" w:hAnsi="Arial" w:cs="Arial"/>
          <w:sz w:val="20"/>
          <w:szCs w:val="20"/>
        </w:rPr>
        <w:t>-</w:t>
      </w:r>
      <w:r w:rsidR="00296ABC">
        <w:rPr>
          <w:rFonts w:ascii="Arial" w:hAnsi="Arial" w:cs="Arial"/>
          <w:sz w:val="20"/>
          <w:szCs w:val="20"/>
        </w:rPr>
        <w:t xml:space="preserve">core </w:t>
      </w:r>
      <w:r w:rsidR="00364EDA">
        <w:rPr>
          <w:rFonts w:ascii="Arial" w:hAnsi="Arial" w:cs="Arial"/>
          <w:sz w:val="20"/>
          <w:szCs w:val="20"/>
        </w:rPr>
        <w:t xml:space="preserve">assets in the Czech Republic and Slovakia </w:t>
      </w:r>
      <w:r w:rsidR="00296ABC">
        <w:rPr>
          <w:rFonts w:ascii="Arial" w:hAnsi="Arial" w:cs="Arial"/>
          <w:sz w:val="20"/>
          <w:szCs w:val="20"/>
        </w:rPr>
        <w:t xml:space="preserve">combined with </w:t>
      </w:r>
      <w:r w:rsidR="00F56546">
        <w:rPr>
          <w:rFonts w:ascii="Arial" w:hAnsi="Arial" w:cs="Arial"/>
          <w:sz w:val="20"/>
          <w:szCs w:val="20"/>
        </w:rPr>
        <w:t>the</w:t>
      </w:r>
      <w:r w:rsidR="002B18C4" w:rsidRPr="009A76FB">
        <w:rPr>
          <w:rFonts w:ascii="Arial" w:hAnsi="Arial" w:cs="Arial"/>
          <w:sz w:val="20"/>
          <w:szCs w:val="20"/>
        </w:rPr>
        <w:t xml:space="preserve"> temporary impact </w:t>
      </w:r>
      <w:r w:rsidRPr="009A76FB">
        <w:rPr>
          <w:rFonts w:ascii="Arial" w:hAnsi="Arial" w:cs="Arial"/>
          <w:sz w:val="20"/>
          <w:szCs w:val="20"/>
        </w:rPr>
        <w:t>o</w:t>
      </w:r>
      <w:r>
        <w:rPr>
          <w:rFonts w:ascii="Arial" w:hAnsi="Arial" w:cs="Arial"/>
          <w:sz w:val="20"/>
          <w:szCs w:val="20"/>
        </w:rPr>
        <w:t>n rental income from the</w:t>
      </w:r>
      <w:r w:rsidRPr="009A76FB">
        <w:rPr>
          <w:rFonts w:ascii="Arial" w:hAnsi="Arial" w:cs="Arial"/>
          <w:sz w:val="20"/>
          <w:szCs w:val="20"/>
        </w:rPr>
        <w:t xml:space="preserve"> </w:t>
      </w:r>
      <w:r w:rsidR="002B18C4" w:rsidRPr="009A76FB">
        <w:rPr>
          <w:rFonts w:ascii="Arial" w:hAnsi="Arial" w:cs="Arial"/>
          <w:sz w:val="20"/>
          <w:szCs w:val="20"/>
        </w:rPr>
        <w:t>redevelopments</w:t>
      </w:r>
      <w:r>
        <w:rPr>
          <w:rFonts w:ascii="Arial" w:hAnsi="Arial" w:cs="Arial"/>
          <w:sz w:val="20"/>
          <w:szCs w:val="20"/>
        </w:rPr>
        <w:t xml:space="preserve"> resulted in</w:t>
      </w:r>
      <w:r w:rsidR="00913611">
        <w:rPr>
          <w:rFonts w:ascii="Arial" w:hAnsi="Arial" w:cs="Arial"/>
          <w:sz w:val="20"/>
          <w:szCs w:val="20"/>
        </w:rPr>
        <w:t xml:space="preserve"> a drop in NRI. Although </w:t>
      </w:r>
      <w:r w:rsidR="002B18C4" w:rsidRPr="009A76FB">
        <w:rPr>
          <w:rFonts w:ascii="Arial" w:hAnsi="Arial" w:cs="Arial"/>
          <w:sz w:val="20"/>
          <w:szCs w:val="20"/>
        </w:rPr>
        <w:t xml:space="preserve">partially </w:t>
      </w:r>
      <w:r w:rsidR="0094034D">
        <w:rPr>
          <w:rFonts w:ascii="Arial" w:hAnsi="Arial" w:cs="Arial"/>
          <w:sz w:val="20"/>
          <w:szCs w:val="20"/>
        </w:rPr>
        <w:t xml:space="preserve">compensated </w:t>
      </w:r>
      <w:r w:rsidR="002B18C4" w:rsidRPr="009A76FB">
        <w:rPr>
          <w:rFonts w:ascii="Arial" w:hAnsi="Arial"/>
          <w:sz w:val="20"/>
        </w:rPr>
        <w:t>by</w:t>
      </w:r>
      <w:r w:rsidR="00C57083">
        <w:rPr>
          <w:rFonts w:ascii="Arial" w:hAnsi="Arial"/>
          <w:sz w:val="20"/>
        </w:rPr>
        <w:t xml:space="preserve"> the</w:t>
      </w:r>
      <w:r w:rsidR="002B18C4" w:rsidRPr="009A76FB">
        <w:rPr>
          <w:rFonts w:ascii="Arial" w:hAnsi="Arial"/>
          <w:sz w:val="20"/>
        </w:rPr>
        <w:t xml:space="preserve"> </w:t>
      </w:r>
      <w:r w:rsidR="002B18C4" w:rsidRPr="009A76FB">
        <w:rPr>
          <w:rFonts w:ascii="Arial" w:hAnsi="Arial" w:cs="Arial"/>
          <w:sz w:val="20"/>
          <w:szCs w:val="20"/>
        </w:rPr>
        <w:t>positive momentum in like-for-like assets</w:t>
      </w:r>
      <w:r w:rsidR="00913611">
        <w:rPr>
          <w:rFonts w:ascii="Arial" w:hAnsi="Arial" w:cs="Arial"/>
          <w:sz w:val="20"/>
          <w:szCs w:val="20"/>
        </w:rPr>
        <w:t>, the</w:t>
      </w:r>
      <w:r w:rsidR="00913611" w:rsidRPr="00913611">
        <w:t xml:space="preserve"> </w:t>
      </w:r>
      <w:r w:rsidR="00913611" w:rsidRPr="009A76FB">
        <w:t>t</w:t>
      </w:r>
      <w:r w:rsidR="00913611">
        <w:rPr>
          <w:rFonts w:ascii="Arial" w:hAnsi="Arial" w:cs="Arial"/>
          <w:sz w:val="20"/>
          <w:szCs w:val="20"/>
        </w:rPr>
        <w:t>otal NRI was</w:t>
      </w:r>
      <w:r w:rsidR="00913611" w:rsidRPr="009A76FB">
        <w:rPr>
          <w:rFonts w:ascii="Arial" w:hAnsi="Arial" w:cs="Arial"/>
          <w:sz w:val="20"/>
          <w:szCs w:val="20"/>
        </w:rPr>
        <w:t xml:space="preserve"> 6.1%</w:t>
      </w:r>
      <w:r w:rsidR="00913611">
        <w:rPr>
          <w:rFonts w:ascii="Arial" w:hAnsi="Arial" w:cs="Arial"/>
          <w:sz w:val="20"/>
          <w:szCs w:val="20"/>
        </w:rPr>
        <w:t xml:space="preserve"> lower at €</w:t>
      </w:r>
      <w:r w:rsidR="00913611">
        <w:rPr>
          <w:rFonts w:ascii="Arial" w:hAnsi="Arial" w:cs="Arial"/>
          <w:sz w:val="20"/>
          <w:lang w:eastAsia="en-GB"/>
        </w:rPr>
        <w:t>135</w:t>
      </w:r>
      <w:r w:rsidR="00913611" w:rsidRPr="00A52F38">
        <w:rPr>
          <w:rFonts w:ascii="Arial" w:hAnsi="Arial" w:cs="Arial"/>
          <w:sz w:val="20"/>
          <w:lang w:eastAsia="en-GB"/>
        </w:rPr>
        <w:t>.</w:t>
      </w:r>
      <w:r w:rsidR="00913611">
        <w:rPr>
          <w:rFonts w:ascii="Arial" w:hAnsi="Arial" w:cs="Arial"/>
          <w:sz w:val="20"/>
          <w:lang w:eastAsia="en-GB"/>
        </w:rPr>
        <w:t>0m</w:t>
      </w:r>
      <w:r w:rsidR="00BC717B">
        <w:rPr>
          <w:rFonts w:ascii="Arial" w:hAnsi="Arial" w:cs="Arial"/>
          <w:sz w:val="20"/>
          <w:lang w:eastAsia="en-GB"/>
        </w:rPr>
        <w:t>.</w:t>
      </w:r>
    </w:p>
    <w:p w14:paraId="31828A9F" w14:textId="7EF0806B" w:rsidR="003E6CA6" w:rsidRPr="003E6CA6" w:rsidRDefault="003E6CA6">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right="-46"/>
        <w:jc w:val="both"/>
        <w:rPr>
          <w:rFonts w:ascii="Arial" w:hAnsi="Arial" w:cs="Arial"/>
          <w:sz w:val="20"/>
        </w:rPr>
      </w:pPr>
      <w:r w:rsidRPr="00EE65E4">
        <w:rPr>
          <w:rFonts w:ascii="Arial" w:hAnsi="Arial" w:cs="Arial"/>
          <w:sz w:val="20"/>
        </w:rPr>
        <w:t xml:space="preserve">EBITDA </w:t>
      </w:r>
      <w:r>
        <w:rPr>
          <w:rFonts w:ascii="Arial" w:hAnsi="Arial" w:cs="Arial"/>
          <w:sz w:val="20"/>
        </w:rPr>
        <w:t>margin increased by 3pp to 88% (2017: 85%)</w:t>
      </w:r>
      <w:r w:rsidR="00BC717B">
        <w:rPr>
          <w:rFonts w:ascii="Arial" w:hAnsi="Arial" w:cs="Arial"/>
          <w:sz w:val="20"/>
        </w:rPr>
        <w:t xml:space="preserve"> </w:t>
      </w:r>
      <w:r w:rsidR="00F92D26" w:rsidRPr="007D2C24">
        <w:rPr>
          <w:rFonts w:ascii="Arial" w:hAnsi="Arial" w:cs="Arial"/>
          <w:sz w:val="20"/>
        </w:rPr>
        <w:t>mainly</w:t>
      </w:r>
      <w:r w:rsidR="00F92D26">
        <w:rPr>
          <w:rFonts w:ascii="Arial" w:hAnsi="Arial" w:cs="Arial"/>
          <w:sz w:val="20"/>
        </w:rPr>
        <w:t xml:space="preserve"> due to </w:t>
      </w:r>
      <w:r w:rsidR="007B2334">
        <w:rPr>
          <w:rFonts w:ascii="Arial" w:hAnsi="Arial" w:cs="Arial"/>
          <w:sz w:val="20"/>
        </w:rPr>
        <w:t xml:space="preserve">the </w:t>
      </w:r>
      <w:r w:rsidRPr="00EE65E4">
        <w:rPr>
          <w:rFonts w:ascii="Arial" w:hAnsi="Arial" w:cs="Arial"/>
          <w:sz w:val="20"/>
        </w:rPr>
        <w:t xml:space="preserve">cost savings </w:t>
      </w:r>
      <w:proofErr w:type="spellStart"/>
      <w:r w:rsidRPr="00EE65E4">
        <w:rPr>
          <w:rFonts w:ascii="Arial" w:hAnsi="Arial" w:cs="Arial"/>
          <w:sz w:val="20"/>
        </w:rPr>
        <w:t>programme</w:t>
      </w:r>
      <w:proofErr w:type="spellEnd"/>
      <w:r>
        <w:rPr>
          <w:rFonts w:ascii="Arial" w:hAnsi="Arial" w:cs="Arial"/>
          <w:sz w:val="20"/>
        </w:rPr>
        <w:t xml:space="preserve"> which has delivered</w:t>
      </w:r>
      <w:r w:rsidRPr="00EE65E4">
        <w:rPr>
          <w:rFonts w:ascii="Arial" w:hAnsi="Arial" w:cs="Arial"/>
          <w:sz w:val="20"/>
        </w:rPr>
        <w:t xml:space="preserve"> a </w:t>
      </w:r>
      <w:r w:rsidR="00222332">
        <w:rPr>
          <w:rFonts w:ascii="Arial" w:hAnsi="Arial" w:cs="Arial"/>
          <w:sz w:val="20"/>
        </w:rPr>
        <w:t>23</w:t>
      </w:r>
      <w:r w:rsidRPr="0050057A">
        <w:rPr>
          <w:rFonts w:ascii="Arial" w:hAnsi="Arial"/>
          <w:color w:val="auto"/>
          <w:sz w:val="20"/>
        </w:rPr>
        <w:t>%</w:t>
      </w:r>
      <w:r w:rsidRPr="00EE65E4">
        <w:rPr>
          <w:rFonts w:ascii="Arial" w:hAnsi="Arial" w:cs="Arial"/>
          <w:sz w:val="20"/>
        </w:rPr>
        <w:t xml:space="preserve"> </w:t>
      </w:r>
      <w:r>
        <w:rPr>
          <w:rFonts w:ascii="Arial" w:hAnsi="Arial" w:cs="Arial"/>
          <w:sz w:val="20"/>
        </w:rPr>
        <w:t>reduction (or €4.8m)</w:t>
      </w:r>
      <w:r w:rsidRPr="00EE65E4">
        <w:rPr>
          <w:rFonts w:ascii="Arial" w:hAnsi="Arial" w:cs="Arial"/>
          <w:sz w:val="20"/>
        </w:rPr>
        <w:t xml:space="preserve"> in administrative costs </w:t>
      </w:r>
      <w:r>
        <w:rPr>
          <w:rFonts w:ascii="Arial" w:hAnsi="Arial" w:cs="Arial"/>
          <w:sz w:val="20"/>
        </w:rPr>
        <w:t>compared to 2017</w:t>
      </w:r>
      <w:r w:rsidR="007B2334">
        <w:rPr>
          <w:rFonts w:ascii="Arial" w:hAnsi="Arial" w:cs="Arial"/>
          <w:sz w:val="20"/>
        </w:rPr>
        <w:t xml:space="preserve"> and approx. €10m </w:t>
      </w:r>
      <w:r w:rsidR="00A47C76">
        <w:rPr>
          <w:rFonts w:ascii="Arial" w:hAnsi="Arial" w:cs="Arial"/>
          <w:sz w:val="20"/>
        </w:rPr>
        <w:t xml:space="preserve">savings </w:t>
      </w:r>
      <w:r w:rsidR="007B2334">
        <w:rPr>
          <w:rFonts w:ascii="Arial" w:hAnsi="Arial" w:cs="Arial"/>
          <w:sz w:val="20"/>
        </w:rPr>
        <w:t>compared to 2016</w:t>
      </w:r>
      <w:r w:rsidR="00AF4102">
        <w:rPr>
          <w:rFonts w:ascii="Arial" w:hAnsi="Arial" w:cs="Arial"/>
          <w:sz w:val="20"/>
        </w:rPr>
        <w:t>.</w:t>
      </w:r>
      <w:r w:rsidR="00BC717B" w:rsidRPr="00BC717B">
        <w:rPr>
          <w:rFonts w:ascii="Arial" w:hAnsi="Arial" w:cs="Arial"/>
          <w:sz w:val="20"/>
        </w:rPr>
        <w:t xml:space="preserve"> </w:t>
      </w:r>
      <w:r w:rsidR="00BC717B">
        <w:rPr>
          <w:rFonts w:ascii="Arial" w:hAnsi="Arial" w:cs="Arial"/>
          <w:sz w:val="20"/>
        </w:rPr>
        <w:t xml:space="preserve">EBITDA dropped </w:t>
      </w:r>
      <w:r w:rsidR="00BC717B" w:rsidRPr="00EE65E4">
        <w:rPr>
          <w:rFonts w:ascii="Arial" w:hAnsi="Arial" w:cs="Arial"/>
          <w:sz w:val="20"/>
        </w:rPr>
        <w:t xml:space="preserve">by </w:t>
      </w:r>
      <w:r w:rsidR="00BC717B">
        <w:rPr>
          <w:rFonts w:ascii="Arial" w:hAnsi="Arial" w:cs="Arial"/>
          <w:sz w:val="20"/>
        </w:rPr>
        <w:t>3.1</w:t>
      </w:r>
      <w:r w:rsidR="00BC717B" w:rsidRPr="00EE65E4">
        <w:rPr>
          <w:rFonts w:ascii="Arial" w:hAnsi="Arial" w:cs="Arial"/>
          <w:sz w:val="20"/>
        </w:rPr>
        <w:t xml:space="preserve">% </w:t>
      </w:r>
      <w:r w:rsidR="00BC717B">
        <w:rPr>
          <w:rFonts w:ascii="Arial" w:hAnsi="Arial" w:cs="Arial"/>
          <w:sz w:val="20"/>
        </w:rPr>
        <w:t xml:space="preserve">driven by the </w:t>
      </w:r>
      <w:r w:rsidR="00BC717B" w:rsidRPr="00EE65E4">
        <w:rPr>
          <w:rFonts w:ascii="Arial" w:hAnsi="Arial" w:cs="Arial"/>
          <w:sz w:val="20"/>
        </w:rPr>
        <w:t>lower NRI</w:t>
      </w:r>
      <w:r w:rsidR="00BC717B">
        <w:rPr>
          <w:rFonts w:ascii="Arial" w:hAnsi="Arial" w:cs="Arial"/>
          <w:sz w:val="20"/>
        </w:rPr>
        <w:t>.</w:t>
      </w:r>
    </w:p>
    <w:p w14:paraId="780CBAC5" w14:textId="54A1AB9F" w:rsidR="00DA2D25" w:rsidRPr="00BC717B" w:rsidRDefault="002B18C4" w:rsidP="00523882">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right="-46"/>
        <w:jc w:val="both"/>
        <w:rPr>
          <w:rFonts w:ascii="Arial" w:hAnsi="Arial" w:cs="Arial"/>
          <w:sz w:val="20"/>
          <w:szCs w:val="20"/>
        </w:rPr>
      </w:pPr>
      <w:r w:rsidRPr="009A76FB">
        <w:rPr>
          <w:rFonts w:ascii="Arial" w:hAnsi="Arial" w:cs="Arial"/>
          <w:sz w:val="20"/>
        </w:rPr>
        <w:t xml:space="preserve">The ongoing strategy to focus the </w:t>
      </w:r>
      <w:r>
        <w:rPr>
          <w:rFonts w:ascii="Arial" w:hAnsi="Arial" w:cs="Arial"/>
          <w:sz w:val="20"/>
        </w:rPr>
        <w:t>Group</w:t>
      </w:r>
      <w:r w:rsidRPr="009A76FB">
        <w:rPr>
          <w:rFonts w:ascii="Arial" w:hAnsi="Arial" w:cs="Arial"/>
          <w:sz w:val="20"/>
        </w:rPr>
        <w:t xml:space="preserve">’s portfolio </w:t>
      </w:r>
      <w:r w:rsidR="00523882" w:rsidRPr="00523882">
        <w:rPr>
          <w:rFonts w:ascii="Arial" w:hAnsi="Arial" w:cs="Arial"/>
          <w:sz w:val="20"/>
        </w:rPr>
        <w:t xml:space="preserve">towards prime shopping </w:t>
      </w:r>
      <w:proofErr w:type="spellStart"/>
      <w:r w:rsidR="00523882" w:rsidRPr="00523882">
        <w:rPr>
          <w:rFonts w:ascii="Arial" w:hAnsi="Arial" w:cs="Arial"/>
          <w:sz w:val="20"/>
        </w:rPr>
        <w:t>centres</w:t>
      </w:r>
      <w:proofErr w:type="spellEnd"/>
      <w:r w:rsidR="00523882" w:rsidRPr="00523882">
        <w:rPr>
          <w:rFonts w:ascii="Arial" w:hAnsi="Arial" w:cs="Arial"/>
          <w:sz w:val="20"/>
        </w:rPr>
        <w:t xml:space="preserve"> in </w:t>
      </w:r>
      <w:r w:rsidR="00523882">
        <w:rPr>
          <w:rFonts w:ascii="Arial" w:hAnsi="Arial" w:cs="Arial"/>
          <w:sz w:val="20"/>
        </w:rPr>
        <w:t xml:space="preserve">Poland and </w:t>
      </w:r>
      <w:r w:rsidR="00523882" w:rsidRPr="00523882">
        <w:rPr>
          <w:rFonts w:ascii="Arial" w:hAnsi="Arial" w:cs="Arial"/>
          <w:sz w:val="20"/>
        </w:rPr>
        <w:t xml:space="preserve">the Czech Republic </w:t>
      </w:r>
      <w:r w:rsidRPr="009A76FB">
        <w:rPr>
          <w:rFonts w:ascii="Arial" w:hAnsi="Arial" w:cs="Arial"/>
          <w:sz w:val="20"/>
        </w:rPr>
        <w:t>continued with the</w:t>
      </w:r>
      <w:r w:rsidR="00F40EB5">
        <w:rPr>
          <w:rFonts w:ascii="Arial" w:hAnsi="Arial" w:cs="Arial"/>
          <w:sz w:val="20"/>
        </w:rPr>
        <w:t xml:space="preserve"> </w:t>
      </w:r>
      <w:r w:rsidR="009419F9">
        <w:rPr>
          <w:rFonts w:ascii="Arial" w:hAnsi="Arial" w:cs="Arial"/>
          <w:sz w:val="20"/>
        </w:rPr>
        <w:t>operation</w:t>
      </w:r>
      <w:r w:rsidR="00BC717B">
        <w:rPr>
          <w:rFonts w:ascii="Arial" w:hAnsi="Arial" w:cs="Arial"/>
          <w:sz w:val="20"/>
        </w:rPr>
        <w:t>al</w:t>
      </w:r>
      <w:r w:rsidR="009419F9">
        <w:rPr>
          <w:rFonts w:ascii="Arial" w:hAnsi="Arial" w:cs="Arial"/>
          <w:sz w:val="20"/>
        </w:rPr>
        <w:t xml:space="preserve"> </w:t>
      </w:r>
      <w:r w:rsidR="00F40EB5">
        <w:rPr>
          <w:rFonts w:ascii="Arial" w:hAnsi="Arial" w:cs="Arial"/>
          <w:sz w:val="20"/>
        </w:rPr>
        <w:t>exit from Romania and Hungary</w:t>
      </w:r>
      <w:r w:rsidR="007478E5">
        <w:rPr>
          <w:rFonts w:ascii="Arial" w:hAnsi="Arial" w:cs="Arial"/>
          <w:sz w:val="20"/>
        </w:rPr>
        <w:t xml:space="preserve"> </w:t>
      </w:r>
      <w:r w:rsidR="009419F9">
        <w:rPr>
          <w:rFonts w:ascii="Arial" w:hAnsi="Arial" w:cs="Arial"/>
          <w:sz w:val="20"/>
        </w:rPr>
        <w:t xml:space="preserve">and </w:t>
      </w:r>
      <w:r w:rsidR="00BC717B">
        <w:rPr>
          <w:rFonts w:ascii="Arial" w:hAnsi="Arial" w:cs="Arial"/>
          <w:sz w:val="20"/>
        </w:rPr>
        <w:t xml:space="preserve">the disposal of </w:t>
      </w:r>
      <w:r w:rsidR="009419F9">
        <w:rPr>
          <w:rFonts w:ascii="Arial" w:hAnsi="Arial" w:cs="Arial"/>
          <w:sz w:val="20"/>
        </w:rPr>
        <w:t>other</w:t>
      </w:r>
      <w:r w:rsidR="00F40EB5">
        <w:rPr>
          <w:rFonts w:ascii="Arial" w:hAnsi="Arial" w:cs="Arial"/>
          <w:sz w:val="20"/>
        </w:rPr>
        <w:t xml:space="preserve"> </w:t>
      </w:r>
      <w:r w:rsidRPr="009A76FB">
        <w:rPr>
          <w:rFonts w:ascii="Arial" w:hAnsi="Arial" w:cs="Arial"/>
          <w:sz w:val="20"/>
        </w:rPr>
        <w:t>small asset</w:t>
      </w:r>
      <w:r w:rsidR="00BC717B">
        <w:rPr>
          <w:rFonts w:ascii="Arial" w:hAnsi="Arial" w:cs="Arial"/>
          <w:sz w:val="20"/>
        </w:rPr>
        <w:t>s</w:t>
      </w:r>
      <w:r w:rsidRPr="009A76FB">
        <w:rPr>
          <w:rFonts w:ascii="Arial" w:hAnsi="Arial" w:cs="Arial"/>
          <w:sz w:val="20"/>
        </w:rPr>
        <w:t xml:space="preserve"> </w:t>
      </w:r>
      <w:r w:rsidR="00F40EB5">
        <w:rPr>
          <w:rFonts w:ascii="Arial" w:hAnsi="Arial" w:cs="Arial"/>
          <w:sz w:val="20"/>
        </w:rPr>
        <w:t>for a total of €1</w:t>
      </w:r>
      <w:r w:rsidR="007478E5">
        <w:rPr>
          <w:rFonts w:ascii="Arial" w:hAnsi="Arial" w:cs="Arial"/>
          <w:sz w:val="20"/>
        </w:rPr>
        <w:t>76</w:t>
      </w:r>
      <w:r w:rsidR="00F40EB5" w:rsidRPr="009A76FB">
        <w:rPr>
          <w:rFonts w:ascii="Arial" w:hAnsi="Arial" w:cs="Arial"/>
          <w:sz w:val="20"/>
        </w:rPr>
        <w:t>m</w:t>
      </w:r>
      <w:r w:rsidRPr="009A76FB">
        <w:rPr>
          <w:rFonts w:ascii="Arial" w:hAnsi="Arial" w:cs="Arial"/>
          <w:sz w:val="20"/>
        </w:rPr>
        <w:t xml:space="preserve">. </w:t>
      </w:r>
      <w:bookmarkStart w:id="1" w:name="_Hlk513184178"/>
    </w:p>
    <w:bookmarkEnd w:id="1"/>
    <w:p w14:paraId="1B65FC93" w14:textId="77777777" w:rsidR="002B18C4" w:rsidRPr="009A76FB" w:rsidRDefault="002B18C4" w:rsidP="00523882">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jc w:val="both"/>
        <w:rPr>
          <w:rFonts w:ascii="Arial" w:hAnsi="Arial" w:cs="Arial"/>
          <w:sz w:val="20"/>
          <w:szCs w:val="20"/>
        </w:rPr>
      </w:pPr>
      <w:r>
        <w:rPr>
          <w:rFonts w:ascii="Arial" w:hAnsi="Arial" w:cs="Arial"/>
          <w:sz w:val="20"/>
        </w:rPr>
        <w:t>In</w:t>
      </w:r>
      <w:r w:rsidRPr="009A76FB">
        <w:rPr>
          <w:rFonts w:ascii="Arial" w:hAnsi="Arial" w:cs="Arial"/>
          <w:sz w:val="20"/>
        </w:rPr>
        <w:t xml:space="preserve"> </w:t>
      </w:r>
      <w:r>
        <w:rPr>
          <w:rFonts w:ascii="Arial" w:hAnsi="Arial" w:cs="Arial"/>
          <w:sz w:val="20"/>
        </w:rPr>
        <w:t>September</w:t>
      </w:r>
      <w:r w:rsidR="00DA2D25">
        <w:rPr>
          <w:rFonts w:ascii="Arial" w:hAnsi="Arial" w:cs="Arial"/>
          <w:sz w:val="20"/>
        </w:rPr>
        <w:t>,</w:t>
      </w:r>
      <w:r>
        <w:rPr>
          <w:rFonts w:ascii="Arial" w:hAnsi="Arial" w:cs="Arial"/>
          <w:sz w:val="20"/>
        </w:rPr>
        <w:t xml:space="preserve"> </w:t>
      </w:r>
      <w:r w:rsidRPr="009A76FB">
        <w:rPr>
          <w:rFonts w:ascii="Arial" w:hAnsi="Arial" w:cs="Arial"/>
          <w:sz w:val="20"/>
        </w:rPr>
        <w:t xml:space="preserve">the </w:t>
      </w:r>
      <w:r w:rsidR="002C50ED">
        <w:rPr>
          <w:rFonts w:ascii="Arial" w:hAnsi="Arial" w:cs="Arial"/>
          <w:sz w:val="20"/>
        </w:rPr>
        <w:t>G</w:t>
      </w:r>
      <w:r w:rsidRPr="009A76FB">
        <w:rPr>
          <w:rFonts w:ascii="Arial" w:hAnsi="Arial" w:cs="Arial"/>
          <w:sz w:val="20"/>
        </w:rPr>
        <w:t xml:space="preserve">roup </w:t>
      </w:r>
      <w:r>
        <w:rPr>
          <w:rFonts w:ascii="Arial" w:hAnsi="Arial" w:cs="Arial"/>
          <w:sz w:val="20"/>
        </w:rPr>
        <w:t>issued</w:t>
      </w:r>
      <w:r w:rsidRPr="009A76FB">
        <w:rPr>
          <w:rFonts w:ascii="Arial" w:hAnsi="Arial" w:cs="Arial"/>
          <w:sz w:val="20"/>
        </w:rPr>
        <w:t xml:space="preserve"> a </w:t>
      </w:r>
      <w:r w:rsidRPr="009A76FB">
        <w:rPr>
          <w:rFonts w:ascii="Arial" w:hAnsi="Arial" w:cs="Arial"/>
          <w:sz w:val="20"/>
          <w:szCs w:val="20"/>
        </w:rPr>
        <w:t>€300</w:t>
      </w:r>
      <w:r w:rsidR="002C50ED">
        <w:rPr>
          <w:rFonts w:ascii="Arial" w:hAnsi="Arial" w:cs="Arial"/>
          <w:sz w:val="20"/>
          <w:szCs w:val="20"/>
        </w:rPr>
        <w:t>m</w:t>
      </w:r>
      <w:r w:rsidRPr="009A76FB">
        <w:rPr>
          <w:rFonts w:ascii="Arial" w:hAnsi="Arial" w:cs="Arial"/>
          <w:sz w:val="20"/>
          <w:szCs w:val="20"/>
        </w:rPr>
        <w:t xml:space="preserve"> unsecured </w:t>
      </w:r>
      <w:r w:rsidR="002C50ED">
        <w:rPr>
          <w:rFonts w:ascii="Arial" w:hAnsi="Arial" w:cs="Arial"/>
          <w:sz w:val="20"/>
          <w:szCs w:val="20"/>
        </w:rPr>
        <w:t>seven</w:t>
      </w:r>
      <w:r w:rsidR="003A0AD9">
        <w:rPr>
          <w:rFonts w:ascii="Arial" w:hAnsi="Arial" w:cs="Arial"/>
          <w:sz w:val="20"/>
          <w:szCs w:val="20"/>
        </w:rPr>
        <w:t>-</w:t>
      </w:r>
      <w:r w:rsidRPr="009A76FB">
        <w:rPr>
          <w:rFonts w:ascii="Arial" w:hAnsi="Arial" w:cs="Arial"/>
          <w:sz w:val="20"/>
          <w:szCs w:val="20"/>
        </w:rPr>
        <w:t>year Eurobond maturing in 202</w:t>
      </w:r>
      <w:r>
        <w:rPr>
          <w:rFonts w:ascii="Arial" w:hAnsi="Arial" w:cs="Arial"/>
          <w:sz w:val="20"/>
          <w:szCs w:val="20"/>
        </w:rPr>
        <w:t xml:space="preserve">5, </w:t>
      </w:r>
      <w:r w:rsidRPr="009A76FB">
        <w:rPr>
          <w:rFonts w:ascii="Arial" w:hAnsi="Arial" w:cs="Arial"/>
          <w:sz w:val="20"/>
          <w:szCs w:val="20"/>
        </w:rPr>
        <w:t>carrying a fixed 3.0%</w:t>
      </w:r>
      <w:r>
        <w:rPr>
          <w:rFonts w:ascii="Arial" w:hAnsi="Arial" w:cs="Arial"/>
          <w:sz w:val="20"/>
          <w:szCs w:val="20"/>
        </w:rPr>
        <w:t xml:space="preserve"> </w:t>
      </w:r>
      <w:r w:rsidRPr="009A76FB">
        <w:rPr>
          <w:rFonts w:ascii="Arial" w:hAnsi="Arial" w:cs="Arial"/>
          <w:sz w:val="20"/>
          <w:szCs w:val="20"/>
        </w:rPr>
        <w:t>coupon and</w:t>
      </w:r>
      <w:r>
        <w:rPr>
          <w:rFonts w:ascii="Arial" w:hAnsi="Arial" w:cs="Arial"/>
          <w:sz w:val="20"/>
          <w:szCs w:val="20"/>
        </w:rPr>
        <w:t xml:space="preserve"> </w:t>
      </w:r>
      <w:r w:rsidRPr="009A76FB">
        <w:rPr>
          <w:rFonts w:ascii="Arial" w:hAnsi="Arial" w:cs="Arial"/>
          <w:sz w:val="20"/>
          <w:szCs w:val="20"/>
        </w:rPr>
        <w:t>repurchas</w:t>
      </w:r>
      <w:r w:rsidR="007B2334">
        <w:rPr>
          <w:rFonts w:ascii="Arial" w:hAnsi="Arial" w:cs="Arial"/>
          <w:sz w:val="20"/>
          <w:szCs w:val="20"/>
        </w:rPr>
        <w:t>ed</w:t>
      </w:r>
      <w:r w:rsidRPr="009A76FB">
        <w:rPr>
          <w:rFonts w:ascii="Arial" w:hAnsi="Arial" w:cs="Arial"/>
          <w:sz w:val="20"/>
          <w:szCs w:val="20"/>
        </w:rPr>
        <w:t xml:space="preserve"> €242m</w:t>
      </w:r>
      <w:r>
        <w:rPr>
          <w:rFonts w:ascii="Arial" w:hAnsi="Arial" w:cs="Arial"/>
          <w:sz w:val="20"/>
          <w:szCs w:val="20"/>
        </w:rPr>
        <w:t xml:space="preserve"> of the </w:t>
      </w:r>
      <w:r w:rsidRPr="009A76FB">
        <w:rPr>
          <w:rFonts w:ascii="Arial" w:hAnsi="Arial" w:cs="Arial"/>
          <w:sz w:val="20"/>
          <w:szCs w:val="20"/>
        </w:rPr>
        <w:t>outstanding 2020 and 2022 notes</w:t>
      </w:r>
      <w:r>
        <w:rPr>
          <w:rFonts w:ascii="Arial" w:hAnsi="Arial" w:cs="Arial"/>
          <w:sz w:val="20"/>
          <w:szCs w:val="20"/>
        </w:rPr>
        <w:t>.</w:t>
      </w:r>
    </w:p>
    <w:p w14:paraId="3297412F" w14:textId="77777777" w:rsidR="002B18C4" w:rsidRDefault="002B18C4" w:rsidP="0030391A">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jc w:val="both"/>
        <w:rPr>
          <w:rFonts w:ascii="Arial" w:hAnsi="Arial" w:cs="Arial"/>
          <w:sz w:val="20"/>
        </w:rPr>
      </w:pPr>
      <w:r w:rsidRPr="009A76FB">
        <w:rPr>
          <w:rFonts w:ascii="Arial" w:hAnsi="Arial" w:cs="Arial"/>
          <w:sz w:val="20"/>
          <w:szCs w:val="20"/>
        </w:rPr>
        <w:t>This follow</w:t>
      </w:r>
      <w:r>
        <w:rPr>
          <w:rFonts w:ascii="Arial" w:hAnsi="Arial" w:cs="Arial"/>
          <w:sz w:val="20"/>
          <w:szCs w:val="20"/>
        </w:rPr>
        <w:t>ed</w:t>
      </w:r>
      <w:r w:rsidRPr="009A76FB">
        <w:rPr>
          <w:rFonts w:ascii="Arial" w:hAnsi="Arial" w:cs="Arial"/>
          <w:sz w:val="20"/>
          <w:szCs w:val="20"/>
        </w:rPr>
        <w:t xml:space="preserve"> the</w:t>
      </w:r>
      <w:r w:rsidR="00C77C1C">
        <w:rPr>
          <w:rFonts w:ascii="Arial" w:hAnsi="Arial" w:cs="Arial"/>
          <w:sz w:val="20"/>
          <w:szCs w:val="20"/>
        </w:rPr>
        <w:t xml:space="preserve"> </w:t>
      </w:r>
      <w:r w:rsidR="00C77C1C" w:rsidRPr="009A76FB">
        <w:rPr>
          <w:rFonts w:ascii="Arial" w:hAnsi="Arial" w:cs="Arial"/>
          <w:sz w:val="20"/>
        </w:rPr>
        <w:t>sign</w:t>
      </w:r>
      <w:r w:rsidR="00C77C1C">
        <w:rPr>
          <w:rFonts w:ascii="Arial" w:hAnsi="Arial" w:cs="Arial"/>
          <w:sz w:val="20"/>
        </w:rPr>
        <w:t>ing</w:t>
      </w:r>
      <w:r w:rsidR="00C77C1C" w:rsidRPr="009A76FB">
        <w:rPr>
          <w:rFonts w:ascii="Arial" w:hAnsi="Arial" w:cs="Arial"/>
          <w:sz w:val="20"/>
        </w:rPr>
        <w:t xml:space="preserve"> in May </w:t>
      </w:r>
      <w:r w:rsidR="00C77C1C">
        <w:rPr>
          <w:rFonts w:ascii="Arial" w:hAnsi="Arial" w:cs="Arial"/>
          <w:sz w:val="20"/>
        </w:rPr>
        <w:t xml:space="preserve">of a </w:t>
      </w:r>
      <w:r w:rsidR="00C77C1C" w:rsidRPr="009A76FB">
        <w:rPr>
          <w:rFonts w:ascii="Arial" w:hAnsi="Arial" w:cs="Arial"/>
          <w:sz w:val="20"/>
        </w:rPr>
        <w:t>€75m</w:t>
      </w:r>
      <w:r w:rsidRPr="009A76FB">
        <w:rPr>
          <w:rFonts w:ascii="Arial" w:hAnsi="Arial" w:cs="Arial"/>
          <w:sz w:val="20"/>
          <w:szCs w:val="20"/>
        </w:rPr>
        <w:t xml:space="preserve"> </w:t>
      </w:r>
      <w:bookmarkStart w:id="2" w:name="_Hlk513184120"/>
      <w:r w:rsidRPr="009A76FB">
        <w:rPr>
          <w:rFonts w:ascii="Arial" w:hAnsi="Arial" w:cs="Arial"/>
          <w:sz w:val="20"/>
        </w:rPr>
        <w:t xml:space="preserve">increase </w:t>
      </w:r>
      <w:r w:rsidR="00C77C1C">
        <w:rPr>
          <w:rFonts w:ascii="Arial" w:hAnsi="Arial" w:cs="Arial"/>
          <w:sz w:val="20"/>
        </w:rPr>
        <w:t xml:space="preserve">to </w:t>
      </w:r>
      <w:r w:rsidR="00C77C1C" w:rsidRPr="009A76FB">
        <w:rPr>
          <w:rFonts w:ascii="Arial" w:hAnsi="Arial" w:cs="Arial"/>
          <w:sz w:val="20"/>
        </w:rPr>
        <w:t xml:space="preserve">€300m </w:t>
      </w:r>
      <w:r w:rsidRPr="009A76FB">
        <w:rPr>
          <w:rFonts w:ascii="Arial" w:hAnsi="Arial" w:cs="Arial"/>
          <w:sz w:val="20"/>
        </w:rPr>
        <w:t>and</w:t>
      </w:r>
      <w:r w:rsidR="00C77C1C">
        <w:rPr>
          <w:rFonts w:ascii="Arial" w:hAnsi="Arial" w:cs="Arial"/>
          <w:sz w:val="20"/>
        </w:rPr>
        <w:t xml:space="preserve"> </w:t>
      </w:r>
      <w:proofErr w:type="gramStart"/>
      <w:r w:rsidR="00C77C1C">
        <w:rPr>
          <w:rFonts w:ascii="Arial" w:hAnsi="Arial" w:cs="Arial"/>
          <w:sz w:val="20"/>
        </w:rPr>
        <w:t>three</w:t>
      </w:r>
      <w:r w:rsidR="00C77C1C" w:rsidRPr="009A76FB">
        <w:rPr>
          <w:rFonts w:ascii="Arial" w:hAnsi="Arial" w:cs="Arial"/>
          <w:sz w:val="20"/>
        </w:rPr>
        <w:t xml:space="preserve"> year</w:t>
      </w:r>
      <w:proofErr w:type="gramEnd"/>
      <w:r w:rsidRPr="009A76FB">
        <w:rPr>
          <w:rFonts w:ascii="Arial" w:hAnsi="Arial" w:cs="Arial"/>
          <w:sz w:val="20"/>
        </w:rPr>
        <w:t xml:space="preserve"> extension </w:t>
      </w:r>
      <w:r w:rsidR="00C77C1C" w:rsidRPr="009A76FB">
        <w:rPr>
          <w:rFonts w:ascii="Arial" w:hAnsi="Arial" w:cs="Arial"/>
          <w:sz w:val="20"/>
        </w:rPr>
        <w:t>to 2023</w:t>
      </w:r>
      <w:r w:rsidR="00C77C1C">
        <w:rPr>
          <w:rFonts w:ascii="Arial" w:hAnsi="Arial" w:cs="Arial"/>
          <w:sz w:val="20"/>
        </w:rPr>
        <w:t xml:space="preserve"> </w:t>
      </w:r>
      <w:r w:rsidRPr="009A76FB">
        <w:rPr>
          <w:rFonts w:ascii="Arial" w:hAnsi="Arial" w:cs="Arial"/>
          <w:sz w:val="20"/>
        </w:rPr>
        <w:t>of the</w:t>
      </w:r>
      <w:r w:rsidR="0092779A">
        <w:rPr>
          <w:rFonts w:ascii="Arial" w:hAnsi="Arial" w:cs="Arial"/>
          <w:sz w:val="20"/>
        </w:rPr>
        <w:t xml:space="preserve"> Group’s</w:t>
      </w:r>
      <w:r w:rsidRPr="009A76FB">
        <w:rPr>
          <w:rFonts w:ascii="Arial" w:hAnsi="Arial" w:cs="Arial"/>
          <w:sz w:val="20"/>
        </w:rPr>
        <w:t xml:space="preserve"> revolving credit facility</w:t>
      </w:r>
      <w:r w:rsidR="00C77C1C">
        <w:rPr>
          <w:rFonts w:ascii="Arial" w:hAnsi="Arial" w:cs="Arial"/>
          <w:sz w:val="20"/>
        </w:rPr>
        <w:t>.</w:t>
      </w:r>
    </w:p>
    <w:p w14:paraId="6FAC813C" w14:textId="22BE290F" w:rsidR="00523882" w:rsidRPr="00523882" w:rsidRDefault="00523882">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jc w:val="both"/>
        <w:rPr>
          <w:rFonts w:ascii="Arial" w:hAnsi="Arial" w:cs="Arial"/>
          <w:sz w:val="20"/>
        </w:rPr>
      </w:pPr>
      <w:r w:rsidRPr="00523882">
        <w:rPr>
          <w:rFonts w:ascii="Arial" w:hAnsi="Arial" w:cs="Arial"/>
          <w:sz w:val="20"/>
        </w:rPr>
        <w:t xml:space="preserve">The Group completed the </w:t>
      </w:r>
      <w:r w:rsidR="00963203">
        <w:rPr>
          <w:rFonts w:ascii="Arial" w:hAnsi="Arial" w:cs="Arial"/>
          <w:sz w:val="20"/>
        </w:rPr>
        <w:t xml:space="preserve">€301.5m </w:t>
      </w:r>
      <w:r w:rsidRPr="00523882">
        <w:rPr>
          <w:rFonts w:ascii="Arial" w:hAnsi="Arial" w:cs="Arial"/>
          <w:sz w:val="20"/>
        </w:rPr>
        <w:t xml:space="preserve">acquisition of Wars </w:t>
      </w:r>
      <w:proofErr w:type="spellStart"/>
      <w:r w:rsidRPr="00523882">
        <w:rPr>
          <w:rFonts w:ascii="Arial" w:hAnsi="Arial" w:cs="Arial"/>
          <w:sz w:val="20"/>
        </w:rPr>
        <w:t>Sawa</w:t>
      </w:r>
      <w:proofErr w:type="spellEnd"/>
      <w:r w:rsidRPr="00523882">
        <w:rPr>
          <w:rFonts w:ascii="Arial" w:hAnsi="Arial" w:cs="Arial"/>
          <w:sz w:val="20"/>
        </w:rPr>
        <w:t xml:space="preserve"> Junior, a prime retail asset in the center of Warsaw in October this year</w:t>
      </w:r>
      <w:r w:rsidR="00963203">
        <w:rPr>
          <w:rFonts w:ascii="Arial" w:hAnsi="Arial" w:cs="Arial"/>
          <w:sz w:val="20"/>
        </w:rPr>
        <w:t xml:space="preserve">, which increases the proportion </w:t>
      </w:r>
      <w:r w:rsidR="00963203" w:rsidRPr="00523882">
        <w:rPr>
          <w:rFonts w:ascii="Arial" w:hAnsi="Arial" w:cs="Arial"/>
          <w:sz w:val="20"/>
        </w:rPr>
        <w:t>Group’s portfolio in Poland</w:t>
      </w:r>
      <w:r w:rsidR="00963203">
        <w:rPr>
          <w:rFonts w:ascii="Arial" w:hAnsi="Arial" w:cs="Arial"/>
          <w:sz w:val="20"/>
        </w:rPr>
        <w:t xml:space="preserve"> and the Czech Republic to 84</w:t>
      </w:r>
      <w:r w:rsidR="00963203" w:rsidRPr="00523882">
        <w:rPr>
          <w:rFonts w:ascii="Arial" w:hAnsi="Arial" w:cs="Arial"/>
          <w:sz w:val="20"/>
        </w:rPr>
        <w:t>%</w:t>
      </w:r>
      <w:r w:rsidRPr="00523882">
        <w:rPr>
          <w:rFonts w:ascii="Arial" w:hAnsi="Arial" w:cs="Arial"/>
          <w:sz w:val="20"/>
        </w:rPr>
        <w:t>. The acquisition was funded using a mixture of external financing and existing cash resources</w:t>
      </w:r>
      <w:r w:rsidR="001D1F8A">
        <w:rPr>
          <w:rFonts w:ascii="Arial" w:hAnsi="Arial" w:cs="Arial"/>
          <w:sz w:val="20"/>
        </w:rPr>
        <w:t>, f</w:t>
      </w:r>
      <w:r w:rsidRPr="00523882">
        <w:rPr>
          <w:rFonts w:ascii="Arial" w:hAnsi="Arial" w:cs="Arial"/>
          <w:sz w:val="20"/>
        </w:rPr>
        <w:t xml:space="preserve">ollowing </w:t>
      </w:r>
      <w:r w:rsidR="001D1F8A">
        <w:rPr>
          <w:rFonts w:ascii="Arial" w:hAnsi="Arial" w:cs="Arial"/>
          <w:sz w:val="20"/>
        </w:rPr>
        <w:t>which</w:t>
      </w:r>
      <w:r w:rsidRPr="00523882">
        <w:rPr>
          <w:rFonts w:ascii="Arial" w:hAnsi="Arial" w:cs="Arial"/>
          <w:sz w:val="20"/>
        </w:rPr>
        <w:t xml:space="preserve"> the Group’s net LTV increased to 37.1% from 31.3%. </w:t>
      </w:r>
    </w:p>
    <w:p w14:paraId="47E6E0D8" w14:textId="77777777" w:rsidR="00364EDA" w:rsidRPr="0030391A" w:rsidRDefault="00364EDA" w:rsidP="0030391A">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jc w:val="both"/>
        <w:rPr>
          <w:rFonts w:ascii="Arial" w:hAnsi="Arial" w:cs="Arial"/>
          <w:sz w:val="20"/>
        </w:rPr>
      </w:pPr>
      <w:r w:rsidRPr="0030391A">
        <w:rPr>
          <w:rFonts w:ascii="Arial" w:hAnsi="Arial" w:cs="Arial"/>
          <w:sz w:val="20"/>
        </w:rPr>
        <w:t>Fourth quarterly dividend of 6.75 €cents per share due to be paid as a capital repayment on 28 December 201</w:t>
      </w:r>
      <w:r w:rsidR="0030391A">
        <w:rPr>
          <w:rFonts w:ascii="Arial" w:hAnsi="Arial" w:cs="Arial"/>
          <w:sz w:val="20"/>
        </w:rPr>
        <w:t>8</w:t>
      </w:r>
      <w:r w:rsidR="00BC717B">
        <w:rPr>
          <w:rFonts w:ascii="Arial" w:hAnsi="Arial" w:cs="Arial"/>
          <w:sz w:val="20"/>
        </w:rPr>
        <w:t>.</w:t>
      </w:r>
    </w:p>
    <w:p w14:paraId="7F4C96A8" w14:textId="77777777" w:rsidR="00364EDA" w:rsidRPr="006060DC" w:rsidRDefault="00364EDA" w:rsidP="0030391A">
      <w:pPr>
        <w:pStyle w:val="Defaul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jc w:val="both"/>
        <w:rPr>
          <w:rFonts w:ascii="Arial" w:hAnsi="Arial" w:cs="Arial"/>
          <w:sz w:val="20"/>
        </w:rPr>
      </w:pPr>
      <w:r w:rsidRPr="006060DC">
        <w:rPr>
          <w:rFonts w:ascii="Arial" w:hAnsi="Arial" w:cs="Arial"/>
          <w:sz w:val="20"/>
        </w:rPr>
        <w:lastRenderedPageBreak/>
        <w:t>The Board decided to maintain the Group’s annual dividend</w:t>
      </w:r>
      <w:r w:rsidR="00B0315C" w:rsidRPr="006060DC">
        <w:rPr>
          <w:rFonts w:ascii="Arial" w:hAnsi="Arial" w:cs="Arial"/>
          <w:sz w:val="20"/>
        </w:rPr>
        <w:t>,</w:t>
      </w:r>
      <w:r w:rsidR="00296ABC" w:rsidRPr="006060DC">
        <w:rPr>
          <w:rFonts w:ascii="Arial" w:hAnsi="Arial" w:cs="Arial"/>
          <w:sz w:val="20"/>
        </w:rPr>
        <w:t xml:space="preserve"> payable as a capital repayment</w:t>
      </w:r>
      <w:r w:rsidR="00B0315C" w:rsidRPr="006060DC">
        <w:rPr>
          <w:rFonts w:ascii="Arial" w:hAnsi="Arial" w:cs="Arial"/>
          <w:sz w:val="20"/>
        </w:rPr>
        <w:t>,</w:t>
      </w:r>
      <w:r w:rsidRPr="006060DC">
        <w:rPr>
          <w:rFonts w:ascii="Arial" w:hAnsi="Arial" w:cs="Arial"/>
          <w:sz w:val="20"/>
        </w:rPr>
        <w:t xml:space="preserve"> at €cents 27 per share for 20</w:t>
      </w:r>
      <w:r w:rsidR="0030391A" w:rsidRPr="006060DC">
        <w:rPr>
          <w:rFonts w:ascii="Arial" w:hAnsi="Arial" w:cs="Arial"/>
          <w:sz w:val="20"/>
        </w:rPr>
        <w:t>19</w:t>
      </w:r>
      <w:r w:rsidRPr="006060DC">
        <w:rPr>
          <w:rFonts w:ascii="Arial" w:hAnsi="Arial" w:cs="Arial"/>
          <w:sz w:val="20"/>
        </w:rPr>
        <w:t>, demonstrating its continued confidence in the Group’s strategy. The dividend will continue to be reviewed quarterly.</w:t>
      </w:r>
    </w:p>
    <w:bookmarkEnd w:id="2"/>
    <w:p w14:paraId="094E5C4F" w14:textId="77777777" w:rsidR="008D3E22" w:rsidRDefault="008D3E22" w:rsidP="008D3E22">
      <w:pPr>
        <w:pStyle w:val="Default"/>
        <w:spacing w:line="360" w:lineRule="auto"/>
        <w:ind w:right="-378"/>
        <w:jc w:val="both"/>
        <w:rPr>
          <w:rFonts w:ascii="Arial" w:hAnsi="Arial" w:cs="Arial"/>
          <w:b/>
          <w:color w:val="auto"/>
          <w:sz w:val="20"/>
        </w:rPr>
      </w:pPr>
    </w:p>
    <w:p w14:paraId="1E3808AF" w14:textId="77777777" w:rsidR="008D3E22" w:rsidRDefault="008D3E22" w:rsidP="008D3E22">
      <w:pPr>
        <w:pStyle w:val="Default"/>
        <w:spacing w:line="360" w:lineRule="auto"/>
        <w:ind w:right="-378"/>
        <w:jc w:val="both"/>
        <w:rPr>
          <w:rFonts w:ascii="Arial" w:hAnsi="Arial" w:cs="Arial"/>
          <w:b/>
          <w:color w:val="auto"/>
          <w:sz w:val="20"/>
        </w:rPr>
      </w:pPr>
      <w:r w:rsidRPr="00A37922">
        <w:rPr>
          <w:rFonts w:ascii="Arial" w:hAnsi="Arial" w:cs="Arial"/>
          <w:b/>
          <w:color w:val="auto"/>
          <w:sz w:val="20"/>
        </w:rPr>
        <w:t>KEY FINANCIAL FIGURES FOR THE PERIOD</w:t>
      </w:r>
    </w:p>
    <w:tbl>
      <w:tblPr>
        <w:tblW w:w="9540" w:type="dxa"/>
        <w:tblInd w:w="108" w:type="dxa"/>
        <w:tblLook w:val="04A0" w:firstRow="1" w:lastRow="0" w:firstColumn="1" w:lastColumn="0" w:noHBand="0" w:noVBand="1"/>
      </w:tblPr>
      <w:tblGrid>
        <w:gridCol w:w="5520"/>
        <w:gridCol w:w="1340"/>
        <w:gridCol w:w="1340"/>
        <w:gridCol w:w="1340"/>
      </w:tblGrid>
      <w:tr w:rsidR="00240C72" w:rsidRPr="00A37922" w14:paraId="313946CA" w14:textId="77777777" w:rsidTr="00823526">
        <w:trPr>
          <w:trHeight w:val="315"/>
        </w:trPr>
        <w:tc>
          <w:tcPr>
            <w:tcW w:w="5520" w:type="dxa"/>
            <w:tcBorders>
              <w:top w:val="nil"/>
              <w:left w:val="nil"/>
              <w:bottom w:val="nil"/>
              <w:right w:val="nil"/>
            </w:tcBorders>
            <w:shd w:val="clear" w:color="000000" w:fill="FFFFFF"/>
            <w:vAlign w:val="center"/>
            <w:hideMark/>
          </w:tcPr>
          <w:p w14:paraId="66B1EE13" w14:textId="77777777" w:rsidR="00240C72" w:rsidRPr="003033D1" w:rsidRDefault="00240C72" w:rsidP="00823526">
            <w:pPr>
              <w:rPr>
                <w:rFonts w:ascii="Arial" w:hAnsi="Arial"/>
                <w:sz w:val="20"/>
              </w:rPr>
            </w:pPr>
          </w:p>
        </w:tc>
        <w:tc>
          <w:tcPr>
            <w:tcW w:w="1340" w:type="dxa"/>
            <w:tcBorders>
              <w:top w:val="nil"/>
              <w:left w:val="nil"/>
              <w:bottom w:val="nil"/>
              <w:right w:val="nil"/>
            </w:tcBorders>
            <w:shd w:val="clear" w:color="000000" w:fill="FFFFFF"/>
            <w:vAlign w:val="center"/>
            <w:hideMark/>
          </w:tcPr>
          <w:p w14:paraId="53073A33" w14:textId="77777777" w:rsidR="00240C72" w:rsidRDefault="00240C72" w:rsidP="00823526">
            <w:pPr>
              <w:jc w:val="right"/>
              <w:rPr>
                <w:rFonts w:ascii="Arial" w:hAnsi="Arial" w:cs="Arial"/>
                <w:sz w:val="20"/>
                <w:lang w:eastAsia="en-GB"/>
              </w:rPr>
            </w:pPr>
            <w:r>
              <w:rPr>
                <w:rFonts w:ascii="Arial" w:hAnsi="Arial" w:cs="Arial"/>
                <w:sz w:val="20"/>
                <w:lang w:eastAsia="en-GB"/>
              </w:rPr>
              <w:t>9</w:t>
            </w:r>
            <w:r w:rsidRPr="00A37922">
              <w:rPr>
                <w:rFonts w:ascii="Arial" w:hAnsi="Arial" w:cs="Arial"/>
                <w:sz w:val="20"/>
                <w:lang w:eastAsia="en-GB"/>
              </w:rPr>
              <w:t>M 201</w:t>
            </w:r>
            <w:r>
              <w:rPr>
                <w:rFonts w:ascii="Arial" w:hAnsi="Arial" w:cs="Arial"/>
                <w:sz w:val="20"/>
                <w:lang w:eastAsia="en-GB"/>
              </w:rPr>
              <w:t xml:space="preserve">8 </w:t>
            </w:r>
          </w:p>
          <w:p w14:paraId="57509490" w14:textId="77777777" w:rsidR="00240C72" w:rsidRPr="00A37922" w:rsidRDefault="00240C72" w:rsidP="00823526">
            <w:pPr>
              <w:jc w:val="right"/>
              <w:rPr>
                <w:rFonts w:ascii="Arial" w:hAnsi="Arial" w:cs="Arial"/>
                <w:sz w:val="20"/>
                <w:lang w:eastAsia="en-GB"/>
              </w:rPr>
            </w:pPr>
            <w:r>
              <w:rPr>
                <w:rFonts w:ascii="Arial" w:hAnsi="Arial" w:cs="Arial"/>
                <w:sz w:val="20"/>
                <w:lang w:eastAsia="en-GB"/>
              </w:rPr>
              <w:t xml:space="preserve">€m </w:t>
            </w:r>
          </w:p>
        </w:tc>
        <w:tc>
          <w:tcPr>
            <w:tcW w:w="1340" w:type="dxa"/>
            <w:tcBorders>
              <w:top w:val="nil"/>
              <w:left w:val="nil"/>
              <w:bottom w:val="nil"/>
              <w:right w:val="nil"/>
            </w:tcBorders>
            <w:shd w:val="clear" w:color="000000" w:fill="FFFFFF"/>
            <w:vAlign w:val="center"/>
          </w:tcPr>
          <w:p w14:paraId="49603094" w14:textId="77777777" w:rsidR="00240C72" w:rsidRDefault="00240C72" w:rsidP="00823526">
            <w:pPr>
              <w:jc w:val="right"/>
              <w:rPr>
                <w:rFonts w:ascii="Arial" w:hAnsi="Arial" w:cs="Arial"/>
                <w:sz w:val="20"/>
                <w:lang w:eastAsia="en-GB"/>
              </w:rPr>
            </w:pPr>
            <w:r>
              <w:rPr>
                <w:rFonts w:ascii="Arial" w:hAnsi="Arial" w:cs="Arial"/>
                <w:sz w:val="20"/>
                <w:lang w:eastAsia="en-GB"/>
              </w:rPr>
              <w:t>9</w:t>
            </w:r>
            <w:r w:rsidRPr="00A37922">
              <w:rPr>
                <w:rFonts w:ascii="Arial" w:hAnsi="Arial" w:cs="Arial"/>
                <w:sz w:val="20"/>
                <w:lang w:eastAsia="en-GB"/>
              </w:rPr>
              <w:t>M 201</w:t>
            </w:r>
            <w:r>
              <w:rPr>
                <w:rFonts w:ascii="Arial" w:hAnsi="Arial" w:cs="Arial"/>
                <w:sz w:val="20"/>
                <w:lang w:eastAsia="en-GB"/>
              </w:rPr>
              <w:t xml:space="preserve">7 </w:t>
            </w:r>
          </w:p>
          <w:p w14:paraId="0A34768F" w14:textId="77777777" w:rsidR="00240C72" w:rsidRPr="00A37922" w:rsidRDefault="00240C72" w:rsidP="00823526">
            <w:pPr>
              <w:jc w:val="right"/>
              <w:rPr>
                <w:rFonts w:ascii="Arial" w:hAnsi="Arial" w:cs="Arial"/>
                <w:sz w:val="20"/>
                <w:lang w:eastAsia="en-GB"/>
              </w:rPr>
            </w:pPr>
            <w:r>
              <w:rPr>
                <w:rFonts w:ascii="Arial" w:hAnsi="Arial" w:cs="Arial"/>
                <w:sz w:val="20"/>
                <w:lang w:eastAsia="en-GB"/>
              </w:rPr>
              <w:t xml:space="preserve">€m </w:t>
            </w:r>
          </w:p>
        </w:tc>
        <w:tc>
          <w:tcPr>
            <w:tcW w:w="1340" w:type="dxa"/>
            <w:tcBorders>
              <w:top w:val="nil"/>
              <w:left w:val="nil"/>
              <w:bottom w:val="nil"/>
              <w:right w:val="nil"/>
            </w:tcBorders>
            <w:shd w:val="clear" w:color="000000" w:fill="FFFFFF"/>
            <w:vAlign w:val="center"/>
            <w:hideMark/>
          </w:tcPr>
          <w:p w14:paraId="19B508CB" w14:textId="77777777" w:rsidR="00240C72" w:rsidRDefault="00240C72" w:rsidP="00823526">
            <w:pPr>
              <w:jc w:val="center"/>
              <w:rPr>
                <w:rFonts w:ascii="Arial" w:hAnsi="Arial" w:cs="Arial"/>
                <w:sz w:val="20"/>
                <w:lang w:eastAsia="en-GB"/>
              </w:rPr>
            </w:pPr>
            <w:r w:rsidRPr="00A37922">
              <w:rPr>
                <w:rFonts w:ascii="Arial" w:hAnsi="Arial" w:cs="Arial"/>
                <w:sz w:val="20"/>
                <w:lang w:eastAsia="en-GB"/>
              </w:rPr>
              <w:t xml:space="preserve">CHANGE </w:t>
            </w:r>
          </w:p>
          <w:p w14:paraId="511F1A1A" w14:textId="77777777" w:rsidR="00240C72" w:rsidRPr="00A37922" w:rsidRDefault="00240C72" w:rsidP="00823526">
            <w:pPr>
              <w:jc w:val="center"/>
              <w:rPr>
                <w:rFonts w:ascii="Arial" w:hAnsi="Arial" w:cs="Arial"/>
                <w:sz w:val="20"/>
                <w:lang w:eastAsia="en-GB"/>
              </w:rPr>
            </w:pPr>
            <w:r w:rsidRPr="00A37922">
              <w:rPr>
                <w:rFonts w:ascii="Arial" w:hAnsi="Arial" w:cs="Arial"/>
                <w:sz w:val="20"/>
                <w:lang w:eastAsia="en-GB"/>
              </w:rPr>
              <w:t>%</w:t>
            </w:r>
          </w:p>
        </w:tc>
      </w:tr>
      <w:tr w:rsidR="00955F81" w:rsidRPr="00A52F38" w14:paraId="22C333BD" w14:textId="77777777" w:rsidTr="00523882">
        <w:trPr>
          <w:trHeight w:val="315"/>
        </w:trPr>
        <w:tc>
          <w:tcPr>
            <w:tcW w:w="5520" w:type="dxa"/>
            <w:tcBorders>
              <w:top w:val="single" w:sz="4" w:space="0" w:color="F06925"/>
              <w:left w:val="nil"/>
              <w:right w:val="nil"/>
            </w:tcBorders>
            <w:shd w:val="clear" w:color="000000" w:fill="FFFFFF"/>
            <w:vAlign w:val="center"/>
          </w:tcPr>
          <w:p w14:paraId="7D5D8A12" w14:textId="77777777" w:rsidR="00955F81" w:rsidRPr="00A52F38" w:rsidRDefault="00955F81" w:rsidP="00955F81">
            <w:pPr>
              <w:rPr>
                <w:rFonts w:ascii="Arial" w:hAnsi="Arial" w:cs="Arial"/>
                <w:sz w:val="20"/>
                <w:lang w:eastAsia="en-GB"/>
              </w:rPr>
            </w:pPr>
            <w:r w:rsidRPr="00A52F38">
              <w:rPr>
                <w:rFonts w:ascii="Arial" w:hAnsi="Arial" w:cs="Arial"/>
                <w:sz w:val="20"/>
                <w:lang w:eastAsia="en-GB"/>
              </w:rPr>
              <w:t>EPRA Like-for-Like net rental income</w:t>
            </w:r>
          </w:p>
        </w:tc>
        <w:tc>
          <w:tcPr>
            <w:tcW w:w="1340" w:type="dxa"/>
            <w:tcBorders>
              <w:top w:val="single" w:sz="4" w:space="0" w:color="F06925"/>
              <w:left w:val="nil"/>
              <w:right w:val="nil"/>
            </w:tcBorders>
            <w:shd w:val="clear" w:color="000000" w:fill="FFFFFF"/>
            <w:vAlign w:val="center"/>
          </w:tcPr>
          <w:p w14:paraId="0886DAD0" w14:textId="77777777" w:rsidR="00955F81" w:rsidRDefault="00955F81" w:rsidP="00955F81">
            <w:pPr>
              <w:jc w:val="right"/>
              <w:rPr>
                <w:rFonts w:ascii="Arial" w:hAnsi="Arial" w:cs="Arial"/>
                <w:sz w:val="20"/>
                <w:lang w:eastAsia="en-GB"/>
              </w:rPr>
            </w:pPr>
            <w:r>
              <w:rPr>
                <w:rFonts w:ascii="Arial" w:hAnsi="Arial" w:cs="Arial"/>
                <w:sz w:val="20"/>
                <w:lang w:eastAsia="en-GB"/>
              </w:rPr>
              <w:t>89</w:t>
            </w:r>
            <w:r w:rsidRPr="00A52F38">
              <w:rPr>
                <w:rFonts w:ascii="Arial" w:hAnsi="Arial" w:cs="Arial"/>
                <w:sz w:val="20"/>
                <w:lang w:eastAsia="en-GB"/>
              </w:rPr>
              <w:t>.</w:t>
            </w:r>
            <w:r>
              <w:rPr>
                <w:rFonts w:ascii="Arial" w:hAnsi="Arial" w:cs="Arial"/>
                <w:sz w:val="20"/>
                <w:lang w:eastAsia="en-GB"/>
              </w:rPr>
              <w:t>7</w:t>
            </w:r>
            <w:r w:rsidRPr="00A52F38">
              <w:rPr>
                <w:rFonts w:ascii="Arial" w:hAnsi="Arial" w:cs="Arial"/>
                <w:sz w:val="20"/>
                <w:lang w:eastAsia="en-GB"/>
              </w:rPr>
              <w:t xml:space="preserve"> </w:t>
            </w:r>
          </w:p>
        </w:tc>
        <w:tc>
          <w:tcPr>
            <w:tcW w:w="1340" w:type="dxa"/>
            <w:tcBorders>
              <w:top w:val="single" w:sz="4" w:space="0" w:color="F06925"/>
              <w:left w:val="nil"/>
              <w:right w:val="nil"/>
            </w:tcBorders>
            <w:shd w:val="clear" w:color="000000" w:fill="FFFFFF"/>
            <w:vAlign w:val="center"/>
          </w:tcPr>
          <w:p w14:paraId="38852438" w14:textId="77777777" w:rsidR="00955F81" w:rsidRDefault="00955F81" w:rsidP="00955F81">
            <w:pPr>
              <w:jc w:val="right"/>
              <w:rPr>
                <w:rFonts w:ascii="Arial" w:hAnsi="Arial" w:cs="Arial"/>
                <w:sz w:val="20"/>
                <w:lang w:eastAsia="en-GB"/>
              </w:rPr>
            </w:pPr>
            <w:r>
              <w:rPr>
                <w:rFonts w:ascii="Arial" w:hAnsi="Arial" w:cs="Arial"/>
                <w:sz w:val="20"/>
                <w:lang w:eastAsia="en-GB"/>
              </w:rPr>
              <w:t>88</w:t>
            </w:r>
            <w:r w:rsidRPr="00A52F38">
              <w:rPr>
                <w:rFonts w:ascii="Arial" w:hAnsi="Arial" w:cs="Arial"/>
                <w:sz w:val="20"/>
                <w:lang w:eastAsia="en-GB"/>
              </w:rPr>
              <w:t>.</w:t>
            </w:r>
            <w:r>
              <w:rPr>
                <w:rFonts w:ascii="Arial" w:hAnsi="Arial" w:cs="Arial"/>
                <w:sz w:val="20"/>
                <w:lang w:eastAsia="en-GB"/>
              </w:rPr>
              <w:t>9</w:t>
            </w:r>
            <w:r w:rsidRPr="00A52F38">
              <w:rPr>
                <w:rFonts w:ascii="Arial" w:hAnsi="Arial" w:cs="Arial"/>
                <w:sz w:val="20"/>
                <w:lang w:eastAsia="en-GB"/>
              </w:rPr>
              <w:t xml:space="preserve"> </w:t>
            </w:r>
          </w:p>
        </w:tc>
        <w:tc>
          <w:tcPr>
            <w:tcW w:w="1340" w:type="dxa"/>
            <w:tcBorders>
              <w:top w:val="single" w:sz="4" w:space="0" w:color="F06925"/>
              <w:left w:val="nil"/>
              <w:right w:val="nil"/>
            </w:tcBorders>
            <w:shd w:val="clear" w:color="000000" w:fill="FFFFFF"/>
            <w:vAlign w:val="center"/>
          </w:tcPr>
          <w:p w14:paraId="66CB5D32" w14:textId="77777777" w:rsidR="00955F81" w:rsidRPr="00A52F38" w:rsidRDefault="00955F81" w:rsidP="00955F81">
            <w:pPr>
              <w:jc w:val="right"/>
              <w:rPr>
                <w:rFonts w:ascii="Arial" w:hAnsi="Arial" w:cs="Arial"/>
                <w:sz w:val="20"/>
                <w:lang w:eastAsia="en-GB"/>
              </w:rPr>
            </w:pPr>
            <w:r>
              <w:rPr>
                <w:rFonts w:ascii="Arial" w:hAnsi="Arial" w:cs="Arial"/>
                <w:sz w:val="20"/>
                <w:lang w:eastAsia="en-GB"/>
              </w:rPr>
              <w:t>0</w:t>
            </w:r>
            <w:r w:rsidRPr="00A52F38">
              <w:rPr>
                <w:rFonts w:ascii="Arial" w:hAnsi="Arial" w:cs="Arial"/>
                <w:sz w:val="20"/>
                <w:lang w:eastAsia="en-GB"/>
              </w:rPr>
              <w:t>.</w:t>
            </w:r>
            <w:r>
              <w:rPr>
                <w:rFonts w:ascii="Arial" w:hAnsi="Arial" w:cs="Arial"/>
                <w:sz w:val="20"/>
                <w:lang w:eastAsia="en-GB"/>
              </w:rPr>
              <w:t>9</w:t>
            </w:r>
            <w:r w:rsidRPr="00A52F38">
              <w:rPr>
                <w:rFonts w:ascii="Arial" w:hAnsi="Arial" w:cs="Arial"/>
                <w:sz w:val="20"/>
                <w:lang w:eastAsia="en-GB"/>
              </w:rPr>
              <w:t>%</w:t>
            </w:r>
          </w:p>
        </w:tc>
      </w:tr>
      <w:tr w:rsidR="00913611" w:rsidRPr="00A52F38" w14:paraId="3BC9959E" w14:textId="77777777" w:rsidTr="007B2334">
        <w:trPr>
          <w:trHeight w:val="315"/>
        </w:trPr>
        <w:tc>
          <w:tcPr>
            <w:tcW w:w="5520" w:type="dxa"/>
            <w:tcBorders>
              <w:left w:val="nil"/>
              <w:bottom w:val="nil"/>
              <w:right w:val="nil"/>
            </w:tcBorders>
            <w:shd w:val="clear" w:color="000000" w:fill="FFFFFF"/>
            <w:vAlign w:val="center"/>
          </w:tcPr>
          <w:p w14:paraId="35A494B4" w14:textId="77777777" w:rsidR="00913611" w:rsidRPr="00A52F38" w:rsidRDefault="00913611" w:rsidP="00955F81">
            <w:pPr>
              <w:rPr>
                <w:rFonts w:ascii="Arial" w:hAnsi="Arial" w:cs="Arial"/>
                <w:sz w:val="20"/>
                <w:lang w:eastAsia="en-GB"/>
              </w:rPr>
            </w:pPr>
            <w:r w:rsidRPr="00A52F38">
              <w:rPr>
                <w:rFonts w:ascii="Arial" w:hAnsi="Arial" w:cs="Arial"/>
                <w:sz w:val="20"/>
                <w:lang w:eastAsia="en-GB"/>
              </w:rPr>
              <w:t>EPRA Like-for-Like net rental income</w:t>
            </w:r>
            <w:r>
              <w:rPr>
                <w:rFonts w:ascii="Arial" w:hAnsi="Arial" w:cs="Arial"/>
                <w:sz w:val="20"/>
                <w:lang w:eastAsia="en-GB"/>
              </w:rPr>
              <w:t xml:space="preserve"> excl. Russia</w:t>
            </w:r>
          </w:p>
        </w:tc>
        <w:tc>
          <w:tcPr>
            <w:tcW w:w="1340" w:type="dxa"/>
            <w:tcBorders>
              <w:left w:val="nil"/>
              <w:bottom w:val="nil"/>
              <w:right w:val="nil"/>
            </w:tcBorders>
            <w:shd w:val="clear" w:color="000000" w:fill="FFFFFF"/>
            <w:vAlign w:val="center"/>
          </w:tcPr>
          <w:p w14:paraId="05E99C54" w14:textId="77777777" w:rsidR="00913611" w:rsidRDefault="00913611" w:rsidP="00955F81">
            <w:pPr>
              <w:jc w:val="right"/>
              <w:rPr>
                <w:rFonts w:ascii="Arial" w:hAnsi="Arial" w:cs="Arial"/>
                <w:sz w:val="20"/>
                <w:lang w:eastAsia="en-GB"/>
              </w:rPr>
            </w:pPr>
            <w:r>
              <w:rPr>
                <w:rFonts w:ascii="Arial" w:hAnsi="Arial" w:cs="Arial"/>
                <w:sz w:val="20"/>
                <w:lang w:eastAsia="en-GB"/>
              </w:rPr>
              <w:t>59</w:t>
            </w:r>
            <w:r w:rsidRPr="00A52F38">
              <w:rPr>
                <w:rFonts w:ascii="Arial" w:hAnsi="Arial" w:cs="Arial"/>
                <w:sz w:val="20"/>
                <w:lang w:eastAsia="en-GB"/>
              </w:rPr>
              <w:t>.</w:t>
            </w:r>
            <w:r>
              <w:rPr>
                <w:rFonts w:ascii="Arial" w:hAnsi="Arial" w:cs="Arial"/>
                <w:sz w:val="20"/>
                <w:lang w:eastAsia="en-GB"/>
              </w:rPr>
              <w:t>4</w:t>
            </w:r>
            <w:r w:rsidRPr="00A52F38">
              <w:rPr>
                <w:rFonts w:ascii="Arial" w:hAnsi="Arial" w:cs="Arial"/>
                <w:sz w:val="20"/>
                <w:lang w:eastAsia="en-GB"/>
              </w:rPr>
              <w:t xml:space="preserve"> </w:t>
            </w:r>
          </w:p>
        </w:tc>
        <w:tc>
          <w:tcPr>
            <w:tcW w:w="1340" w:type="dxa"/>
            <w:tcBorders>
              <w:left w:val="nil"/>
              <w:bottom w:val="nil"/>
              <w:right w:val="nil"/>
            </w:tcBorders>
            <w:shd w:val="clear" w:color="000000" w:fill="FFFFFF"/>
            <w:vAlign w:val="center"/>
          </w:tcPr>
          <w:p w14:paraId="6E1EFB4F" w14:textId="77777777" w:rsidR="00913611" w:rsidRDefault="00913611" w:rsidP="00955F81">
            <w:pPr>
              <w:jc w:val="right"/>
              <w:rPr>
                <w:rFonts w:ascii="Arial" w:hAnsi="Arial" w:cs="Arial"/>
                <w:sz w:val="20"/>
                <w:lang w:eastAsia="en-GB"/>
              </w:rPr>
            </w:pPr>
            <w:r>
              <w:rPr>
                <w:rFonts w:ascii="Arial" w:hAnsi="Arial" w:cs="Arial"/>
                <w:sz w:val="20"/>
                <w:lang w:eastAsia="en-GB"/>
              </w:rPr>
              <w:t>58</w:t>
            </w:r>
            <w:r w:rsidRPr="00A52F38">
              <w:rPr>
                <w:rFonts w:ascii="Arial" w:hAnsi="Arial" w:cs="Arial"/>
                <w:sz w:val="20"/>
                <w:lang w:eastAsia="en-GB"/>
              </w:rPr>
              <w:t>.</w:t>
            </w:r>
            <w:r>
              <w:rPr>
                <w:rFonts w:ascii="Arial" w:hAnsi="Arial" w:cs="Arial"/>
                <w:sz w:val="20"/>
                <w:lang w:eastAsia="en-GB"/>
              </w:rPr>
              <w:t>4</w:t>
            </w:r>
            <w:r w:rsidRPr="00A52F38">
              <w:rPr>
                <w:rFonts w:ascii="Arial" w:hAnsi="Arial" w:cs="Arial"/>
                <w:sz w:val="20"/>
                <w:lang w:eastAsia="en-GB"/>
              </w:rPr>
              <w:t xml:space="preserve"> </w:t>
            </w:r>
          </w:p>
        </w:tc>
        <w:tc>
          <w:tcPr>
            <w:tcW w:w="1340" w:type="dxa"/>
            <w:tcBorders>
              <w:left w:val="nil"/>
              <w:bottom w:val="nil"/>
              <w:right w:val="nil"/>
            </w:tcBorders>
            <w:shd w:val="clear" w:color="000000" w:fill="FFFFFF"/>
            <w:vAlign w:val="center"/>
          </w:tcPr>
          <w:p w14:paraId="359BF9C4" w14:textId="77777777" w:rsidR="00913611" w:rsidRPr="00A52F38" w:rsidRDefault="00913611" w:rsidP="00955F81">
            <w:pPr>
              <w:jc w:val="right"/>
              <w:rPr>
                <w:rFonts w:ascii="Arial" w:hAnsi="Arial" w:cs="Arial"/>
                <w:sz w:val="20"/>
                <w:lang w:eastAsia="en-GB"/>
              </w:rPr>
            </w:pPr>
            <w:r>
              <w:rPr>
                <w:rFonts w:ascii="Arial" w:hAnsi="Arial" w:cs="Arial"/>
                <w:sz w:val="20"/>
                <w:lang w:eastAsia="en-GB"/>
              </w:rPr>
              <w:t>1</w:t>
            </w:r>
            <w:r w:rsidRPr="00A52F38">
              <w:rPr>
                <w:rFonts w:ascii="Arial" w:hAnsi="Arial" w:cs="Arial"/>
                <w:sz w:val="20"/>
                <w:lang w:eastAsia="en-GB"/>
              </w:rPr>
              <w:t>.</w:t>
            </w:r>
            <w:r>
              <w:rPr>
                <w:rFonts w:ascii="Arial" w:hAnsi="Arial" w:cs="Arial"/>
                <w:sz w:val="20"/>
                <w:lang w:eastAsia="en-GB"/>
              </w:rPr>
              <w:t>7</w:t>
            </w:r>
            <w:r w:rsidRPr="00A52F38">
              <w:rPr>
                <w:rFonts w:ascii="Arial" w:hAnsi="Arial" w:cs="Arial"/>
                <w:sz w:val="20"/>
                <w:lang w:eastAsia="en-GB"/>
              </w:rPr>
              <w:t>%</w:t>
            </w:r>
          </w:p>
        </w:tc>
      </w:tr>
      <w:tr w:rsidR="00913611" w:rsidRPr="00A52F38" w14:paraId="3722F5B0" w14:textId="77777777" w:rsidTr="00523882">
        <w:trPr>
          <w:trHeight w:val="315"/>
        </w:trPr>
        <w:tc>
          <w:tcPr>
            <w:tcW w:w="5520" w:type="dxa"/>
            <w:tcBorders>
              <w:left w:val="nil"/>
              <w:bottom w:val="nil"/>
              <w:right w:val="nil"/>
            </w:tcBorders>
            <w:shd w:val="clear" w:color="000000" w:fill="FFFFFF"/>
            <w:vAlign w:val="center"/>
            <w:hideMark/>
          </w:tcPr>
          <w:p w14:paraId="3F7D97D4" w14:textId="77777777" w:rsidR="00913611" w:rsidRPr="00A52F38" w:rsidRDefault="00913611" w:rsidP="00955F81">
            <w:pPr>
              <w:rPr>
                <w:rFonts w:ascii="Arial" w:hAnsi="Arial" w:cs="Arial"/>
                <w:sz w:val="20"/>
                <w:lang w:eastAsia="en-GB"/>
              </w:rPr>
            </w:pPr>
            <w:r w:rsidRPr="00A52F38">
              <w:rPr>
                <w:rFonts w:ascii="Arial" w:hAnsi="Arial" w:cs="Arial"/>
                <w:sz w:val="20"/>
                <w:lang w:eastAsia="en-GB"/>
              </w:rPr>
              <w:t>Net rental income</w:t>
            </w:r>
          </w:p>
        </w:tc>
        <w:tc>
          <w:tcPr>
            <w:tcW w:w="1340" w:type="dxa"/>
            <w:tcBorders>
              <w:left w:val="nil"/>
              <w:bottom w:val="nil"/>
              <w:right w:val="nil"/>
            </w:tcBorders>
            <w:shd w:val="clear" w:color="000000" w:fill="FFFFFF"/>
            <w:vAlign w:val="center"/>
            <w:hideMark/>
          </w:tcPr>
          <w:p w14:paraId="50367A27" w14:textId="77777777" w:rsidR="00913611" w:rsidRPr="00A52F38" w:rsidRDefault="00913611" w:rsidP="00955F81">
            <w:pPr>
              <w:jc w:val="right"/>
              <w:rPr>
                <w:rFonts w:ascii="Arial" w:hAnsi="Arial" w:cs="Arial"/>
                <w:sz w:val="20"/>
                <w:lang w:eastAsia="en-GB"/>
              </w:rPr>
            </w:pPr>
            <w:r>
              <w:rPr>
                <w:rFonts w:ascii="Arial" w:hAnsi="Arial" w:cs="Arial"/>
                <w:sz w:val="20"/>
                <w:lang w:eastAsia="en-GB"/>
              </w:rPr>
              <w:t>135</w:t>
            </w:r>
            <w:r w:rsidRPr="00A52F38">
              <w:rPr>
                <w:rFonts w:ascii="Arial" w:hAnsi="Arial" w:cs="Arial"/>
                <w:sz w:val="20"/>
                <w:lang w:eastAsia="en-GB"/>
              </w:rPr>
              <w:t>.</w:t>
            </w:r>
            <w:r>
              <w:rPr>
                <w:rFonts w:ascii="Arial" w:hAnsi="Arial" w:cs="Arial"/>
                <w:sz w:val="20"/>
                <w:lang w:eastAsia="en-GB"/>
              </w:rPr>
              <w:t>0</w:t>
            </w:r>
            <w:r w:rsidRPr="00A52F38">
              <w:rPr>
                <w:rFonts w:ascii="Arial" w:hAnsi="Arial" w:cs="Arial"/>
                <w:sz w:val="20"/>
                <w:lang w:eastAsia="en-GB"/>
              </w:rPr>
              <w:t xml:space="preserve"> </w:t>
            </w:r>
          </w:p>
        </w:tc>
        <w:tc>
          <w:tcPr>
            <w:tcW w:w="1340" w:type="dxa"/>
            <w:tcBorders>
              <w:left w:val="nil"/>
              <w:bottom w:val="nil"/>
              <w:right w:val="nil"/>
            </w:tcBorders>
            <w:shd w:val="clear" w:color="000000" w:fill="FFFFFF"/>
            <w:vAlign w:val="center"/>
          </w:tcPr>
          <w:p w14:paraId="54F917B6" w14:textId="77777777" w:rsidR="00913611" w:rsidRPr="00A52F38" w:rsidRDefault="00913611" w:rsidP="00955F81">
            <w:pPr>
              <w:jc w:val="right"/>
              <w:rPr>
                <w:rFonts w:ascii="Arial" w:hAnsi="Arial" w:cs="Arial"/>
                <w:sz w:val="20"/>
                <w:lang w:eastAsia="en-GB"/>
              </w:rPr>
            </w:pPr>
            <w:r>
              <w:rPr>
                <w:rFonts w:ascii="Arial" w:hAnsi="Arial" w:cs="Arial"/>
                <w:sz w:val="20"/>
                <w:lang w:eastAsia="en-GB"/>
              </w:rPr>
              <w:t>1</w:t>
            </w:r>
            <w:r w:rsidRPr="00A52F38">
              <w:rPr>
                <w:rFonts w:ascii="Arial" w:hAnsi="Arial" w:cs="Arial"/>
                <w:sz w:val="20"/>
                <w:lang w:eastAsia="en-GB"/>
              </w:rPr>
              <w:t>4</w:t>
            </w:r>
            <w:r>
              <w:rPr>
                <w:rFonts w:ascii="Arial" w:hAnsi="Arial" w:cs="Arial"/>
                <w:sz w:val="20"/>
                <w:lang w:eastAsia="en-GB"/>
              </w:rPr>
              <w:t>3</w:t>
            </w:r>
            <w:r w:rsidRPr="00A52F38">
              <w:rPr>
                <w:rFonts w:ascii="Arial" w:hAnsi="Arial" w:cs="Arial"/>
                <w:sz w:val="20"/>
                <w:lang w:eastAsia="en-GB"/>
              </w:rPr>
              <w:t>.</w:t>
            </w:r>
            <w:r>
              <w:rPr>
                <w:rFonts w:ascii="Arial" w:hAnsi="Arial" w:cs="Arial"/>
                <w:sz w:val="20"/>
                <w:lang w:eastAsia="en-GB"/>
              </w:rPr>
              <w:t>8</w:t>
            </w:r>
            <w:r w:rsidRPr="00A52F38">
              <w:rPr>
                <w:rFonts w:ascii="Arial" w:hAnsi="Arial" w:cs="Arial"/>
                <w:sz w:val="20"/>
                <w:lang w:eastAsia="en-GB"/>
              </w:rPr>
              <w:t xml:space="preserve"> </w:t>
            </w:r>
          </w:p>
        </w:tc>
        <w:tc>
          <w:tcPr>
            <w:tcW w:w="1340" w:type="dxa"/>
            <w:tcBorders>
              <w:left w:val="nil"/>
              <w:bottom w:val="nil"/>
              <w:right w:val="nil"/>
            </w:tcBorders>
            <w:shd w:val="clear" w:color="000000" w:fill="FFFFFF"/>
            <w:vAlign w:val="center"/>
            <w:hideMark/>
          </w:tcPr>
          <w:p w14:paraId="730F9062" w14:textId="77777777" w:rsidR="00913611" w:rsidRPr="00A52F38" w:rsidRDefault="00913611" w:rsidP="00955F81">
            <w:pPr>
              <w:jc w:val="right"/>
              <w:rPr>
                <w:rFonts w:ascii="Arial" w:hAnsi="Arial" w:cs="Arial"/>
                <w:sz w:val="20"/>
                <w:lang w:eastAsia="en-GB"/>
              </w:rPr>
            </w:pPr>
            <w:r w:rsidRPr="00A52F38">
              <w:rPr>
                <w:rFonts w:ascii="Arial" w:hAnsi="Arial" w:cs="Arial"/>
                <w:sz w:val="20"/>
                <w:lang w:eastAsia="en-GB"/>
              </w:rPr>
              <w:t>(</w:t>
            </w:r>
            <w:r>
              <w:rPr>
                <w:rFonts w:ascii="Arial" w:hAnsi="Arial" w:cs="Arial"/>
                <w:sz w:val="20"/>
                <w:lang w:eastAsia="en-GB"/>
              </w:rPr>
              <w:t>6.1</w:t>
            </w:r>
            <w:r w:rsidRPr="00A52F38">
              <w:rPr>
                <w:rFonts w:ascii="Arial" w:hAnsi="Arial" w:cs="Arial"/>
                <w:sz w:val="20"/>
                <w:lang w:eastAsia="en-GB"/>
              </w:rPr>
              <w:t>%)</w:t>
            </w:r>
          </w:p>
        </w:tc>
      </w:tr>
      <w:tr w:rsidR="00913611" w:rsidRPr="00B642B0" w14:paraId="1AB4C65A" w14:textId="77777777" w:rsidTr="00823526">
        <w:trPr>
          <w:trHeight w:val="345"/>
        </w:trPr>
        <w:tc>
          <w:tcPr>
            <w:tcW w:w="5520" w:type="dxa"/>
            <w:tcBorders>
              <w:top w:val="nil"/>
              <w:left w:val="nil"/>
              <w:bottom w:val="nil"/>
              <w:right w:val="nil"/>
            </w:tcBorders>
            <w:shd w:val="clear" w:color="000000" w:fill="FFFFFF"/>
            <w:vAlign w:val="center"/>
          </w:tcPr>
          <w:p w14:paraId="533844F7" w14:textId="77777777" w:rsidR="00913611" w:rsidRPr="00B642B0" w:rsidRDefault="00913611" w:rsidP="00955F81">
            <w:pPr>
              <w:rPr>
                <w:rFonts w:ascii="Arial" w:hAnsi="Arial" w:cs="Arial"/>
                <w:sz w:val="20"/>
                <w:lang w:eastAsia="en-GB"/>
              </w:rPr>
            </w:pPr>
            <w:r w:rsidRPr="00B642B0">
              <w:rPr>
                <w:rFonts w:ascii="Arial" w:hAnsi="Arial"/>
                <w:sz w:val="20"/>
              </w:rPr>
              <w:t>Operating margin</w:t>
            </w:r>
          </w:p>
        </w:tc>
        <w:tc>
          <w:tcPr>
            <w:tcW w:w="1340" w:type="dxa"/>
            <w:tcBorders>
              <w:top w:val="nil"/>
              <w:left w:val="nil"/>
              <w:bottom w:val="nil"/>
              <w:right w:val="nil"/>
            </w:tcBorders>
            <w:shd w:val="clear" w:color="000000" w:fill="FFFFFF"/>
            <w:vAlign w:val="center"/>
          </w:tcPr>
          <w:p w14:paraId="30BAA461" w14:textId="77777777" w:rsidR="00913611" w:rsidRPr="00B642B0" w:rsidRDefault="00913611" w:rsidP="00A82E09">
            <w:pPr>
              <w:jc w:val="right"/>
              <w:rPr>
                <w:rFonts w:ascii="Arial" w:hAnsi="Arial" w:cs="Arial"/>
                <w:sz w:val="20"/>
                <w:lang w:eastAsia="en-GB"/>
              </w:rPr>
            </w:pPr>
            <w:r w:rsidRPr="00B642B0">
              <w:rPr>
                <w:rFonts w:ascii="Arial" w:hAnsi="Arial"/>
                <w:sz w:val="20"/>
              </w:rPr>
              <w:t>97.</w:t>
            </w:r>
            <w:r>
              <w:rPr>
                <w:rFonts w:ascii="Arial" w:hAnsi="Arial"/>
                <w:sz w:val="20"/>
              </w:rPr>
              <w:t>4</w:t>
            </w:r>
          </w:p>
        </w:tc>
        <w:tc>
          <w:tcPr>
            <w:tcW w:w="1340" w:type="dxa"/>
            <w:tcBorders>
              <w:top w:val="nil"/>
              <w:left w:val="nil"/>
              <w:bottom w:val="nil"/>
              <w:right w:val="nil"/>
            </w:tcBorders>
            <w:shd w:val="clear" w:color="000000" w:fill="FFFFFF"/>
            <w:vAlign w:val="center"/>
          </w:tcPr>
          <w:p w14:paraId="0340DF41" w14:textId="77777777" w:rsidR="00913611" w:rsidRPr="00B642B0" w:rsidRDefault="00913611" w:rsidP="00955F81">
            <w:pPr>
              <w:jc w:val="right"/>
              <w:rPr>
                <w:rFonts w:ascii="Arial" w:hAnsi="Arial" w:cs="Arial"/>
                <w:sz w:val="20"/>
                <w:lang w:eastAsia="en-GB"/>
              </w:rPr>
            </w:pPr>
            <w:r>
              <w:rPr>
                <w:rFonts w:ascii="Arial" w:hAnsi="Arial"/>
                <w:sz w:val="20"/>
              </w:rPr>
              <w:t>96.6</w:t>
            </w:r>
          </w:p>
        </w:tc>
        <w:tc>
          <w:tcPr>
            <w:tcW w:w="1340" w:type="dxa"/>
            <w:tcBorders>
              <w:top w:val="nil"/>
              <w:left w:val="nil"/>
              <w:bottom w:val="nil"/>
              <w:right w:val="nil"/>
            </w:tcBorders>
            <w:shd w:val="clear" w:color="000000" w:fill="FFFFFF"/>
            <w:vAlign w:val="center"/>
          </w:tcPr>
          <w:p w14:paraId="6AC17510" w14:textId="77777777" w:rsidR="00913611" w:rsidRPr="00B642B0" w:rsidRDefault="00913611" w:rsidP="00955F81">
            <w:pPr>
              <w:jc w:val="right"/>
              <w:rPr>
                <w:rFonts w:ascii="Arial" w:hAnsi="Arial" w:cs="Arial"/>
                <w:sz w:val="20"/>
                <w:lang w:eastAsia="en-GB"/>
              </w:rPr>
            </w:pPr>
            <w:r>
              <w:rPr>
                <w:rFonts w:ascii="Arial" w:hAnsi="Arial"/>
                <w:sz w:val="20"/>
              </w:rPr>
              <w:t>0.8</w:t>
            </w:r>
            <w:r w:rsidRPr="00B642B0">
              <w:rPr>
                <w:rFonts w:ascii="Arial" w:hAnsi="Arial"/>
                <w:sz w:val="20"/>
              </w:rPr>
              <w:t>%</w:t>
            </w:r>
          </w:p>
        </w:tc>
      </w:tr>
      <w:tr w:rsidR="00913611" w:rsidRPr="00B642B0" w14:paraId="1DEFF6A8" w14:textId="77777777" w:rsidTr="00823526">
        <w:trPr>
          <w:trHeight w:val="345"/>
        </w:trPr>
        <w:tc>
          <w:tcPr>
            <w:tcW w:w="5520" w:type="dxa"/>
            <w:tcBorders>
              <w:top w:val="nil"/>
              <w:left w:val="nil"/>
              <w:bottom w:val="nil"/>
              <w:right w:val="nil"/>
            </w:tcBorders>
            <w:shd w:val="clear" w:color="000000" w:fill="FFFFFF"/>
            <w:vAlign w:val="center"/>
          </w:tcPr>
          <w:p w14:paraId="242A2584" w14:textId="77777777" w:rsidR="00913611" w:rsidRPr="00B642B0" w:rsidRDefault="00913611" w:rsidP="00955F81">
            <w:pPr>
              <w:rPr>
                <w:rFonts w:ascii="Arial" w:hAnsi="Arial" w:cs="Arial"/>
                <w:sz w:val="20"/>
                <w:lang w:eastAsia="en-GB"/>
              </w:rPr>
            </w:pPr>
            <w:r w:rsidRPr="00B642B0">
              <w:rPr>
                <w:rFonts w:ascii="Arial" w:hAnsi="Arial"/>
                <w:sz w:val="20"/>
              </w:rPr>
              <w:t>Occupancy rate</w:t>
            </w:r>
            <w:r w:rsidRPr="00B642B0">
              <w:rPr>
                <w:rFonts w:ascii="Arial" w:hAnsi="Arial" w:cs="Arial"/>
                <w:sz w:val="20"/>
                <w:lang w:eastAsia="en-GB"/>
              </w:rPr>
              <w:t xml:space="preserve"> (%)</w:t>
            </w:r>
          </w:p>
        </w:tc>
        <w:tc>
          <w:tcPr>
            <w:tcW w:w="1340" w:type="dxa"/>
            <w:tcBorders>
              <w:top w:val="nil"/>
              <w:left w:val="nil"/>
              <w:bottom w:val="nil"/>
              <w:right w:val="nil"/>
            </w:tcBorders>
            <w:shd w:val="clear" w:color="000000" w:fill="FFFFFF"/>
            <w:vAlign w:val="center"/>
          </w:tcPr>
          <w:p w14:paraId="7FEE02FB"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96.9</w:t>
            </w:r>
          </w:p>
        </w:tc>
        <w:tc>
          <w:tcPr>
            <w:tcW w:w="1340" w:type="dxa"/>
            <w:tcBorders>
              <w:top w:val="nil"/>
              <w:left w:val="nil"/>
              <w:bottom w:val="nil"/>
              <w:right w:val="nil"/>
            </w:tcBorders>
            <w:shd w:val="clear" w:color="000000" w:fill="FFFFFF"/>
            <w:vAlign w:val="center"/>
          </w:tcPr>
          <w:p w14:paraId="68F542B4"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95.4</w:t>
            </w:r>
          </w:p>
        </w:tc>
        <w:tc>
          <w:tcPr>
            <w:tcW w:w="1340" w:type="dxa"/>
            <w:tcBorders>
              <w:top w:val="nil"/>
              <w:left w:val="nil"/>
              <w:bottom w:val="nil"/>
              <w:right w:val="nil"/>
            </w:tcBorders>
            <w:shd w:val="clear" w:color="000000" w:fill="FFFFFF"/>
            <w:vAlign w:val="center"/>
          </w:tcPr>
          <w:p w14:paraId="240CE668"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1.5%</w:t>
            </w:r>
          </w:p>
        </w:tc>
      </w:tr>
      <w:tr w:rsidR="00913611" w:rsidRPr="00A52F38" w14:paraId="46B636E8" w14:textId="77777777" w:rsidTr="00823526">
        <w:trPr>
          <w:trHeight w:val="345"/>
        </w:trPr>
        <w:tc>
          <w:tcPr>
            <w:tcW w:w="5520" w:type="dxa"/>
            <w:tcBorders>
              <w:top w:val="nil"/>
              <w:left w:val="nil"/>
              <w:bottom w:val="nil"/>
              <w:right w:val="nil"/>
            </w:tcBorders>
            <w:shd w:val="clear" w:color="000000" w:fill="FFFFFF"/>
            <w:vAlign w:val="center"/>
          </w:tcPr>
          <w:p w14:paraId="19D63A77" w14:textId="77777777" w:rsidR="00913611" w:rsidRPr="00A52F38" w:rsidRDefault="00913611" w:rsidP="00955F81">
            <w:pPr>
              <w:rPr>
                <w:rFonts w:ascii="Arial" w:hAnsi="Arial" w:cs="Arial"/>
                <w:sz w:val="20"/>
                <w:lang w:eastAsia="en-GB"/>
              </w:rPr>
            </w:pPr>
            <w:r w:rsidRPr="00A52F38">
              <w:rPr>
                <w:rFonts w:ascii="Arial" w:hAnsi="Arial" w:cs="Arial"/>
                <w:sz w:val="20"/>
                <w:lang w:eastAsia="en-GB"/>
              </w:rPr>
              <w:t xml:space="preserve">EBITDA </w:t>
            </w:r>
          </w:p>
        </w:tc>
        <w:tc>
          <w:tcPr>
            <w:tcW w:w="1340" w:type="dxa"/>
            <w:tcBorders>
              <w:top w:val="nil"/>
              <w:left w:val="nil"/>
              <w:bottom w:val="nil"/>
              <w:right w:val="nil"/>
            </w:tcBorders>
            <w:shd w:val="clear" w:color="000000" w:fill="FFFFFF"/>
            <w:vAlign w:val="center"/>
          </w:tcPr>
          <w:p w14:paraId="4A8D99E2" w14:textId="77777777" w:rsidR="00913611" w:rsidRDefault="00913611" w:rsidP="00A82E09">
            <w:pPr>
              <w:jc w:val="right"/>
              <w:rPr>
                <w:rFonts w:ascii="Arial" w:hAnsi="Arial" w:cs="Arial"/>
                <w:sz w:val="20"/>
                <w:lang w:eastAsia="en-GB"/>
              </w:rPr>
            </w:pPr>
            <w:r>
              <w:rPr>
                <w:rFonts w:ascii="Arial" w:hAnsi="Arial" w:cs="Arial"/>
                <w:sz w:val="20"/>
                <w:lang w:eastAsia="en-GB"/>
              </w:rPr>
              <w:t>1</w:t>
            </w:r>
            <w:r w:rsidRPr="00A52F38">
              <w:rPr>
                <w:rFonts w:ascii="Arial" w:hAnsi="Arial" w:cs="Arial"/>
                <w:sz w:val="20"/>
                <w:lang w:eastAsia="en-GB"/>
              </w:rPr>
              <w:t>1</w:t>
            </w:r>
            <w:r>
              <w:rPr>
                <w:rFonts w:ascii="Arial" w:hAnsi="Arial" w:cs="Arial"/>
                <w:sz w:val="20"/>
                <w:lang w:eastAsia="en-GB"/>
              </w:rPr>
              <w:t>8</w:t>
            </w:r>
            <w:r w:rsidRPr="00A52F38">
              <w:rPr>
                <w:rFonts w:ascii="Arial" w:hAnsi="Arial" w:cs="Arial"/>
                <w:sz w:val="20"/>
                <w:lang w:eastAsia="en-GB"/>
              </w:rPr>
              <w:t>.</w:t>
            </w:r>
            <w:r>
              <w:rPr>
                <w:rFonts w:ascii="Arial" w:hAnsi="Arial" w:cs="Arial"/>
                <w:sz w:val="20"/>
                <w:lang w:eastAsia="en-GB"/>
              </w:rPr>
              <w:t>3</w:t>
            </w:r>
            <w:r w:rsidRPr="00A52F38">
              <w:rPr>
                <w:rFonts w:ascii="Arial" w:hAnsi="Arial" w:cs="Arial"/>
                <w:sz w:val="20"/>
                <w:lang w:eastAsia="en-GB"/>
              </w:rPr>
              <w:t xml:space="preserve"> </w:t>
            </w:r>
          </w:p>
        </w:tc>
        <w:tc>
          <w:tcPr>
            <w:tcW w:w="1340" w:type="dxa"/>
            <w:tcBorders>
              <w:top w:val="nil"/>
              <w:left w:val="nil"/>
              <w:bottom w:val="nil"/>
              <w:right w:val="nil"/>
            </w:tcBorders>
            <w:shd w:val="clear" w:color="000000" w:fill="FFFFFF"/>
            <w:vAlign w:val="center"/>
          </w:tcPr>
          <w:p w14:paraId="355544D9" w14:textId="77777777" w:rsidR="00913611" w:rsidRDefault="00913611" w:rsidP="00A82E09">
            <w:pPr>
              <w:jc w:val="right"/>
              <w:rPr>
                <w:rFonts w:ascii="Arial" w:hAnsi="Arial" w:cs="Arial"/>
                <w:sz w:val="20"/>
                <w:lang w:eastAsia="en-GB"/>
              </w:rPr>
            </w:pPr>
            <w:r>
              <w:rPr>
                <w:rFonts w:ascii="Arial" w:hAnsi="Arial" w:cs="Arial"/>
                <w:sz w:val="20"/>
                <w:lang w:eastAsia="en-GB"/>
              </w:rPr>
              <w:t>122</w:t>
            </w:r>
            <w:r w:rsidRPr="00A52F38">
              <w:rPr>
                <w:rFonts w:ascii="Arial" w:hAnsi="Arial" w:cs="Arial"/>
                <w:sz w:val="20"/>
                <w:lang w:eastAsia="en-GB"/>
              </w:rPr>
              <w:t>.</w:t>
            </w:r>
            <w:r>
              <w:rPr>
                <w:rFonts w:ascii="Arial" w:hAnsi="Arial" w:cs="Arial"/>
                <w:sz w:val="20"/>
                <w:lang w:eastAsia="en-GB"/>
              </w:rPr>
              <w:t>1</w:t>
            </w:r>
            <w:r w:rsidRPr="00A52F38">
              <w:rPr>
                <w:rFonts w:ascii="Arial" w:hAnsi="Arial" w:cs="Arial"/>
                <w:sz w:val="20"/>
                <w:lang w:eastAsia="en-GB"/>
              </w:rPr>
              <w:t xml:space="preserve"> </w:t>
            </w:r>
          </w:p>
        </w:tc>
        <w:tc>
          <w:tcPr>
            <w:tcW w:w="1340" w:type="dxa"/>
            <w:tcBorders>
              <w:top w:val="nil"/>
              <w:left w:val="nil"/>
              <w:bottom w:val="nil"/>
              <w:right w:val="nil"/>
            </w:tcBorders>
            <w:shd w:val="clear" w:color="000000" w:fill="FFFFFF"/>
            <w:vAlign w:val="center"/>
          </w:tcPr>
          <w:p w14:paraId="233F1931" w14:textId="77777777" w:rsidR="00913611" w:rsidRDefault="00913611" w:rsidP="00A82E09">
            <w:pPr>
              <w:jc w:val="right"/>
              <w:rPr>
                <w:rFonts w:ascii="Arial" w:hAnsi="Arial" w:cs="Arial"/>
                <w:sz w:val="20"/>
                <w:lang w:eastAsia="en-GB"/>
              </w:rPr>
            </w:pPr>
            <w:r w:rsidRPr="00A52F38">
              <w:rPr>
                <w:rFonts w:ascii="Arial" w:hAnsi="Arial" w:cs="Arial"/>
                <w:sz w:val="20"/>
                <w:lang w:eastAsia="en-GB"/>
              </w:rPr>
              <w:t>(</w:t>
            </w:r>
            <w:r>
              <w:rPr>
                <w:rFonts w:ascii="Arial" w:hAnsi="Arial" w:cs="Arial"/>
                <w:sz w:val="20"/>
                <w:lang w:eastAsia="en-GB"/>
              </w:rPr>
              <w:t>3</w:t>
            </w:r>
            <w:r w:rsidRPr="00A52F38">
              <w:rPr>
                <w:rFonts w:ascii="Arial" w:hAnsi="Arial" w:cs="Arial"/>
                <w:sz w:val="20"/>
                <w:lang w:eastAsia="en-GB"/>
              </w:rPr>
              <w:t>.</w:t>
            </w:r>
            <w:r>
              <w:rPr>
                <w:rFonts w:ascii="Arial" w:hAnsi="Arial" w:cs="Arial"/>
                <w:sz w:val="20"/>
                <w:lang w:eastAsia="en-GB"/>
              </w:rPr>
              <w:t>1</w:t>
            </w:r>
            <w:r w:rsidRPr="00A52F38">
              <w:rPr>
                <w:rFonts w:ascii="Arial" w:hAnsi="Arial" w:cs="Arial"/>
                <w:sz w:val="20"/>
                <w:lang w:eastAsia="en-GB"/>
              </w:rPr>
              <w:t>%)</w:t>
            </w:r>
          </w:p>
        </w:tc>
      </w:tr>
      <w:tr w:rsidR="00913611" w:rsidRPr="00B642B0" w14:paraId="7390E87A" w14:textId="77777777" w:rsidTr="00823526">
        <w:trPr>
          <w:trHeight w:val="315"/>
        </w:trPr>
        <w:tc>
          <w:tcPr>
            <w:tcW w:w="5520" w:type="dxa"/>
            <w:tcBorders>
              <w:top w:val="nil"/>
              <w:left w:val="nil"/>
              <w:bottom w:val="nil"/>
              <w:right w:val="nil"/>
            </w:tcBorders>
            <w:shd w:val="clear" w:color="000000" w:fill="FFFFFF"/>
            <w:vAlign w:val="center"/>
            <w:hideMark/>
          </w:tcPr>
          <w:p w14:paraId="57652E68" w14:textId="77777777" w:rsidR="00913611" w:rsidRPr="00B642B0" w:rsidRDefault="00913611" w:rsidP="00955F81">
            <w:pPr>
              <w:rPr>
                <w:rFonts w:ascii="Arial" w:hAnsi="Arial" w:cs="Arial"/>
                <w:sz w:val="20"/>
                <w:lang w:eastAsia="en-GB"/>
              </w:rPr>
            </w:pPr>
            <w:r w:rsidRPr="00B642B0">
              <w:rPr>
                <w:rFonts w:ascii="Arial" w:hAnsi="Arial" w:cs="Arial"/>
                <w:sz w:val="20"/>
                <w:lang w:eastAsia="en-GB"/>
              </w:rPr>
              <w:t>Company adjusted EPRA earnings</w:t>
            </w:r>
          </w:p>
        </w:tc>
        <w:tc>
          <w:tcPr>
            <w:tcW w:w="1340" w:type="dxa"/>
            <w:tcBorders>
              <w:top w:val="nil"/>
              <w:left w:val="nil"/>
              <w:bottom w:val="nil"/>
              <w:right w:val="nil"/>
            </w:tcBorders>
            <w:shd w:val="clear" w:color="000000" w:fill="FFFFFF"/>
            <w:vAlign w:val="center"/>
            <w:hideMark/>
          </w:tcPr>
          <w:p w14:paraId="5FB23A99"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 xml:space="preserve">84.4 </w:t>
            </w:r>
          </w:p>
        </w:tc>
        <w:tc>
          <w:tcPr>
            <w:tcW w:w="1340" w:type="dxa"/>
            <w:tcBorders>
              <w:top w:val="nil"/>
              <w:left w:val="nil"/>
              <w:bottom w:val="nil"/>
              <w:right w:val="nil"/>
            </w:tcBorders>
            <w:shd w:val="clear" w:color="000000" w:fill="FFFFFF"/>
            <w:vAlign w:val="center"/>
          </w:tcPr>
          <w:p w14:paraId="537EF239"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 xml:space="preserve">92.7 </w:t>
            </w:r>
          </w:p>
        </w:tc>
        <w:tc>
          <w:tcPr>
            <w:tcW w:w="1340" w:type="dxa"/>
            <w:tcBorders>
              <w:top w:val="nil"/>
              <w:left w:val="nil"/>
              <w:bottom w:val="nil"/>
              <w:right w:val="nil"/>
            </w:tcBorders>
            <w:shd w:val="clear" w:color="000000" w:fill="FFFFFF"/>
            <w:vAlign w:val="center"/>
            <w:hideMark/>
          </w:tcPr>
          <w:p w14:paraId="481F4B19" w14:textId="77777777" w:rsidR="00913611" w:rsidRPr="00B642B0" w:rsidRDefault="00913611" w:rsidP="00955F81">
            <w:pPr>
              <w:jc w:val="right"/>
              <w:rPr>
                <w:rFonts w:ascii="Arial" w:hAnsi="Arial" w:cs="Arial"/>
                <w:sz w:val="20"/>
                <w:lang w:eastAsia="en-GB"/>
              </w:rPr>
            </w:pPr>
            <w:r w:rsidRPr="00B642B0">
              <w:rPr>
                <w:rFonts w:ascii="Arial" w:hAnsi="Arial" w:cs="Arial"/>
                <w:sz w:val="20"/>
                <w:lang w:eastAsia="en-GB"/>
              </w:rPr>
              <w:t>(8.9%)</w:t>
            </w:r>
          </w:p>
        </w:tc>
      </w:tr>
      <w:tr w:rsidR="00913611" w:rsidRPr="00B642B0" w14:paraId="6B013D03" w14:textId="77777777" w:rsidTr="00240C72">
        <w:trPr>
          <w:trHeight w:val="315"/>
        </w:trPr>
        <w:tc>
          <w:tcPr>
            <w:tcW w:w="5520" w:type="dxa"/>
            <w:tcBorders>
              <w:top w:val="nil"/>
              <w:left w:val="nil"/>
              <w:bottom w:val="nil"/>
              <w:right w:val="nil"/>
            </w:tcBorders>
            <w:shd w:val="clear" w:color="000000" w:fill="FFFFFF"/>
            <w:vAlign w:val="center"/>
            <w:hideMark/>
          </w:tcPr>
          <w:p w14:paraId="19338DD4" w14:textId="77777777" w:rsidR="00913611" w:rsidRPr="00B642B0" w:rsidRDefault="00913611" w:rsidP="00955F81">
            <w:pPr>
              <w:rPr>
                <w:rFonts w:ascii="Arial" w:hAnsi="Arial" w:cs="Arial"/>
                <w:sz w:val="20"/>
                <w:lang w:eastAsia="en-GB"/>
              </w:rPr>
            </w:pPr>
            <w:r w:rsidRPr="00B642B0">
              <w:rPr>
                <w:rFonts w:ascii="Arial" w:hAnsi="Arial"/>
                <w:sz w:val="20"/>
              </w:rPr>
              <w:t>Company adj. EPRA earnings per share</w:t>
            </w:r>
          </w:p>
        </w:tc>
        <w:tc>
          <w:tcPr>
            <w:tcW w:w="1340" w:type="dxa"/>
            <w:tcBorders>
              <w:top w:val="nil"/>
              <w:left w:val="nil"/>
              <w:bottom w:val="nil"/>
              <w:right w:val="nil"/>
            </w:tcBorders>
            <w:shd w:val="clear" w:color="000000" w:fill="FFFFFF"/>
            <w:vAlign w:val="center"/>
            <w:hideMark/>
          </w:tcPr>
          <w:p w14:paraId="69D4BB14" w14:textId="77777777" w:rsidR="00913611" w:rsidRPr="00B642B0" w:rsidRDefault="00A434AA" w:rsidP="00A82E09">
            <w:pPr>
              <w:jc w:val="right"/>
              <w:rPr>
                <w:rFonts w:ascii="Arial" w:hAnsi="Arial" w:cs="Arial"/>
                <w:sz w:val="20"/>
                <w:lang w:eastAsia="en-GB"/>
              </w:rPr>
            </w:pPr>
            <w:r w:rsidRPr="00B642B0">
              <w:rPr>
                <w:rFonts w:ascii="Arial" w:hAnsi="Arial"/>
                <w:sz w:val="20"/>
              </w:rPr>
              <w:t>2</w:t>
            </w:r>
            <w:r>
              <w:rPr>
                <w:rFonts w:ascii="Arial" w:hAnsi="Arial"/>
                <w:sz w:val="20"/>
              </w:rPr>
              <w:t>2</w:t>
            </w:r>
            <w:r w:rsidR="00913611" w:rsidRPr="00B642B0">
              <w:rPr>
                <w:rFonts w:ascii="Arial" w:hAnsi="Arial"/>
                <w:sz w:val="20"/>
              </w:rPr>
              <w:t>.</w:t>
            </w:r>
            <w:r w:rsidR="00913611">
              <w:rPr>
                <w:rFonts w:ascii="Arial" w:hAnsi="Arial"/>
                <w:sz w:val="20"/>
              </w:rPr>
              <w:t>4</w:t>
            </w:r>
            <w:r w:rsidR="00913611" w:rsidRPr="00B642B0">
              <w:rPr>
                <w:rFonts w:ascii="Arial" w:hAnsi="Arial"/>
                <w:sz w:val="20"/>
              </w:rPr>
              <w:t xml:space="preserve"> </w:t>
            </w:r>
          </w:p>
        </w:tc>
        <w:tc>
          <w:tcPr>
            <w:tcW w:w="1340" w:type="dxa"/>
            <w:tcBorders>
              <w:top w:val="nil"/>
              <w:left w:val="nil"/>
              <w:bottom w:val="nil"/>
              <w:right w:val="nil"/>
            </w:tcBorders>
            <w:shd w:val="clear" w:color="000000" w:fill="FFFFFF"/>
            <w:vAlign w:val="center"/>
          </w:tcPr>
          <w:p w14:paraId="2119EFE5" w14:textId="77777777" w:rsidR="00913611" w:rsidRPr="00B642B0" w:rsidRDefault="00913611" w:rsidP="00A82E09">
            <w:pPr>
              <w:jc w:val="right"/>
              <w:rPr>
                <w:rFonts w:ascii="Arial" w:hAnsi="Arial" w:cs="Arial"/>
                <w:sz w:val="20"/>
                <w:lang w:eastAsia="en-GB"/>
              </w:rPr>
            </w:pPr>
            <w:r w:rsidRPr="00B642B0">
              <w:rPr>
                <w:rFonts w:ascii="Arial" w:hAnsi="Arial"/>
                <w:sz w:val="20"/>
              </w:rPr>
              <w:t>24.</w:t>
            </w:r>
            <w:r>
              <w:rPr>
                <w:rFonts w:ascii="Arial" w:hAnsi="Arial"/>
                <w:sz w:val="20"/>
              </w:rPr>
              <w:t>6</w:t>
            </w:r>
            <w:r w:rsidRPr="00B642B0">
              <w:rPr>
                <w:rFonts w:ascii="Arial" w:hAnsi="Arial"/>
                <w:sz w:val="20"/>
              </w:rPr>
              <w:t xml:space="preserve"> </w:t>
            </w:r>
          </w:p>
        </w:tc>
        <w:tc>
          <w:tcPr>
            <w:tcW w:w="1340" w:type="dxa"/>
            <w:tcBorders>
              <w:top w:val="nil"/>
              <w:left w:val="nil"/>
              <w:bottom w:val="nil"/>
              <w:right w:val="nil"/>
            </w:tcBorders>
            <w:shd w:val="clear" w:color="000000" w:fill="FFFFFF"/>
            <w:vAlign w:val="center"/>
            <w:hideMark/>
          </w:tcPr>
          <w:p w14:paraId="7B14E0CE" w14:textId="77777777" w:rsidR="00913611" w:rsidRPr="00B642B0" w:rsidRDefault="00913611" w:rsidP="00A82E09">
            <w:pPr>
              <w:jc w:val="right"/>
              <w:rPr>
                <w:rFonts w:ascii="Arial" w:hAnsi="Arial" w:cs="Arial"/>
                <w:sz w:val="20"/>
                <w:lang w:eastAsia="en-GB"/>
              </w:rPr>
            </w:pPr>
            <w:r w:rsidRPr="00B642B0">
              <w:rPr>
                <w:rFonts w:ascii="Arial" w:hAnsi="Arial"/>
                <w:sz w:val="20"/>
              </w:rPr>
              <w:t>(</w:t>
            </w:r>
            <w:r>
              <w:rPr>
                <w:rFonts w:ascii="Arial" w:hAnsi="Arial"/>
                <w:sz w:val="20"/>
              </w:rPr>
              <w:t>8.9</w:t>
            </w:r>
            <w:r w:rsidRPr="00B642B0">
              <w:rPr>
                <w:rFonts w:ascii="Arial" w:hAnsi="Arial"/>
                <w:sz w:val="20"/>
              </w:rPr>
              <w:t>%)</w:t>
            </w:r>
          </w:p>
        </w:tc>
      </w:tr>
      <w:tr w:rsidR="00913611" w:rsidRPr="00B642B0" w14:paraId="1B1DEB12" w14:textId="77777777" w:rsidTr="00240C72">
        <w:trPr>
          <w:trHeight w:val="315"/>
        </w:trPr>
        <w:tc>
          <w:tcPr>
            <w:tcW w:w="5520" w:type="dxa"/>
            <w:tcBorders>
              <w:top w:val="nil"/>
              <w:left w:val="nil"/>
              <w:bottom w:val="nil"/>
              <w:right w:val="nil"/>
            </w:tcBorders>
            <w:shd w:val="clear" w:color="000000" w:fill="FFFFFF"/>
            <w:vAlign w:val="center"/>
            <w:hideMark/>
          </w:tcPr>
          <w:p w14:paraId="298E97CC" w14:textId="77777777" w:rsidR="00913611" w:rsidRPr="00B642B0" w:rsidRDefault="00913611" w:rsidP="00955F81">
            <w:pPr>
              <w:rPr>
                <w:rFonts w:ascii="Arial" w:hAnsi="Arial"/>
                <w:sz w:val="20"/>
              </w:rPr>
            </w:pPr>
            <w:r w:rsidRPr="00B642B0">
              <w:rPr>
                <w:rFonts w:ascii="Arial" w:hAnsi="Arial"/>
                <w:sz w:val="20"/>
              </w:rPr>
              <w:t>Net LTV (%)</w:t>
            </w:r>
          </w:p>
        </w:tc>
        <w:tc>
          <w:tcPr>
            <w:tcW w:w="1340" w:type="dxa"/>
            <w:tcBorders>
              <w:top w:val="nil"/>
              <w:left w:val="nil"/>
              <w:bottom w:val="nil"/>
              <w:right w:val="nil"/>
            </w:tcBorders>
            <w:shd w:val="clear" w:color="000000" w:fill="FFFFFF"/>
            <w:vAlign w:val="center"/>
            <w:hideMark/>
          </w:tcPr>
          <w:p w14:paraId="5E6242C0" w14:textId="77777777" w:rsidR="00913611" w:rsidRPr="00B642B0" w:rsidRDefault="00913611" w:rsidP="00955F81">
            <w:pPr>
              <w:jc w:val="right"/>
              <w:rPr>
                <w:rFonts w:ascii="Arial" w:hAnsi="Arial"/>
                <w:sz w:val="20"/>
              </w:rPr>
            </w:pPr>
            <w:r w:rsidRPr="00B642B0">
              <w:rPr>
                <w:rFonts w:ascii="Arial" w:hAnsi="Arial"/>
                <w:sz w:val="20"/>
              </w:rPr>
              <w:t xml:space="preserve">31.3 </w:t>
            </w:r>
          </w:p>
        </w:tc>
        <w:tc>
          <w:tcPr>
            <w:tcW w:w="1340" w:type="dxa"/>
            <w:tcBorders>
              <w:top w:val="nil"/>
              <w:left w:val="nil"/>
              <w:bottom w:val="nil"/>
              <w:right w:val="nil"/>
            </w:tcBorders>
            <w:shd w:val="clear" w:color="000000" w:fill="FFFFFF"/>
            <w:vAlign w:val="center"/>
          </w:tcPr>
          <w:p w14:paraId="7AA7B130" w14:textId="77777777" w:rsidR="00913611" w:rsidRPr="00B642B0" w:rsidRDefault="00913611" w:rsidP="00955F81">
            <w:pPr>
              <w:jc w:val="right"/>
              <w:rPr>
                <w:rFonts w:ascii="Arial" w:hAnsi="Arial"/>
                <w:sz w:val="20"/>
              </w:rPr>
            </w:pPr>
            <w:r w:rsidRPr="00B642B0">
              <w:rPr>
                <w:rFonts w:ascii="Arial" w:hAnsi="Arial"/>
                <w:sz w:val="20"/>
              </w:rPr>
              <w:t xml:space="preserve">30.7 </w:t>
            </w:r>
          </w:p>
        </w:tc>
        <w:tc>
          <w:tcPr>
            <w:tcW w:w="1340" w:type="dxa"/>
            <w:tcBorders>
              <w:top w:val="nil"/>
              <w:left w:val="nil"/>
              <w:bottom w:val="nil"/>
              <w:right w:val="nil"/>
            </w:tcBorders>
            <w:shd w:val="clear" w:color="000000" w:fill="FFFFFF"/>
            <w:vAlign w:val="center"/>
            <w:hideMark/>
          </w:tcPr>
          <w:p w14:paraId="0E457ECB" w14:textId="77777777" w:rsidR="00913611" w:rsidRPr="00B642B0" w:rsidRDefault="00913611" w:rsidP="00955F81">
            <w:pPr>
              <w:jc w:val="right"/>
              <w:rPr>
                <w:rFonts w:ascii="Arial" w:hAnsi="Arial"/>
                <w:sz w:val="20"/>
              </w:rPr>
            </w:pPr>
            <w:r w:rsidRPr="00B642B0">
              <w:rPr>
                <w:rFonts w:ascii="Arial" w:hAnsi="Arial"/>
                <w:sz w:val="20"/>
              </w:rPr>
              <w:t>0.6%</w:t>
            </w:r>
          </w:p>
        </w:tc>
      </w:tr>
      <w:tr w:rsidR="00913611" w:rsidRPr="00B642B0" w14:paraId="414B2938" w14:textId="77777777" w:rsidTr="00240C72">
        <w:trPr>
          <w:trHeight w:val="315"/>
        </w:trPr>
        <w:tc>
          <w:tcPr>
            <w:tcW w:w="5520" w:type="dxa"/>
            <w:tcBorders>
              <w:top w:val="nil"/>
              <w:left w:val="nil"/>
              <w:bottom w:val="nil"/>
              <w:right w:val="nil"/>
            </w:tcBorders>
            <w:shd w:val="clear" w:color="000000" w:fill="FFFFFF"/>
            <w:vAlign w:val="center"/>
            <w:hideMark/>
          </w:tcPr>
          <w:p w14:paraId="65CFC34A" w14:textId="77777777" w:rsidR="00913611" w:rsidRPr="00B642B0" w:rsidRDefault="00913611" w:rsidP="00955F81">
            <w:pPr>
              <w:rPr>
                <w:rFonts w:ascii="Arial" w:hAnsi="Arial"/>
                <w:sz w:val="20"/>
              </w:rPr>
            </w:pPr>
            <w:r w:rsidRPr="00B642B0">
              <w:rPr>
                <w:rFonts w:ascii="Arial" w:hAnsi="Arial"/>
                <w:sz w:val="20"/>
              </w:rPr>
              <w:t>EPRA NAV per share</w:t>
            </w:r>
            <w:r>
              <w:rPr>
                <w:rFonts w:ascii="Arial" w:hAnsi="Arial"/>
                <w:sz w:val="20"/>
              </w:rPr>
              <w:t xml:space="preserve"> </w:t>
            </w:r>
            <w:r>
              <w:rPr>
                <w:sz w:val="14"/>
                <w:szCs w:val="14"/>
              </w:rPr>
              <w:t>*</w:t>
            </w:r>
            <w:r>
              <w:rPr>
                <w:rFonts w:ascii="Arial" w:hAnsi="Arial"/>
                <w:sz w:val="20"/>
              </w:rPr>
              <w:t xml:space="preserve"> </w:t>
            </w:r>
          </w:p>
        </w:tc>
        <w:tc>
          <w:tcPr>
            <w:tcW w:w="1340" w:type="dxa"/>
            <w:tcBorders>
              <w:top w:val="nil"/>
              <w:left w:val="nil"/>
              <w:bottom w:val="nil"/>
              <w:right w:val="nil"/>
            </w:tcBorders>
            <w:shd w:val="clear" w:color="000000" w:fill="FFFFFF"/>
            <w:vAlign w:val="center"/>
            <w:hideMark/>
          </w:tcPr>
          <w:p w14:paraId="6E83DF19" w14:textId="77777777" w:rsidR="00913611" w:rsidRPr="00B642B0" w:rsidRDefault="00913611" w:rsidP="00955F81">
            <w:pPr>
              <w:jc w:val="right"/>
              <w:rPr>
                <w:rFonts w:ascii="Arial" w:hAnsi="Arial"/>
                <w:sz w:val="20"/>
              </w:rPr>
            </w:pPr>
            <w:r w:rsidRPr="00B642B0">
              <w:rPr>
                <w:rFonts w:ascii="Arial" w:hAnsi="Arial"/>
                <w:sz w:val="20"/>
              </w:rPr>
              <w:t>5.05</w:t>
            </w:r>
          </w:p>
        </w:tc>
        <w:tc>
          <w:tcPr>
            <w:tcW w:w="1340" w:type="dxa"/>
            <w:tcBorders>
              <w:top w:val="nil"/>
              <w:left w:val="nil"/>
              <w:bottom w:val="nil"/>
              <w:right w:val="nil"/>
            </w:tcBorders>
            <w:shd w:val="clear" w:color="000000" w:fill="FFFFFF"/>
            <w:vAlign w:val="center"/>
          </w:tcPr>
          <w:p w14:paraId="5412AD87" w14:textId="77777777" w:rsidR="00913611" w:rsidRPr="00B642B0" w:rsidRDefault="00913611" w:rsidP="00955F81">
            <w:pPr>
              <w:jc w:val="right"/>
              <w:rPr>
                <w:rFonts w:ascii="Arial" w:hAnsi="Arial"/>
                <w:sz w:val="20"/>
              </w:rPr>
            </w:pPr>
            <w:r w:rsidRPr="00B642B0">
              <w:rPr>
                <w:rFonts w:ascii="Arial" w:hAnsi="Arial"/>
                <w:sz w:val="20"/>
              </w:rPr>
              <w:t>5.29</w:t>
            </w:r>
          </w:p>
        </w:tc>
        <w:tc>
          <w:tcPr>
            <w:tcW w:w="1340" w:type="dxa"/>
            <w:tcBorders>
              <w:top w:val="nil"/>
              <w:left w:val="nil"/>
              <w:bottom w:val="nil"/>
              <w:right w:val="nil"/>
            </w:tcBorders>
            <w:shd w:val="clear" w:color="000000" w:fill="FFFFFF"/>
            <w:vAlign w:val="center"/>
            <w:hideMark/>
          </w:tcPr>
          <w:p w14:paraId="6B98002A" w14:textId="77777777" w:rsidR="00913611" w:rsidRPr="00B642B0" w:rsidRDefault="00913611" w:rsidP="00955F81">
            <w:pPr>
              <w:jc w:val="right"/>
              <w:rPr>
                <w:rFonts w:ascii="Arial" w:hAnsi="Arial"/>
                <w:sz w:val="20"/>
              </w:rPr>
            </w:pPr>
            <w:r w:rsidRPr="00B642B0">
              <w:rPr>
                <w:rFonts w:ascii="Arial" w:hAnsi="Arial"/>
                <w:sz w:val="20"/>
              </w:rPr>
              <w:t>(4.5%)</w:t>
            </w:r>
          </w:p>
        </w:tc>
      </w:tr>
    </w:tbl>
    <w:p w14:paraId="7B791ACA" w14:textId="77777777" w:rsidR="00240C72" w:rsidRDefault="00240C72" w:rsidP="00274BB5">
      <w:pPr>
        <w:pStyle w:val="BodyA"/>
        <w:spacing w:line="360" w:lineRule="exact"/>
        <w:jc w:val="both"/>
        <w:rPr>
          <w:rFonts w:ascii="Calibri" w:eastAsia="Calibri" w:hAnsi="Calibri" w:cs="Calibri"/>
          <w:color w:val="3B3838"/>
          <w:sz w:val="22"/>
          <w:szCs w:val="22"/>
          <w:u w:color="3B3838"/>
        </w:rPr>
      </w:pPr>
    </w:p>
    <w:p w14:paraId="7005A23A" w14:textId="77777777" w:rsidR="00240C72" w:rsidRDefault="00240C72" w:rsidP="00274BB5">
      <w:pPr>
        <w:pStyle w:val="BodyA"/>
        <w:spacing w:line="360" w:lineRule="exact"/>
        <w:jc w:val="both"/>
        <w:rPr>
          <w:rFonts w:ascii="Calibri" w:eastAsia="Calibri" w:hAnsi="Calibri" w:cs="Calibri"/>
          <w:color w:val="3B3838"/>
          <w:sz w:val="22"/>
          <w:szCs w:val="22"/>
          <w:u w:color="3B3838"/>
        </w:rPr>
      </w:pPr>
    </w:p>
    <w:p w14:paraId="232D8C2D" w14:textId="77777777" w:rsidR="00913611" w:rsidRPr="00E6125A" w:rsidRDefault="00913611" w:rsidP="00913611">
      <w:pPr>
        <w:rPr>
          <w:rFonts w:ascii="Arial" w:eastAsia="Helvetica Neue" w:hAnsi="Arial" w:cs="Arial"/>
          <w:color w:val="000000"/>
          <w:sz w:val="20"/>
          <w:szCs w:val="22"/>
          <w:lang w:bidi="he-IL"/>
        </w:rPr>
      </w:pPr>
      <w:r w:rsidRPr="00E6125A">
        <w:rPr>
          <w:rFonts w:ascii="Arial" w:eastAsia="Helvetica Neue" w:hAnsi="Arial" w:cs="Arial"/>
          <w:color w:val="000000"/>
          <w:sz w:val="20"/>
          <w:szCs w:val="22"/>
          <w:lang w:bidi="he-IL"/>
        </w:rPr>
        <w:t>* Including €cents 14 special dividend paid in Mar.18 and €cents 20.25 regular dividend paid YTD</w:t>
      </w:r>
    </w:p>
    <w:p w14:paraId="25674CA0" w14:textId="66FBF6E5" w:rsidR="0034460C" w:rsidRDefault="0034460C">
      <w:pPr>
        <w:rPr>
          <w:rFonts w:ascii="Calibri" w:eastAsia="Calibri" w:hAnsi="Calibri" w:cs="Calibri"/>
          <w:color w:val="3B3838"/>
          <w:sz w:val="22"/>
          <w:szCs w:val="22"/>
          <w:u w:color="3B3838"/>
          <w:lang w:bidi="he-IL"/>
        </w:rPr>
      </w:pPr>
    </w:p>
    <w:p w14:paraId="6C61007D" w14:textId="77777777" w:rsidR="00A75022" w:rsidRPr="00916CD0" w:rsidRDefault="00610A6E">
      <w:pPr>
        <w:pStyle w:val="BodyA"/>
        <w:spacing w:line="360" w:lineRule="auto"/>
        <w:jc w:val="both"/>
        <w:rPr>
          <w:rFonts w:ascii="Arial" w:eastAsia="Times New Roman" w:hAnsi="Arial" w:cs="Arial"/>
          <w:b/>
          <w:color w:val="auto"/>
          <w:sz w:val="20"/>
          <w:szCs w:val="20"/>
          <w:lang w:eastAsia="de-DE" w:bidi="ar-SA"/>
        </w:rPr>
      </w:pPr>
      <w:r w:rsidRPr="00916CD0">
        <w:rPr>
          <w:rFonts w:ascii="Arial" w:eastAsia="Times New Roman" w:hAnsi="Arial" w:cs="Arial"/>
          <w:b/>
          <w:color w:val="auto"/>
          <w:sz w:val="20"/>
          <w:szCs w:val="20"/>
          <w:lang w:eastAsia="de-DE" w:bidi="ar-SA"/>
        </w:rPr>
        <w:t>Liad Barzilai, Chief Executive Officer of Atrium Group, commented:</w:t>
      </w:r>
    </w:p>
    <w:p w14:paraId="605CB5EB" w14:textId="1A370C2A" w:rsidR="0082064D" w:rsidRPr="00136BE6" w:rsidRDefault="006B3680">
      <w:pPr>
        <w:pStyle w:val="BodyA"/>
        <w:spacing w:line="360" w:lineRule="exact"/>
        <w:jc w:val="both"/>
        <w:rPr>
          <w:rFonts w:ascii="Arial" w:eastAsia="Times New Roman" w:hAnsi="Arial" w:cs="Arial"/>
          <w:color w:val="auto"/>
          <w:sz w:val="20"/>
          <w:szCs w:val="20"/>
          <w:lang w:eastAsia="de-DE" w:bidi="ar-SA"/>
        </w:rPr>
      </w:pPr>
      <w:bookmarkStart w:id="3" w:name="_Hlk529212959"/>
      <w:r w:rsidRPr="00136BE6">
        <w:rPr>
          <w:rFonts w:ascii="Arial" w:eastAsia="Times New Roman" w:hAnsi="Arial" w:cs="Arial"/>
          <w:color w:val="auto"/>
          <w:sz w:val="20"/>
          <w:szCs w:val="20"/>
          <w:lang w:eastAsia="de-DE" w:bidi="ar-SA"/>
        </w:rPr>
        <w:t>“</w:t>
      </w:r>
      <w:r w:rsidR="00127A75" w:rsidRPr="00136BE6">
        <w:rPr>
          <w:rFonts w:ascii="Arial" w:eastAsia="Times New Roman" w:hAnsi="Arial" w:cs="Arial"/>
          <w:color w:val="auto"/>
          <w:sz w:val="20"/>
          <w:szCs w:val="20"/>
          <w:lang w:eastAsia="de-DE" w:bidi="ar-SA"/>
        </w:rPr>
        <w:t xml:space="preserve">We have </w:t>
      </w:r>
      <w:r w:rsidR="006115E7">
        <w:rPr>
          <w:rFonts w:ascii="Arial" w:eastAsia="Times New Roman" w:hAnsi="Arial" w:cs="Arial"/>
          <w:color w:val="auto"/>
          <w:sz w:val="20"/>
          <w:szCs w:val="20"/>
          <w:lang w:eastAsia="de-DE" w:bidi="ar-SA"/>
        </w:rPr>
        <w:t xml:space="preserve">continued to grow </w:t>
      </w:r>
      <w:r w:rsidR="00AF4102">
        <w:rPr>
          <w:rFonts w:ascii="Arial" w:eastAsia="Times New Roman" w:hAnsi="Arial" w:cs="Arial"/>
          <w:color w:val="auto"/>
          <w:sz w:val="20"/>
          <w:szCs w:val="20"/>
          <w:lang w:eastAsia="de-DE" w:bidi="ar-SA"/>
        </w:rPr>
        <w:t>like-</w:t>
      </w:r>
      <w:r w:rsidR="006115E7">
        <w:rPr>
          <w:rFonts w:ascii="Arial" w:eastAsia="Times New Roman" w:hAnsi="Arial" w:cs="Arial"/>
          <w:color w:val="auto"/>
          <w:sz w:val="20"/>
          <w:szCs w:val="20"/>
          <w:lang w:eastAsia="de-DE" w:bidi="ar-SA"/>
        </w:rPr>
        <w:t>for</w:t>
      </w:r>
      <w:r w:rsidR="00AF4102">
        <w:rPr>
          <w:rFonts w:ascii="Arial" w:eastAsia="Times New Roman" w:hAnsi="Arial" w:cs="Arial"/>
          <w:color w:val="auto"/>
          <w:sz w:val="20"/>
          <w:szCs w:val="20"/>
          <w:lang w:eastAsia="de-DE" w:bidi="ar-SA"/>
        </w:rPr>
        <w:t>-</w:t>
      </w:r>
      <w:r w:rsidR="006115E7">
        <w:rPr>
          <w:rFonts w:ascii="Arial" w:eastAsia="Times New Roman" w:hAnsi="Arial" w:cs="Arial"/>
          <w:color w:val="auto"/>
          <w:sz w:val="20"/>
          <w:szCs w:val="20"/>
          <w:lang w:eastAsia="de-DE" w:bidi="ar-SA"/>
        </w:rPr>
        <w:t xml:space="preserve">like rental income during the </w:t>
      </w:r>
      <w:r w:rsidR="006115E7" w:rsidRPr="00136BE6">
        <w:rPr>
          <w:rFonts w:ascii="Arial" w:eastAsia="Times New Roman" w:hAnsi="Arial" w:cs="Arial"/>
          <w:color w:val="auto"/>
          <w:sz w:val="20"/>
          <w:szCs w:val="20"/>
          <w:lang w:eastAsia="de-DE" w:bidi="ar-SA"/>
        </w:rPr>
        <w:t>year to date</w:t>
      </w:r>
      <w:r w:rsidR="001D1F8A">
        <w:rPr>
          <w:rFonts w:ascii="Arial" w:eastAsia="Times New Roman" w:hAnsi="Arial" w:cs="Arial"/>
          <w:color w:val="auto"/>
          <w:sz w:val="20"/>
          <w:szCs w:val="20"/>
          <w:lang w:eastAsia="de-DE" w:bidi="ar-SA"/>
        </w:rPr>
        <w:t>,</w:t>
      </w:r>
      <w:r w:rsidR="006115E7" w:rsidRPr="00136BE6">
        <w:rPr>
          <w:rFonts w:ascii="Arial" w:eastAsia="Times New Roman" w:hAnsi="Arial" w:cs="Arial"/>
          <w:color w:val="auto"/>
          <w:sz w:val="20"/>
          <w:szCs w:val="20"/>
          <w:lang w:eastAsia="de-DE" w:bidi="ar-SA"/>
        </w:rPr>
        <w:t xml:space="preserve"> </w:t>
      </w:r>
      <w:r w:rsidR="00963203">
        <w:rPr>
          <w:rFonts w:ascii="Arial" w:eastAsia="Times New Roman" w:hAnsi="Arial" w:cs="Arial"/>
          <w:color w:val="auto"/>
          <w:sz w:val="20"/>
          <w:szCs w:val="20"/>
          <w:lang w:eastAsia="de-DE" w:bidi="ar-SA"/>
        </w:rPr>
        <w:t xml:space="preserve">while maintaining high levels of </w:t>
      </w:r>
      <w:r w:rsidR="00127A75" w:rsidRPr="00136BE6">
        <w:rPr>
          <w:rFonts w:ascii="Arial" w:eastAsia="Times New Roman" w:hAnsi="Arial" w:cs="Arial"/>
          <w:color w:val="auto"/>
          <w:sz w:val="20"/>
          <w:szCs w:val="20"/>
          <w:lang w:eastAsia="de-DE" w:bidi="ar-SA"/>
        </w:rPr>
        <w:t>activ</w:t>
      </w:r>
      <w:r w:rsidR="00963203">
        <w:rPr>
          <w:rFonts w:ascii="Arial" w:eastAsia="Times New Roman" w:hAnsi="Arial" w:cs="Arial"/>
          <w:color w:val="auto"/>
          <w:sz w:val="20"/>
          <w:szCs w:val="20"/>
          <w:lang w:eastAsia="de-DE" w:bidi="ar-SA"/>
        </w:rPr>
        <w:t xml:space="preserve">ity </w:t>
      </w:r>
      <w:r w:rsidR="00127A75" w:rsidRPr="00136BE6">
        <w:rPr>
          <w:rFonts w:ascii="Arial" w:eastAsia="Times New Roman" w:hAnsi="Arial" w:cs="Arial"/>
          <w:color w:val="auto"/>
          <w:sz w:val="20"/>
          <w:szCs w:val="20"/>
          <w:lang w:eastAsia="de-DE" w:bidi="ar-SA"/>
        </w:rPr>
        <w:t>and productiv</w:t>
      </w:r>
      <w:r w:rsidR="00963203">
        <w:rPr>
          <w:rFonts w:ascii="Arial" w:eastAsia="Times New Roman" w:hAnsi="Arial" w:cs="Arial"/>
          <w:color w:val="auto"/>
          <w:sz w:val="20"/>
          <w:szCs w:val="20"/>
          <w:lang w:eastAsia="de-DE" w:bidi="ar-SA"/>
        </w:rPr>
        <w:t>ity</w:t>
      </w:r>
      <w:r w:rsidR="00127A75" w:rsidRPr="00136BE6">
        <w:rPr>
          <w:rFonts w:ascii="Arial" w:eastAsia="Times New Roman" w:hAnsi="Arial" w:cs="Arial"/>
          <w:color w:val="auto"/>
          <w:sz w:val="20"/>
          <w:szCs w:val="20"/>
          <w:lang w:eastAsia="de-DE" w:bidi="ar-SA"/>
        </w:rPr>
        <w:t xml:space="preserve"> in terms of improving our portfolio</w:t>
      </w:r>
      <w:r w:rsidR="00AB72A1">
        <w:rPr>
          <w:rFonts w:ascii="Arial" w:eastAsia="Times New Roman" w:hAnsi="Arial" w:cs="Arial"/>
          <w:color w:val="auto"/>
          <w:sz w:val="20"/>
          <w:szCs w:val="20"/>
          <w:lang w:eastAsia="de-DE" w:bidi="ar-SA"/>
        </w:rPr>
        <w:t xml:space="preserve"> quality</w:t>
      </w:r>
      <w:r w:rsidR="00127A75" w:rsidRPr="00136BE6">
        <w:rPr>
          <w:rFonts w:ascii="Arial" w:eastAsia="Times New Roman" w:hAnsi="Arial" w:cs="Arial"/>
          <w:color w:val="auto"/>
          <w:sz w:val="20"/>
          <w:szCs w:val="20"/>
          <w:lang w:eastAsia="de-DE" w:bidi="ar-SA"/>
        </w:rPr>
        <w:t xml:space="preserve">. This has been achieved through a combination of </w:t>
      </w:r>
      <w:r w:rsidR="008F2F5B" w:rsidRPr="00136BE6">
        <w:rPr>
          <w:rFonts w:ascii="Arial" w:eastAsia="Times New Roman" w:hAnsi="Arial" w:cs="Arial"/>
          <w:color w:val="auto"/>
          <w:sz w:val="20"/>
          <w:szCs w:val="20"/>
          <w:lang w:eastAsia="de-DE" w:bidi="ar-SA"/>
        </w:rPr>
        <w:t>divesting non-core assets</w:t>
      </w:r>
      <w:r w:rsidR="00127A75" w:rsidRPr="00136BE6">
        <w:rPr>
          <w:rFonts w:ascii="Arial" w:eastAsia="Times New Roman" w:hAnsi="Arial" w:cs="Arial"/>
          <w:color w:val="auto"/>
          <w:sz w:val="20"/>
          <w:szCs w:val="20"/>
          <w:lang w:eastAsia="de-DE" w:bidi="ar-SA"/>
        </w:rPr>
        <w:t>, progressing</w:t>
      </w:r>
      <w:r w:rsidR="00FD0FBF">
        <w:rPr>
          <w:rFonts w:ascii="Arial" w:eastAsia="Times New Roman" w:hAnsi="Arial" w:cs="Arial"/>
          <w:color w:val="auto"/>
          <w:sz w:val="20"/>
          <w:szCs w:val="20"/>
          <w:lang w:eastAsia="de-DE" w:bidi="ar-SA"/>
        </w:rPr>
        <w:t xml:space="preserve"> with</w:t>
      </w:r>
      <w:r w:rsidR="00127A75" w:rsidRPr="00136BE6">
        <w:rPr>
          <w:rFonts w:ascii="Arial" w:eastAsia="Times New Roman" w:hAnsi="Arial" w:cs="Arial"/>
          <w:color w:val="auto"/>
          <w:sz w:val="20"/>
          <w:szCs w:val="20"/>
          <w:lang w:eastAsia="de-DE" w:bidi="ar-SA"/>
        </w:rPr>
        <w:t xml:space="preserve"> the extension and improvement projects at our flagship Warsaw assets and </w:t>
      </w:r>
      <w:r w:rsidR="006115E7">
        <w:rPr>
          <w:rFonts w:ascii="Arial" w:eastAsia="Times New Roman" w:hAnsi="Arial" w:cs="Arial"/>
          <w:color w:val="auto"/>
          <w:sz w:val="20"/>
          <w:szCs w:val="20"/>
          <w:lang w:eastAsia="de-DE" w:bidi="ar-SA"/>
        </w:rPr>
        <w:t xml:space="preserve">by </w:t>
      </w:r>
      <w:r w:rsidR="00127A75" w:rsidRPr="00136BE6">
        <w:rPr>
          <w:rFonts w:ascii="Arial" w:eastAsia="Times New Roman" w:hAnsi="Arial" w:cs="Arial"/>
          <w:color w:val="auto"/>
          <w:sz w:val="20"/>
          <w:szCs w:val="20"/>
          <w:lang w:eastAsia="de-DE" w:bidi="ar-SA"/>
        </w:rPr>
        <w:t xml:space="preserve">adding a </w:t>
      </w:r>
      <w:r w:rsidR="000353D5">
        <w:rPr>
          <w:rFonts w:ascii="Arial" w:eastAsia="Times New Roman" w:hAnsi="Arial" w:cs="Arial"/>
          <w:color w:val="auto"/>
          <w:sz w:val="20"/>
          <w:szCs w:val="20"/>
          <w:lang w:eastAsia="de-DE" w:bidi="ar-SA"/>
        </w:rPr>
        <w:t>prime</w:t>
      </w:r>
      <w:r w:rsidR="00127A75" w:rsidRPr="00136BE6">
        <w:rPr>
          <w:rFonts w:ascii="Arial" w:eastAsia="Times New Roman" w:hAnsi="Arial" w:cs="Arial"/>
          <w:color w:val="auto"/>
          <w:sz w:val="20"/>
          <w:szCs w:val="20"/>
          <w:lang w:eastAsia="de-DE" w:bidi="ar-SA"/>
        </w:rPr>
        <w:t xml:space="preserve">, </w:t>
      </w:r>
      <w:r w:rsidR="0082064D" w:rsidRPr="00136BE6">
        <w:rPr>
          <w:rFonts w:ascii="Arial" w:eastAsia="Times New Roman" w:hAnsi="Arial" w:cs="Arial"/>
          <w:color w:val="auto"/>
          <w:sz w:val="20"/>
          <w:szCs w:val="20"/>
          <w:lang w:eastAsia="de-DE" w:bidi="ar-SA"/>
        </w:rPr>
        <w:t>we</w:t>
      </w:r>
      <w:r w:rsidR="00127A75" w:rsidRPr="00136BE6">
        <w:rPr>
          <w:rFonts w:ascii="Arial" w:eastAsia="Times New Roman" w:hAnsi="Arial" w:cs="Arial"/>
          <w:color w:val="auto"/>
          <w:sz w:val="20"/>
          <w:szCs w:val="20"/>
          <w:lang w:eastAsia="de-DE" w:bidi="ar-SA"/>
        </w:rPr>
        <w:t>ll established</w:t>
      </w:r>
      <w:r w:rsidR="006115E7">
        <w:rPr>
          <w:rFonts w:ascii="Arial" w:eastAsia="Times New Roman" w:hAnsi="Arial" w:cs="Arial"/>
          <w:color w:val="auto"/>
          <w:sz w:val="20"/>
          <w:szCs w:val="20"/>
          <w:lang w:eastAsia="de-DE" w:bidi="ar-SA"/>
        </w:rPr>
        <w:t>,</w:t>
      </w:r>
      <w:r w:rsidR="00127A75" w:rsidRPr="00136BE6">
        <w:rPr>
          <w:rFonts w:ascii="Arial" w:eastAsia="Times New Roman" w:hAnsi="Arial" w:cs="Arial"/>
          <w:color w:val="auto"/>
          <w:sz w:val="20"/>
          <w:szCs w:val="20"/>
          <w:lang w:eastAsia="de-DE" w:bidi="ar-SA"/>
        </w:rPr>
        <w:t xml:space="preserve"> high</w:t>
      </w:r>
      <w:r w:rsidR="00AF4102">
        <w:rPr>
          <w:rFonts w:ascii="Arial" w:eastAsia="Times New Roman" w:hAnsi="Arial" w:cs="Arial"/>
          <w:color w:val="auto"/>
          <w:sz w:val="20"/>
          <w:szCs w:val="20"/>
          <w:lang w:eastAsia="de-DE" w:bidi="ar-SA"/>
        </w:rPr>
        <w:t xml:space="preserve"> </w:t>
      </w:r>
      <w:r w:rsidR="00127A75" w:rsidRPr="00136BE6">
        <w:rPr>
          <w:rFonts w:ascii="Arial" w:eastAsia="Times New Roman" w:hAnsi="Arial" w:cs="Arial"/>
          <w:color w:val="auto"/>
          <w:sz w:val="20"/>
          <w:szCs w:val="20"/>
          <w:lang w:eastAsia="de-DE" w:bidi="ar-SA"/>
        </w:rPr>
        <w:t xml:space="preserve">footfall </w:t>
      </w:r>
      <w:r w:rsidR="00F92D26">
        <w:rPr>
          <w:rFonts w:ascii="Arial" w:eastAsia="Times New Roman" w:hAnsi="Arial" w:cs="Arial"/>
          <w:color w:val="auto"/>
          <w:sz w:val="20"/>
          <w:szCs w:val="20"/>
          <w:lang w:eastAsia="de-DE" w:bidi="ar-SA"/>
        </w:rPr>
        <w:t>retail</w:t>
      </w:r>
      <w:r w:rsidR="00F92D26" w:rsidRPr="00136BE6">
        <w:rPr>
          <w:rFonts w:ascii="Arial" w:eastAsia="Times New Roman" w:hAnsi="Arial" w:cs="Arial"/>
          <w:color w:val="auto"/>
          <w:sz w:val="20"/>
          <w:szCs w:val="20"/>
          <w:lang w:eastAsia="de-DE" w:bidi="ar-SA"/>
        </w:rPr>
        <w:t xml:space="preserve"> </w:t>
      </w:r>
      <w:r w:rsidR="00127A75" w:rsidRPr="00136BE6">
        <w:rPr>
          <w:rFonts w:ascii="Arial" w:eastAsia="Times New Roman" w:hAnsi="Arial" w:cs="Arial"/>
          <w:color w:val="auto"/>
          <w:sz w:val="20"/>
          <w:szCs w:val="20"/>
          <w:lang w:eastAsia="de-DE" w:bidi="ar-SA"/>
        </w:rPr>
        <w:t xml:space="preserve">asset to our portfolio, through the acquisition of the War </w:t>
      </w:r>
      <w:proofErr w:type="spellStart"/>
      <w:r w:rsidR="00127A75" w:rsidRPr="00136BE6">
        <w:rPr>
          <w:rFonts w:ascii="Arial" w:eastAsia="Times New Roman" w:hAnsi="Arial" w:cs="Arial"/>
          <w:color w:val="auto"/>
          <w:sz w:val="20"/>
          <w:szCs w:val="20"/>
          <w:lang w:eastAsia="de-DE" w:bidi="ar-SA"/>
        </w:rPr>
        <w:t>Sawa</w:t>
      </w:r>
      <w:proofErr w:type="spellEnd"/>
      <w:r w:rsidR="00127A75" w:rsidRPr="00136BE6">
        <w:rPr>
          <w:rFonts w:ascii="Arial" w:eastAsia="Times New Roman" w:hAnsi="Arial" w:cs="Arial"/>
          <w:color w:val="auto"/>
          <w:sz w:val="20"/>
          <w:szCs w:val="20"/>
          <w:lang w:eastAsia="de-DE" w:bidi="ar-SA"/>
        </w:rPr>
        <w:t xml:space="preserve"> Junior</w:t>
      </w:r>
      <w:r w:rsidR="0082064D" w:rsidRPr="00136BE6">
        <w:rPr>
          <w:rFonts w:ascii="Arial" w:eastAsia="Times New Roman" w:hAnsi="Arial" w:cs="Arial"/>
          <w:color w:val="auto"/>
          <w:sz w:val="20"/>
          <w:szCs w:val="20"/>
          <w:lang w:eastAsia="de-DE" w:bidi="ar-SA"/>
        </w:rPr>
        <w:t xml:space="preserve"> </w:t>
      </w:r>
      <w:proofErr w:type="spellStart"/>
      <w:r w:rsidR="0082064D" w:rsidRPr="00136BE6">
        <w:rPr>
          <w:rFonts w:ascii="Arial" w:eastAsia="Times New Roman" w:hAnsi="Arial" w:cs="Arial"/>
          <w:color w:val="auto"/>
          <w:sz w:val="20"/>
          <w:szCs w:val="20"/>
          <w:lang w:eastAsia="de-DE" w:bidi="ar-SA"/>
        </w:rPr>
        <w:t>centre</w:t>
      </w:r>
      <w:proofErr w:type="spellEnd"/>
      <w:r w:rsidR="0082064D" w:rsidRPr="00136BE6">
        <w:rPr>
          <w:rFonts w:ascii="Arial" w:eastAsia="Times New Roman" w:hAnsi="Arial" w:cs="Arial"/>
          <w:color w:val="auto"/>
          <w:sz w:val="20"/>
          <w:szCs w:val="20"/>
          <w:lang w:eastAsia="de-DE" w:bidi="ar-SA"/>
        </w:rPr>
        <w:t xml:space="preserve"> in Warsaw. While the </w:t>
      </w:r>
      <w:r w:rsidR="006115E7">
        <w:rPr>
          <w:rFonts w:ascii="Arial" w:eastAsia="Times New Roman" w:hAnsi="Arial" w:cs="Arial"/>
          <w:color w:val="auto"/>
          <w:sz w:val="20"/>
          <w:szCs w:val="20"/>
          <w:lang w:eastAsia="de-DE" w:bidi="ar-SA"/>
        </w:rPr>
        <w:t xml:space="preserve">asset </w:t>
      </w:r>
      <w:r w:rsidR="0082064D" w:rsidRPr="00136BE6">
        <w:rPr>
          <w:rFonts w:ascii="Arial" w:eastAsia="Times New Roman" w:hAnsi="Arial" w:cs="Arial"/>
          <w:color w:val="auto"/>
          <w:sz w:val="20"/>
          <w:szCs w:val="20"/>
          <w:lang w:eastAsia="de-DE" w:bidi="ar-SA"/>
        </w:rPr>
        <w:t xml:space="preserve">sales </w:t>
      </w:r>
      <w:r w:rsidR="006115E7">
        <w:rPr>
          <w:rFonts w:ascii="Arial" w:eastAsia="Times New Roman" w:hAnsi="Arial" w:cs="Arial"/>
          <w:color w:val="auto"/>
          <w:sz w:val="20"/>
          <w:szCs w:val="20"/>
          <w:lang w:eastAsia="de-DE" w:bidi="ar-SA"/>
        </w:rPr>
        <w:t xml:space="preserve">undertaken </w:t>
      </w:r>
      <w:r w:rsidR="00E91780">
        <w:rPr>
          <w:rFonts w:ascii="Arial" w:eastAsia="Times New Roman" w:hAnsi="Arial" w:cs="Arial"/>
          <w:color w:val="auto"/>
          <w:sz w:val="20"/>
          <w:szCs w:val="20"/>
          <w:lang w:eastAsia="de-DE" w:bidi="ar-SA"/>
        </w:rPr>
        <w:t>decreased the</w:t>
      </w:r>
      <w:r w:rsidR="0082064D" w:rsidRPr="00136BE6">
        <w:rPr>
          <w:rFonts w:ascii="Arial" w:eastAsia="Times New Roman" w:hAnsi="Arial" w:cs="Arial"/>
          <w:color w:val="auto"/>
          <w:sz w:val="20"/>
          <w:szCs w:val="20"/>
          <w:lang w:eastAsia="de-DE" w:bidi="ar-SA"/>
        </w:rPr>
        <w:t xml:space="preserve"> total rental income for the first three quarters, this significant acquisition and the various openings within our redevelop</w:t>
      </w:r>
      <w:r w:rsidR="00AF4102">
        <w:rPr>
          <w:rFonts w:ascii="Arial" w:eastAsia="Times New Roman" w:hAnsi="Arial" w:cs="Arial"/>
          <w:color w:val="auto"/>
          <w:sz w:val="20"/>
          <w:szCs w:val="20"/>
          <w:lang w:eastAsia="de-DE" w:bidi="ar-SA"/>
        </w:rPr>
        <w:t>ment</w:t>
      </w:r>
      <w:r w:rsidR="0082064D" w:rsidRPr="00136BE6">
        <w:rPr>
          <w:rFonts w:ascii="Arial" w:eastAsia="Times New Roman" w:hAnsi="Arial" w:cs="Arial"/>
          <w:color w:val="auto"/>
          <w:sz w:val="20"/>
          <w:szCs w:val="20"/>
          <w:lang w:eastAsia="de-DE" w:bidi="ar-SA"/>
        </w:rPr>
        <w:t xml:space="preserve"> </w:t>
      </w:r>
      <w:proofErr w:type="spellStart"/>
      <w:r w:rsidR="0082064D" w:rsidRPr="00136BE6">
        <w:rPr>
          <w:rFonts w:ascii="Arial" w:eastAsia="Times New Roman" w:hAnsi="Arial" w:cs="Arial"/>
          <w:color w:val="auto"/>
          <w:sz w:val="20"/>
          <w:szCs w:val="20"/>
          <w:lang w:eastAsia="de-DE" w:bidi="ar-SA"/>
        </w:rPr>
        <w:t>programme</w:t>
      </w:r>
      <w:proofErr w:type="spellEnd"/>
      <w:r w:rsidR="0082064D" w:rsidRPr="00136BE6">
        <w:rPr>
          <w:rFonts w:ascii="Arial" w:eastAsia="Times New Roman" w:hAnsi="Arial" w:cs="Arial"/>
          <w:color w:val="auto"/>
          <w:sz w:val="20"/>
          <w:szCs w:val="20"/>
          <w:lang w:eastAsia="de-DE" w:bidi="ar-SA"/>
        </w:rPr>
        <w:t xml:space="preserve"> will </w:t>
      </w:r>
      <w:r w:rsidR="00FA4960" w:rsidRPr="00FA4960">
        <w:rPr>
          <w:rFonts w:ascii="Arial" w:eastAsia="Times New Roman" w:hAnsi="Arial" w:cs="Arial"/>
          <w:color w:val="auto"/>
          <w:sz w:val="20"/>
          <w:szCs w:val="20"/>
          <w:lang w:eastAsia="de-DE" w:bidi="ar-SA"/>
        </w:rPr>
        <w:t xml:space="preserve">partially offset </w:t>
      </w:r>
      <w:r w:rsidR="0082064D" w:rsidRPr="00136BE6">
        <w:rPr>
          <w:rFonts w:ascii="Arial" w:eastAsia="Times New Roman" w:hAnsi="Arial" w:cs="Arial"/>
          <w:color w:val="auto"/>
          <w:sz w:val="20"/>
          <w:szCs w:val="20"/>
          <w:lang w:eastAsia="de-DE" w:bidi="ar-SA"/>
        </w:rPr>
        <w:t xml:space="preserve">that income with higher quality revenues </w:t>
      </w:r>
      <w:r w:rsidR="00887384">
        <w:rPr>
          <w:rFonts w:ascii="Arial" w:eastAsia="Times New Roman" w:hAnsi="Arial" w:cs="Arial"/>
          <w:color w:val="auto"/>
          <w:sz w:val="20"/>
          <w:szCs w:val="20"/>
          <w:lang w:eastAsia="de-DE" w:bidi="ar-SA"/>
        </w:rPr>
        <w:t xml:space="preserve">going forward </w:t>
      </w:r>
      <w:r w:rsidR="004D3715">
        <w:rPr>
          <w:rFonts w:ascii="Arial" w:eastAsia="Times New Roman" w:hAnsi="Arial" w:cs="Arial"/>
          <w:color w:val="auto"/>
          <w:sz w:val="20"/>
          <w:szCs w:val="20"/>
          <w:lang w:eastAsia="de-DE" w:bidi="ar-SA"/>
        </w:rPr>
        <w:t xml:space="preserve">and </w:t>
      </w:r>
      <w:r w:rsidR="005744AA">
        <w:rPr>
          <w:rFonts w:ascii="Arial" w:eastAsia="Times New Roman" w:hAnsi="Arial" w:cs="Arial"/>
          <w:color w:val="auto"/>
          <w:sz w:val="20"/>
          <w:szCs w:val="20"/>
          <w:lang w:eastAsia="de-DE" w:bidi="ar-SA"/>
        </w:rPr>
        <w:t xml:space="preserve">will </w:t>
      </w:r>
      <w:r w:rsidR="004D3715">
        <w:rPr>
          <w:rFonts w:ascii="Arial" w:eastAsia="Times New Roman" w:hAnsi="Arial" w:cs="Arial"/>
          <w:color w:val="auto"/>
          <w:sz w:val="20"/>
          <w:szCs w:val="20"/>
          <w:lang w:eastAsia="de-DE" w:bidi="ar-SA"/>
        </w:rPr>
        <w:t>additionally</w:t>
      </w:r>
      <w:r w:rsidR="004D3715" w:rsidRPr="00136BE6">
        <w:rPr>
          <w:rFonts w:ascii="Arial" w:eastAsia="Times New Roman" w:hAnsi="Arial" w:cs="Arial"/>
          <w:color w:val="auto"/>
          <w:sz w:val="20"/>
          <w:szCs w:val="20"/>
          <w:lang w:eastAsia="de-DE" w:bidi="ar-SA"/>
        </w:rPr>
        <w:t xml:space="preserve"> </w:t>
      </w:r>
      <w:r w:rsidR="0082064D" w:rsidRPr="00136BE6">
        <w:rPr>
          <w:rFonts w:ascii="Arial" w:eastAsia="Times New Roman" w:hAnsi="Arial" w:cs="Arial"/>
          <w:color w:val="auto"/>
          <w:sz w:val="20"/>
          <w:szCs w:val="20"/>
          <w:lang w:eastAsia="de-DE" w:bidi="ar-SA"/>
        </w:rPr>
        <w:t>provide us with a portfolio of dominant retail assets that is well placed to deliver longer term income and capital growth.</w:t>
      </w:r>
    </w:p>
    <w:bookmarkEnd w:id="3"/>
    <w:p w14:paraId="5FBBD19C" w14:textId="77777777" w:rsidR="00A75022" w:rsidRPr="00916CD0" w:rsidRDefault="00A75022" w:rsidP="0082064D">
      <w:pPr>
        <w:pStyle w:val="BodyA"/>
        <w:spacing w:line="360" w:lineRule="auto"/>
        <w:rPr>
          <w:rFonts w:ascii="Calibri" w:eastAsia="Calibri" w:hAnsi="Calibri" w:cs="Calibri"/>
          <w:color w:val="auto"/>
          <w:sz w:val="28"/>
          <w:szCs w:val="28"/>
          <w:u w:color="C45911"/>
        </w:rPr>
      </w:pPr>
    </w:p>
    <w:p w14:paraId="43653453" w14:textId="77777777" w:rsidR="0082064D" w:rsidRPr="00916CD0" w:rsidRDefault="0082064D" w:rsidP="00916CD0">
      <w:pPr>
        <w:pStyle w:val="BodyA"/>
        <w:spacing w:line="360" w:lineRule="exact"/>
        <w:jc w:val="both"/>
        <w:rPr>
          <w:rFonts w:ascii="Arial" w:eastAsia="Times New Roman" w:hAnsi="Arial" w:cs="Arial"/>
          <w:color w:val="auto"/>
          <w:sz w:val="20"/>
          <w:szCs w:val="20"/>
          <w:lang w:eastAsia="de-DE" w:bidi="ar-SA"/>
        </w:rPr>
      </w:pPr>
      <w:r>
        <w:rPr>
          <w:rFonts w:ascii="Arial" w:eastAsia="Times New Roman" w:hAnsi="Arial" w:cs="Arial"/>
          <w:sz w:val="20"/>
          <w:szCs w:val="20"/>
          <w:lang w:eastAsia="de-DE"/>
        </w:rPr>
        <w:t>“</w:t>
      </w:r>
      <w:r w:rsidR="00296ABC" w:rsidRPr="00916CD0">
        <w:rPr>
          <w:rFonts w:ascii="Arial" w:eastAsia="Times New Roman" w:hAnsi="Arial" w:cs="Arial"/>
          <w:color w:val="auto"/>
          <w:sz w:val="20"/>
          <w:szCs w:val="20"/>
          <w:lang w:eastAsia="de-DE" w:bidi="ar-SA"/>
        </w:rPr>
        <w:t>T</w:t>
      </w:r>
      <w:r w:rsidR="008F4923" w:rsidRPr="00916CD0">
        <w:rPr>
          <w:rFonts w:ascii="Arial" w:eastAsia="Times New Roman" w:hAnsi="Arial" w:cs="Arial"/>
          <w:color w:val="auto"/>
          <w:sz w:val="20"/>
          <w:szCs w:val="20"/>
          <w:lang w:eastAsia="de-DE" w:bidi="ar-SA"/>
        </w:rPr>
        <w:t xml:space="preserve">he prospects </w:t>
      </w:r>
      <w:r w:rsidRPr="00916CD0">
        <w:rPr>
          <w:rFonts w:ascii="Arial" w:eastAsia="Times New Roman" w:hAnsi="Arial" w:cs="Arial"/>
          <w:color w:val="auto"/>
          <w:sz w:val="20"/>
          <w:szCs w:val="20"/>
          <w:lang w:eastAsia="de-DE" w:bidi="ar-SA"/>
        </w:rPr>
        <w:t xml:space="preserve">for our </w:t>
      </w:r>
      <w:r w:rsidR="008F4923" w:rsidRPr="00916CD0">
        <w:rPr>
          <w:rFonts w:ascii="Arial" w:eastAsia="Times New Roman" w:hAnsi="Arial" w:cs="Arial"/>
          <w:color w:val="auto"/>
          <w:sz w:val="20"/>
          <w:szCs w:val="20"/>
          <w:lang w:eastAsia="de-DE" w:bidi="ar-SA"/>
        </w:rPr>
        <w:t xml:space="preserve">core </w:t>
      </w:r>
      <w:r w:rsidRPr="00916CD0">
        <w:rPr>
          <w:rFonts w:ascii="Arial" w:eastAsia="Times New Roman" w:hAnsi="Arial" w:cs="Arial"/>
          <w:color w:val="auto"/>
          <w:sz w:val="20"/>
          <w:szCs w:val="20"/>
          <w:lang w:eastAsia="de-DE" w:bidi="ar-SA"/>
        </w:rPr>
        <w:t>markets</w:t>
      </w:r>
      <w:r w:rsidR="008F4923" w:rsidRPr="00916CD0">
        <w:rPr>
          <w:rFonts w:ascii="Arial" w:eastAsia="Times New Roman" w:hAnsi="Arial" w:cs="Arial"/>
          <w:color w:val="auto"/>
          <w:sz w:val="20"/>
          <w:szCs w:val="20"/>
          <w:lang w:eastAsia="de-DE" w:bidi="ar-SA"/>
        </w:rPr>
        <w:t xml:space="preserve"> of</w:t>
      </w:r>
      <w:r w:rsidRPr="00916CD0">
        <w:rPr>
          <w:rFonts w:ascii="Arial" w:eastAsia="Times New Roman" w:hAnsi="Arial" w:cs="Arial"/>
          <w:color w:val="auto"/>
          <w:sz w:val="20"/>
          <w:szCs w:val="20"/>
          <w:lang w:eastAsia="de-DE" w:bidi="ar-SA"/>
        </w:rPr>
        <w:t xml:space="preserve"> Poland and the Czech Republic </w:t>
      </w:r>
      <w:r w:rsidR="008F4923" w:rsidRPr="00916CD0">
        <w:rPr>
          <w:rFonts w:ascii="Arial" w:eastAsia="Times New Roman" w:hAnsi="Arial" w:cs="Arial"/>
          <w:color w:val="auto"/>
          <w:sz w:val="20"/>
          <w:szCs w:val="20"/>
          <w:lang w:eastAsia="de-DE" w:bidi="ar-SA"/>
        </w:rPr>
        <w:t xml:space="preserve">remain strong, offering a combination of </w:t>
      </w:r>
      <w:r w:rsidRPr="00916CD0">
        <w:rPr>
          <w:rFonts w:ascii="Arial" w:eastAsia="Times New Roman" w:hAnsi="Arial" w:cs="Arial"/>
          <w:color w:val="auto"/>
          <w:sz w:val="20"/>
          <w:szCs w:val="20"/>
          <w:lang w:eastAsia="de-DE" w:bidi="ar-SA"/>
        </w:rPr>
        <w:t xml:space="preserve">forecast GDP growth </w:t>
      </w:r>
      <w:r w:rsidR="008F4923" w:rsidRPr="00916CD0">
        <w:rPr>
          <w:rFonts w:ascii="Arial" w:eastAsia="Times New Roman" w:hAnsi="Arial" w:cs="Arial"/>
          <w:color w:val="auto"/>
          <w:sz w:val="20"/>
          <w:szCs w:val="20"/>
          <w:lang w:eastAsia="de-DE" w:bidi="ar-SA"/>
        </w:rPr>
        <w:t>with</w:t>
      </w:r>
      <w:r w:rsidRPr="00916CD0">
        <w:rPr>
          <w:rFonts w:ascii="Arial" w:eastAsia="Times New Roman" w:hAnsi="Arial" w:cs="Arial"/>
          <w:color w:val="auto"/>
          <w:sz w:val="20"/>
          <w:szCs w:val="20"/>
          <w:lang w:eastAsia="de-DE" w:bidi="ar-SA"/>
        </w:rPr>
        <w:t xml:space="preserve"> falling unemployment and increasing retail sales. </w:t>
      </w:r>
      <w:r w:rsidR="00136BE6" w:rsidRPr="00916CD0">
        <w:rPr>
          <w:rFonts w:ascii="Arial" w:eastAsia="Times New Roman" w:hAnsi="Arial" w:cs="Arial"/>
          <w:color w:val="auto"/>
          <w:sz w:val="20"/>
          <w:szCs w:val="20"/>
          <w:lang w:eastAsia="de-DE" w:bidi="ar-SA"/>
        </w:rPr>
        <w:t xml:space="preserve">This positive macro outlook together with the solid portfolio progress we continue to make underpins my confidence in the Company’s </w:t>
      </w:r>
      <w:proofErr w:type="gramStart"/>
      <w:r w:rsidR="00136BE6" w:rsidRPr="00916CD0">
        <w:rPr>
          <w:rFonts w:ascii="Arial" w:eastAsia="Times New Roman" w:hAnsi="Arial" w:cs="Arial"/>
          <w:color w:val="auto"/>
          <w:sz w:val="20"/>
          <w:szCs w:val="20"/>
          <w:lang w:eastAsia="de-DE" w:bidi="ar-SA"/>
        </w:rPr>
        <w:t>future prospects</w:t>
      </w:r>
      <w:proofErr w:type="gramEnd"/>
      <w:r w:rsidR="00136BE6" w:rsidRPr="00916CD0">
        <w:rPr>
          <w:rFonts w:ascii="Arial" w:eastAsia="Times New Roman" w:hAnsi="Arial" w:cs="Arial"/>
          <w:color w:val="auto"/>
          <w:sz w:val="20"/>
          <w:szCs w:val="20"/>
          <w:lang w:eastAsia="de-DE" w:bidi="ar-SA"/>
        </w:rPr>
        <w:t>.”</w:t>
      </w:r>
    </w:p>
    <w:p w14:paraId="12B9AE74" w14:textId="77777777" w:rsidR="0034460C" w:rsidRPr="00916CD0" w:rsidRDefault="0034460C" w:rsidP="00916CD0">
      <w:pPr>
        <w:pStyle w:val="BodyA"/>
        <w:spacing w:line="360" w:lineRule="exact"/>
        <w:jc w:val="both"/>
        <w:rPr>
          <w:rFonts w:ascii="Arial" w:eastAsia="Times New Roman" w:hAnsi="Arial" w:cs="Arial"/>
          <w:color w:val="auto"/>
          <w:sz w:val="20"/>
          <w:szCs w:val="20"/>
          <w:lang w:eastAsia="de-DE" w:bidi="ar-SA"/>
        </w:rPr>
      </w:pPr>
    </w:p>
    <w:p w14:paraId="78665A00" w14:textId="77777777" w:rsidR="00224C12" w:rsidRPr="00916CD0" w:rsidRDefault="00224C12" w:rsidP="00916CD0">
      <w:pPr>
        <w:pStyle w:val="BodyA"/>
        <w:spacing w:line="360" w:lineRule="exact"/>
        <w:jc w:val="both"/>
        <w:rPr>
          <w:rFonts w:ascii="Arial" w:eastAsia="Times New Roman" w:hAnsi="Arial" w:cs="Arial"/>
          <w:color w:val="auto"/>
          <w:sz w:val="20"/>
          <w:szCs w:val="20"/>
          <w:lang w:eastAsia="de-DE" w:bidi="ar-SA"/>
        </w:rPr>
      </w:pPr>
      <w:r w:rsidRPr="00916CD0">
        <w:rPr>
          <w:rFonts w:ascii="Arial" w:eastAsia="Times New Roman" w:hAnsi="Arial" w:cs="Arial"/>
          <w:color w:val="auto"/>
          <w:sz w:val="20"/>
          <w:szCs w:val="20"/>
          <w:lang w:eastAsia="de-DE" w:bidi="ar-SA"/>
        </w:rPr>
        <w:t xml:space="preserve">Further information can be found on the Company’s website www.aere.com or for Analysts: </w:t>
      </w:r>
    </w:p>
    <w:p w14:paraId="0997A53E" w14:textId="18E634D0" w:rsidR="00224C12" w:rsidRPr="00916CD0" w:rsidRDefault="00224C12" w:rsidP="00916CD0">
      <w:pPr>
        <w:pStyle w:val="BodyA"/>
        <w:spacing w:line="360" w:lineRule="exact"/>
        <w:jc w:val="both"/>
        <w:rPr>
          <w:rFonts w:ascii="Arial" w:eastAsia="Times New Roman" w:hAnsi="Arial" w:cs="Arial"/>
          <w:color w:val="auto"/>
          <w:sz w:val="20"/>
          <w:szCs w:val="20"/>
          <w:lang w:eastAsia="de-DE" w:bidi="ar-SA"/>
        </w:rPr>
      </w:pPr>
      <w:r w:rsidRPr="00916CD0">
        <w:rPr>
          <w:rFonts w:ascii="Arial" w:eastAsia="Times New Roman" w:hAnsi="Arial" w:cs="Arial"/>
          <w:color w:val="auto"/>
          <w:sz w:val="20"/>
          <w:szCs w:val="20"/>
          <w:lang w:eastAsia="de-DE" w:bidi="ar-SA"/>
        </w:rPr>
        <w:t xml:space="preserve">Molly Katz: mkatz@aere.com </w:t>
      </w:r>
    </w:p>
    <w:p w14:paraId="0575B119" w14:textId="77777777" w:rsidR="00916CD0" w:rsidRDefault="00916CD0" w:rsidP="00916CD0">
      <w:pPr>
        <w:pStyle w:val="BodyA"/>
        <w:spacing w:line="360" w:lineRule="exact"/>
        <w:jc w:val="both"/>
        <w:rPr>
          <w:rFonts w:ascii="Arial" w:eastAsia="Times New Roman" w:hAnsi="Arial" w:cs="Arial"/>
          <w:color w:val="auto"/>
          <w:sz w:val="20"/>
          <w:szCs w:val="20"/>
          <w:lang w:eastAsia="de-DE" w:bidi="ar-SA"/>
        </w:rPr>
      </w:pPr>
    </w:p>
    <w:p w14:paraId="19AAFD17" w14:textId="4C8E2D89" w:rsidR="00224C12" w:rsidRPr="00916CD0" w:rsidRDefault="00224C12" w:rsidP="00916CD0">
      <w:pPr>
        <w:pStyle w:val="BodyA"/>
        <w:spacing w:line="360" w:lineRule="exact"/>
        <w:jc w:val="both"/>
        <w:rPr>
          <w:rFonts w:ascii="Arial" w:eastAsia="Times New Roman" w:hAnsi="Arial" w:cs="Arial"/>
          <w:color w:val="auto"/>
          <w:sz w:val="20"/>
          <w:szCs w:val="20"/>
          <w:lang w:eastAsia="de-DE" w:bidi="ar-SA"/>
        </w:rPr>
      </w:pPr>
      <w:r w:rsidRPr="00916CD0">
        <w:rPr>
          <w:rFonts w:ascii="Arial" w:eastAsia="Times New Roman" w:hAnsi="Arial" w:cs="Arial"/>
          <w:color w:val="auto"/>
          <w:sz w:val="20"/>
          <w:szCs w:val="20"/>
          <w:lang w:eastAsia="de-DE" w:bidi="ar-SA"/>
        </w:rPr>
        <w:t xml:space="preserve">Press &amp; Shareholders: </w:t>
      </w:r>
    </w:p>
    <w:p w14:paraId="4FBC0C5C" w14:textId="77777777" w:rsidR="00A75022" w:rsidRPr="00916CD0" w:rsidRDefault="006B3680" w:rsidP="00916CD0">
      <w:pPr>
        <w:pStyle w:val="BodyA"/>
        <w:spacing w:line="360" w:lineRule="exact"/>
        <w:jc w:val="both"/>
        <w:rPr>
          <w:rFonts w:ascii="Arial" w:eastAsia="Times New Roman" w:hAnsi="Arial" w:cs="Arial"/>
          <w:color w:val="auto"/>
          <w:sz w:val="20"/>
          <w:szCs w:val="20"/>
          <w:lang w:eastAsia="de-DE" w:bidi="ar-SA"/>
        </w:rPr>
      </w:pPr>
      <w:r w:rsidRPr="00916CD0">
        <w:rPr>
          <w:rFonts w:ascii="Arial" w:eastAsia="Times New Roman" w:hAnsi="Arial" w:cs="Arial"/>
          <w:color w:val="auto"/>
          <w:sz w:val="20"/>
          <w:szCs w:val="20"/>
          <w:lang w:eastAsia="de-DE" w:bidi="ar-SA"/>
        </w:rPr>
        <w:t>FTI Consulting Inc.:  +44 (0)20 3727 1000</w:t>
      </w:r>
    </w:p>
    <w:p w14:paraId="7C32F751" w14:textId="77777777" w:rsidR="00A75022" w:rsidRPr="00916CD0" w:rsidRDefault="006B3680" w:rsidP="00916CD0">
      <w:pPr>
        <w:pStyle w:val="BodyA"/>
        <w:spacing w:line="360" w:lineRule="exact"/>
        <w:jc w:val="both"/>
        <w:rPr>
          <w:rFonts w:ascii="Arial" w:eastAsia="Times New Roman" w:hAnsi="Arial" w:cs="Arial"/>
          <w:color w:val="auto"/>
          <w:sz w:val="20"/>
          <w:szCs w:val="20"/>
          <w:lang w:eastAsia="de-DE" w:bidi="ar-SA"/>
        </w:rPr>
      </w:pPr>
      <w:r w:rsidRPr="00916CD0">
        <w:rPr>
          <w:rFonts w:ascii="Arial" w:eastAsia="Times New Roman" w:hAnsi="Arial" w:cs="Arial"/>
          <w:color w:val="auto"/>
          <w:sz w:val="20"/>
          <w:szCs w:val="20"/>
          <w:lang w:eastAsia="de-DE" w:bidi="ar-SA"/>
        </w:rPr>
        <w:lastRenderedPageBreak/>
        <w:t xml:space="preserve">Richard Sunderland: </w:t>
      </w:r>
      <w:hyperlink r:id="rId8" w:history="1">
        <w:r w:rsidR="00224C12" w:rsidRPr="00916CD0">
          <w:rPr>
            <w:rFonts w:ascii="Arial" w:eastAsia="Times New Roman" w:hAnsi="Arial" w:cs="Arial"/>
            <w:color w:val="auto"/>
            <w:sz w:val="20"/>
            <w:szCs w:val="20"/>
            <w:lang w:eastAsia="de-DE" w:bidi="ar-SA"/>
          </w:rPr>
          <w:t>atrium@fticonsulting.com</w:t>
        </w:r>
      </w:hyperlink>
    </w:p>
    <w:p w14:paraId="1B7EB53F" w14:textId="77777777" w:rsidR="00916CD0" w:rsidRDefault="00916CD0" w:rsidP="00916CD0">
      <w:pPr>
        <w:pStyle w:val="BodyA"/>
        <w:spacing w:line="360" w:lineRule="exact"/>
        <w:jc w:val="both"/>
        <w:rPr>
          <w:rFonts w:ascii="Arial" w:eastAsia="Times New Roman" w:hAnsi="Arial" w:cs="Arial"/>
          <w:color w:val="auto"/>
          <w:sz w:val="20"/>
          <w:szCs w:val="20"/>
          <w:lang w:eastAsia="de-DE" w:bidi="ar-SA"/>
        </w:rPr>
      </w:pPr>
    </w:p>
    <w:p w14:paraId="476BD56A" w14:textId="0F17B4C5" w:rsidR="00A75022" w:rsidRPr="00916CD0" w:rsidRDefault="006B3680" w:rsidP="00916CD0">
      <w:pPr>
        <w:pStyle w:val="BodyA"/>
        <w:spacing w:line="360" w:lineRule="exact"/>
        <w:jc w:val="both"/>
        <w:rPr>
          <w:rFonts w:ascii="Arial" w:eastAsia="Times New Roman" w:hAnsi="Arial" w:cs="Arial"/>
          <w:b/>
          <w:color w:val="auto"/>
          <w:sz w:val="20"/>
          <w:szCs w:val="20"/>
          <w:lang w:eastAsia="de-DE" w:bidi="ar-SA"/>
        </w:rPr>
      </w:pPr>
      <w:r w:rsidRPr="00916CD0">
        <w:rPr>
          <w:rFonts w:ascii="Arial" w:eastAsia="Times New Roman" w:hAnsi="Arial" w:cs="Arial"/>
          <w:b/>
          <w:color w:val="auto"/>
          <w:sz w:val="20"/>
          <w:szCs w:val="20"/>
          <w:lang w:eastAsia="de-DE" w:bidi="ar-SA"/>
        </w:rPr>
        <w:t xml:space="preserve">About Atrium European Real Estate </w:t>
      </w:r>
    </w:p>
    <w:p w14:paraId="0EE7310E" w14:textId="77777777" w:rsidR="00A75022" w:rsidRDefault="00610A6E" w:rsidP="00274BB5">
      <w:pPr>
        <w:pStyle w:val="BodyA"/>
        <w:spacing w:line="360" w:lineRule="exact"/>
        <w:jc w:val="both"/>
        <w:rPr>
          <w:rFonts w:ascii="Calibri" w:eastAsia="Calibri" w:hAnsi="Calibri" w:cs="Calibri"/>
          <w:color w:val="3B3838"/>
          <w:sz w:val="22"/>
          <w:szCs w:val="22"/>
          <w:u w:color="3B3838"/>
        </w:rPr>
      </w:pPr>
      <w:r w:rsidRPr="00916CD0">
        <w:rPr>
          <w:rFonts w:ascii="Arial" w:eastAsia="Times New Roman" w:hAnsi="Arial" w:cs="Arial"/>
          <w:color w:val="auto"/>
          <w:sz w:val="20"/>
          <w:szCs w:val="20"/>
          <w:lang w:eastAsia="de-DE" w:bidi="ar-SA"/>
        </w:rPr>
        <w:t xml:space="preserve">The Company is established as a closed-end investment company incorporated and domiciled in Jersey and regulated by the Jersey Financial Services Commission as a certified Jersey listed </w:t>
      </w:r>
      <w:proofErr w:type="gramStart"/>
      <w:r w:rsidRPr="00916CD0">
        <w:rPr>
          <w:rFonts w:ascii="Arial" w:eastAsia="Times New Roman" w:hAnsi="Arial" w:cs="Arial"/>
          <w:color w:val="auto"/>
          <w:sz w:val="20"/>
          <w:szCs w:val="20"/>
          <w:lang w:eastAsia="de-DE" w:bidi="ar-SA"/>
        </w:rPr>
        <w:t>fund, and</w:t>
      </w:r>
      <w:proofErr w:type="gramEnd"/>
      <w:r w:rsidRPr="00916CD0">
        <w:rPr>
          <w:rFonts w:ascii="Arial" w:eastAsia="Times New Roman" w:hAnsi="Arial" w:cs="Arial"/>
          <w:color w:val="auto"/>
          <w:sz w:val="20"/>
          <w:szCs w:val="20"/>
          <w:lang w:eastAsia="de-DE" w:bidi="ar-SA"/>
        </w:rPr>
        <w:t xml:space="preserve"> is listed on both the Vienna Stock Exchange and the Euronext Amsterdam Stock Exchange. Appropriate professional advice should be sought in the case of any uncertainty as to the scope of the regulatory requirements that apply by reason of the above regulation and listings. All investments are subject to risk. Past performance is no guarantee of future returns. The value of investments may fluctuate. Results achieved in the past are no guarantee of future</w:t>
      </w:r>
      <w:r w:rsidRPr="00610A6E">
        <w:rPr>
          <w:rFonts w:ascii="Calibri" w:eastAsia="Calibri" w:hAnsi="Calibri" w:cs="Calibri"/>
          <w:color w:val="3B3838"/>
          <w:sz w:val="22"/>
          <w:szCs w:val="22"/>
          <w:u w:color="3B3838"/>
        </w:rPr>
        <w:t xml:space="preserve"> results.</w:t>
      </w:r>
      <w:r w:rsidR="006B3680">
        <w:rPr>
          <w:rFonts w:ascii="Calibri" w:eastAsia="Calibri" w:hAnsi="Calibri" w:cs="Calibri"/>
          <w:color w:val="3B3838"/>
          <w:sz w:val="22"/>
          <w:szCs w:val="22"/>
          <w:u w:color="3B3838"/>
        </w:rPr>
        <w:t xml:space="preserve"> </w:t>
      </w:r>
      <w:bookmarkEnd w:id="0"/>
    </w:p>
    <w:sectPr w:rsidR="00A75022" w:rsidSect="0034460C">
      <w:footerReference w:type="default" r:id="rId9"/>
      <w:pgSz w:w="11900" w:h="16840"/>
      <w:pgMar w:top="1008" w:right="1368" w:bottom="1440" w:left="1368" w:header="0" w:footer="28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49A8E" w14:textId="77777777" w:rsidR="00DA1B0F" w:rsidRDefault="00DA1B0F">
      <w:r>
        <w:separator/>
      </w:r>
    </w:p>
  </w:endnote>
  <w:endnote w:type="continuationSeparator" w:id="0">
    <w:p w14:paraId="71B84AA1" w14:textId="77777777" w:rsidR="00DA1B0F" w:rsidRDefault="00DA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37B6" w14:textId="77777777" w:rsidR="00A75022" w:rsidRDefault="006B3680">
    <w:pPr>
      <w:pStyle w:val="Footer"/>
      <w:jc w:val="center"/>
    </w:pPr>
    <w:r>
      <w:rPr>
        <w:caps/>
        <w:color w:val="535353"/>
        <w:sz w:val="20"/>
        <w:szCs w:val="20"/>
        <w:u w:color="535353"/>
      </w:rPr>
      <w:t>-  0</w:t>
    </w:r>
    <w:r>
      <w:rPr>
        <w:caps/>
        <w:color w:val="535353"/>
        <w:sz w:val="20"/>
        <w:szCs w:val="20"/>
        <w:u w:color="535353"/>
      </w:rPr>
      <w:fldChar w:fldCharType="begin"/>
    </w:r>
    <w:r>
      <w:rPr>
        <w:caps/>
        <w:color w:val="535353"/>
        <w:sz w:val="20"/>
        <w:szCs w:val="20"/>
        <w:u w:color="535353"/>
      </w:rPr>
      <w:instrText xml:space="preserve"> PAGE </w:instrText>
    </w:r>
    <w:r>
      <w:rPr>
        <w:caps/>
        <w:color w:val="535353"/>
        <w:sz w:val="20"/>
        <w:szCs w:val="20"/>
        <w:u w:color="535353"/>
      </w:rPr>
      <w:fldChar w:fldCharType="separate"/>
    </w:r>
    <w:r w:rsidR="00FD0FBF">
      <w:rPr>
        <w:caps/>
        <w:noProof/>
        <w:color w:val="535353"/>
        <w:sz w:val="20"/>
        <w:szCs w:val="20"/>
        <w:u w:color="535353"/>
      </w:rPr>
      <w:t>4</w:t>
    </w:r>
    <w:r>
      <w:rPr>
        <w:caps/>
        <w:color w:val="535353"/>
        <w:sz w:val="20"/>
        <w:szCs w:val="20"/>
        <w:u w:color="535353"/>
      </w:rPr>
      <w:fldChar w:fldCharType="end"/>
    </w:r>
    <w:r>
      <w:rPr>
        <w:caps/>
        <w:color w:val="535353"/>
        <w:sz w:val="20"/>
        <w:szCs w:val="20"/>
        <w:u w:color="53535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5D86C" w14:textId="77777777" w:rsidR="00DA1B0F" w:rsidRDefault="00DA1B0F">
      <w:r>
        <w:separator/>
      </w:r>
    </w:p>
  </w:footnote>
  <w:footnote w:type="continuationSeparator" w:id="0">
    <w:p w14:paraId="31115AF9" w14:textId="77777777" w:rsidR="00DA1B0F" w:rsidRDefault="00DA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1EAF"/>
    <w:multiLevelType w:val="hybridMultilevel"/>
    <w:tmpl w:val="A1DE532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B7919"/>
    <w:multiLevelType w:val="hybridMultilevel"/>
    <w:tmpl w:val="EAF2C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534F6E"/>
    <w:multiLevelType w:val="hybridMultilevel"/>
    <w:tmpl w:val="C4F44C3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ED76E73"/>
    <w:multiLevelType w:val="hybridMultilevel"/>
    <w:tmpl w:val="F9E699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105E5F"/>
    <w:multiLevelType w:val="hybridMultilevel"/>
    <w:tmpl w:val="9DE6257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22"/>
    <w:rsid w:val="000211CC"/>
    <w:rsid w:val="00027506"/>
    <w:rsid w:val="00030087"/>
    <w:rsid w:val="000353D5"/>
    <w:rsid w:val="00060D79"/>
    <w:rsid w:val="00084F78"/>
    <w:rsid w:val="00097F66"/>
    <w:rsid w:val="000C7CD8"/>
    <w:rsid w:val="000D21FB"/>
    <w:rsid w:val="000E151A"/>
    <w:rsid w:val="000E4C34"/>
    <w:rsid w:val="000F5E4C"/>
    <w:rsid w:val="000F7896"/>
    <w:rsid w:val="00127A75"/>
    <w:rsid w:val="0013444D"/>
    <w:rsid w:val="00136BE6"/>
    <w:rsid w:val="00141B23"/>
    <w:rsid w:val="00167594"/>
    <w:rsid w:val="00170BE6"/>
    <w:rsid w:val="00172FFE"/>
    <w:rsid w:val="0018399D"/>
    <w:rsid w:val="001B0494"/>
    <w:rsid w:val="001D1F8A"/>
    <w:rsid w:val="00220121"/>
    <w:rsid w:val="00220614"/>
    <w:rsid w:val="00222332"/>
    <w:rsid w:val="00224C12"/>
    <w:rsid w:val="00230EBF"/>
    <w:rsid w:val="00235FD8"/>
    <w:rsid w:val="00240C72"/>
    <w:rsid w:val="00250A2B"/>
    <w:rsid w:val="00260171"/>
    <w:rsid w:val="00274BB5"/>
    <w:rsid w:val="00275674"/>
    <w:rsid w:val="0027734D"/>
    <w:rsid w:val="0029694C"/>
    <w:rsid w:val="00296ABC"/>
    <w:rsid w:val="002B18C4"/>
    <w:rsid w:val="002C32B3"/>
    <w:rsid w:val="002C50ED"/>
    <w:rsid w:val="003038BF"/>
    <w:rsid w:val="0030391A"/>
    <w:rsid w:val="003144AE"/>
    <w:rsid w:val="0034460C"/>
    <w:rsid w:val="00364E97"/>
    <w:rsid w:val="00364EDA"/>
    <w:rsid w:val="0037009C"/>
    <w:rsid w:val="0037603A"/>
    <w:rsid w:val="003A0AD9"/>
    <w:rsid w:val="003B059E"/>
    <w:rsid w:val="003C13EC"/>
    <w:rsid w:val="003E6CA6"/>
    <w:rsid w:val="00412D10"/>
    <w:rsid w:val="0046066E"/>
    <w:rsid w:val="004608EC"/>
    <w:rsid w:val="00481FCC"/>
    <w:rsid w:val="00487C0B"/>
    <w:rsid w:val="004D3715"/>
    <w:rsid w:val="0051188B"/>
    <w:rsid w:val="00523882"/>
    <w:rsid w:val="005325FE"/>
    <w:rsid w:val="0054523E"/>
    <w:rsid w:val="005528F5"/>
    <w:rsid w:val="005744AA"/>
    <w:rsid w:val="00586E20"/>
    <w:rsid w:val="0059096C"/>
    <w:rsid w:val="005933C5"/>
    <w:rsid w:val="005A49B1"/>
    <w:rsid w:val="005E2963"/>
    <w:rsid w:val="006060DC"/>
    <w:rsid w:val="00606B40"/>
    <w:rsid w:val="00610A6E"/>
    <w:rsid w:val="006115E7"/>
    <w:rsid w:val="00617411"/>
    <w:rsid w:val="006425AB"/>
    <w:rsid w:val="006775B3"/>
    <w:rsid w:val="00694ED7"/>
    <w:rsid w:val="006B3680"/>
    <w:rsid w:val="006D7542"/>
    <w:rsid w:val="00723AAD"/>
    <w:rsid w:val="007478E5"/>
    <w:rsid w:val="007517FD"/>
    <w:rsid w:val="00762C10"/>
    <w:rsid w:val="007735E3"/>
    <w:rsid w:val="00781677"/>
    <w:rsid w:val="00782F23"/>
    <w:rsid w:val="007913A2"/>
    <w:rsid w:val="00793255"/>
    <w:rsid w:val="00797D4C"/>
    <w:rsid w:val="007B2334"/>
    <w:rsid w:val="007D1C9C"/>
    <w:rsid w:val="007D2C24"/>
    <w:rsid w:val="0082064D"/>
    <w:rsid w:val="00870223"/>
    <w:rsid w:val="00887384"/>
    <w:rsid w:val="0089116D"/>
    <w:rsid w:val="008A2A9F"/>
    <w:rsid w:val="008C5E00"/>
    <w:rsid w:val="008D3E22"/>
    <w:rsid w:val="008F2F5B"/>
    <w:rsid w:val="008F4923"/>
    <w:rsid w:val="00903D79"/>
    <w:rsid w:val="00904F17"/>
    <w:rsid w:val="00913611"/>
    <w:rsid w:val="009164D4"/>
    <w:rsid w:val="00916CD0"/>
    <w:rsid w:val="00920D6F"/>
    <w:rsid w:val="0092779A"/>
    <w:rsid w:val="009340BD"/>
    <w:rsid w:val="0094034D"/>
    <w:rsid w:val="009419F9"/>
    <w:rsid w:val="00955F81"/>
    <w:rsid w:val="00963203"/>
    <w:rsid w:val="0097588E"/>
    <w:rsid w:val="00994A83"/>
    <w:rsid w:val="00994BAB"/>
    <w:rsid w:val="009A6BB9"/>
    <w:rsid w:val="00A169CE"/>
    <w:rsid w:val="00A434AA"/>
    <w:rsid w:val="00A47C76"/>
    <w:rsid w:val="00A67E50"/>
    <w:rsid w:val="00A75022"/>
    <w:rsid w:val="00A82E09"/>
    <w:rsid w:val="00A932AB"/>
    <w:rsid w:val="00AA1AD7"/>
    <w:rsid w:val="00AA4C3D"/>
    <w:rsid w:val="00AB72A1"/>
    <w:rsid w:val="00AC3100"/>
    <w:rsid w:val="00AE3DF5"/>
    <w:rsid w:val="00AF4102"/>
    <w:rsid w:val="00B0315C"/>
    <w:rsid w:val="00B53B31"/>
    <w:rsid w:val="00B573CB"/>
    <w:rsid w:val="00B642B0"/>
    <w:rsid w:val="00BA6F9E"/>
    <w:rsid w:val="00BC717B"/>
    <w:rsid w:val="00BF5880"/>
    <w:rsid w:val="00C57083"/>
    <w:rsid w:val="00C77C1C"/>
    <w:rsid w:val="00CC30C0"/>
    <w:rsid w:val="00CD71CF"/>
    <w:rsid w:val="00CE2A3A"/>
    <w:rsid w:val="00D01BC2"/>
    <w:rsid w:val="00D47957"/>
    <w:rsid w:val="00D84FEF"/>
    <w:rsid w:val="00DA1B0F"/>
    <w:rsid w:val="00DA2D25"/>
    <w:rsid w:val="00DA36EC"/>
    <w:rsid w:val="00DD5877"/>
    <w:rsid w:val="00E01927"/>
    <w:rsid w:val="00E15A86"/>
    <w:rsid w:val="00E22038"/>
    <w:rsid w:val="00E4481C"/>
    <w:rsid w:val="00E6125A"/>
    <w:rsid w:val="00E91780"/>
    <w:rsid w:val="00EA06D5"/>
    <w:rsid w:val="00EB3971"/>
    <w:rsid w:val="00EC0D36"/>
    <w:rsid w:val="00ED2D6F"/>
    <w:rsid w:val="00EE70CA"/>
    <w:rsid w:val="00F23908"/>
    <w:rsid w:val="00F2637A"/>
    <w:rsid w:val="00F40EB5"/>
    <w:rsid w:val="00F43D28"/>
    <w:rsid w:val="00F46A5F"/>
    <w:rsid w:val="00F56546"/>
    <w:rsid w:val="00F92D26"/>
    <w:rsid w:val="00FA4960"/>
    <w:rsid w:val="00FC06C7"/>
    <w:rsid w:val="00FC1F58"/>
    <w:rsid w:val="00FD0F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618C"/>
  <w15:docId w15:val="{F7589300-89F3-4967-BDB2-85240AB2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Geneva" w:hAnsi="Geneva" w:cs="Arial Unicode MS"/>
      <w:color w:val="000000"/>
      <w:sz w:val="24"/>
      <w:szCs w:val="24"/>
      <w:u w:color="000000"/>
    </w:rPr>
  </w:style>
  <w:style w:type="paragraph" w:styleId="Footer">
    <w:name w:val="footer"/>
    <w:pPr>
      <w:tabs>
        <w:tab w:val="center" w:pos="4153"/>
        <w:tab w:val="right" w:pos="8306"/>
      </w:tabs>
    </w:pPr>
    <w:rPr>
      <w:rFonts w:ascii="Geneva" w:hAnsi="Geneva" w:cs="Arial Unicode MS"/>
      <w:color w:val="000000"/>
      <w:sz w:val="24"/>
      <w:szCs w:val="24"/>
      <w:u w:color="000000"/>
    </w:rPr>
  </w:style>
  <w:style w:type="paragraph" w:customStyle="1" w:styleId="BodyA">
    <w:name w:val="Body A"/>
    <w:rPr>
      <w:rFonts w:ascii="Geneva" w:eastAsia="Geneva" w:hAnsi="Geneva" w:cs="Geneva"/>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ParaHeading">
    <w:name w:val="ParaHeading"/>
    <w:pPr>
      <w:keepNext/>
      <w:keepLines/>
      <w:spacing w:after="240"/>
      <w:jc w:val="both"/>
    </w:pPr>
    <w:rPr>
      <w:rFonts w:ascii="Geneva" w:eastAsia="Geneva" w:hAnsi="Geneva" w:cs="Geneva"/>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3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80"/>
    <w:rPr>
      <w:rFonts w:ascii="Segoe UI" w:hAnsi="Segoe UI" w:cs="Segoe UI"/>
      <w:sz w:val="18"/>
      <w:szCs w:val="18"/>
      <w:lang w:val="en-US" w:eastAsia="en-US" w:bidi="ar-SA"/>
    </w:rPr>
  </w:style>
  <w:style w:type="paragraph" w:styleId="CommentSubject">
    <w:name w:val="annotation subject"/>
    <w:basedOn w:val="CommentText"/>
    <w:next w:val="CommentText"/>
    <w:link w:val="CommentSubjectChar"/>
    <w:uiPriority w:val="99"/>
    <w:semiHidden/>
    <w:unhideWhenUsed/>
    <w:rsid w:val="008A2A9F"/>
    <w:rPr>
      <w:b/>
      <w:bCs/>
    </w:rPr>
  </w:style>
  <w:style w:type="character" w:customStyle="1" w:styleId="CommentSubjectChar">
    <w:name w:val="Comment Subject Char"/>
    <w:basedOn w:val="CommentTextChar"/>
    <w:link w:val="CommentSubject"/>
    <w:uiPriority w:val="99"/>
    <w:semiHidden/>
    <w:rsid w:val="008A2A9F"/>
    <w:rPr>
      <w:b/>
      <w:bCs/>
      <w:lang w:val="en-US" w:eastAsia="en-US" w:bidi="ar-SA"/>
    </w:rPr>
  </w:style>
  <w:style w:type="table" w:styleId="TableGrid">
    <w:name w:val="Table Grid"/>
    <w:basedOn w:val="TableNormal"/>
    <w:rsid w:val="008D3E2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24C12"/>
    <w:rPr>
      <w:color w:val="605E5C"/>
      <w:shd w:val="clear" w:color="auto" w:fill="E1DFDD"/>
    </w:rPr>
  </w:style>
  <w:style w:type="paragraph" w:styleId="Revision">
    <w:name w:val="Revision"/>
    <w:hidden/>
    <w:uiPriority w:val="99"/>
    <w:semiHidden/>
    <w:rsid w:val="0094034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styleId="ListParagraph">
    <w:name w:val="List Paragraph"/>
    <w:basedOn w:val="Normal"/>
    <w:uiPriority w:val="34"/>
    <w:qFormat/>
    <w:rsid w:val="0052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rium@fti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55497-C391-486B-B5F9-CA6A31C3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Atrium European Real Estate</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 Molly;de Wal, Chris</dc:creator>
  <cp:lastModifiedBy>Sunderland, Richard</cp:lastModifiedBy>
  <cp:revision>4</cp:revision>
  <cp:lastPrinted>2018-10-30T18:10:00Z</cp:lastPrinted>
  <dcterms:created xsi:type="dcterms:W3CDTF">2018-11-12T18:52:00Z</dcterms:created>
  <dcterms:modified xsi:type="dcterms:W3CDTF">2018-11-12T19:13:00Z</dcterms:modified>
</cp:coreProperties>
</file>