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9FD7" w14:textId="197C46DA" w:rsidR="00914B29" w:rsidRPr="00D250AF" w:rsidRDefault="00EA317D" w:rsidP="00914B29">
      <w:pPr>
        <w:spacing w:after="0" w:line="276" w:lineRule="auto"/>
        <w:rPr>
          <w:rFonts w:ascii="Arial" w:hAnsi="Arial" w:cs="Arial"/>
          <w:lang w:val="en-CA" w:eastAsia="en-GB"/>
        </w:rPr>
      </w:pPr>
      <w:bookmarkStart w:id="0" w:name="_GoBack"/>
      <w:bookmarkEnd w:id="0"/>
      <w:r>
        <w:rPr>
          <w:rFonts w:ascii="Arial" w:hAnsi="Arial" w:cs="Arial"/>
          <w:lang w:val="en-CA" w:eastAsia="en-GB"/>
        </w:rPr>
        <w:t>6</w:t>
      </w:r>
      <w:r w:rsidR="002A21D5">
        <w:rPr>
          <w:rFonts w:ascii="Arial" w:hAnsi="Arial" w:cs="Arial"/>
          <w:lang w:val="en-CA" w:eastAsia="en-GB"/>
        </w:rPr>
        <w:t xml:space="preserve"> November</w:t>
      </w:r>
      <w:r w:rsidR="00914B29" w:rsidRPr="00D250AF">
        <w:rPr>
          <w:rFonts w:ascii="Arial" w:hAnsi="Arial" w:cs="Arial"/>
          <w:lang w:val="en-CA" w:eastAsia="en-GB"/>
        </w:rPr>
        <w:t xml:space="preserve"> 2018</w:t>
      </w:r>
    </w:p>
    <w:p w14:paraId="28F0A73D" w14:textId="77777777" w:rsidR="00914B29" w:rsidRPr="00D250AF" w:rsidRDefault="00914B29" w:rsidP="00914B29">
      <w:pPr>
        <w:spacing w:after="0" w:line="276" w:lineRule="auto"/>
        <w:rPr>
          <w:rFonts w:ascii="Arial" w:hAnsi="Arial" w:cs="Arial"/>
          <w:lang w:val="en-CA" w:eastAsia="en-GB"/>
        </w:rPr>
      </w:pPr>
    </w:p>
    <w:p w14:paraId="334CA87A"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BCRE – Brack Capital Real Estate Investments N.V.</w:t>
      </w:r>
    </w:p>
    <w:p w14:paraId="1EE81794" w14:textId="77777777" w:rsidR="00914B29" w:rsidRPr="00D250AF" w:rsidRDefault="00914B29" w:rsidP="00914B29">
      <w:pPr>
        <w:spacing w:after="0" w:line="276" w:lineRule="auto"/>
        <w:jc w:val="center"/>
        <w:rPr>
          <w:rFonts w:ascii="Arial" w:hAnsi="Arial" w:cs="Arial"/>
          <w:lang w:eastAsia="en-GB"/>
        </w:rPr>
      </w:pPr>
      <w:r w:rsidRPr="00D250AF">
        <w:rPr>
          <w:rFonts w:ascii="Arial" w:hAnsi="Arial" w:cs="Arial"/>
          <w:lang w:eastAsia="en-GB"/>
        </w:rPr>
        <w:t>(“</w:t>
      </w:r>
      <w:r w:rsidRPr="00D250AF">
        <w:rPr>
          <w:rFonts w:ascii="Arial" w:hAnsi="Arial" w:cs="Arial"/>
          <w:b/>
          <w:lang w:eastAsia="en-GB"/>
        </w:rPr>
        <w:t>BCRE</w:t>
      </w:r>
      <w:r w:rsidRPr="00D250AF">
        <w:rPr>
          <w:rFonts w:ascii="Arial" w:hAnsi="Arial" w:cs="Arial"/>
          <w:lang w:eastAsia="en-GB"/>
        </w:rPr>
        <w:t>” or the “</w:t>
      </w:r>
      <w:r w:rsidRPr="00D250AF">
        <w:rPr>
          <w:rFonts w:ascii="Arial" w:hAnsi="Arial" w:cs="Arial"/>
          <w:b/>
          <w:bCs/>
          <w:lang w:eastAsia="en-GB"/>
        </w:rPr>
        <w:t>Company</w:t>
      </w:r>
      <w:r w:rsidRPr="00D250AF">
        <w:rPr>
          <w:rFonts w:ascii="Arial" w:hAnsi="Arial" w:cs="Arial"/>
          <w:lang w:eastAsia="en-GB"/>
        </w:rPr>
        <w:t>”)</w:t>
      </w:r>
    </w:p>
    <w:p w14:paraId="48DD58A4"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Transactions under share buyback programme</w:t>
      </w:r>
    </w:p>
    <w:p w14:paraId="6E9E572E" w14:textId="77777777" w:rsidR="00914B29" w:rsidRPr="00D250AF" w:rsidRDefault="00914B29" w:rsidP="00914B29">
      <w:pPr>
        <w:spacing w:after="0" w:line="276" w:lineRule="auto"/>
        <w:jc w:val="center"/>
        <w:rPr>
          <w:rFonts w:ascii="Arial" w:hAnsi="Arial" w:cs="Arial"/>
          <w:b/>
          <w:bCs/>
          <w:lang w:eastAsia="en-GB"/>
        </w:rPr>
      </w:pPr>
    </w:p>
    <w:p w14:paraId="4B83641D" w14:textId="45D3D8DC"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Following the share buyback programme as announced on 23 October 2018 (</w:t>
      </w:r>
      <w:hyperlink r:id="rId8" w:history="1">
        <w:r w:rsidRPr="00D250AF">
          <w:rPr>
            <w:rStyle w:val="Hyperlink"/>
            <w:rFonts w:ascii="Arial" w:hAnsi="Arial" w:cs="Arial"/>
          </w:rPr>
          <w:t>http://www.brack-capital.com</w:t>
        </w:r>
      </w:hyperlink>
      <w:r w:rsidRPr="00D250AF">
        <w:rPr>
          <w:rStyle w:val="bm"/>
          <w:rFonts w:ascii="Arial" w:hAnsi="Arial" w:cs="Arial"/>
        </w:rPr>
        <w:t>), the Company announces that it has repurchased</w:t>
      </w:r>
      <w:r w:rsidR="00EA317D">
        <w:rPr>
          <w:rStyle w:val="bm"/>
          <w:rFonts w:ascii="Arial" w:hAnsi="Arial" w:cs="Arial"/>
        </w:rPr>
        <w:t xml:space="preserve"> yesterday</w:t>
      </w:r>
      <w:r w:rsidRPr="00D250AF">
        <w:rPr>
          <w:rStyle w:val="bm"/>
          <w:rFonts w:ascii="Arial" w:hAnsi="Arial" w:cs="Arial"/>
        </w:rPr>
        <w:t xml:space="preserve"> 1</w:t>
      </w:r>
      <w:r w:rsidR="002A21D5">
        <w:rPr>
          <w:rStyle w:val="bm"/>
          <w:rFonts w:ascii="Arial" w:hAnsi="Arial" w:cs="Arial"/>
        </w:rPr>
        <w:t>0</w:t>
      </w:r>
      <w:r w:rsidRPr="00D250AF">
        <w:rPr>
          <w:rStyle w:val="bm"/>
          <w:rFonts w:ascii="Arial" w:hAnsi="Arial" w:cs="Arial"/>
        </w:rPr>
        <w:t>0,000 of i</w:t>
      </w:r>
      <w:r w:rsidR="002A21D5">
        <w:rPr>
          <w:rStyle w:val="bm"/>
          <w:rFonts w:ascii="Arial" w:hAnsi="Arial" w:cs="Arial"/>
        </w:rPr>
        <w:t>ts own shares at a price of €0.7</w:t>
      </w:r>
      <w:r w:rsidR="00DF5A4D">
        <w:rPr>
          <w:rStyle w:val="bm"/>
          <w:rFonts w:ascii="Arial" w:hAnsi="Arial" w:cs="Arial"/>
        </w:rPr>
        <w:t>5 per share.</w:t>
      </w:r>
    </w:p>
    <w:p w14:paraId="0AA495AA" w14:textId="77777777" w:rsidR="00914B29" w:rsidRPr="00D250AF" w:rsidRDefault="00914B29" w:rsidP="00914B29">
      <w:pPr>
        <w:spacing w:after="0" w:line="276" w:lineRule="auto"/>
        <w:jc w:val="both"/>
        <w:rPr>
          <w:rStyle w:val="bm"/>
          <w:rFonts w:ascii="Arial" w:hAnsi="Arial" w:cs="Arial"/>
        </w:rPr>
      </w:pPr>
    </w:p>
    <w:p w14:paraId="670E482A" w14:textId="77777777"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The total number of shares repurchased under the share buyback programme is shown in the table below.</w:t>
      </w:r>
    </w:p>
    <w:p w14:paraId="29F34FF2" w14:textId="77777777" w:rsidR="00914B29" w:rsidRPr="00D250AF" w:rsidRDefault="00914B29" w:rsidP="00914B29">
      <w:pPr>
        <w:spacing w:after="0" w:line="276" w:lineRule="auto"/>
        <w:rPr>
          <w:rStyle w:val="bm"/>
          <w:rFonts w:ascii="Arial" w:hAnsi="Arial" w:cs="Arial"/>
        </w:rPr>
      </w:pPr>
    </w:p>
    <w:tbl>
      <w:tblPr>
        <w:tblStyle w:val="TableGrid"/>
        <w:tblW w:w="4869" w:type="pct"/>
        <w:jc w:val="center"/>
        <w:tblLook w:val="04A0" w:firstRow="1" w:lastRow="0" w:firstColumn="1" w:lastColumn="0" w:noHBand="0" w:noVBand="1"/>
      </w:tblPr>
      <w:tblGrid>
        <w:gridCol w:w="3007"/>
        <w:gridCol w:w="3006"/>
        <w:gridCol w:w="2767"/>
      </w:tblGrid>
      <w:tr w:rsidR="00914B29" w:rsidRPr="00D250AF" w14:paraId="477E2700" w14:textId="77777777" w:rsidTr="00DD0FAF">
        <w:trPr>
          <w:jc w:val="center"/>
        </w:trPr>
        <w:tc>
          <w:tcPr>
            <w:tcW w:w="1712" w:type="pct"/>
          </w:tcPr>
          <w:p w14:paraId="764EC4D6"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Date</w:t>
            </w:r>
          </w:p>
        </w:tc>
        <w:tc>
          <w:tcPr>
            <w:tcW w:w="1712" w:type="pct"/>
          </w:tcPr>
          <w:p w14:paraId="46E24259"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Number of shares</w:t>
            </w:r>
          </w:p>
        </w:tc>
        <w:tc>
          <w:tcPr>
            <w:tcW w:w="1576" w:type="pct"/>
          </w:tcPr>
          <w:p w14:paraId="71182CDE"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Total consideration</w:t>
            </w:r>
          </w:p>
        </w:tc>
      </w:tr>
      <w:tr w:rsidR="00EA317D" w:rsidRPr="00D250AF" w14:paraId="04A1565A" w14:textId="77777777" w:rsidTr="00DD0FAF">
        <w:trPr>
          <w:jc w:val="center"/>
        </w:trPr>
        <w:tc>
          <w:tcPr>
            <w:tcW w:w="1712" w:type="pct"/>
          </w:tcPr>
          <w:p w14:paraId="3BDCF80F" w14:textId="4766186D" w:rsidR="00EA317D" w:rsidRPr="00D250AF" w:rsidRDefault="00EA317D" w:rsidP="00EA317D">
            <w:pPr>
              <w:spacing w:line="276" w:lineRule="auto"/>
              <w:jc w:val="center"/>
              <w:rPr>
                <w:rFonts w:ascii="Arial" w:hAnsi="Arial" w:cs="Arial"/>
              </w:rPr>
            </w:pPr>
            <w:r>
              <w:rPr>
                <w:rFonts w:ascii="Arial" w:hAnsi="Arial" w:cs="Arial"/>
                <w:sz w:val="22"/>
                <w:szCs w:val="22"/>
              </w:rPr>
              <w:t>5</w:t>
            </w:r>
            <w:r w:rsidRPr="001C64D1">
              <w:rPr>
                <w:rFonts w:ascii="Arial" w:hAnsi="Arial" w:cs="Arial"/>
                <w:sz w:val="22"/>
                <w:szCs w:val="22"/>
              </w:rPr>
              <w:t xml:space="preserve"> November</w:t>
            </w:r>
            <w:r>
              <w:rPr>
                <w:rFonts w:ascii="Arial" w:hAnsi="Arial" w:cs="Arial"/>
                <w:sz w:val="22"/>
                <w:szCs w:val="22"/>
              </w:rPr>
              <w:t xml:space="preserve"> 2018</w:t>
            </w:r>
          </w:p>
        </w:tc>
        <w:tc>
          <w:tcPr>
            <w:tcW w:w="1712" w:type="pct"/>
          </w:tcPr>
          <w:p w14:paraId="27252E4B" w14:textId="415D726A" w:rsidR="00EA317D" w:rsidRPr="00D250AF" w:rsidRDefault="00EA317D" w:rsidP="00EA317D">
            <w:pPr>
              <w:spacing w:line="276" w:lineRule="auto"/>
              <w:jc w:val="center"/>
              <w:rPr>
                <w:rFonts w:ascii="Arial" w:hAnsi="Arial" w:cs="Arial"/>
              </w:rPr>
            </w:pPr>
            <w:r w:rsidRPr="00C82F1E">
              <w:rPr>
                <w:rFonts w:ascii="Arial" w:hAnsi="Arial" w:cs="Arial"/>
                <w:sz w:val="22"/>
                <w:szCs w:val="22"/>
              </w:rPr>
              <w:t>100,000</w:t>
            </w:r>
          </w:p>
        </w:tc>
        <w:tc>
          <w:tcPr>
            <w:tcW w:w="1576" w:type="pct"/>
          </w:tcPr>
          <w:p w14:paraId="586DBABA" w14:textId="38FB2E24" w:rsidR="00EA317D" w:rsidRPr="00D250AF" w:rsidRDefault="00EA317D" w:rsidP="00EA317D">
            <w:pPr>
              <w:spacing w:line="276" w:lineRule="auto"/>
              <w:jc w:val="center"/>
              <w:rPr>
                <w:rFonts w:ascii="Arial" w:hAnsi="Arial" w:cs="Arial"/>
              </w:rPr>
            </w:pPr>
            <w:r w:rsidRPr="00D250AF">
              <w:rPr>
                <w:rFonts w:ascii="Arial" w:hAnsi="Arial" w:cs="Arial"/>
                <w:sz w:val="22"/>
                <w:szCs w:val="22"/>
              </w:rPr>
              <w:t>€</w:t>
            </w:r>
            <w:r>
              <w:rPr>
                <w:rFonts w:ascii="Arial" w:hAnsi="Arial" w:cs="Arial"/>
                <w:sz w:val="22"/>
                <w:szCs w:val="22"/>
              </w:rPr>
              <w:t>75,0</w:t>
            </w:r>
            <w:r w:rsidRPr="00D250AF">
              <w:rPr>
                <w:rFonts w:ascii="Arial" w:hAnsi="Arial" w:cs="Arial"/>
                <w:sz w:val="22"/>
                <w:szCs w:val="22"/>
              </w:rPr>
              <w:t>00.00</w:t>
            </w:r>
          </w:p>
        </w:tc>
      </w:tr>
      <w:tr w:rsidR="00EA317D" w:rsidRPr="00C82F1E" w14:paraId="6265E936" w14:textId="77777777" w:rsidTr="00DD0FAF">
        <w:trPr>
          <w:jc w:val="center"/>
        </w:trPr>
        <w:tc>
          <w:tcPr>
            <w:tcW w:w="1712" w:type="pct"/>
          </w:tcPr>
          <w:p w14:paraId="4BD2652C" w14:textId="4538A597" w:rsidR="00EA317D" w:rsidRPr="001C64D1" w:rsidRDefault="00EA317D" w:rsidP="00EA317D">
            <w:pPr>
              <w:spacing w:line="276" w:lineRule="auto"/>
              <w:jc w:val="center"/>
              <w:rPr>
                <w:rFonts w:ascii="Arial" w:hAnsi="Arial" w:cs="Arial"/>
                <w:sz w:val="22"/>
                <w:szCs w:val="22"/>
              </w:rPr>
            </w:pPr>
            <w:r w:rsidRPr="001C64D1">
              <w:rPr>
                <w:rFonts w:ascii="Arial" w:hAnsi="Arial" w:cs="Arial"/>
                <w:sz w:val="22"/>
                <w:szCs w:val="22"/>
              </w:rPr>
              <w:t>2 November</w:t>
            </w:r>
            <w:r>
              <w:rPr>
                <w:rFonts w:ascii="Arial" w:hAnsi="Arial" w:cs="Arial"/>
                <w:sz w:val="22"/>
                <w:szCs w:val="22"/>
              </w:rPr>
              <w:t xml:space="preserve"> 2018</w:t>
            </w:r>
          </w:p>
        </w:tc>
        <w:tc>
          <w:tcPr>
            <w:tcW w:w="1712" w:type="pct"/>
          </w:tcPr>
          <w:p w14:paraId="6180230C" w14:textId="2E984BD7" w:rsidR="00EA317D" w:rsidRPr="00C82F1E" w:rsidRDefault="00EA317D" w:rsidP="00EA317D">
            <w:pPr>
              <w:spacing w:line="276" w:lineRule="auto"/>
              <w:jc w:val="center"/>
              <w:rPr>
                <w:rFonts w:ascii="Arial" w:hAnsi="Arial" w:cs="Arial"/>
                <w:sz w:val="22"/>
                <w:szCs w:val="22"/>
              </w:rPr>
            </w:pPr>
            <w:r w:rsidRPr="00C82F1E">
              <w:rPr>
                <w:rFonts w:ascii="Arial" w:hAnsi="Arial" w:cs="Arial"/>
                <w:sz w:val="22"/>
                <w:szCs w:val="22"/>
              </w:rPr>
              <w:t>100,000</w:t>
            </w:r>
          </w:p>
        </w:tc>
        <w:tc>
          <w:tcPr>
            <w:tcW w:w="1576" w:type="pct"/>
          </w:tcPr>
          <w:p w14:paraId="0BCD69F1" w14:textId="7831FE37" w:rsidR="00EA317D" w:rsidRPr="001C64D1" w:rsidRDefault="00EA317D" w:rsidP="00EA317D">
            <w:pPr>
              <w:spacing w:line="276" w:lineRule="auto"/>
              <w:jc w:val="center"/>
              <w:rPr>
                <w:rFonts w:ascii="Arial" w:hAnsi="Arial" w:cs="Arial"/>
                <w:sz w:val="22"/>
                <w:szCs w:val="22"/>
              </w:rPr>
            </w:pPr>
            <w:r w:rsidRPr="00D250AF">
              <w:rPr>
                <w:rFonts w:ascii="Arial" w:hAnsi="Arial" w:cs="Arial"/>
                <w:sz w:val="22"/>
                <w:szCs w:val="22"/>
              </w:rPr>
              <w:t>€</w:t>
            </w:r>
            <w:r>
              <w:rPr>
                <w:rFonts w:ascii="Arial" w:hAnsi="Arial" w:cs="Arial"/>
                <w:sz w:val="22"/>
                <w:szCs w:val="22"/>
              </w:rPr>
              <w:t>75,0</w:t>
            </w:r>
            <w:r w:rsidRPr="00D250AF">
              <w:rPr>
                <w:rFonts w:ascii="Arial" w:hAnsi="Arial" w:cs="Arial"/>
                <w:sz w:val="22"/>
                <w:szCs w:val="22"/>
              </w:rPr>
              <w:t>00.00</w:t>
            </w:r>
          </w:p>
        </w:tc>
      </w:tr>
      <w:tr w:rsidR="00EA317D" w:rsidRPr="00D250AF" w14:paraId="5A9558C6" w14:textId="77777777" w:rsidTr="00DD0FAF">
        <w:trPr>
          <w:jc w:val="center"/>
        </w:trPr>
        <w:tc>
          <w:tcPr>
            <w:tcW w:w="1712" w:type="pct"/>
          </w:tcPr>
          <w:p w14:paraId="4DAB09A2" w14:textId="77777777" w:rsidR="00EA317D" w:rsidRPr="00D250AF" w:rsidRDefault="00EA317D" w:rsidP="00EA317D">
            <w:pPr>
              <w:spacing w:line="276" w:lineRule="auto"/>
              <w:jc w:val="center"/>
              <w:rPr>
                <w:rFonts w:ascii="Arial" w:hAnsi="Arial" w:cs="Arial"/>
                <w:sz w:val="22"/>
                <w:szCs w:val="22"/>
              </w:rPr>
            </w:pPr>
            <w:r w:rsidRPr="00D250AF">
              <w:rPr>
                <w:rFonts w:ascii="Arial" w:hAnsi="Arial" w:cs="Arial"/>
                <w:sz w:val="22"/>
                <w:szCs w:val="22"/>
              </w:rPr>
              <w:t>29 October 2018</w:t>
            </w:r>
          </w:p>
        </w:tc>
        <w:tc>
          <w:tcPr>
            <w:tcW w:w="1712" w:type="pct"/>
          </w:tcPr>
          <w:p w14:paraId="359D7580" w14:textId="77777777" w:rsidR="00EA317D" w:rsidRPr="00D250AF" w:rsidRDefault="00EA317D" w:rsidP="00EA317D">
            <w:pPr>
              <w:spacing w:line="276" w:lineRule="auto"/>
              <w:jc w:val="center"/>
              <w:rPr>
                <w:rFonts w:ascii="Arial" w:hAnsi="Arial" w:cs="Arial"/>
                <w:sz w:val="22"/>
                <w:szCs w:val="22"/>
              </w:rPr>
            </w:pPr>
            <w:r w:rsidRPr="00D250AF">
              <w:rPr>
                <w:rStyle w:val="bm"/>
                <w:rFonts w:ascii="Arial" w:hAnsi="Arial" w:cs="Arial"/>
                <w:sz w:val="22"/>
                <w:szCs w:val="22"/>
              </w:rPr>
              <w:t>10,000</w:t>
            </w:r>
          </w:p>
        </w:tc>
        <w:tc>
          <w:tcPr>
            <w:tcW w:w="1576" w:type="pct"/>
          </w:tcPr>
          <w:p w14:paraId="74B18DAF" w14:textId="77777777" w:rsidR="00EA317D" w:rsidRPr="00D250AF" w:rsidRDefault="00EA317D" w:rsidP="00EA317D">
            <w:pPr>
              <w:spacing w:line="276" w:lineRule="auto"/>
              <w:jc w:val="center"/>
              <w:rPr>
                <w:rFonts w:ascii="Arial" w:hAnsi="Arial" w:cs="Arial"/>
                <w:sz w:val="22"/>
                <w:szCs w:val="22"/>
              </w:rPr>
            </w:pPr>
            <w:r w:rsidRPr="00D250AF">
              <w:rPr>
                <w:rFonts w:ascii="Arial" w:hAnsi="Arial" w:cs="Arial"/>
                <w:sz w:val="22"/>
                <w:szCs w:val="22"/>
              </w:rPr>
              <w:t>€5,500.00</w:t>
            </w:r>
          </w:p>
        </w:tc>
      </w:tr>
      <w:tr w:rsidR="00EA317D" w:rsidRPr="00D250AF" w14:paraId="1DE12720" w14:textId="77777777" w:rsidTr="00DD0FAF">
        <w:trPr>
          <w:jc w:val="center"/>
        </w:trPr>
        <w:tc>
          <w:tcPr>
            <w:tcW w:w="1712" w:type="pct"/>
          </w:tcPr>
          <w:p w14:paraId="2E7B9AD8" w14:textId="77777777" w:rsidR="00EA317D" w:rsidRPr="00D250AF" w:rsidRDefault="00EA317D" w:rsidP="00EA317D">
            <w:pPr>
              <w:spacing w:line="276" w:lineRule="auto"/>
              <w:jc w:val="center"/>
              <w:rPr>
                <w:rFonts w:ascii="Arial" w:hAnsi="Arial" w:cs="Arial"/>
                <w:sz w:val="22"/>
                <w:szCs w:val="22"/>
              </w:rPr>
            </w:pPr>
          </w:p>
        </w:tc>
        <w:tc>
          <w:tcPr>
            <w:tcW w:w="1712" w:type="pct"/>
          </w:tcPr>
          <w:p w14:paraId="56F00E0F" w14:textId="77777777" w:rsidR="00EA317D" w:rsidRPr="00D250AF" w:rsidRDefault="00EA317D" w:rsidP="00EA317D">
            <w:pPr>
              <w:spacing w:line="276" w:lineRule="auto"/>
              <w:jc w:val="center"/>
              <w:rPr>
                <w:rFonts w:ascii="Arial" w:hAnsi="Arial" w:cs="Arial"/>
                <w:sz w:val="22"/>
                <w:szCs w:val="22"/>
              </w:rPr>
            </w:pPr>
          </w:p>
        </w:tc>
        <w:tc>
          <w:tcPr>
            <w:tcW w:w="1576" w:type="pct"/>
          </w:tcPr>
          <w:p w14:paraId="52583B20" w14:textId="77777777" w:rsidR="00EA317D" w:rsidRPr="00D250AF" w:rsidRDefault="00EA317D" w:rsidP="00EA317D">
            <w:pPr>
              <w:spacing w:line="276" w:lineRule="auto"/>
              <w:jc w:val="center"/>
              <w:rPr>
                <w:rFonts w:ascii="Arial" w:hAnsi="Arial" w:cs="Arial"/>
                <w:sz w:val="22"/>
                <w:szCs w:val="22"/>
              </w:rPr>
            </w:pPr>
          </w:p>
        </w:tc>
      </w:tr>
      <w:tr w:rsidR="00EA317D" w:rsidRPr="00D250AF" w14:paraId="79235FBA" w14:textId="77777777" w:rsidTr="00DD0FAF">
        <w:trPr>
          <w:jc w:val="center"/>
        </w:trPr>
        <w:tc>
          <w:tcPr>
            <w:tcW w:w="1712" w:type="pct"/>
          </w:tcPr>
          <w:p w14:paraId="61A6AAB3" w14:textId="77777777" w:rsidR="00EA317D" w:rsidRPr="00D250AF" w:rsidRDefault="00EA317D" w:rsidP="00EA317D">
            <w:pPr>
              <w:spacing w:line="276" w:lineRule="auto"/>
              <w:jc w:val="center"/>
              <w:rPr>
                <w:rFonts w:ascii="Arial" w:hAnsi="Arial" w:cs="Arial"/>
                <w:sz w:val="22"/>
                <w:szCs w:val="22"/>
              </w:rPr>
            </w:pPr>
            <w:r w:rsidRPr="00D250AF">
              <w:rPr>
                <w:rFonts w:ascii="Arial" w:hAnsi="Arial" w:cs="Arial"/>
                <w:sz w:val="22"/>
                <w:szCs w:val="22"/>
              </w:rPr>
              <w:t>Total</w:t>
            </w:r>
          </w:p>
        </w:tc>
        <w:tc>
          <w:tcPr>
            <w:tcW w:w="1712" w:type="pct"/>
          </w:tcPr>
          <w:p w14:paraId="51EF7815" w14:textId="242D2701" w:rsidR="00EA317D" w:rsidRPr="00D250AF" w:rsidRDefault="00EA317D" w:rsidP="00EA317D">
            <w:pPr>
              <w:spacing w:line="276" w:lineRule="auto"/>
              <w:jc w:val="center"/>
              <w:rPr>
                <w:rFonts w:ascii="Arial" w:hAnsi="Arial" w:cs="Arial"/>
                <w:sz w:val="22"/>
                <w:szCs w:val="22"/>
              </w:rPr>
            </w:pPr>
            <w:r>
              <w:rPr>
                <w:rStyle w:val="bm"/>
                <w:rFonts w:ascii="Arial" w:hAnsi="Arial" w:cs="Arial"/>
                <w:sz w:val="22"/>
                <w:szCs w:val="22"/>
              </w:rPr>
              <w:t>2</w:t>
            </w:r>
            <w:r w:rsidRPr="00D250AF">
              <w:rPr>
                <w:rStyle w:val="bm"/>
                <w:rFonts w:ascii="Arial" w:hAnsi="Arial" w:cs="Arial"/>
                <w:sz w:val="22"/>
                <w:szCs w:val="22"/>
              </w:rPr>
              <w:t>10,000</w:t>
            </w:r>
          </w:p>
        </w:tc>
        <w:tc>
          <w:tcPr>
            <w:tcW w:w="1576" w:type="pct"/>
          </w:tcPr>
          <w:p w14:paraId="6ADE9C69" w14:textId="71C388D9" w:rsidR="00EA317D" w:rsidRPr="00D250AF" w:rsidRDefault="00EA317D" w:rsidP="00EA317D">
            <w:pPr>
              <w:spacing w:line="276" w:lineRule="auto"/>
              <w:jc w:val="center"/>
              <w:rPr>
                <w:rFonts w:ascii="Arial" w:hAnsi="Arial" w:cs="Arial"/>
                <w:sz w:val="22"/>
                <w:szCs w:val="22"/>
              </w:rPr>
            </w:pPr>
            <w:r w:rsidRPr="00D250AF">
              <w:rPr>
                <w:rFonts w:ascii="Arial" w:hAnsi="Arial" w:cs="Arial"/>
                <w:sz w:val="22"/>
                <w:szCs w:val="22"/>
              </w:rPr>
              <w:t>€</w:t>
            </w:r>
            <w:r>
              <w:rPr>
                <w:rFonts w:ascii="Arial" w:hAnsi="Arial" w:cs="Arial"/>
                <w:sz w:val="22"/>
                <w:szCs w:val="22"/>
              </w:rPr>
              <w:t>155</w:t>
            </w:r>
            <w:r w:rsidRPr="00D250AF">
              <w:rPr>
                <w:rFonts w:ascii="Arial" w:hAnsi="Arial" w:cs="Arial"/>
                <w:sz w:val="22"/>
                <w:szCs w:val="22"/>
              </w:rPr>
              <w:t>,500.00</w:t>
            </w:r>
          </w:p>
        </w:tc>
      </w:tr>
    </w:tbl>
    <w:p w14:paraId="2AA81A17" w14:textId="77777777" w:rsidR="00C120EE" w:rsidRPr="00D250AF" w:rsidRDefault="00C120EE" w:rsidP="00C120EE">
      <w:pPr>
        <w:spacing w:after="0" w:line="276" w:lineRule="auto"/>
        <w:jc w:val="both"/>
        <w:rPr>
          <w:rFonts w:ascii="Arial" w:hAnsi="Arial" w:cs="Arial"/>
          <w:color w:val="000000"/>
        </w:rPr>
      </w:pPr>
    </w:p>
    <w:p w14:paraId="3A5F8286"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D250AF" w14:paraId="60D4FE31" w14:textId="77777777" w:rsidTr="00195E9B">
        <w:tc>
          <w:tcPr>
            <w:tcW w:w="6639" w:type="dxa"/>
          </w:tcPr>
          <w:p w14:paraId="7D1F1DBA"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BCRE - Brack Capital Real Estate Investments N.V.</w:t>
            </w:r>
          </w:p>
        </w:tc>
        <w:tc>
          <w:tcPr>
            <w:tcW w:w="2279" w:type="dxa"/>
          </w:tcPr>
          <w:p w14:paraId="2DC45A9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316F2203" w14:textId="77777777" w:rsidTr="00195E9B">
        <w:tc>
          <w:tcPr>
            <w:tcW w:w="6639" w:type="dxa"/>
          </w:tcPr>
          <w:p w14:paraId="662890B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Nansia Koutsou, Co-Chief Executive Officer</w:t>
            </w:r>
          </w:p>
        </w:tc>
        <w:tc>
          <w:tcPr>
            <w:tcW w:w="2279" w:type="dxa"/>
          </w:tcPr>
          <w:p w14:paraId="3D4594E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5BF8B57D" w14:textId="77777777" w:rsidTr="00195E9B">
        <w:tc>
          <w:tcPr>
            <w:tcW w:w="6639" w:type="dxa"/>
          </w:tcPr>
          <w:p w14:paraId="0F78A5BC"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80518EA" w14:textId="77777777" w:rsidTr="00195E9B">
        <w:tc>
          <w:tcPr>
            <w:tcW w:w="6639" w:type="dxa"/>
          </w:tcPr>
          <w:p w14:paraId="6F576B00"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 xml:space="preserve">Yiannis Peslikas, Chief Financial Officer </w:t>
            </w:r>
          </w:p>
        </w:tc>
        <w:tc>
          <w:tcPr>
            <w:tcW w:w="2279" w:type="dxa"/>
          </w:tcPr>
          <w:p w14:paraId="07B0E31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+31 20 514 1004</w:t>
            </w:r>
          </w:p>
        </w:tc>
      </w:tr>
      <w:tr w:rsidR="006C67CC" w:rsidRPr="00D250AF" w14:paraId="04C336A7" w14:textId="77777777" w:rsidTr="00195E9B">
        <w:tc>
          <w:tcPr>
            <w:tcW w:w="6639" w:type="dxa"/>
          </w:tcPr>
          <w:p w14:paraId="669992E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39D5E8A" w14:textId="77777777" w:rsidTr="00195E9B">
        <w:tc>
          <w:tcPr>
            <w:tcW w:w="6639" w:type="dxa"/>
          </w:tcPr>
          <w:p w14:paraId="50145F4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Tim Robertson</w:t>
            </w:r>
          </w:p>
        </w:tc>
        <w:tc>
          <w:tcPr>
            <w:tcW w:w="2279" w:type="dxa"/>
          </w:tcPr>
          <w:p w14:paraId="389768D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1D058F5F" w14:textId="77777777" w:rsidTr="00195E9B">
        <w:tc>
          <w:tcPr>
            <w:tcW w:w="6639" w:type="dxa"/>
          </w:tcPr>
          <w:p w14:paraId="67409F95"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Toby Andrews</w:t>
            </w:r>
          </w:p>
        </w:tc>
        <w:tc>
          <w:tcPr>
            <w:tcW w:w="2279" w:type="dxa"/>
          </w:tcPr>
          <w:p w14:paraId="353713F6"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+44 203 151 7008</w:t>
            </w:r>
          </w:p>
        </w:tc>
      </w:tr>
    </w:tbl>
    <w:p w14:paraId="795A0287" w14:textId="77777777" w:rsidR="006C67CC" w:rsidRPr="00D250AF" w:rsidRDefault="006C67CC" w:rsidP="00EC5B78">
      <w:pPr>
        <w:spacing w:after="0" w:line="276" w:lineRule="auto"/>
        <w:rPr>
          <w:rFonts w:ascii="Arial" w:hAnsi="Arial" w:cs="Arial"/>
          <w:color w:val="000000"/>
        </w:rPr>
      </w:pPr>
    </w:p>
    <w:p w14:paraId="0D1FFF24"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About BCRE</w:t>
      </w:r>
    </w:p>
    <w:p w14:paraId="1F8BB291" w14:textId="77777777" w:rsidR="005215AA" w:rsidRPr="00D250AF" w:rsidRDefault="005215AA" w:rsidP="00EC5B78">
      <w:pPr>
        <w:spacing w:after="0" w:line="276" w:lineRule="auto"/>
        <w:rPr>
          <w:rFonts w:ascii="Arial" w:hAnsi="Arial" w:cs="Arial"/>
          <w:b/>
          <w:color w:val="000000"/>
        </w:rPr>
      </w:pPr>
    </w:p>
    <w:p w14:paraId="4D4E17C7" w14:textId="77777777" w:rsidR="006C67CC" w:rsidRPr="00D250AF" w:rsidRDefault="006C67CC" w:rsidP="00EC5B78">
      <w:pPr>
        <w:spacing w:after="0" w:line="276" w:lineRule="auto"/>
        <w:jc w:val="both"/>
        <w:rPr>
          <w:rFonts w:ascii="Arial" w:hAnsi="Arial" w:cs="Arial"/>
          <w:color w:val="000000"/>
        </w:rPr>
      </w:pPr>
      <w:r w:rsidRPr="00D250AF">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D250AF" w:rsidRDefault="006C67CC" w:rsidP="00EC5B78">
      <w:pPr>
        <w:spacing w:after="0" w:line="276" w:lineRule="auto"/>
        <w:jc w:val="both"/>
        <w:rPr>
          <w:rFonts w:ascii="Arial" w:hAnsi="Arial" w:cs="Arial"/>
          <w:color w:val="000000"/>
        </w:rPr>
      </w:pPr>
    </w:p>
    <w:p w14:paraId="50B33D0A" w14:textId="77777777" w:rsidR="00A1364C" w:rsidRPr="00D250AF" w:rsidRDefault="00EC5B78" w:rsidP="00EC5B78">
      <w:pPr>
        <w:shd w:val="clear" w:color="auto" w:fill="FFFFFF"/>
        <w:spacing w:after="0" w:line="276" w:lineRule="auto"/>
        <w:jc w:val="both"/>
        <w:rPr>
          <w:rFonts w:ascii="Arial" w:eastAsia="Times New Roman" w:hAnsi="Arial" w:cs="Arial"/>
          <w:color w:val="000000"/>
          <w:lang w:eastAsia="en-GB"/>
        </w:rPr>
      </w:pPr>
      <w:r w:rsidRPr="00D250AF">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D250AF" w:rsidRDefault="00536FCA" w:rsidP="00671C60">
      <w:pPr>
        <w:spacing w:after="0" w:line="360" w:lineRule="auto"/>
        <w:jc w:val="both"/>
        <w:rPr>
          <w:rStyle w:val="bm"/>
          <w:rFonts w:ascii="Arial" w:hAnsi="Arial" w:cs="Arial"/>
          <w:b/>
          <w:lang w:eastAsia="en-CA"/>
        </w:rPr>
      </w:pPr>
    </w:p>
    <w:sectPr w:rsidR="00536FCA" w:rsidRPr="00D250AF" w:rsidSect="00026E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B4DF4" w14:textId="77777777" w:rsidR="00C22506" w:rsidRDefault="00C22506">
      <w:pPr>
        <w:spacing w:after="0" w:line="240" w:lineRule="auto"/>
      </w:pPr>
      <w:r>
        <w:separator/>
      </w:r>
    </w:p>
  </w:endnote>
  <w:endnote w:type="continuationSeparator" w:id="0">
    <w:p w14:paraId="0D731844" w14:textId="77777777" w:rsidR="00C22506" w:rsidRDefault="00C2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793AC" w14:textId="77777777" w:rsidR="00C22506" w:rsidRDefault="00C22506">
      <w:pPr>
        <w:spacing w:after="0" w:line="240" w:lineRule="auto"/>
      </w:pPr>
      <w:r>
        <w:separator/>
      </w:r>
    </w:p>
  </w:footnote>
  <w:footnote w:type="continuationSeparator" w:id="0">
    <w:p w14:paraId="17757ACF" w14:textId="77777777" w:rsidR="00C22506" w:rsidRDefault="00C2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6E"/>
    <w:rsid w:val="000213BD"/>
    <w:rsid w:val="00026E73"/>
    <w:rsid w:val="00032B55"/>
    <w:rsid w:val="00040649"/>
    <w:rsid w:val="0006722A"/>
    <w:rsid w:val="000C3D99"/>
    <w:rsid w:val="0011247D"/>
    <w:rsid w:val="00113858"/>
    <w:rsid w:val="001727DD"/>
    <w:rsid w:val="00176251"/>
    <w:rsid w:val="00187CE3"/>
    <w:rsid w:val="001C16DE"/>
    <w:rsid w:val="001C64D1"/>
    <w:rsid w:val="001E2967"/>
    <w:rsid w:val="00212521"/>
    <w:rsid w:val="00245AAE"/>
    <w:rsid w:val="00263788"/>
    <w:rsid w:val="00263EB5"/>
    <w:rsid w:val="00270530"/>
    <w:rsid w:val="00293987"/>
    <w:rsid w:val="002A19CA"/>
    <w:rsid w:val="002A21D5"/>
    <w:rsid w:val="002A22AE"/>
    <w:rsid w:val="002E092C"/>
    <w:rsid w:val="00327A8A"/>
    <w:rsid w:val="003F7FDD"/>
    <w:rsid w:val="004111B4"/>
    <w:rsid w:val="004156D7"/>
    <w:rsid w:val="00440482"/>
    <w:rsid w:val="00446B91"/>
    <w:rsid w:val="0046206C"/>
    <w:rsid w:val="00473C34"/>
    <w:rsid w:val="00475B86"/>
    <w:rsid w:val="004954D4"/>
    <w:rsid w:val="004A3DF0"/>
    <w:rsid w:val="004A65E7"/>
    <w:rsid w:val="00516BB3"/>
    <w:rsid w:val="005215AA"/>
    <w:rsid w:val="00534422"/>
    <w:rsid w:val="00536FCA"/>
    <w:rsid w:val="00573BCD"/>
    <w:rsid w:val="005916C6"/>
    <w:rsid w:val="005C1E5A"/>
    <w:rsid w:val="005F03F1"/>
    <w:rsid w:val="005F1F26"/>
    <w:rsid w:val="0060627C"/>
    <w:rsid w:val="00633A5B"/>
    <w:rsid w:val="00640586"/>
    <w:rsid w:val="00671C60"/>
    <w:rsid w:val="006834F8"/>
    <w:rsid w:val="006A745A"/>
    <w:rsid w:val="006C67CC"/>
    <w:rsid w:val="006E18D9"/>
    <w:rsid w:val="0073026A"/>
    <w:rsid w:val="007407BE"/>
    <w:rsid w:val="007421FB"/>
    <w:rsid w:val="00743296"/>
    <w:rsid w:val="007844D9"/>
    <w:rsid w:val="00785A47"/>
    <w:rsid w:val="007C1001"/>
    <w:rsid w:val="007C5969"/>
    <w:rsid w:val="00802B4B"/>
    <w:rsid w:val="008325C1"/>
    <w:rsid w:val="008F27C7"/>
    <w:rsid w:val="00910AF3"/>
    <w:rsid w:val="00911522"/>
    <w:rsid w:val="00914B29"/>
    <w:rsid w:val="00915DD9"/>
    <w:rsid w:val="00917C6A"/>
    <w:rsid w:val="00922046"/>
    <w:rsid w:val="00951140"/>
    <w:rsid w:val="009544FE"/>
    <w:rsid w:val="009921D3"/>
    <w:rsid w:val="009A347D"/>
    <w:rsid w:val="00A1364C"/>
    <w:rsid w:val="00A3725B"/>
    <w:rsid w:val="00A45F20"/>
    <w:rsid w:val="00A60716"/>
    <w:rsid w:val="00A7408C"/>
    <w:rsid w:val="00AA1B80"/>
    <w:rsid w:val="00AB21BE"/>
    <w:rsid w:val="00B07824"/>
    <w:rsid w:val="00B3448B"/>
    <w:rsid w:val="00B4699D"/>
    <w:rsid w:val="00B71DBD"/>
    <w:rsid w:val="00B915FC"/>
    <w:rsid w:val="00BA770F"/>
    <w:rsid w:val="00C120EE"/>
    <w:rsid w:val="00C16FC9"/>
    <w:rsid w:val="00C22506"/>
    <w:rsid w:val="00C27947"/>
    <w:rsid w:val="00C357C1"/>
    <w:rsid w:val="00C63BB7"/>
    <w:rsid w:val="00C82F1E"/>
    <w:rsid w:val="00D23964"/>
    <w:rsid w:val="00D250AF"/>
    <w:rsid w:val="00D42C4A"/>
    <w:rsid w:val="00D62054"/>
    <w:rsid w:val="00D80DC9"/>
    <w:rsid w:val="00DA4D00"/>
    <w:rsid w:val="00DC10E0"/>
    <w:rsid w:val="00DC192F"/>
    <w:rsid w:val="00DF5240"/>
    <w:rsid w:val="00DF5A4D"/>
    <w:rsid w:val="00E01AE9"/>
    <w:rsid w:val="00E03488"/>
    <w:rsid w:val="00E11C6E"/>
    <w:rsid w:val="00E3775F"/>
    <w:rsid w:val="00E4712B"/>
    <w:rsid w:val="00E71AED"/>
    <w:rsid w:val="00EA317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93EC-3734-5642-AE02-177BFF03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Toby Andrews</cp:lastModifiedBy>
  <cp:revision>2</cp:revision>
  <cp:lastPrinted>2018-10-22T06:32:00Z</cp:lastPrinted>
  <dcterms:created xsi:type="dcterms:W3CDTF">2018-11-06T07:33:00Z</dcterms:created>
  <dcterms:modified xsi:type="dcterms:W3CDTF">2018-11-06T07:33:00Z</dcterms:modified>
</cp:coreProperties>
</file>