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EF10B" w14:textId="77777777" w:rsidR="0046589D" w:rsidRPr="0046589D" w:rsidRDefault="0046589D" w:rsidP="002B69F2">
      <w:pPr>
        <w:spacing w:after="0" w:line="276" w:lineRule="auto"/>
        <w:ind w:right="26"/>
        <w:jc w:val="both"/>
        <w:rPr>
          <w:rFonts w:ascii="Calibri" w:hAnsi="Calibri" w:cs="Calibri"/>
          <w:b/>
          <w:iCs/>
          <w:color w:val="002060"/>
        </w:rPr>
      </w:pPr>
      <w:bookmarkStart w:id="0" w:name="_GoBack"/>
      <w:bookmarkEnd w:id="0"/>
      <w:r w:rsidRPr="0046589D">
        <w:rPr>
          <w:rFonts w:ascii="Calibri" w:hAnsi="Calibri" w:cs="Calibri"/>
          <w:b/>
          <w:iCs/>
          <w:color w:val="002060"/>
        </w:rPr>
        <w:t xml:space="preserve">Shell announces the </w:t>
      </w:r>
      <w:r>
        <w:rPr>
          <w:rFonts w:ascii="Calibri" w:hAnsi="Calibri" w:cs="Calibri"/>
          <w:b/>
          <w:iCs/>
          <w:color w:val="002060"/>
        </w:rPr>
        <w:t>second</w:t>
      </w:r>
      <w:r w:rsidRPr="0046589D">
        <w:rPr>
          <w:rFonts w:ascii="Calibri" w:hAnsi="Calibri" w:cs="Calibri"/>
          <w:b/>
          <w:iCs/>
          <w:color w:val="002060"/>
        </w:rPr>
        <w:t xml:space="preserve"> tranche of the share buyback programme</w:t>
      </w:r>
    </w:p>
    <w:p w14:paraId="00F21B13" w14:textId="77777777" w:rsidR="0046589D" w:rsidRPr="0046589D" w:rsidRDefault="0046589D" w:rsidP="002B69F2">
      <w:pPr>
        <w:spacing w:after="0" w:line="276" w:lineRule="auto"/>
        <w:ind w:right="26"/>
        <w:jc w:val="both"/>
        <w:rPr>
          <w:rFonts w:ascii="Calibri" w:hAnsi="Calibri" w:cs="Calibri"/>
          <w:iCs/>
          <w:color w:val="002060"/>
        </w:rPr>
      </w:pPr>
    </w:p>
    <w:p w14:paraId="630566D7" w14:textId="6CDF3A5F" w:rsidR="0046589D" w:rsidRPr="002B69F2" w:rsidRDefault="0046589D" w:rsidP="002B69F2">
      <w:pPr>
        <w:spacing w:after="0" w:line="276" w:lineRule="auto"/>
        <w:ind w:right="26"/>
        <w:jc w:val="both"/>
        <w:rPr>
          <w:rFonts w:ascii="Calibri" w:hAnsi="Calibri" w:cs="Calibri"/>
          <w:iCs/>
          <w:color w:val="002060"/>
        </w:rPr>
      </w:pPr>
      <w:r w:rsidRPr="002B69F2">
        <w:rPr>
          <w:rFonts w:ascii="Calibri" w:hAnsi="Calibri" w:cs="Calibri"/>
          <w:iCs/>
          <w:color w:val="002060"/>
        </w:rPr>
        <w:t xml:space="preserve">November </w:t>
      </w:r>
      <w:r w:rsidR="00D71421" w:rsidRPr="002B69F2">
        <w:rPr>
          <w:rFonts w:ascii="Calibri" w:hAnsi="Calibri" w:cs="Calibri"/>
          <w:iCs/>
          <w:color w:val="002060"/>
        </w:rPr>
        <w:t>1</w:t>
      </w:r>
      <w:r w:rsidRPr="002B69F2">
        <w:rPr>
          <w:rFonts w:ascii="Calibri" w:hAnsi="Calibri" w:cs="Calibri"/>
          <w:iCs/>
          <w:color w:val="002060"/>
        </w:rPr>
        <w:t>, 2018</w:t>
      </w:r>
    </w:p>
    <w:p w14:paraId="6147361F" w14:textId="1DEB1A48" w:rsidR="00082264" w:rsidRPr="002B69F2" w:rsidRDefault="0046589D" w:rsidP="002B69F2">
      <w:pPr>
        <w:spacing w:after="0" w:line="276" w:lineRule="auto"/>
        <w:ind w:right="26"/>
        <w:jc w:val="both"/>
        <w:rPr>
          <w:rFonts w:ascii="Calibri" w:hAnsi="Calibri" w:cs="Calibri"/>
          <w:i/>
          <w:iCs/>
          <w:color w:val="002060"/>
        </w:rPr>
      </w:pPr>
      <w:r w:rsidRPr="002B69F2">
        <w:rPr>
          <w:rFonts w:ascii="Calibri" w:hAnsi="Calibri" w:cs="Calibri"/>
          <w:iCs/>
          <w:color w:val="002060"/>
        </w:rPr>
        <w:t>Royal Dutch Shell plc (the ‘company’) today announces the commencement of trading</w:t>
      </w:r>
      <w:r w:rsidR="0092638E" w:rsidRPr="002B69F2">
        <w:rPr>
          <w:rFonts w:ascii="Calibri" w:hAnsi="Calibri" w:cs="Calibri"/>
          <w:iCs/>
          <w:color w:val="002060"/>
        </w:rPr>
        <w:t xml:space="preserve"> in </w:t>
      </w:r>
      <w:r w:rsidR="00A1618D" w:rsidRPr="002B69F2">
        <w:rPr>
          <w:rFonts w:ascii="Calibri" w:hAnsi="Calibri" w:cs="Calibri"/>
          <w:iCs/>
          <w:color w:val="002060"/>
        </w:rPr>
        <w:t xml:space="preserve">the </w:t>
      </w:r>
      <w:r w:rsidR="0092638E" w:rsidRPr="002B69F2">
        <w:rPr>
          <w:rFonts w:ascii="Calibri" w:hAnsi="Calibri" w:cs="Calibri"/>
          <w:iCs/>
          <w:color w:val="002060"/>
        </w:rPr>
        <w:t>second tranche</w:t>
      </w:r>
      <w:r w:rsidRPr="002B69F2">
        <w:rPr>
          <w:rFonts w:ascii="Calibri" w:hAnsi="Calibri" w:cs="Calibri"/>
          <w:iCs/>
          <w:color w:val="002060"/>
        </w:rPr>
        <w:t xml:space="preserve"> of its share buyback programme previously announced on July 26, 2018.  </w:t>
      </w:r>
      <w:r w:rsidR="00194AE9" w:rsidRPr="002B69F2">
        <w:rPr>
          <w:rFonts w:ascii="Calibri" w:hAnsi="Calibri" w:cs="Calibri"/>
          <w:iCs/>
          <w:color w:val="002060"/>
        </w:rPr>
        <w:t>The company’s</w:t>
      </w:r>
      <w:r w:rsidR="00082264" w:rsidRPr="002B69F2">
        <w:rPr>
          <w:rFonts w:ascii="Calibri" w:hAnsi="Calibri" w:cs="Calibri"/>
          <w:iCs/>
          <w:color w:val="002060"/>
        </w:rPr>
        <w:t xml:space="preserve"> intention </w:t>
      </w:r>
      <w:r w:rsidR="008D7C88" w:rsidRPr="002B69F2">
        <w:rPr>
          <w:rFonts w:ascii="Calibri" w:hAnsi="Calibri" w:cs="Calibri"/>
          <w:iCs/>
          <w:color w:val="002060"/>
        </w:rPr>
        <w:t xml:space="preserve">is </w:t>
      </w:r>
      <w:r w:rsidR="00082264" w:rsidRPr="002B69F2">
        <w:rPr>
          <w:rFonts w:ascii="Calibri" w:hAnsi="Calibri" w:cs="Calibri"/>
          <w:iCs/>
          <w:color w:val="002060"/>
        </w:rPr>
        <w:t xml:space="preserve">to buy back at least $25 billion of </w:t>
      </w:r>
      <w:r w:rsidR="00194AE9" w:rsidRPr="002B69F2">
        <w:rPr>
          <w:rFonts w:ascii="Calibri" w:hAnsi="Calibri" w:cs="Calibri"/>
          <w:iCs/>
          <w:color w:val="002060"/>
        </w:rPr>
        <w:t>its</w:t>
      </w:r>
      <w:r w:rsidR="00082264" w:rsidRPr="002B69F2">
        <w:rPr>
          <w:rFonts w:ascii="Calibri" w:hAnsi="Calibri" w:cs="Calibri"/>
          <w:iCs/>
          <w:color w:val="002060"/>
        </w:rPr>
        <w:t xml:space="preserve"> shares </w:t>
      </w:r>
      <w:r w:rsidR="007C1B14" w:rsidRPr="002B69F2">
        <w:rPr>
          <w:rFonts w:ascii="Calibri" w:hAnsi="Calibri" w:cs="Calibri"/>
          <w:iCs/>
          <w:color w:val="002060"/>
        </w:rPr>
        <w:t>by the end of 2020</w:t>
      </w:r>
      <w:r w:rsidR="00082264" w:rsidRPr="002B69F2">
        <w:rPr>
          <w:rFonts w:ascii="Calibri" w:hAnsi="Calibri" w:cs="Calibri"/>
          <w:iCs/>
          <w:color w:val="002060"/>
        </w:rPr>
        <w:t>, subject to further progress with debt reduction and oil price conditions.</w:t>
      </w:r>
      <w:r w:rsidR="00082264" w:rsidRPr="002B69F2">
        <w:rPr>
          <w:rFonts w:ascii="Calibri" w:hAnsi="Calibri" w:cs="Calibri"/>
          <w:i/>
          <w:iCs/>
          <w:color w:val="002060"/>
        </w:rPr>
        <w:t xml:space="preserve"> </w:t>
      </w:r>
    </w:p>
    <w:p w14:paraId="03F43DC6" w14:textId="77777777" w:rsidR="005B189F" w:rsidRPr="002B69F2" w:rsidRDefault="005B189F" w:rsidP="002B69F2">
      <w:pPr>
        <w:spacing w:after="0" w:line="276" w:lineRule="auto"/>
        <w:ind w:right="26"/>
        <w:jc w:val="both"/>
        <w:rPr>
          <w:rFonts w:ascii="Calibri" w:hAnsi="Calibri" w:cs="Calibri"/>
          <w:i/>
          <w:iCs/>
          <w:color w:val="002060"/>
        </w:rPr>
      </w:pPr>
    </w:p>
    <w:p w14:paraId="4BF287BB" w14:textId="77777777" w:rsidR="005B189F" w:rsidRPr="002B69F2" w:rsidRDefault="005B189F" w:rsidP="002B69F2">
      <w:pPr>
        <w:spacing w:after="0" w:line="276" w:lineRule="auto"/>
        <w:ind w:right="26"/>
        <w:jc w:val="both"/>
        <w:rPr>
          <w:rFonts w:ascii="Calibri" w:hAnsi="Calibri" w:cs="Calibri"/>
          <w:iCs/>
          <w:color w:val="002060"/>
        </w:rPr>
      </w:pPr>
      <w:r w:rsidRPr="002B69F2">
        <w:rPr>
          <w:rFonts w:ascii="Calibri" w:hAnsi="Calibri" w:cs="Calibri"/>
          <w:iCs/>
          <w:color w:val="002060"/>
        </w:rPr>
        <w:t>On October 19, 2018 the company completed the first tranche of its share buyback programme</w:t>
      </w:r>
      <w:r w:rsidR="008E2943" w:rsidRPr="002B69F2">
        <w:rPr>
          <w:rFonts w:ascii="Calibri" w:hAnsi="Calibri" w:cs="Calibri"/>
          <w:iCs/>
          <w:color w:val="002060"/>
        </w:rPr>
        <w:t xml:space="preserve"> (</w:t>
      </w:r>
      <w:r w:rsidR="004572DE" w:rsidRPr="002B69F2">
        <w:rPr>
          <w:rFonts w:ascii="Calibri" w:hAnsi="Calibri" w:cs="Calibri"/>
          <w:iCs/>
          <w:color w:val="002060"/>
        </w:rPr>
        <w:t xml:space="preserve">the </w:t>
      </w:r>
      <w:r w:rsidR="008E2943" w:rsidRPr="002B69F2">
        <w:rPr>
          <w:rFonts w:ascii="Calibri" w:hAnsi="Calibri" w:cs="Calibri"/>
          <w:iCs/>
          <w:color w:val="002060"/>
        </w:rPr>
        <w:t xml:space="preserve">‘initial </w:t>
      </w:r>
      <w:r w:rsidR="00BC16BF" w:rsidRPr="002B69F2">
        <w:rPr>
          <w:rFonts w:ascii="Calibri" w:hAnsi="Calibri" w:cs="Calibri"/>
          <w:iCs/>
          <w:color w:val="002060"/>
        </w:rPr>
        <w:t>tranche</w:t>
      </w:r>
      <w:r w:rsidR="008E2943" w:rsidRPr="002B69F2">
        <w:rPr>
          <w:rFonts w:ascii="Calibri" w:hAnsi="Calibri" w:cs="Calibri"/>
          <w:iCs/>
          <w:color w:val="002060"/>
        </w:rPr>
        <w:t>’)</w:t>
      </w:r>
      <w:r w:rsidRPr="002B69F2">
        <w:rPr>
          <w:rFonts w:ascii="Calibri" w:hAnsi="Calibri" w:cs="Calibri"/>
          <w:iCs/>
          <w:color w:val="002060"/>
        </w:rPr>
        <w:t>. In aggregate between July 26, 2018 and October 19, 2018, the company repurchased 60,844,806 A ordinary shares for an aggregate consideration of $2 billion.</w:t>
      </w:r>
    </w:p>
    <w:p w14:paraId="324DF09E" w14:textId="77777777" w:rsidR="001A104C" w:rsidRPr="002B69F2" w:rsidRDefault="001A104C" w:rsidP="002B69F2">
      <w:pPr>
        <w:spacing w:after="0" w:line="276" w:lineRule="auto"/>
        <w:ind w:right="26"/>
        <w:jc w:val="both"/>
        <w:rPr>
          <w:rFonts w:ascii="Calibri" w:hAnsi="Calibri" w:cs="Calibri"/>
          <w:iCs/>
          <w:color w:val="002060"/>
        </w:rPr>
      </w:pPr>
    </w:p>
    <w:p w14:paraId="7C8453CE" w14:textId="3DE77492" w:rsidR="0092638E" w:rsidRPr="002B69F2" w:rsidRDefault="001A104C" w:rsidP="002B69F2">
      <w:pPr>
        <w:spacing w:after="0" w:line="276" w:lineRule="auto"/>
        <w:ind w:right="26"/>
        <w:jc w:val="both"/>
        <w:rPr>
          <w:rFonts w:ascii="Calibri" w:hAnsi="Calibri" w:cs="Calibri"/>
          <w:bCs/>
          <w:iCs/>
          <w:color w:val="002060"/>
          <w:lang w:val="en-US"/>
        </w:rPr>
      </w:pPr>
      <w:r w:rsidRPr="002B69F2">
        <w:rPr>
          <w:rFonts w:ascii="Calibri" w:hAnsi="Calibri" w:cs="Calibri"/>
          <w:bCs/>
          <w:iCs/>
          <w:color w:val="002060"/>
        </w:rPr>
        <w:t xml:space="preserve">The maximum number of ordinary shares which may be purchased by the company under </w:t>
      </w:r>
      <w:r w:rsidR="00547C10" w:rsidRPr="002B69F2">
        <w:rPr>
          <w:rFonts w:ascii="Calibri" w:hAnsi="Calibri" w:cs="Calibri"/>
          <w:bCs/>
          <w:iCs/>
          <w:color w:val="002060"/>
        </w:rPr>
        <w:t xml:space="preserve">the </w:t>
      </w:r>
      <w:r w:rsidR="00B80842" w:rsidRPr="002B69F2">
        <w:rPr>
          <w:rFonts w:ascii="Calibri" w:hAnsi="Calibri" w:cs="Calibri"/>
          <w:bCs/>
          <w:iCs/>
          <w:color w:val="002060"/>
        </w:rPr>
        <w:t xml:space="preserve">second tranche </w:t>
      </w:r>
      <w:r w:rsidR="002A6B2B" w:rsidRPr="002B69F2">
        <w:rPr>
          <w:rFonts w:ascii="Calibri" w:hAnsi="Calibri" w:cs="Calibri"/>
          <w:bCs/>
          <w:iCs/>
          <w:color w:val="002060"/>
        </w:rPr>
        <w:t xml:space="preserve">of </w:t>
      </w:r>
      <w:r w:rsidR="0094525A" w:rsidRPr="002B69F2">
        <w:rPr>
          <w:rFonts w:ascii="Calibri" w:hAnsi="Calibri" w:cs="Calibri"/>
          <w:bCs/>
          <w:iCs/>
          <w:color w:val="002060"/>
        </w:rPr>
        <w:t>its</w:t>
      </w:r>
      <w:r w:rsidR="002A6B2B" w:rsidRPr="002B69F2">
        <w:rPr>
          <w:rFonts w:ascii="Calibri" w:hAnsi="Calibri" w:cs="Calibri"/>
          <w:bCs/>
          <w:iCs/>
          <w:color w:val="002060"/>
        </w:rPr>
        <w:t xml:space="preserve"> share buyback programme (the ‘second tranche’) </w:t>
      </w:r>
      <w:r w:rsidRPr="002B69F2">
        <w:rPr>
          <w:rFonts w:ascii="Calibri" w:hAnsi="Calibri" w:cs="Calibri"/>
          <w:bCs/>
          <w:iCs/>
          <w:color w:val="002060"/>
        </w:rPr>
        <w:t xml:space="preserve">is </w:t>
      </w:r>
      <w:r w:rsidR="005B189F" w:rsidRPr="002B69F2">
        <w:rPr>
          <w:rFonts w:ascii="Calibri" w:hAnsi="Calibri" w:cs="Calibri"/>
          <w:bCs/>
          <w:iCs/>
          <w:color w:val="002060"/>
        </w:rPr>
        <w:t>773,155,194</w:t>
      </w:r>
      <w:r w:rsidRPr="002B69F2">
        <w:rPr>
          <w:rFonts w:ascii="Calibri" w:hAnsi="Calibri" w:cs="Calibri"/>
          <w:bCs/>
          <w:iCs/>
          <w:color w:val="002060"/>
        </w:rPr>
        <w:t>, which is the maximum pursuant to the authority granted by shareholders at the company's 2018 Annual General Meeting</w:t>
      </w:r>
      <w:r w:rsidR="00EC01D4" w:rsidRPr="002B69F2">
        <w:rPr>
          <w:rStyle w:val="FootnoteReference"/>
          <w:rFonts w:ascii="Calibri" w:hAnsi="Calibri" w:cs="Calibri"/>
          <w:bCs/>
          <w:iCs/>
          <w:color w:val="002060"/>
        </w:rPr>
        <w:footnoteReference w:id="1"/>
      </w:r>
      <w:r w:rsidR="002A6B2B" w:rsidRPr="002B69F2">
        <w:rPr>
          <w:rFonts w:ascii="Calibri" w:hAnsi="Calibri" w:cs="Calibri"/>
          <w:bCs/>
          <w:iCs/>
          <w:color w:val="002060"/>
        </w:rPr>
        <w:t xml:space="preserve"> minus the number of </w:t>
      </w:r>
      <w:r w:rsidR="00630C3C" w:rsidRPr="002B69F2">
        <w:rPr>
          <w:rFonts w:ascii="Calibri" w:hAnsi="Calibri" w:cs="Calibri"/>
          <w:bCs/>
          <w:iCs/>
          <w:color w:val="002060"/>
        </w:rPr>
        <w:t xml:space="preserve">ordinary </w:t>
      </w:r>
      <w:r w:rsidR="002A6B2B" w:rsidRPr="002B69F2">
        <w:rPr>
          <w:rFonts w:ascii="Calibri" w:hAnsi="Calibri" w:cs="Calibri"/>
          <w:bCs/>
          <w:iCs/>
          <w:color w:val="002060"/>
        </w:rPr>
        <w:t>shares purchased in the initial tranch</w:t>
      </w:r>
      <w:r w:rsidR="00BD1204" w:rsidRPr="002B69F2">
        <w:rPr>
          <w:rFonts w:ascii="Calibri" w:hAnsi="Calibri" w:cs="Calibri"/>
          <w:bCs/>
          <w:iCs/>
          <w:color w:val="002060"/>
        </w:rPr>
        <w:t xml:space="preserve">e. </w:t>
      </w:r>
    </w:p>
    <w:p w14:paraId="5C2B2312" w14:textId="77777777" w:rsidR="0046589D" w:rsidRPr="002B69F2" w:rsidRDefault="0046589D" w:rsidP="002B69F2">
      <w:pPr>
        <w:spacing w:after="0" w:line="276" w:lineRule="auto"/>
        <w:ind w:right="26"/>
        <w:jc w:val="both"/>
        <w:rPr>
          <w:rFonts w:ascii="Calibri" w:hAnsi="Calibri" w:cs="Calibri"/>
          <w:iCs/>
          <w:color w:val="002060"/>
        </w:rPr>
      </w:pPr>
    </w:p>
    <w:p w14:paraId="7DED62D8" w14:textId="7CBE6AF0" w:rsidR="0046589D" w:rsidRPr="002B69F2" w:rsidRDefault="0046589D" w:rsidP="002B69F2">
      <w:pPr>
        <w:spacing w:after="0" w:line="276" w:lineRule="auto"/>
        <w:ind w:right="26"/>
        <w:jc w:val="both"/>
        <w:rPr>
          <w:rFonts w:ascii="Calibri" w:hAnsi="Calibri" w:cs="Calibri"/>
          <w:bCs/>
          <w:iCs/>
          <w:color w:val="002060"/>
          <w:lang w:val="en-US"/>
        </w:rPr>
      </w:pPr>
      <w:r w:rsidRPr="002B69F2">
        <w:rPr>
          <w:rFonts w:ascii="Calibri" w:hAnsi="Calibri" w:cs="Calibri"/>
          <w:iCs/>
          <w:color w:val="002060"/>
        </w:rPr>
        <w:t>In the second tranche</w:t>
      </w:r>
      <w:r w:rsidR="0094525A" w:rsidRPr="002B69F2">
        <w:rPr>
          <w:rFonts w:ascii="Calibri" w:hAnsi="Calibri" w:cs="Calibri"/>
          <w:iCs/>
          <w:color w:val="002060"/>
        </w:rPr>
        <w:t>,</w:t>
      </w:r>
      <w:r w:rsidRPr="002B69F2">
        <w:rPr>
          <w:rFonts w:ascii="Calibri" w:hAnsi="Calibri" w:cs="Calibri"/>
          <w:iCs/>
          <w:color w:val="002060"/>
        </w:rPr>
        <w:t xml:space="preserve"> the company has entered into an irrevocable, non-discretionary arrangement with a broker to enable the purchase of </w:t>
      </w:r>
      <w:proofErr w:type="spellStart"/>
      <w:r w:rsidRPr="002B69F2">
        <w:rPr>
          <w:rFonts w:ascii="Calibri" w:hAnsi="Calibri" w:cs="Calibri"/>
          <w:iCs/>
          <w:color w:val="002060"/>
        </w:rPr>
        <w:t>A</w:t>
      </w:r>
      <w:proofErr w:type="spellEnd"/>
      <w:r w:rsidRPr="002B69F2">
        <w:rPr>
          <w:rFonts w:ascii="Calibri" w:hAnsi="Calibri" w:cs="Calibri"/>
          <w:iCs/>
          <w:color w:val="002060"/>
        </w:rPr>
        <w:t xml:space="preserve"> ordinary shares and/or B ordinary shares</w:t>
      </w:r>
      <w:r w:rsidR="00082264" w:rsidRPr="002B69F2">
        <w:rPr>
          <w:rFonts w:ascii="Calibri" w:hAnsi="Calibri" w:cs="Calibri"/>
          <w:iCs/>
          <w:color w:val="002060"/>
        </w:rPr>
        <w:t xml:space="preserve"> </w:t>
      </w:r>
      <w:r w:rsidR="00D850D7" w:rsidRPr="002B69F2">
        <w:rPr>
          <w:rFonts w:ascii="Calibri" w:hAnsi="Calibri" w:cs="Calibri"/>
          <w:iCs/>
          <w:color w:val="002060"/>
        </w:rPr>
        <w:t xml:space="preserve">for a period </w:t>
      </w:r>
      <w:r w:rsidRPr="002B69F2">
        <w:rPr>
          <w:rFonts w:ascii="Calibri" w:hAnsi="Calibri" w:cs="Calibri"/>
          <w:iCs/>
          <w:color w:val="002060"/>
        </w:rPr>
        <w:t xml:space="preserve">up to and including January </w:t>
      </w:r>
      <w:r w:rsidR="00D71421" w:rsidRPr="002B69F2">
        <w:rPr>
          <w:rFonts w:ascii="Calibri" w:hAnsi="Calibri" w:cs="Calibri"/>
          <w:iCs/>
          <w:color w:val="002060"/>
        </w:rPr>
        <w:t>28</w:t>
      </w:r>
      <w:r w:rsidRPr="002B69F2">
        <w:rPr>
          <w:rFonts w:ascii="Calibri" w:hAnsi="Calibri" w:cs="Calibri"/>
          <w:iCs/>
          <w:color w:val="002060"/>
        </w:rPr>
        <w:t xml:space="preserve">, 2019. The aggregate maximum consideration for the purchase of </w:t>
      </w:r>
      <w:proofErr w:type="spellStart"/>
      <w:r w:rsidRPr="002B69F2">
        <w:rPr>
          <w:rFonts w:ascii="Calibri" w:hAnsi="Calibri" w:cs="Calibri"/>
          <w:iCs/>
          <w:color w:val="002060"/>
        </w:rPr>
        <w:t>A</w:t>
      </w:r>
      <w:proofErr w:type="spellEnd"/>
      <w:r w:rsidRPr="002B69F2">
        <w:rPr>
          <w:rFonts w:ascii="Calibri" w:hAnsi="Calibri" w:cs="Calibri"/>
          <w:iCs/>
          <w:color w:val="002060"/>
        </w:rPr>
        <w:t xml:space="preserve"> ordinary shares and</w:t>
      </w:r>
      <w:r w:rsidR="00D850D7" w:rsidRPr="002B69F2">
        <w:rPr>
          <w:rFonts w:ascii="Calibri" w:hAnsi="Calibri" w:cs="Calibri"/>
          <w:iCs/>
          <w:color w:val="002060"/>
        </w:rPr>
        <w:t>/or</w:t>
      </w:r>
      <w:r w:rsidRPr="002B69F2">
        <w:rPr>
          <w:rFonts w:ascii="Calibri" w:hAnsi="Calibri" w:cs="Calibri"/>
          <w:iCs/>
          <w:color w:val="002060"/>
        </w:rPr>
        <w:t xml:space="preserve"> B ordinary shares under the second </w:t>
      </w:r>
      <w:r w:rsidR="00BC16BF" w:rsidRPr="002B69F2">
        <w:rPr>
          <w:rFonts w:ascii="Calibri" w:hAnsi="Calibri" w:cs="Calibri"/>
          <w:iCs/>
          <w:color w:val="002060"/>
        </w:rPr>
        <w:t xml:space="preserve">tranche </w:t>
      </w:r>
      <w:r w:rsidRPr="002B69F2">
        <w:rPr>
          <w:rFonts w:ascii="Calibri" w:hAnsi="Calibri" w:cs="Calibri"/>
          <w:iCs/>
          <w:color w:val="002060"/>
        </w:rPr>
        <w:t>is $</w:t>
      </w:r>
      <w:r w:rsidR="00D71421" w:rsidRPr="002B69F2">
        <w:rPr>
          <w:rFonts w:ascii="Calibri" w:hAnsi="Calibri" w:cs="Calibri"/>
          <w:iCs/>
          <w:color w:val="002060"/>
        </w:rPr>
        <w:t>2.5</w:t>
      </w:r>
      <w:r w:rsidRPr="002B69F2">
        <w:rPr>
          <w:rFonts w:ascii="Calibri" w:hAnsi="Calibri" w:cs="Calibri"/>
          <w:iCs/>
          <w:color w:val="002060"/>
        </w:rPr>
        <w:t xml:space="preserve"> billion. </w:t>
      </w:r>
      <w:r w:rsidRPr="002B69F2">
        <w:rPr>
          <w:rFonts w:ascii="Calibri" w:hAnsi="Calibri" w:cs="Calibri"/>
          <w:bCs/>
          <w:iCs/>
          <w:color w:val="002060"/>
          <w:lang w:val="en-US"/>
        </w:rPr>
        <w:t xml:space="preserve">The shares bought back under the second </w:t>
      </w:r>
      <w:r w:rsidR="00BC16BF" w:rsidRPr="002B69F2">
        <w:rPr>
          <w:rFonts w:ascii="Calibri" w:hAnsi="Calibri" w:cs="Calibri"/>
          <w:bCs/>
          <w:iCs/>
          <w:color w:val="002060"/>
        </w:rPr>
        <w:t>tranche</w:t>
      </w:r>
      <w:r w:rsidR="00BC16BF" w:rsidRPr="002B69F2">
        <w:rPr>
          <w:rFonts w:ascii="Calibri" w:hAnsi="Calibri" w:cs="Calibri"/>
          <w:bCs/>
          <w:iCs/>
          <w:color w:val="002060"/>
          <w:lang w:val="en-US"/>
        </w:rPr>
        <w:t xml:space="preserve"> </w:t>
      </w:r>
      <w:r w:rsidRPr="002B69F2">
        <w:rPr>
          <w:rFonts w:ascii="Calibri" w:hAnsi="Calibri" w:cs="Calibri"/>
          <w:bCs/>
          <w:iCs/>
          <w:color w:val="002060"/>
          <w:lang w:val="en-US"/>
        </w:rPr>
        <w:t xml:space="preserve">will be whichever of the </w:t>
      </w:r>
      <w:r w:rsidRPr="002B69F2">
        <w:rPr>
          <w:rFonts w:ascii="Calibri" w:hAnsi="Calibri" w:cs="Calibri"/>
          <w:bCs/>
          <w:iCs/>
          <w:color w:val="002060"/>
        </w:rPr>
        <w:t>A ordinary shares and/or B ordinary shares</w:t>
      </w:r>
      <w:r w:rsidRPr="002B69F2">
        <w:rPr>
          <w:rFonts w:ascii="Calibri" w:hAnsi="Calibri" w:cs="Calibri"/>
          <w:bCs/>
          <w:iCs/>
          <w:color w:val="002060"/>
          <w:lang w:val="en-US"/>
        </w:rPr>
        <w:t xml:space="preserve"> is economically the least expensive on a given trading day. </w:t>
      </w:r>
    </w:p>
    <w:p w14:paraId="16F5FB99" w14:textId="77777777" w:rsidR="0046589D" w:rsidRPr="002B69F2" w:rsidRDefault="0046589D" w:rsidP="002B69F2">
      <w:pPr>
        <w:spacing w:after="0" w:line="276" w:lineRule="auto"/>
        <w:ind w:right="26"/>
        <w:jc w:val="both"/>
        <w:rPr>
          <w:rFonts w:ascii="Calibri" w:hAnsi="Calibri" w:cs="Calibri"/>
          <w:iCs/>
          <w:color w:val="002060"/>
        </w:rPr>
      </w:pPr>
    </w:p>
    <w:p w14:paraId="75C1CB42" w14:textId="6C46FB5F" w:rsidR="0046589D" w:rsidRPr="0046589D" w:rsidRDefault="0046589D" w:rsidP="002B69F2">
      <w:pPr>
        <w:spacing w:after="0" w:line="276" w:lineRule="auto"/>
        <w:ind w:right="26"/>
        <w:jc w:val="both"/>
        <w:rPr>
          <w:rFonts w:ascii="Calibri" w:hAnsi="Calibri" w:cs="Calibri"/>
          <w:iCs/>
          <w:color w:val="002060"/>
        </w:rPr>
      </w:pPr>
      <w:r w:rsidRPr="002B69F2">
        <w:rPr>
          <w:rFonts w:ascii="Calibri" w:hAnsi="Calibri" w:cs="Calibri"/>
          <w:bCs/>
          <w:iCs/>
          <w:color w:val="002060"/>
          <w:lang w:val="en-US"/>
        </w:rPr>
        <w:t xml:space="preserve">The </w:t>
      </w:r>
      <w:r w:rsidRPr="002B69F2">
        <w:rPr>
          <w:rFonts w:ascii="Calibri" w:hAnsi="Calibri" w:cs="Calibri"/>
          <w:iCs/>
          <w:color w:val="002060"/>
        </w:rPr>
        <w:t xml:space="preserve">broker will make its trading decisions in relation to the company's securities independently of the company. The second </w:t>
      </w:r>
      <w:r w:rsidR="00BC16BF" w:rsidRPr="002B69F2">
        <w:rPr>
          <w:rFonts w:ascii="Calibri" w:hAnsi="Calibri" w:cs="Calibri"/>
          <w:iCs/>
          <w:color w:val="002060"/>
        </w:rPr>
        <w:t xml:space="preserve">tranche </w:t>
      </w:r>
      <w:r w:rsidRPr="002B69F2">
        <w:rPr>
          <w:rFonts w:ascii="Calibri" w:hAnsi="Calibri" w:cs="Calibri"/>
          <w:iCs/>
          <w:color w:val="002060"/>
        </w:rPr>
        <w:t>will be carried out on the London Stock Exchange and/or on CBOE Europe Equities and will be effected within certain pre-set</w:t>
      </w:r>
      <w:r w:rsidRPr="0046589D">
        <w:rPr>
          <w:rFonts w:ascii="Calibri" w:hAnsi="Calibri" w:cs="Calibri"/>
          <w:iCs/>
          <w:color w:val="002060"/>
        </w:rPr>
        <w:t xml:space="preserve"> parameters. It will be conducted in accordance with the company's general authority to repurchase shares granted by its shareholders at the company’s Annual General Meeting held on May 22, 2018</w:t>
      </w:r>
      <w:r w:rsidR="00EC01D4">
        <w:rPr>
          <w:rStyle w:val="FootnoteReference"/>
          <w:rFonts w:ascii="Calibri" w:hAnsi="Calibri" w:cs="Calibri"/>
          <w:iCs/>
          <w:color w:val="002060"/>
        </w:rPr>
        <w:t>1</w:t>
      </w:r>
      <w:r w:rsidRPr="0046589D">
        <w:rPr>
          <w:rFonts w:ascii="Calibri" w:hAnsi="Calibri" w:cs="Calibri"/>
          <w:iCs/>
          <w:color w:val="002060"/>
        </w:rPr>
        <w:t>, and in line with Chapter 12 of the Listing Rules, Article 5 of the Market Abuse Regulation 596/2014/EU dealing with buyback programmes and the Commission Delegated Regulation (EU) 2016/1052.</w:t>
      </w:r>
    </w:p>
    <w:p w14:paraId="269FA966" w14:textId="77777777" w:rsidR="0046589D" w:rsidRPr="0046589D" w:rsidRDefault="0046589D" w:rsidP="002B69F2">
      <w:pPr>
        <w:spacing w:after="0" w:line="276" w:lineRule="auto"/>
        <w:ind w:right="26"/>
        <w:jc w:val="both"/>
        <w:rPr>
          <w:rFonts w:ascii="Calibri" w:hAnsi="Calibri" w:cs="Calibri"/>
          <w:iCs/>
          <w:color w:val="002060"/>
        </w:rPr>
      </w:pPr>
    </w:p>
    <w:p w14:paraId="563282CC" w14:textId="2AE02C9E" w:rsidR="0046589D" w:rsidRPr="0046589D" w:rsidRDefault="0046589D" w:rsidP="002B69F2">
      <w:pPr>
        <w:spacing w:after="0" w:line="276" w:lineRule="auto"/>
        <w:ind w:right="26"/>
        <w:jc w:val="both"/>
        <w:rPr>
          <w:rFonts w:ascii="Calibri" w:hAnsi="Calibri" w:cs="Calibri"/>
          <w:iCs/>
          <w:color w:val="002060"/>
        </w:rPr>
      </w:pPr>
      <w:r w:rsidRPr="0046589D">
        <w:rPr>
          <w:rFonts w:ascii="Calibri" w:hAnsi="Calibri" w:cs="Calibri"/>
          <w:iCs/>
          <w:color w:val="002060"/>
        </w:rPr>
        <w:t xml:space="preserve">The purpose of the </w:t>
      </w:r>
      <w:r>
        <w:rPr>
          <w:rFonts w:ascii="Calibri" w:hAnsi="Calibri" w:cs="Calibri"/>
          <w:iCs/>
          <w:color w:val="002060"/>
        </w:rPr>
        <w:t>second</w:t>
      </w:r>
      <w:r w:rsidRPr="0046589D">
        <w:rPr>
          <w:rFonts w:ascii="Calibri" w:hAnsi="Calibri" w:cs="Calibri"/>
          <w:iCs/>
          <w:color w:val="002060"/>
        </w:rPr>
        <w:t xml:space="preserve"> </w:t>
      </w:r>
      <w:r w:rsidR="00BC16BF">
        <w:rPr>
          <w:rFonts w:ascii="Calibri" w:hAnsi="Calibri" w:cs="Calibri"/>
          <w:iCs/>
          <w:color w:val="002060"/>
        </w:rPr>
        <w:t>tranche</w:t>
      </w:r>
      <w:r w:rsidR="00BC16BF" w:rsidRPr="0046589D">
        <w:rPr>
          <w:rFonts w:ascii="Calibri" w:hAnsi="Calibri" w:cs="Calibri"/>
          <w:iCs/>
          <w:color w:val="002060"/>
        </w:rPr>
        <w:t xml:space="preserve"> </w:t>
      </w:r>
      <w:r w:rsidRPr="0046589D">
        <w:rPr>
          <w:rFonts w:ascii="Calibri" w:hAnsi="Calibri" w:cs="Calibri"/>
          <w:iCs/>
          <w:color w:val="002060"/>
        </w:rPr>
        <w:t xml:space="preserve">is to reduce the issued share capital of the company to offset the number of shares issued under the Scrip Dividend Programme and to significantly reduce the equity issued in connection with the company’s combination with BG Group. All shares repurchased as part of the </w:t>
      </w:r>
      <w:r w:rsidR="00936608">
        <w:rPr>
          <w:rFonts w:ascii="Calibri" w:hAnsi="Calibri" w:cs="Calibri"/>
          <w:iCs/>
          <w:color w:val="002060"/>
        </w:rPr>
        <w:t>second</w:t>
      </w:r>
      <w:r w:rsidR="00936608" w:rsidRPr="0046589D">
        <w:rPr>
          <w:rFonts w:ascii="Calibri" w:hAnsi="Calibri" w:cs="Calibri"/>
          <w:iCs/>
          <w:color w:val="002060"/>
        </w:rPr>
        <w:t xml:space="preserve"> </w:t>
      </w:r>
      <w:r w:rsidR="00BC16BF">
        <w:rPr>
          <w:rFonts w:ascii="Calibri" w:hAnsi="Calibri" w:cs="Calibri"/>
          <w:iCs/>
          <w:color w:val="002060"/>
        </w:rPr>
        <w:t>tranche</w:t>
      </w:r>
      <w:r w:rsidR="00BC16BF" w:rsidRPr="0046589D">
        <w:rPr>
          <w:rFonts w:ascii="Calibri" w:hAnsi="Calibri" w:cs="Calibri"/>
          <w:iCs/>
          <w:color w:val="002060"/>
        </w:rPr>
        <w:t xml:space="preserve"> </w:t>
      </w:r>
      <w:r w:rsidRPr="0046589D">
        <w:rPr>
          <w:rFonts w:ascii="Calibri" w:hAnsi="Calibri" w:cs="Calibri"/>
          <w:iCs/>
          <w:color w:val="002060"/>
        </w:rPr>
        <w:t>will be cancelled.</w:t>
      </w:r>
    </w:p>
    <w:p w14:paraId="6AD0B6A8" w14:textId="77777777" w:rsidR="0046589D" w:rsidRPr="0046589D" w:rsidRDefault="0046589D" w:rsidP="002B69F2">
      <w:pPr>
        <w:spacing w:after="0" w:line="276" w:lineRule="auto"/>
        <w:ind w:right="26"/>
        <w:jc w:val="both"/>
        <w:rPr>
          <w:rFonts w:ascii="Calibri" w:hAnsi="Calibri" w:cs="Calibri"/>
          <w:iCs/>
          <w:color w:val="002060"/>
        </w:rPr>
      </w:pPr>
    </w:p>
    <w:p w14:paraId="63FC301C" w14:textId="751C6CC2" w:rsidR="0046589D" w:rsidRPr="0046589D" w:rsidRDefault="0046589D" w:rsidP="002B69F2">
      <w:pPr>
        <w:spacing w:after="0" w:line="276" w:lineRule="auto"/>
        <w:ind w:right="26"/>
        <w:jc w:val="both"/>
        <w:rPr>
          <w:rFonts w:ascii="Calibri" w:hAnsi="Calibri" w:cs="Calibri"/>
          <w:iCs/>
          <w:color w:val="002060"/>
        </w:rPr>
      </w:pPr>
      <w:r w:rsidRPr="0046589D">
        <w:rPr>
          <w:rFonts w:ascii="Calibri" w:hAnsi="Calibri" w:cs="Calibri"/>
          <w:iCs/>
          <w:color w:val="002060"/>
        </w:rPr>
        <w:t xml:space="preserve">Any further tranches of the buyback programme, which may be conducted after completion of the </w:t>
      </w:r>
      <w:r w:rsidR="00B60B5E">
        <w:rPr>
          <w:rFonts w:ascii="Calibri" w:hAnsi="Calibri" w:cs="Calibri"/>
          <w:iCs/>
          <w:color w:val="002060"/>
        </w:rPr>
        <w:t>second</w:t>
      </w:r>
      <w:r w:rsidR="00B60B5E" w:rsidRPr="0046589D">
        <w:rPr>
          <w:rFonts w:ascii="Calibri" w:hAnsi="Calibri" w:cs="Calibri"/>
          <w:iCs/>
          <w:color w:val="002060"/>
        </w:rPr>
        <w:t xml:space="preserve"> </w:t>
      </w:r>
      <w:r w:rsidR="00BC16BF">
        <w:rPr>
          <w:rFonts w:ascii="Calibri" w:hAnsi="Calibri" w:cs="Calibri"/>
          <w:iCs/>
          <w:color w:val="002060"/>
        </w:rPr>
        <w:t>tranche</w:t>
      </w:r>
      <w:r w:rsidRPr="0046589D">
        <w:rPr>
          <w:rFonts w:ascii="Calibri" w:hAnsi="Calibri" w:cs="Calibri"/>
          <w:iCs/>
          <w:color w:val="002060"/>
        </w:rPr>
        <w:t>, will be announced in due course.</w:t>
      </w:r>
    </w:p>
    <w:p w14:paraId="5CCE7D5C" w14:textId="77777777" w:rsidR="0046589D" w:rsidRPr="0046589D" w:rsidRDefault="0046589D" w:rsidP="002B69F2">
      <w:pPr>
        <w:spacing w:after="0" w:line="276" w:lineRule="auto"/>
        <w:ind w:right="26"/>
        <w:jc w:val="both"/>
        <w:rPr>
          <w:rFonts w:ascii="Calibri" w:hAnsi="Calibri" w:cs="Calibri"/>
          <w:iCs/>
          <w:color w:val="002060"/>
        </w:rPr>
      </w:pPr>
    </w:p>
    <w:p w14:paraId="2981CD1B" w14:textId="77777777" w:rsidR="002B69F2" w:rsidRDefault="002B69F2" w:rsidP="002B69F2">
      <w:pPr>
        <w:keepLines/>
        <w:spacing w:before="240" w:after="240" w:line="240" w:lineRule="auto"/>
        <w:ind w:right="26"/>
        <w:rPr>
          <w:rFonts w:ascii="Futura Bold" w:eastAsia="Times New Roman" w:hAnsi="Futura Bold" w:cs="Times New Roman"/>
          <w:caps/>
          <w:color w:val="DD1D21"/>
          <w:kern w:val="22"/>
        </w:rPr>
      </w:pPr>
    </w:p>
    <w:p w14:paraId="7BB29442" w14:textId="6D1DC0FE" w:rsidR="0046589D" w:rsidRPr="0046589D" w:rsidRDefault="0046589D" w:rsidP="002B69F2">
      <w:pPr>
        <w:keepLines/>
        <w:spacing w:before="240" w:after="240" w:line="240" w:lineRule="auto"/>
        <w:ind w:right="26"/>
        <w:rPr>
          <w:rFonts w:ascii="Futura Bold" w:eastAsia="Times New Roman" w:hAnsi="Futura Bold" w:cs="Times New Roman"/>
          <w:caps/>
          <w:color w:val="DD1D21"/>
          <w:kern w:val="22"/>
        </w:rPr>
      </w:pPr>
      <w:r w:rsidRPr="0046589D">
        <w:rPr>
          <w:rFonts w:ascii="Futura Bold" w:eastAsia="Times New Roman" w:hAnsi="Futura Bold" w:cs="Times New Roman"/>
          <w:caps/>
          <w:color w:val="DD1D21"/>
          <w:kern w:val="22"/>
        </w:rPr>
        <w:lastRenderedPageBreak/>
        <w:t xml:space="preserve">CAUTIONARY STATEMENT </w:t>
      </w:r>
    </w:p>
    <w:p w14:paraId="0CEEA363" w14:textId="77777777" w:rsidR="0046589D" w:rsidRPr="0046589D" w:rsidRDefault="0046589D" w:rsidP="002B69F2">
      <w:pPr>
        <w:keepLines/>
        <w:tabs>
          <w:tab w:val="left" w:pos="284"/>
        </w:tabs>
        <w:spacing w:after="120" w:line="240" w:lineRule="auto"/>
        <w:ind w:right="26"/>
        <w:jc w:val="both"/>
        <w:rPr>
          <w:rFonts w:ascii="Calibri" w:hAnsi="Calibri" w:cs="Calibri"/>
          <w:iCs/>
          <w:color w:val="002060"/>
          <w:sz w:val="16"/>
        </w:rPr>
      </w:pPr>
      <w:r w:rsidRPr="0046589D">
        <w:rPr>
          <w:rFonts w:ascii="Calibri" w:hAnsi="Calibri" w:cs="Calibri"/>
          <w:iCs/>
          <w:color w:val="002060"/>
          <w:sz w:val="16"/>
        </w:rPr>
        <w:t>The companies in which Royal Dutch Shell plc directly and indirectly owns investments are separate legal entities. In this announcement “Shell”, “Shell group” and “Royal Dutch Shell” are sometimes used for convenience where references are made to Royal Dutch Shell plc and its subsidiaries in general. Likewise, the words “we”, “us” and “our” are also used to refer to Royal Dutch Shell plc and subsidiaries in general or to those who work for them. These terms are also used where no useful purpose is served by identifying the particular entity or entities. ‘‘Subsidiaries’’, “Shell subsidiaries” and “Shell companies” as used in this announcement refer to entities over which Royal Dutch Shell plc either directly or indirectly has control. Entities and unincorporated arrangements over which Shell has joint control are generally referred to as “joint ventures” and “joint operations”, respectively.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w:t>
      </w:r>
    </w:p>
    <w:p w14:paraId="39FEC6BC" w14:textId="01FA2AA9" w:rsidR="0046589D" w:rsidRPr="0046589D" w:rsidRDefault="0046589D" w:rsidP="002B69F2">
      <w:pPr>
        <w:keepLines/>
        <w:tabs>
          <w:tab w:val="left" w:pos="284"/>
        </w:tabs>
        <w:spacing w:after="120" w:line="240" w:lineRule="auto"/>
        <w:ind w:right="26"/>
        <w:jc w:val="both"/>
        <w:rPr>
          <w:rFonts w:ascii="Calibri" w:hAnsi="Calibri" w:cs="Calibri"/>
          <w:iCs/>
          <w:color w:val="002060"/>
          <w:sz w:val="16"/>
        </w:rPr>
      </w:pPr>
      <w:r w:rsidRPr="0046589D">
        <w:rPr>
          <w:rFonts w:ascii="Calibri" w:hAnsi="Calibri" w:cs="Calibri"/>
          <w:iCs/>
          <w:color w:val="002060"/>
          <w:sz w:val="16"/>
        </w:rPr>
        <w:t xml:space="preserve">This announcement contains forward-looking statements (within the meaning of the U.S. Private Securities Litigation Reform Act of 1995) concerning the financial condition, results of operations and businesses of Royal Dutch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Royal Dutch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‘‘objectives’’, ‘‘outlook’’, ‘‘plan’’, ‘‘probably’’, ‘‘project’’, ‘‘risks’’, “schedule”, ‘‘seek’’, ‘‘should’’, ‘‘target’’, ‘‘will’’ and similar terms and phrases. There are a number of factors that could affect the future operations of Royal Dutch Shell and could cause those results to differ materially from those expressed in the forward-looking statements included in this announcement,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and (m) changes in trading conditions. No assurance is provided that future dividend payments will match or exceed previous dividend payments. All forward-looking statements contained in this announcement are expressly qualified in their entirety by the cautionary statements contained or referred to in this section. Readers should not place undue reliance on forward-looking statements. Additional risk factors that may affect future results are contained in Royal Dutch Shell’s Form 20-F for the year ended December 31, 2017 (available at www.shell.com/investor and </w:t>
      </w:r>
      <w:hyperlink r:id="rId11" w:history="1">
        <w:r w:rsidRPr="0046589D">
          <w:rPr>
            <w:rFonts w:ascii="Calibri" w:hAnsi="Calibri" w:cs="Calibri"/>
            <w:iCs/>
            <w:color w:val="002060"/>
            <w:sz w:val="16"/>
          </w:rPr>
          <w:t>www.sec.gov</w:t>
        </w:r>
      </w:hyperlink>
      <w:r w:rsidRPr="0046589D">
        <w:rPr>
          <w:rFonts w:ascii="Calibri" w:hAnsi="Calibri" w:cs="Calibri"/>
          <w:iCs/>
          <w:color w:val="002060"/>
          <w:sz w:val="16"/>
        </w:rPr>
        <w:t xml:space="preserve">). These risk factors also expressly qualify all forward-looking statements contained in this announcement and should be considered by the reader. Each forward-looking statement speaks only as of the date of this announcement, </w:t>
      </w:r>
      <w:r w:rsidRPr="002B69F2">
        <w:rPr>
          <w:rFonts w:ascii="Calibri" w:hAnsi="Calibri" w:cs="Calibri"/>
          <w:iCs/>
          <w:color w:val="002060"/>
          <w:sz w:val="16"/>
        </w:rPr>
        <w:t>November</w:t>
      </w:r>
      <w:r w:rsidR="00CB15DC" w:rsidRPr="002B69F2">
        <w:rPr>
          <w:rFonts w:ascii="Calibri" w:hAnsi="Calibri" w:cs="Calibri"/>
          <w:iCs/>
          <w:color w:val="002060"/>
          <w:sz w:val="16"/>
        </w:rPr>
        <w:t xml:space="preserve"> </w:t>
      </w:r>
      <w:r w:rsidR="00D71421" w:rsidRPr="002B69F2">
        <w:rPr>
          <w:rFonts w:ascii="Calibri" w:hAnsi="Calibri" w:cs="Calibri"/>
          <w:iCs/>
          <w:color w:val="002060"/>
          <w:sz w:val="16"/>
        </w:rPr>
        <w:t>1</w:t>
      </w:r>
      <w:r w:rsidRPr="002B69F2">
        <w:rPr>
          <w:rFonts w:ascii="Calibri" w:hAnsi="Calibri" w:cs="Calibri"/>
          <w:iCs/>
          <w:color w:val="002060"/>
          <w:sz w:val="16"/>
        </w:rPr>
        <w:t>, 2018</w:t>
      </w:r>
      <w:r w:rsidRPr="0046589D">
        <w:rPr>
          <w:rFonts w:ascii="Calibri" w:hAnsi="Calibri" w:cs="Calibri"/>
          <w:iCs/>
          <w:color w:val="002060"/>
          <w:sz w:val="16"/>
        </w:rPr>
        <w:t>. Neither Royal Dutch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announcement.</w:t>
      </w:r>
    </w:p>
    <w:p w14:paraId="7E1AF5DB" w14:textId="77777777" w:rsidR="0046589D" w:rsidRPr="0046589D" w:rsidRDefault="0046589D" w:rsidP="002B69F2">
      <w:pPr>
        <w:ind w:right="26"/>
        <w:jc w:val="both"/>
        <w:rPr>
          <w:rFonts w:ascii="Calibri" w:hAnsi="Calibri" w:cs="Calibri"/>
          <w:iCs/>
          <w:color w:val="002060"/>
          <w:sz w:val="16"/>
        </w:rPr>
      </w:pPr>
      <w:r w:rsidRPr="0046589D">
        <w:rPr>
          <w:rFonts w:ascii="Calibri" w:hAnsi="Calibri" w:cs="Calibri"/>
          <w:iCs/>
          <w:color w:val="002060"/>
          <w:sz w:val="16"/>
        </w:rPr>
        <w:t xml:space="preserve">We may have used certain terms, such as resources, in this announcement that the United States Securities and Exchange Commission (SEC) strictly prohibits us from including in our filings with the SEC. US investors are urged to consider closely the disclosure in our Form 20-F, File No 1-32575, available on the SEC website </w:t>
      </w:r>
      <w:hyperlink r:id="rId12" w:history="1">
        <w:r w:rsidRPr="002B69F2">
          <w:rPr>
            <w:rFonts w:ascii="Calibri" w:hAnsi="Calibri" w:cs="Calibri"/>
            <w:iCs/>
            <w:color w:val="002060"/>
            <w:sz w:val="16"/>
          </w:rPr>
          <w:t>www.sec.gov</w:t>
        </w:r>
      </w:hyperlink>
      <w:r w:rsidRPr="0046589D">
        <w:rPr>
          <w:rFonts w:ascii="Calibri" w:hAnsi="Calibri" w:cs="Calibri"/>
          <w:iCs/>
          <w:color w:val="002060"/>
          <w:sz w:val="16"/>
        </w:rPr>
        <w:t>.</w:t>
      </w:r>
    </w:p>
    <w:p w14:paraId="6B56D169" w14:textId="77777777" w:rsidR="0046589D" w:rsidRPr="0046589D" w:rsidRDefault="0046589D" w:rsidP="002B69F2">
      <w:pPr>
        <w:spacing w:after="120" w:line="240" w:lineRule="auto"/>
        <w:ind w:right="26"/>
        <w:jc w:val="both"/>
        <w:rPr>
          <w:rFonts w:ascii="Calibri" w:hAnsi="Calibri" w:cs="Calibri"/>
          <w:iCs/>
          <w:color w:val="002060"/>
          <w:sz w:val="16"/>
        </w:rPr>
      </w:pPr>
      <w:r w:rsidRPr="0046589D">
        <w:rPr>
          <w:rFonts w:ascii="Calibri" w:hAnsi="Calibri" w:cs="Calibri"/>
          <w:iCs/>
          <w:color w:val="002060"/>
          <w:sz w:val="16"/>
        </w:rPr>
        <w:t>Contacts:</w:t>
      </w:r>
    </w:p>
    <w:p w14:paraId="7CAC96E9" w14:textId="77777777" w:rsidR="0046589D" w:rsidRPr="0046589D" w:rsidRDefault="0046589D" w:rsidP="002B69F2">
      <w:pPr>
        <w:spacing w:after="0" w:line="240" w:lineRule="auto"/>
        <w:ind w:right="26"/>
        <w:jc w:val="both"/>
        <w:rPr>
          <w:rFonts w:ascii="Calibri" w:hAnsi="Calibri" w:cs="Calibri"/>
          <w:iCs/>
          <w:color w:val="002060"/>
          <w:sz w:val="16"/>
        </w:rPr>
      </w:pPr>
      <w:r w:rsidRPr="0046589D">
        <w:rPr>
          <w:rFonts w:ascii="Calibri" w:hAnsi="Calibri" w:cs="Calibri"/>
          <w:iCs/>
          <w:color w:val="002060"/>
          <w:sz w:val="16"/>
        </w:rPr>
        <w:t>- Investor Relations: International + 31 (0) 70 377 4540; North America +1 832 337 2034</w:t>
      </w:r>
    </w:p>
    <w:p w14:paraId="04266CE6" w14:textId="77777777" w:rsidR="0046589D" w:rsidRPr="0046589D" w:rsidRDefault="0046589D" w:rsidP="002B69F2">
      <w:pPr>
        <w:spacing w:after="0" w:line="276" w:lineRule="auto"/>
        <w:ind w:right="26"/>
        <w:jc w:val="both"/>
        <w:rPr>
          <w:rFonts w:ascii="Calibri" w:hAnsi="Calibri" w:cs="Calibri"/>
          <w:iCs/>
          <w:color w:val="002060"/>
          <w:sz w:val="16"/>
        </w:rPr>
      </w:pPr>
      <w:r w:rsidRPr="0046589D">
        <w:rPr>
          <w:rFonts w:ascii="Calibri" w:hAnsi="Calibri" w:cs="Calibri"/>
          <w:iCs/>
          <w:color w:val="002060"/>
          <w:sz w:val="16"/>
        </w:rPr>
        <w:t>- Media: International +44 (0) 207 934 5550; USA +1 832 337 4355</w:t>
      </w:r>
    </w:p>
    <w:p w14:paraId="512C5798" w14:textId="77777777" w:rsidR="0046589D" w:rsidRPr="0046589D" w:rsidRDefault="0046589D" w:rsidP="002B69F2">
      <w:pPr>
        <w:spacing w:after="0" w:line="276" w:lineRule="auto"/>
        <w:ind w:right="26"/>
        <w:jc w:val="both"/>
        <w:rPr>
          <w:rFonts w:ascii="Calibri" w:hAnsi="Calibri" w:cs="Calibri"/>
          <w:iCs/>
          <w:color w:val="002060"/>
          <w:sz w:val="16"/>
        </w:rPr>
      </w:pPr>
    </w:p>
    <w:p w14:paraId="2D294A38" w14:textId="77777777" w:rsidR="0046589D" w:rsidRPr="0046589D" w:rsidRDefault="0046589D" w:rsidP="002B69F2">
      <w:pPr>
        <w:spacing w:after="0" w:line="276" w:lineRule="auto"/>
        <w:ind w:right="26"/>
        <w:jc w:val="both"/>
        <w:rPr>
          <w:rFonts w:ascii="Calibri" w:hAnsi="Calibri" w:cs="Calibri"/>
          <w:iCs/>
          <w:color w:val="002060"/>
          <w:sz w:val="16"/>
        </w:rPr>
      </w:pPr>
      <w:r w:rsidRPr="0046589D">
        <w:rPr>
          <w:rFonts w:ascii="Calibri" w:hAnsi="Calibri" w:cs="Calibri"/>
          <w:iCs/>
          <w:color w:val="002060"/>
          <w:sz w:val="16"/>
        </w:rPr>
        <w:t>LEI number of Royal Dutch Shell plc: 21380068P1DRHMJ8KU70</w:t>
      </w:r>
    </w:p>
    <w:p w14:paraId="241124AE" w14:textId="77777777" w:rsidR="0046589D" w:rsidRPr="0046589D" w:rsidRDefault="0046589D" w:rsidP="002B69F2">
      <w:pPr>
        <w:spacing w:after="0" w:line="276" w:lineRule="auto"/>
        <w:ind w:right="26"/>
        <w:jc w:val="both"/>
        <w:rPr>
          <w:rFonts w:ascii="Calibri" w:hAnsi="Calibri" w:cs="Calibri"/>
          <w:iCs/>
          <w:color w:val="002060"/>
          <w:sz w:val="16"/>
        </w:rPr>
      </w:pPr>
      <w:r w:rsidRPr="0046589D">
        <w:rPr>
          <w:rFonts w:ascii="Calibri" w:hAnsi="Calibri" w:cs="Calibri"/>
          <w:iCs/>
          <w:color w:val="002060"/>
          <w:sz w:val="16"/>
        </w:rPr>
        <w:t xml:space="preserve">Classification: </w:t>
      </w:r>
      <w:r w:rsidRPr="0046589D">
        <w:rPr>
          <w:rFonts w:ascii="Calibri" w:hAnsi="Calibri" w:cs="Calibri"/>
        </w:rPr>
        <w:t xml:space="preserve"> </w:t>
      </w:r>
      <w:r w:rsidRPr="0046589D">
        <w:rPr>
          <w:rFonts w:ascii="Calibri" w:hAnsi="Calibri" w:cs="Calibri"/>
          <w:iCs/>
          <w:color w:val="002060"/>
          <w:sz w:val="16"/>
        </w:rPr>
        <w:t>Acquisition or disposal of the issuer’s own shares</w:t>
      </w:r>
      <w:bookmarkStart w:id="1" w:name="OpenAt"/>
      <w:bookmarkEnd w:id="1"/>
    </w:p>
    <w:p w14:paraId="40B8F4FD" w14:textId="77777777" w:rsidR="0046589D" w:rsidRPr="0046589D" w:rsidRDefault="0046589D" w:rsidP="002B69F2">
      <w:pPr>
        <w:spacing w:after="0" w:line="276" w:lineRule="auto"/>
        <w:ind w:right="26"/>
        <w:jc w:val="both"/>
        <w:rPr>
          <w:rFonts w:ascii="Calibri" w:hAnsi="Calibri" w:cs="Calibri"/>
          <w:iCs/>
          <w:color w:val="002060"/>
        </w:rPr>
      </w:pPr>
    </w:p>
    <w:p w14:paraId="129B5638" w14:textId="77777777" w:rsidR="00687644" w:rsidRDefault="00D743C9" w:rsidP="002B69F2">
      <w:pPr>
        <w:ind w:right="26"/>
        <w:jc w:val="both"/>
      </w:pPr>
    </w:p>
    <w:sectPr w:rsidR="00687644" w:rsidSect="00A80935">
      <w:footerReference w:type="even" r:id="rId13"/>
      <w:footerReference w:type="first" r:id="rId14"/>
      <w:pgSz w:w="11906" w:h="16838"/>
      <w:pgMar w:top="1440" w:right="1440" w:bottom="90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D6C7" w14:textId="77777777" w:rsidR="00B964A0" w:rsidRDefault="00B964A0">
      <w:pPr>
        <w:spacing w:after="0" w:line="240" w:lineRule="auto"/>
      </w:pPr>
      <w:r>
        <w:separator/>
      </w:r>
    </w:p>
  </w:endnote>
  <w:endnote w:type="continuationSeparator" w:id="0">
    <w:p w14:paraId="03D32046" w14:textId="77777777" w:rsidR="00B964A0" w:rsidRDefault="00B9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old">
    <w:panose1 w:val="00000900000000000000"/>
    <w:charset w:val="00"/>
    <w:family w:val="auto"/>
    <w:pitch w:val="variable"/>
    <w:sig w:usb0="00000003" w:usb1="00000000" w:usb2="00000000" w:usb3="00000000" w:csb0="00000001" w:csb1="00000000"/>
  </w:font>
  <w:font w:name="Expert Sans Regular">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6BBC" w14:textId="77777777" w:rsidR="00BC3138" w:rsidRPr="00911E1B" w:rsidRDefault="002B69F2" w:rsidP="00911E1B">
    <w:pPr>
      <w:pStyle w:val="Footer"/>
      <w:jc w:val="center"/>
    </w:pPr>
    <w:fldSimple w:instr=" DOCPROPERTY bjFooterEvenPageDocProperty \* MERGEFORMAT " w:fldLock="1">
      <w:r w:rsidR="00A1618D" w:rsidRPr="00911E1B">
        <w:rPr>
          <w:rFonts w:ascii="Expert Sans Regular" w:hAnsi="Expert Sans Regular"/>
          <w:color w:val="000000"/>
          <w:sz w:val="20"/>
        </w:rPr>
        <w:t xml:space="preserve"> Restricted - External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69CA" w14:textId="77777777" w:rsidR="00BC3138" w:rsidRPr="00911E1B" w:rsidRDefault="002B69F2" w:rsidP="00911E1B">
    <w:pPr>
      <w:pStyle w:val="Footer"/>
      <w:jc w:val="center"/>
    </w:pPr>
    <w:fldSimple w:instr=" DOCPROPERTY bjFooterFirstPageDocProperty \* MERGEFORMAT " w:fldLock="1">
      <w:r w:rsidR="00A1618D" w:rsidRPr="00911E1B">
        <w:rPr>
          <w:rFonts w:ascii="Expert Sans Regular" w:hAnsi="Expert Sans Regular"/>
          <w:color w:val="000000"/>
          <w:sz w:val="20"/>
        </w:rPr>
        <w:t xml:space="preserve"> Restricted - External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749A" w14:textId="77777777" w:rsidR="00B964A0" w:rsidRDefault="00B964A0">
      <w:pPr>
        <w:spacing w:after="0" w:line="240" w:lineRule="auto"/>
      </w:pPr>
      <w:r>
        <w:separator/>
      </w:r>
    </w:p>
  </w:footnote>
  <w:footnote w:type="continuationSeparator" w:id="0">
    <w:p w14:paraId="068D4A2F" w14:textId="77777777" w:rsidR="00B964A0" w:rsidRDefault="00B964A0">
      <w:pPr>
        <w:spacing w:after="0" w:line="240" w:lineRule="auto"/>
      </w:pPr>
      <w:r>
        <w:continuationSeparator/>
      </w:r>
    </w:p>
  </w:footnote>
  <w:footnote w:id="1">
    <w:p w14:paraId="6EE9C649" w14:textId="77777777" w:rsidR="00EC01D4" w:rsidRPr="0046589D" w:rsidRDefault="00EC01D4" w:rsidP="00EC01D4">
      <w:pPr>
        <w:spacing w:after="0" w:line="276" w:lineRule="auto"/>
        <w:jc w:val="both"/>
        <w:rPr>
          <w:rFonts w:ascii="Calibri" w:hAnsi="Calibri" w:cs="Calibri"/>
          <w:iCs/>
          <w:color w:val="002060"/>
          <w:sz w:val="16"/>
        </w:rPr>
      </w:pPr>
      <w:r>
        <w:rPr>
          <w:rStyle w:val="FootnoteReference"/>
        </w:rPr>
        <w:footnoteRef/>
      </w:r>
      <w:r>
        <w:t xml:space="preserve"> </w:t>
      </w:r>
      <w:r w:rsidRPr="0046589D">
        <w:rPr>
          <w:rFonts w:ascii="Calibri" w:hAnsi="Calibri" w:cs="Calibri"/>
          <w:iCs/>
          <w:color w:val="002060"/>
          <w:sz w:val="16"/>
        </w:rPr>
        <w:t xml:space="preserve">The existing shareholder authority to buy back shares granted at the company's 2018 Annual General Meeting expires at the earlier of the close of business on August 22, 2019, and the end of the date of the company's 2019 Annual General Meeting. The company expects to seek renewal of shareholder authority to buy back shares at subsequent Annual General Meetings. </w:t>
      </w:r>
    </w:p>
    <w:p w14:paraId="1968D908" w14:textId="77777777" w:rsidR="00EC01D4" w:rsidRDefault="00EC01D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9D"/>
    <w:rsid w:val="00012D82"/>
    <w:rsid w:val="00023314"/>
    <w:rsid w:val="00082264"/>
    <w:rsid w:val="00082AFC"/>
    <w:rsid w:val="000830AB"/>
    <w:rsid w:val="000A36E7"/>
    <w:rsid w:val="000D7CC5"/>
    <w:rsid w:val="001066FD"/>
    <w:rsid w:val="00112C12"/>
    <w:rsid w:val="00194AE9"/>
    <w:rsid w:val="001A104C"/>
    <w:rsid w:val="001D6D8D"/>
    <w:rsid w:val="001F24B6"/>
    <w:rsid w:val="00256D4C"/>
    <w:rsid w:val="002A6B2B"/>
    <w:rsid w:val="002B69F2"/>
    <w:rsid w:val="00300788"/>
    <w:rsid w:val="00331123"/>
    <w:rsid w:val="00365AAA"/>
    <w:rsid w:val="003908D2"/>
    <w:rsid w:val="003D4B07"/>
    <w:rsid w:val="004572DE"/>
    <w:rsid w:val="0046589D"/>
    <w:rsid w:val="004D42A8"/>
    <w:rsid w:val="004E315E"/>
    <w:rsid w:val="004F5618"/>
    <w:rsid w:val="0050757C"/>
    <w:rsid w:val="00547C10"/>
    <w:rsid w:val="0059466F"/>
    <w:rsid w:val="005B189F"/>
    <w:rsid w:val="005C7B7E"/>
    <w:rsid w:val="005E44DB"/>
    <w:rsid w:val="00630C3C"/>
    <w:rsid w:val="00675CCC"/>
    <w:rsid w:val="00694224"/>
    <w:rsid w:val="006E4C8F"/>
    <w:rsid w:val="007350F1"/>
    <w:rsid w:val="00764D9C"/>
    <w:rsid w:val="007C1B14"/>
    <w:rsid w:val="007C6C98"/>
    <w:rsid w:val="0083490C"/>
    <w:rsid w:val="00840E4D"/>
    <w:rsid w:val="0087432B"/>
    <w:rsid w:val="00892E1C"/>
    <w:rsid w:val="008B4019"/>
    <w:rsid w:val="008C3E24"/>
    <w:rsid w:val="008D7C88"/>
    <w:rsid w:val="008E2943"/>
    <w:rsid w:val="00922B7F"/>
    <w:rsid w:val="0092638E"/>
    <w:rsid w:val="00936608"/>
    <w:rsid w:val="0094525A"/>
    <w:rsid w:val="00956337"/>
    <w:rsid w:val="009703AD"/>
    <w:rsid w:val="009E3DB6"/>
    <w:rsid w:val="00A1618D"/>
    <w:rsid w:val="00A239BE"/>
    <w:rsid w:val="00A572EC"/>
    <w:rsid w:val="00A63D0F"/>
    <w:rsid w:val="00AA336C"/>
    <w:rsid w:val="00AF383D"/>
    <w:rsid w:val="00AF5B48"/>
    <w:rsid w:val="00B04CAF"/>
    <w:rsid w:val="00B530F6"/>
    <w:rsid w:val="00B6095F"/>
    <w:rsid w:val="00B60B5E"/>
    <w:rsid w:val="00B80842"/>
    <w:rsid w:val="00B964A0"/>
    <w:rsid w:val="00BC16BF"/>
    <w:rsid w:val="00BD1204"/>
    <w:rsid w:val="00C0607E"/>
    <w:rsid w:val="00C24ABE"/>
    <w:rsid w:val="00C44ED4"/>
    <w:rsid w:val="00CB15DC"/>
    <w:rsid w:val="00D376D0"/>
    <w:rsid w:val="00D71421"/>
    <w:rsid w:val="00D743C9"/>
    <w:rsid w:val="00D850D7"/>
    <w:rsid w:val="00DE08FA"/>
    <w:rsid w:val="00E866C3"/>
    <w:rsid w:val="00EC01D4"/>
    <w:rsid w:val="00ED43E0"/>
    <w:rsid w:val="00EF665C"/>
    <w:rsid w:val="00F00C72"/>
    <w:rsid w:val="00F03F0B"/>
    <w:rsid w:val="00F61741"/>
    <w:rsid w:val="00F7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FCC1"/>
  <w15:chartTrackingRefBased/>
  <w15:docId w15:val="{3D7BD868-5A1E-4172-AEAC-FDB0B700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589D"/>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46589D"/>
    <w:rPr>
      <w:rFonts w:ascii="Calibri" w:hAnsi="Calibri" w:cs="Calibri"/>
    </w:rPr>
  </w:style>
  <w:style w:type="character" w:styleId="CommentReference">
    <w:name w:val="annotation reference"/>
    <w:basedOn w:val="DefaultParagraphFont"/>
    <w:uiPriority w:val="99"/>
    <w:semiHidden/>
    <w:unhideWhenUsed/>
    <w:rsid w:val="0092638E"/>
    <w:rPr>
      <w:sz w:val="16"/>
      <w:szCs w:val="16"/>
    </w:rPr>
  </w:style>
  <w:style w:type="paragraph" w:styleId="CommentText">
    <w:name w:val="annotation text"/>
    <w:basedOn w:val="Normal"/>
    <w:link w:val="CommentTextChar"/>
    <w:uiPriority w:val="99"/>
    <w:semiHidden/>
    <w:unhideWhenUsed/>
    <w:rsid w:val="0092638E"/>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92638E"/>
    <w:rPr>
      <w:rFonts w:ascii="Calibri" w:hAnsi="Calibri" w:cs="Calibri"/>
      <w:sz w:val="20"/>
      <w:szCs w:val="20"/>
    </w:rPr>
  </w:style>
  <w:style w:type="paragraph" w:styleId="BalloonText">
    <w:name w:val="Balloon Text"/>
    <w:basedOn w:val="Normal"/>
    <w:link w:val="BalloonTextChar"/>
    <w:uiPriority w:val="99"/>
    <w:semiHidden/>
    <w:unhideWhenUsed/>
    <w:rsid w:val="00926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638E"/>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2638E"/>
    <w:rPr>
      <w:rFonts w:ascii="Calibri" w:hAnsi="Calibri" w:cs="Calibri"/>
      <w:b/>
      <w:bCs/>
      <w:sz w:val="20"/>
      <w:szCs w:val="20"/>
    </w:rPr>
  </w:style>
  <w:style w:type="paragraph" w:styleId="Header">
    <w:name w:val="header"/>
    <w:basedOn w:val="Normal"/>
    <w:link w:val="HeaderChar"/>
    <w:uiPriority w:val="99"/>
    <w:unhideWhenUsed/>
    <w:rsid w:val="0076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D9C"/>
  </w:style>
  <w:style w:type="paragraph" w:styleId="FootnoteText">
    <w:name w:val="footnote text"/>
    <w:basedOn w:val="Normal"/>
    <w:link w:val="FootnoteTextChar"/>
    <w:uiPriority w:val="99"/>
    <w:semiHidden/>
    <w:unhideWhenUsed/>
    <w:rsid w:val="00EC01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1D4"/>
    <w:rPr>
      <w:sz w:val="20"/>
      <w:szCs w:val="20"/>
    </w:rPr>
  </w:style>
  <w:style w:type="character" w:styleId="FootnoteReference">
    <w:name w:val="footnote reference"/>
    <w:basedOn w:val="DefaultParagraphFont"/>
    <w:uiPriority w:val="99"/>
    <w:semiHidden/>
    <w:unhideWhenUsed/>
    <w:rsid w:val="00EC0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C40AB7810544E9BFC982B0CE29F52" ma:contentTypeVersion="0" ma:contentTypeDescription="Create a new document." ma:contentTypeScope="" ma:versionID="c170febd1e84f2b30cf6968ce177881b">
  <xsd:schema xmlns:xsd="http://www.w3.org/2001/XMLSchema" xmlns:xs="http://www.w3.org/2001/XMLSchema" xmlns:p="http://schemas.microsoft.com/office/2006/metadata/properties" xmlns:ns2="400895dc-1ced-4d74-bb87-20358c45ada2" targetNamespace="http://schemas.microsoft.com/office/2006/metadata/properties" ma:root="true" ma:fieldsID="6c1e1090948bf411abc506cfb4bf156e" ns2:_="">
    <xsd:import namespace="400895dc-1ced-4d74-bb87-20358c45ada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895dc-1ced-4d74-bb87-20358c45a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0895dc-1ced-4d74-bb87-20358c45ada2">abaaa2409-793235924-3888</_dlc_DocId>
    <_dlc_DocIdUrl xmlns="400895dc-1ced-4d74-bb87-20358c45ada2">
      <Url>https://eu021-sp.shell.com/sites/abaaa2409/Quarter/_layouts/DocIdRedir.aspx?ID=abaaa2409-793235924-3888</Url>
      <Description>abaaa2409-793235924-3888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52DF-23A9-4461-AB1E-711FC303AC9A}"/>
</file>

<file path=customXml/itemProps2.xml><?xml version="1.0" encoding="utf-8"?>
<ds:datastoreItem xmlns:ds="http://schemas.openxmlformats.org/officeDocument/2006/customXml" ds:itemID="{B8502A7F-2DC3-44C9-A81E-381E79F4D4AE}"/>
</file>

<file path=customXml/itemProps3.xml><?xml version="1.0" encoding="utf-8"?>
<ds:datastoreItem xmlns:ds="http://schemas.openxmlformats.org/officeDocument/2006/customXml" ds:itemID="{16BB7F64-0888-410B-B99F-B0B145DEE1EA}"/>
</file>

<file path=customXml/itemProps4.xml><?xml version="1.0" encoding="utf-8"?>
<ds:datastoreItem xmlns:ds="http://schemas.openxmlformats.org/officeDocument/2006/customXml" ds:itemID="{0EFF73DE-2F19-4202-A122-E5FC621E9C21}"/>
</file>

<file path=customXml/itemProps5.xml><?xml version="1.0" encoding="utf-8"?>
<ds:datastoreItem xmlns:ds="http://schemas.openxmlformats.org/officeDocument/2006/customXml" ds:itemID="{AAF93167-1F89-4594-86A8-26A456AF2AD9}"/>
</file>

<file path=docProps/app.xml><?xml version="1.0" encoding="utf-8"?>
<Properties xmlns="http://schemas.openxmlformats.org/officeDocument/2006/extended-properties" xmlns:vt="http://schemas.openxmlformats.org/officeDocument/2006/docPropsVTypes">
  <Template>Normal</Template>
  <TotalTime>2</TotalTime>
  <Pages>2</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Louzada, Marcela L SI-FR</cp:lastModifiedBy>
  <cp:revision>3</cp:revision>
  <cp:lastPrinted>2018-10-29T17:41:00Z</cp:lastPrinted>
  <dcterms:created xsi:type="dcterms:W3CDTF">2018-10-31T13:06:00Z</dcterms:created>
  <dcterms:modified xsi:type="dcterms:W3CDTF">2018-10-31T14:34:00Z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0x0101009B1C40AB7810544E9BFC982B0CE29F52</vt:lpwstr>
  </property>
  <property fmtid="{D5CDD505-2E9C-101B-9397-08002B2CF9AE}" pid="3" name="_dlc_DocIdItemGuid">
    <vt:lpwstr>301de951-13f5-47fc-97a6-f17370b29470</vt:lpwstr>
  </property>
</Properties>
</file>