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8B" w:rsidRPr="006D5B7F" w:rsidRDefault="00FB5F1A" w:rsidP="008A3302">
      <w:pPr>
        <w:spacing w:after="0" w:line="360" w:lineRule="auto"/>
        <w:rPr>
          <w:rFonts w:ascii="Arial" w:hAnsi="Arial" w:cs="Arial"/>
          <w:bCs/>
          <w:iCs/>
          <w:lang w:eastAsia="en-GB"/>
        </w:rPr>
      </w:pPr>
      <w:r w:rsidRPr="006D5B7F">
        <w:rPr>
          <w:rFonts w:ascii="Arial" w:hAnsi="Arial" w:cs="Arial"/>
          <w:bCs/>
          <w:iCs/>
          <w:lang w:eastAsia="en-GB"/>
        </w:rPr>
        <w:t>2</w:t>
      </w:r>
      <w:r w:rsidR="006C29B5">
        <w:rPr>
          <w:rFonts w:ascii="Arial" w:hAnsi="Arial" w:cs="Arial"/>
          <w:bCs/>
          <w:iCs/>
          <w:lang w:eastAsia="en-GB"/>
        </w:rPr>
        <w:t>8</w:t>
      </w:r>
      <w:r w:rsidRPr="006D5B7F">
        <w:rPr>
          <w:rFonts w:ascii="Arial" w:hAnsi="Arial" w:cs="Arial"/>
          <w:bCs/>
          <w:iCs/>
          <w:lang w:eastAsia="en-GB"/>
        </w:rPr>
        <w:t xml:space="preserve"> March 2017 </w:t>
      </w:r>
    </w:p>
    <w:p w:rsidR="00FB5F1A" w:rsidRPr="006D5B7F" w:rsidRDefault="00FB5F1A" w:rsidP="008A3302">
      <w:pPr>
        <w:spacing w:after="0" w:line="360" w:lineRule="auto"/>
        <w:jc w:val="center"/>
        <w:rPr>
          <w:rFonts w:ascii="Arial" w:hAnsi="Arial" w:cs="Arial"/>
          <w:b/>
          <w:lang w:eastAsia="en-GB"/>
        </w:rPr>
      </w:pPr>
      <w:r w:rsidRPr="006D5B7F">
        <w:rPr>
          <w:rFonts w:ascii="Arial" w:hAnsi="Arial" w:cs="Arial"/>
          <w:b/>
          <w:lang w:eastAsia="en-GB"/>
        </w:rPr>
        <w:t>BCRE – Brack Capital Real Estate Investments N.V.</w:t>
      </w:r>
    </w:p>
    <w:p w:rsidR="00FB5F1A" w:rsidRPr="006D5B7F" w:rsidRDefault="00FB5F1A" w:rsidP="008A3302">
      <w:pPr>
        <w:spacing w:after="0" w:line="360" w:lineRule="auto"/>
        <w:jc w:val="center"/>
        <w:rPr>
          <w:rFonts w:ascii="Arial" w:hAnsi="Arial" w:cs="Arial"/>
          <w:lang w:eastAsia="en-GB"/>
        </w:rPr>
      </w:pPr>
      <w:r w:rsidRPr="006D5B7F">
        <w:rPr>
          <w:rFonts w:ascii="Arial" w:hAnsi="Arial" w:cs="Arial"/>
          <w:lang w:eastAsia="en-GB"/>
        </w:rPr>
        <w:t>(“</w:t>
      </w:r>
      <w:r w:rsidRPr="006D5B7F">
        <w:rPr>
          <w:rFonts w:ascii="Arial" w:hAnsi="Arial" w:cs="Arial"/>
          <w:b/>
          <w:bCs/>
          <w:lang w:eastAsia="en-GB"/>
        </w:rPr>
        <w:t>BCRE</w:t>
      </w:r>
      <w:r w:rsidRPr="006D5B7F">
        <w:rPr>
          <w:rFonts w:ascii="Arial" w:hAnsi="Arial" w:cs="Arial"/>
          <w:lang w:eastAsia="en-GB"/>
        </w:rPr>
        <w:t>” or the “</w:t>
      </w:r>
      <w:r w:rsidRPr="006D5B7F">
        <w:rPr>
          <w:rFonts w:ascii="Arial" w:hAnsi="Arial" w:cs="Arial"/>
          <w:b/>
          <w:bCs/>
          <w:lang w:eastAsia="en-GB"/>
        </w:rPr>
        <w:t>Company</w:t>
      </w:r>
      <w:r w:rsidRPr="006D5B7F">
        <w:rPr>
          <w:rFonts w:ascii="Arial" w:hAnsi="Arial" w:cs="Arial"/>
          <w:lang w:eastAsia="en-GB"/>
        </w:rPr>
        <w:t>”)</w:t>
      </w:r>
    </w:p>
    <w:p w:rsidR="008A3302" w:rsidRPr="006D5B7F" w:rsidRDefault="003A0D12" w:rsidP="008A3302">
      <w:pPr>
        <w:spacing w:after="0" w:line="360" w:lineRule="auto"/>
        <w:jc w:val="center"/>
        <w:rPr>
          <w:rFonts w:ascii="Arial" w:hAnsi="Arial" w:cs="Arial"/>
          <w:b/>
          <w:bCs/>
          <w:lang w:eastAsia="en-GB"/>
        </w:rPr>
      </w:pPr>
      <w:r>
        <w:rPr>
          <w:rFonts w:ascii="Arial" w:hAnsi="Arial" w:cs="Arial"/>
          <w:b/>
          <w:bCs/>
          <w:lang w:eastAsia="en-GB"/>
        </w:rPr>
        <w:t>Associate undertaking R</w:t>
      </w:r>
      <w:r w:rsidR="007849B4" w:rsidRPr="006D5B7F">
        <w:rPr>
          <w:rFonts w:ascii="Arial" w:hAnsi="Arial" w:cs="Arial"/>
          <w:b/>
          <w:bCs/>
          <w:lang w:eastAsia="en-GB"/>
        </w:rPr>
        <w:t xml:space="preserve">eports </w:t>
      </w:r>
      <w:r w:rsidR="004011DA" w:rsidRPr="006D5B7F">
        <w:rPr>
          <w:rFonts w:ascii="Arial" w:hAnsi="Arial" w:cs="Arial"/>
          <w:b/>
          <w:bCs/>
          <w:lang w:eastAsia="en-GB"/>
        </w:rPr>
        <w:t>for 2016</w:t>
      </w:r>
    </w:p>
    <w:p w:rsidR="00E33879" w:rsidRPr="006D5B7F" w:rsidRDefault="005C3176" w:rsidP="008A3302">
      <w:pPr>
        <w:spacing w:after="0" w:line="240" w:lineRule="auto"/>
        <w:jc w:val="both"/>
        <w:rPr>
          <w:rFonts w:ascii="Arial" w:eastAsia="Times New Roman" w:hAnsi="Arial" w:cs="Arial"/>
          <w:lang w:val="en-CA" w:eastAsia="en-GB"/>
        </w:rPr>
      </w:pPr>
      <w:r w:rsidRPr="006D5B7F">
        <w:rPr>
          <w:rFonts w:ascii="Arial" w:eastAsia="Times New Roman" w:hAnsi="Arial" w:cs="Arial"/>
          <w:lang w:val="en-CA" w:eastAsia="en-GB"/>
        </w:rPr>
        <w:t xml:space="preserve">The Company announces that </w:t>
      </w:r>
      <w:r w:rsidR="00FB5F1A" w:rsidRPr="006D5B7F">
        <w:rPr>
          <w:rStyle w:val="bc"/>
          <w:rFonts w:ascii="Arial" w:hAnsi="Arial" w:cs="Arial"/>
          <w:lang w:val="en"/>
        </w:rPr>
        <w:t>Brack Capital Properties N.V. (“</w:t>
      </w:r>
      <w:r w:rsidR="00FB5F1A" w:rsidRPr="006D5B7F">
        <w:rPr>
          <w:rStyle w:val="bc"/>
          <w:rFonts w:ascii="Arial" w:hAnsi="Arial" w:cs="Arial"/>
          <w:b/>
          <w:lang w:val="en"/>
        </w:rPr>
        <w:t>BCP</w:t>
      </w:r>
      <w:r w:rsidR="00FB5F1A" w:rsidRPr="006D5B7F">
        <w:rPr>
          <w:rStyle w:val="bc"/>
          <w:rFonts w:ascii="Arial" w:hAnsi="Arial" w:cs="Arial"/>
          <w:lang w:val="en"/>
        </w:rPr>
        <w:t xml:space="preserve">”), </w:t>
      </w:r>
      <w:r w:rsidR="008A3302" w:rsidRPr="006D5B7F">
        <w:rPr>
          <w:rStyle w:val="bc"/>
          <w:rFonts w:ascii="Arial" w:hAnsi="Arial" w:cs="Arial"/>
          <w:lang w:val="en"/>
        </w:rPr>
        <w:t xml:space="preserve">an associate undertaking of the Company </w:t>
      </w:r>
      <w:r w:rsidR="00FB5F1A" w:rsidRPr="006D5B7F">
        <w:rPr>
          <w:rStyle w:val="bc"/>
          <w:rFonts w:ascii="Arial" w:hAnsi="Arial" w:cs="Arial"/>
          <w:lang w:val="en"/>
        </w:rPr>
        <w:t>whose shares are traded</w:t>
      </w:r>
      <w:r w:rsidR="00543343" w:rsidRPr="006D5B7F">
        <w:rPr>
          <w:rStyle w:val="bc"/>
          <w:rFonts w:ascii="Arial" w:hAnsi="Arial" w:cs="Arial"/>
          <w:lang w:val="en"/>
        </w:rPr>
        <w:t xml:space="preserve"> on the Tel Aviv Stock Exchange, </w:t>
      </w:r>
      <w:r w:rsidR="00244830" w:rsidRPr="006D5B7F">
        <w:rPr>
          <w:rFonts w:ascii="Arial" w:eastAsia="Times New Roman" w:hAnsi="Arial" w:cs="Arial"/>
          <w:lang w:val="en-CA" w:eastAsia="en-GB"/>
        </w:rPr>
        <w:t>has published</w:t>
      </w:r>
      <w:r w:rsidR="008D69A5" w:rsidRPr="006D5B7F">
        <w:rPr>
          <w:rFonts w:ascii="Arial" w:eastAsia="Times New Roman" w:hAnsi="Arial" w:cs="Arial"/>
          <w:lang w:val="en-CA" w:eastAsia="en-GB"/>
        </w:rPr>
        <w:t xml:space="preserve"> </w:t>
      </w:r>
      <w:r w:rsidR="004B5C29" w:rsidRPr="006D5B7F">
        <w:rPr>
          <w:rFonts w:ascii="Arial" w:eastAsia="Times New Roman" w:hAnsi="Arial" w:cs="Arial"/>
          <w:lang w:val="en-CA" w:eastAsia="en-GB"/>
        </w:rPr>
        <w:t>the following</w:t>
      </w:r>
      <w:r w:rsidR="00065E45" w:rsidRPr="006D5B7F">
        <w:rPr>
          <w:rFonts w:ascii="Arial" w:eastAsia="Times New Roman" w:hAnsi="Arial" w:cs="Arial"/>
          <w:lang w:val="en-CA" w:eastAsia="en-GB"/>
        </w:rPr>
        <w:t xml:space="preserve"> </w:t>
      </w:r>
      <w:r w:rsidR="004B5C29" w:rsidRPr="006D5B7F">
        <w:rPr>
          <w:rFonts w:ascii="Arial" w:eastAsia="Times New Roman" w:hAnsi="Arial" w:cs="Arial"/>
          <w:lang w:val="en-CA" w:eastAsia="en-GB"/>
        </w:rPr>
        <w:t xml:space="preserve">in relation to </w:t>
      </w:r>
      <w:r w:rsidR="00FB5F1A" w:rsidRPr="006D5B7F">
        <w:rPr>
          <w:rFonts w:ascii="Arial" w:eastAsia="Times New Roman" w:hAnsi="Arial" w:cs="Arial"/>
          <w:lang w:val="en-CA" w:eastAsia="en-GB"/>
        </w:rPr>
        <w:t>the year ended 31 December 2016</w:t>
      </w:r>
      <w:r w:rsidR="004B5C29" w:rsidRPr="006D5B7F">
        <w:rPr>
          <w:rFonts w:ascii="Arial" w:eastAsia="Times New Roman" w:hAnsi="Arial" w:cs="Arial"/>
          <w:lang w:val="en-CA" w:eastAsia="en-GB"/>
        </w:rPr>
        <w:t>:</w:t>
      </w:r>
    </w:p>
    <w:p w:rsidR="008A3302" w:rsidRPr="006D5B7F" w:rsidRDefault="008A3302" w:rsidP="008A3302">
      <w:pPr>
        <w:spacing w:after="0" w:line="240" w:lineRule="auto"/>
        <w:jc w:val="both"/>
        <w:rPr>
          <w:rFonts w:ascii="Arial" w:eastAsia="Times New Roman" w:hAnsi="Arial" w:cs="Arial"/>
          <w:lang w:val="en-CA" w:eastAsia="en-GB"/>
        </w:rPr>
      </w:pPr>
    </w:p>
    <w:p w:rsidR="00065E45" w:rsidRPr="00F3075D" w:rsidRDefault="00721FBF" w:rsidP="008A3302">
      <w:pPr>
        <w:pStyle w:val="ListParagraph"/>
        <w:numPr>
          <w:ilvl w:val="0"/>
          <w:numId w:val="19"/>
        </w:numPr>
        <w:spacing w:after="0" w:line="240" w:lineRule="auto"/>
        <w:jc w:val="both"/>
        <w:rPr>
          <w:rFonts w:ascii="Arial" w:eastAsia="Times New Roman" w:hAnsi="Arial" w:cs="Arial"/>
          <w:lang w:val="en-CA" w:eastAsia="en-GB"/>
        </w:rPr>
      </w:pPr>
      <w:r w:rsidRPr="00F3075D">
        <w:rPr>
          <w:rFonts w:ascii="Arial" w:eastAsia="Times New Roman" w:hAnsi="Arial" w:cs="Arial"/>
          <w:lang w:val="en-CA" w:eastAsia="en-GB"/>
        </w:rPr>
        <w:t>Board of Directors’ report on</w:t>
      </w:r>
      <w:r w:rsidR="008D69A5" w:rsidRPr="00F3075D">
        <w:rPr>
          <w:rFonts w:ascii="Arial" w:eastAsia="Times New Roman" w:hAnsi="Arial" w:cs="Arial"/>
          <w:lang w:val="en-CA" w:eastAsia="en-GB"/>
        </w:rPr>
        <w:t xml:space="preserve"> the Corporation’</w:t>
      </w:r>
      <w:r w:rsidR="002C294A" w:rsidRPr="00F3075D">
        <w:rPr>
          <w:rFonts w:ascii="Arial" w:eastAsia="Times New Roman" w:hAnsi="Arial" w:cs="Arial"/>
          <w:lang w:val="en-CA" w:eastAsia="en-GB"/>
        </w:rPr>
        <w:t>s</w:t>
      </w:r>
      <w:r w:rsidRPr="00F3075D">
        <w:rPr>
          <w:rFonts w:ascii="Arial" w:eastAsia="Times New Roman" w:hAnsi="Arial" w:cs="Arial"/>
          <w:lang w:val="en-CA" w:eastAsia="en-GB"/>
        </w:rPr>
        <w:t xml:space="preserve"> state of a</w:t>
      </w:r>
      <w:r w:rsidR="00065E45" w:rsidRPr="00F3075D">
        <w:rPr>
          <w:rFonts w:ascii="Arial" w:eastAsia="Times New Roman" w:hAnsi="Arial" w:cs="Arial"/>
          <w:lang w:val="en-CA" w:eastAsia="en-GB"/>
        </w:rPr>
        <w:t>ffairs</w:t>
      </w:r>
    </w:p>
    <w:p w:rsidR="00065E45" w:rsidRPr="00F3075D" w:rsidRDefault="00065E45" w:rsidP="008A3302">
      <w:pPr>
        <w:pStyle w:val="ListParagraph"/>
        <w:numPr>
          <w:ilvl w:val="0"/>
          <w:numId w:val="19"/>
        </w:numPr>
        <w:spacing w:after="0" w:line="240" w:lineRule="auto"/>
        <w:jc w:val="both"/>
        <w:rPr>
          <w:rFonts w:ascii="Arial" w:eastAsia="Times New Roman" w:hAnsi="Arial" w:cs="Arial"/>
          <w:lang w:val="en-CA" w:eastAsia="en-GB"/>
        </w:rPr>
      </w:pPr>
      <w:r w:rsidRPr="00F3075D">
        <w:rPr>
          <w:rFonts w:ascii="Arial" w:eastAsia="Times New Roman" w:hAnsi="Arial" w:cs="Arial"/>
          <w:lang w:val="en-CA" w:eastAsia="en-GB"/>
        </w:rPr>
        <w:t>Co</w:t>
      </w:r>
      <w:r w:rsidR="00B46D55" w:rsidRPr="00F3075D">
        <w:rPr>
          <w:rFonts w:ascii="Arial" w:eastAsia="Times New Roman" w:hAnsi="Arial" w:cs="Arial"/>
          <w:lang w:val="en-CA" w:eastAsia="en-GB"/>
        </w:rPr>
        <w:t>nsolidated financial statements</w:t>
      </w:r>
    </w:p>
    <w:p w:rsidR="002C294A" w:rsidRPr="00F3075D" w:rsidRDefault="00205F95" w:rsidP="008A3302">
      <w:pPr>
        <w:pStyle w:val="ListParagraph"/>
        <w:numPr>
          <w:ilvl w:val="0"/>
          <w:numId w:val="19"/>
        </w:numPr>
        <w:spacing w:after="0" w:line="240" w:lineRule="auto"/>
        <w:jc w:val="both"/>
        <w:rPr>
          <w:rFonts w:ascii="Arial" w:eastAsia="Times New Roman" w:hAnsi="Arial" w:cs="Arial"/>
          <w:lang w:val="en-CA" w:eastAsia="en-GB"/>
        </w:rPr>
      </w:pPr>
      <w:r w:rsidRPr="00F3075D">
        <w:rPr>
          <w:rFonts w:ascii="Arial" w:eastAsia="Times New Roman" w:hAnsi="Arial" w:cs="Arial"/>
          <w:lang w:val="en-CA" w:eastAsia="en-GB"/>
        </w:rPr>
        <w:t>Presentation of financial data from the consolidated financial statement</w:t>
      </w:r>
      <w:r w:rsidR="00904F2D" w:rsidRPr="00F3075D">
        <w:rPr>
          <w:rFonts w:ascii="Arial" w:eastAsia="Times New Roman" w:hAnsi="Arial" w:cs="Arial"/>
          <w:lang w:val="en-CA" w:eastAsia="en-GB"/>
        </w:rPr>
        <w:t>s</w:t>
      </w:r>
      <w:r w:rsidRPr="00F3075D">
        <w:rPr>
          <w:rFonts w:ascii="Arial" w:eastAsia="Times New Roman" w:hAnsi="Arial" w:cs="Arial"/>
          <w:lang w:val="en-CA" w:eastAsia="en-GB"/>
        </w:rPr>
        <w:t xml:space="preserve"> attributed to </w:t>
      </w:r>
      <w:r w:rsidR="00FB5F1A" w:rsidRPr="00F3075D">
        <w:rPr>
          <w:rFonts w:ascii="Arial" w:eastAsia="Times New Roman" w:hAnsi="Arial" w:cs="Arial"/>
          <w:lang w:val="en-CA" w:eastAsia="en-GB"/>
        </w:rPr>
        <w:t>BCP</w:t>
      </w:r>
      <w:r w:rsidRPr="00F3075D">
        <w:rPr>
          <w:rFonts w:ascii="Arial" w:eastAsia="Times New Roman" w:hAnsi="Arial" w:cs="Arial"/>
          <w:lang w:val="en-CA" w:eastAsia="en-GB"/>
        </w:rPr>
        <w:t xml:space="preserve"> itself</w:t>
      </w:r>
    </w:p>
    <w:p w:rsidR="008A3302" w:rsidRPr="006D5B7F" w:rsidRDefault="008A3302" w:rsidP="008A3302">
      <w:pPr>
        <w:pStyle w:val="ListParagraph"/>
        <w:spacing w:after="0" w:line="240" w:lineRule="auto"/>
        <w:ind w:left="1080"/>
        <w:jc w:val="both"/>
        <w:rPr>
          <w:rFonts w:ascii="Arial" w:eastAsia="Times New Roman" w:hAnsi="Arial" w:cs="Arial"/>
          <w:highlight w:val="yellow"/>
          <w:lang w:val="en-CA" w:eastAsia="en-GB"/>
        </w:rPr>
      </w:pPr>
    </w:p>
    <w:p w:rsidR="00B25B8B" w:rsidRPr="006D5B7F" w:rsidRDefault="00B25B8B" w:rsidP="008A3302">
      <w:pPr>
        <w:pStyle w:val="NormalWeb"/>
        <w:spacing w:before="0" w:beforeAutospacing="0" w:after="0" w:afterAutospacing="0"/>
        <w:jc w:val="both"/>
        <w:rPr>
          <w:rFonts w:ascii="Arial" w:eastAsia="Times New Roman" w:hAnsi="Arial" w:cs="Arial"/>
          <w:sz w:val="22"/>
          <w:szCs w:val="22"/>
          <w:lang w:val="en-CA" w:eastAsia="en-GB"/>
        </w:rPr>
      </w:pPr>
      <w:r w:rsidRPr="006D5B7F">
        <w:rPr>
          <w:rFonts w:ascii="Arial" w:hAnsi="Arial" w:cs="Arial"/>
          <w:sz w:val="22"/>
          <w:szCs w:val="22"/>
          <w:lang w:val="en-GB" w:eastAsia="en-GB"/>
        </w:rPr>
        <w:t xml:space="preserve">For ease of reference, the </w:t>
      </w:r>
      <w:r w:rsidR="0029127D" w:rsidRPr="006D5B7F">
        <w:rPr>
          <w:rFonts w:ascii="Arial" w:hAnsi="Arial" w:cs="Arial"/>
          <w:sz w:val="22"/>
          <w:szCs w:val="22"/>
          <w:lang w:val="en-GB" w:eastAsia="en-GB"/>
        </w:rPr>
        <w:t>uncertified English translation of the above documents along with the Hebrew certified versions, are</w:t>
      </w:r>
      <w:r w:rsidRPr="006D5B7F">
        <w:rPr>
          <w:rFonts w:ascii="Arial" w:hAnsi="Arial" w:cs="Arial"/>
          <w:sz w:val="22"/>
          <w:szCs w:val="22"/>
          <w:lang w:val="en-GB" w:eastAsia="en-GB"/>
        </w:rPr>
        <w:t xml:space="preserve"> available on the Company’s website</w:t>
      </w:r>
      <w:r w:rsidRPr="006D5B7F">
        <w:rPr>
          <w:rFonts w:ascii="Arial" w:eastAsia="Times New Roman" w:hAnsi="Arial" w:cs="Arial"/>
          <w:sz w:val="22"/>
          <w:szCs w:val="22"/>
          <w:lang w:val="en-CA" w:eastAsia="en-GB"/>
        </w:rPr>
        <w:t xml:space="preserve"> </w:t>
      </w:r>
      <w:hyperlink r:id="rId7" w:history="1">
        <w:r w:rsidRPr="006D5B7F">
          <w:rPr>
            <w:rStyle w:val="Hyperlink"/>
            <w:rFonts w:ascii="Arial" w:eastAsia="Times New Roman" w:hAnsi="Arial" w:cs="Arial"/>
            <w:sz w:val="22"/>
            <w:szCs w:val="22"/>
            <w:lang w:val="en-CA" w:eastAsia="en-GB"/>
          </w:rPr>
          <w:t>www.brack-capital.com</w:t>
        </w:r>
      </w:hyperlink>
      <w:r w:rsidRPr="006D5B7F">
        <w:rPr>
          <w:rFonts w:ascii="Arial" w:eastAsia="Times New Roman" w:hAnsi="Arial" w:cs="Arial"/>
          <w:sz w:val="22"/>
          <w:szCs w:val="22"/>
          <w:lang w:val="en-CA" w:eastAsia="en-GB"/>
        </w:rPr>
        <w:t>.</w:t>
      </w:r>
    </w:p>
    <w:p w:rsidR="008A3302" w:rsidRPr="006D5B7F" w:rsidRDefault="008A3302" w:rsidP="008A3302">
      <w:pPr>
        <w:pStyle w:val="NormalWeb"/>
        <w:spacing w:before="0" w:beforeAutospacing="0" w:after="0" w:afterAutospacing="0"/>
        <w:jc w:val="both"/>
        <w:rPr>
          <w:rFonts w:ascii="Arial" w:eastAsia="Times New Roman" w:hAnsi="Arial" w:cs="Arial"/>
          <w:sz w:val="22"/>
          <w:szCs w:val="22"/>
          <w:lang w:val="en-CA" w:eastAsia="en-GB"/>
        </w:rPr>
      </w:pPr>
    </w:p>
    <w:p w:rsidR="00F151E8" w:rsidRPr="006D5B7F" w:rsidRDefault="001321FF" w:rsidP="008A3302">
      <w:pPr>
        <w:spacing w:after="0" w:line="240" w:lineRule="auto"/>
        <w:jc w:val="both"/>
        <w:rPr>
          <w:rFonts w:ascii="Arial" w:hAnsi="Arial" w:cs="Arial"/>
          <w:lang w:eastAsia="en-GB"/>
        </w:rPr>
      </w:pPr>
      <w:r w:rsidRPr="006D5B7F">
        <w:rPr>
          <w:rFonts w:ascii="Arial" w:hAnsi="Arial" w:cs="Arial"/>
          <w:lang w:eastAsia="en-GB"/>
        </w:rPr>
        <w:t>Key highlights</w:t>
      </w:r>
      <w:r w:rsidR="00F151E8" w:rsidRPr="006D5B7F">
        <w:rPr>
          <w:rFonts w:ascii="Arial" w:hAnsi="Arial" w:cs="Arial"/>
          <w:lang w:eastAsia="en-GB"/>
        </w:rPr>
        <w:t xml:space="preserve"> relating to the principal results </w:t>
      </w:r>
      <w:r w:rsidR="002C294A" w:rsidRPr="006D5B7F">
        <w:rPr>
          <w:rFonts w:ascii="Arial" w:hAnsi="Arial" w:cs="Arial"/>
          <w:lang w:eastAsia="en-GB"/>
        </w:rPr>
        <w:t xml:space="preserve">for the </w:t>
      </w:r>
      <w:r w:rsidR="00FB5F1A" w:rsidRPr="006D5B7F">
        <w:rPr>
          <w:rFonts w:ascii="Arial" w:hAnsi="Arial" w:cs="Arial"/>
          <w:lang w:eastAsia="en-GB"/>
        </w:rPr>
        <w:t>year ended 31 December 2016</w:t>
      </w:r>
      <w:r w:rsidR="002820BD" w:rsidRPr="006D5B7F">
        <w:rPr>
          <w:rFonts w:ascii="Arial" w:hAnsi="Arial" w:cs="Arial"/>
          <w:lang w:eastAsia="en-GB"/>
        </w:rPr>
        <w:t xml:space="preserve"> </w:t>
      </w:r>
      <w:r w:rsidRPr="006D5B7F">
        <w:rPr>
          <w:rFonts w:ascii="Arial" w:hAnsi="Arial" w:cs="Arial"/>
          <w:lang w:eastAsia="en-GB"/>
        </w:rPr>
        <w:t>are</w:t>
      </w:r>
      <w:r w:rsidR="00F151E8" w:rsidRPr="006D5B7F">
        <w:rPr>
          <w:rFonts w:ascii="Arial" w:hAnsi="Arial" w:cs="Arial"/>
          <w:lang w:eastAsia="en-GB"/>
        </w:rPr>
        <w:t>:</w:t>
      </w:r>
    </w:p>
    <w:p w:rsidR="00AD512B" w:rsidRPr="006D5B7F" w:rsidRDefault="00AD512B" w:rsidP="008A3302">
      <w:pPr>
        <w:spacing w:after="0" w:line="240" w:lineRule="auto"/>
        <w:jc w:val="both"/>
        <w:rPr>
          <w:rFonts w:ascii="Arial" w:hAnsi="Arial" w:cs="Arial"/>
          <w:lang w:eastAsia="en-GB"/>
        </w:rPr>
      </w:pPr>
    </w:p>
    <w:p w:rsidR="008A3302" w:rsidRPr="006D5B7F" w:rsidRDefault="008A3302" w:rsidP="008A3302">
      <w:pPr>
        <w:numPr>
          <w:ilvl w:val="0"/>
          <w:numId w:val="15"/>
        </w:numPr>
        <w:tabs>
          <w:tab w:val="num" w:pos="426"/>
        </w:tabs>
        <w:spacing w:after="0" w:line="240" w:lineRule="auto"/>
        <w:ind w:left="709" w:hanging="283"/>
        <w:jc w:val="both"/>
        <w:rPr>
          <w:rFonts w:ascii="Arial" w:hAnsi="Arial" w:cs="Arial"/>
        </w:rPr>
      </w:pPr>
      <w:r w:rsidRPr="006D5B7F">
        <w:rPr>
          <w:rFonts w:ascii="Arial" w:hAnsi="Arial" w:cs="Arial"/>
        </w:rPr>
        <w:t xml:space="preserve">Profitability – </w:t>
      </w:r>
      <w:r w:rsidR="00543343" w:rsidRPr="006D5B7F">
        <w:rPr>
          <w:rFonts w:ascii="Arial" w:hAnsi="Arial" w:cs="Arial"/>
        </w:rPr>
        <w:t>f</w:t>
      </w:r>
      <w:r w:rsidR="004011DA" w:rsidRPr="006D5B7F">
        <w:rPr>
          <w:rFonts w:ascii="Arial" w:hAnsi="Arial" w:cs="Arial"/>
        </w:rPr>
        <w:t>or</w:t>
      </w:r>
      <w:r w:rsidRPr="006D5B7F">
        <w:rPr>
          <w:rFonts w:ascii="Arial" w:hAnsi="Arial" w:cs="Arial"/>
        </w:rPr>
        <w:t xml:space="preserve"> 2016, </w:t>
      </w:r>
      <w:r w:rsidR="004011DA" w:rsidRPr="006D5B7F">
        <w:rPr>
          <w:rFonts w:ascii="Arial" w:hAnsi="Arial" w:cs="Arial"/>
        </w:rPr>
        <w:t>BCP</w:t>
      </w:r>
      <w:r w:rsidRPr="006D5B7F">
        <w:rPr>
          <w:rFonts w:ascii="Arial" w:hAnsi="Arial" w:cs="Arial"/>
        </w:rPr>
        <w:t xml:space="preserve">’s net income attributed to </w:t>
      </w:r>
      <w:r w:rsidR="004011DA" w:rsidRPr="006D5B7F">
        <w:rPr>
          <w:rFonts w:ascii="Arial" w:hAnsi="Arial" w:cs="Arial"/>
        </w:rPr>
        <w:t>BCP</w:t>
      </w:r>
      <w:r w:rsidRPr="006D5B7F">
        <w:rPr>
          <w:rFonts w:ascii="Arial" w:hAnsi="Arial" w:cs="Arial"/>
        </w:rPr>
        <w:t xml:space="preserve">’s shareholders amounted to c. EUR </w:t>
      </w:r>
      <w:r w:rsidR="004011DA" w:rsidRPr="006D5B7F">
        <w:rPr>
          <w:rFonts w:ascii="Arial" w:hAnsi="Arial" w:cs="Arial"/>
        </w:rPr>
        <w:t xml:space="preserve">76.3 </w:t>
      </w:r>
      <w:r w:rsidRPr="006D5B7F">
        <w:rPr>
          <w:rFonts w:ascii="Arial" w:hAnsi="Arial" w:cs="Arial"/>
        </w:rPr>
        <w:t xml:space="preserve">million compared to a net income of c. EUR </w:t>
      </w:r>
      <w:r w:rsidR="004011DA" w:rsidRPr="006D5B7F">
        <w:rPr>
          <w:rFonts w:ascii="Arial" w:hAnsi="Arial" w:cs="Arial"/>
        </w:rPr>
        <w:t>63.4</w:t>
      </w:r>
      <w:r w:rsidRPr="006D5B7F">
        <w:rPr>
          <w:rFonts w:ascii="Arial" w:hAnsi="Arial" w:cs="Arial"/>
        </w:rPr>
        <w:t xml:space="preserve"> million </w:t>
      </w:r>
      <w:r w:rsidR="004011DA" w:rsidRPr="006D5B7F">
        <w:rPr>
          <w:rFonts w:ascii="Arial" w:hAnsi="Arial" w:cs="Arial"/>
        </w:rPr>
        <w:t>for 2015</w:t>
      </w:r>
      <w:r w:rsidRPr="006D5B7F">
        <w:rPr>
          <w:rFonts w:ascii="Arial" w:hAnsi="Arial" w:cs="Arial"/>
        </w:rPr>
        <w:t xml:space="preserve">. Contribution from the income producing real estate assets and the residential development activity to </w:t>
      </w:r>
      <w:r w:rsidR="004011DA" w:rsidRPr="006D5B7F">
        <w:rPr>
          <w:rFonts w:ascii="Arial" w:hAnsi="Arial" w:cs="Arial"/>
        </w:rPr>
        <w:t>BCP</w:t>
      </w:r>
      <w:r w:rsidRPr="006D5B7F">
        <w:rPr>
          <w:rFonts w:ascii="Arial" w:hAnsi="Arial" w:cs="Arial"/>
        </w:rPr>
        <w:t>’s results were:</w:t>
      </w:r>
    </w:p>
    <w:p w:rsidR="008A3302" w:rsidRPr="006D5B7F" w:rsidRDefault="008A3302" w:rsidP="008A3302">
      <w:pPr>
        <w:spacing w:after="0" w:line="240" w:lineRule="auto"/>
        <w:ind w:left="709"/>
        <w:jc w:val="both"/>
        <w:rPr>
          <w:rFonts w:ascii="Arial" w:hAnsi="Arial" w:cs="Arial"/>
        </w:rPr>
      </w:pPr>
    </w:p>
    <w:p w:rsidR="008A3302" w:rsidRPr="006D5B7F" w:rsidRDefault="008A3302" w:rsidP="008A3302">
      <w:pPr>
        <w:pStyle w:val="ListParagraph"/>
        <w:numPr>
          <w:ilvl w:val="0"/>
          <w:numId w:val="16"/>
        </w:numPr>
        <w:spacing w:after="0" w:line="240" w:lineRule="auto"/>
        <w:contextualSpacing w:val="0"/>
        <w:jc w:val="both"/>
        <w:rPr>
          <w:rFonts w:ascii="Arial" w:hAnsi="Arial" w:cs="Arial"/>
          <w:rtl/>
        </w:rPr>
      </w:pPr>
      <w:r w:rsidRPr="006D5B7F">
        <w:rPr>
          <w:rFonts w:ascii="Arial" w:hAnsi="Arial" w:cs="Arial"/>
        </w:rPr>
        <w:t xml:space="preserve">Income producing real estate assets – </w:t>
      </w:r>
      <w:r w:rsidR="004011DA" w:rsidRPr="006D5B7F">
        <w:rPr>
          <w:rFonts w:ascii="Arial" w:hAnsi="Arial" w:cs="Arial"/>
        </w:rPr>
        <w:t xml:space="preserve">for </w:t>
      </w:r>
      <w:r w:rsidRPr="006D5B7F">
        <w:rPr>
          <w:rFonts w:ascii="Arial" w:hAnsi="Arial" w:cs="Arial"/>
        </w:rPr>
        <w:t xml:space="preserve">2016, the Funds </w:t>
      </w:r>
      <w:proofErr w:type="gramStart"/>
      <w:r w:rsidRPr="006D5B7F">
        <w:rPr>
          <w:rFonts w:ascii="Arial" w:hAnsi="Arial" w:cs="Arial"/>
        </w:rPr>
        <w:t>From</w:t>
      </w:r>
      <w:proofErr w:type="gramEnd"/>
      <w:r w:rsidRPr="006D5B7F">
        <w:rPr>
          <w:rFonts w:ascii="Arial" w:hAnsi="Arial" w:cs="Arial"/>
        </w:rPr>
        <w:t xml:space="preserve"> Operations (“</w:t>
      </w:r>
      <w:r w:rsidR="009D49D9" w:rsidRPr="006D5B7F">
        <w:rPr>
          <w:rFonts w:ascii="Arial" w:hAnsi="Arial" w:cs="Arial"/>
          <w:b/>
        </w:rPr>
        <w:t>FFO</w:t>
      </w:r>
      <w:r w:rsidRPr="006D5B7F">
        <w:rPr>
          <w:rFonts w:ascii="Arial" w:hAnsi="Arial" w:cs="Arial"/>
        </w:rPr>
        <w:t xml:space="preserve">”) amounted to c. EUR </w:t>
      </w:r>
      <w:r w:rsidR="004011DA" w:rsidRPr="006D5B7F">
        <w:rPr>
          <w:rFonts w:ascii="Arial" w:hAnsi="Arial" w:cs="Arial"/>
        </w:rPr>
        <w:t xml:space="preserve">29.3 </w:t>
      </w:r>
      <w:r w:rsidRPr="006D5B7F">
        <w:rPr>
          <w:rFonts w:ascii="Arial" w:hAnsi="Arial" w:cs="Arial"/>
        </w:rPr>
        <w:t xml:space="preserve">million compared to c. EUR </w:t>
      </w:r>
      <w:r w:rsidR="004011DA" w:rsidRPr="006D5B7F">
        <w:rPr>
          <w:rFonts w:ascii="Arial" w:hAnsi="Arial" w:cs="Arial"/>
        </w:rPr>
        <w:t xml:space="preserve">24.3 </w:t>
      </w:r>
      <w:r w:rsidRPr="006D5B7F">
        <w:rPr>
          <w:rFonts w:ascii="Arial" w:hAnsi="Arial" w:cs="Arial"/>
        </w:rPr>
        <w:t xml:space="preserve">million </w:t>
      </w:r>
      <w:r w:rsidR="004011DA" w:rsidRPr="006D5B7F">
        <w:rPr>
          <w:rFonts w:ascii="Arial" w:hAnsi="Arial" w:cs="Arial"/>
        </w:rPr>
        <w:t>for 2015</w:t>
      </w:r>
      <w:r w:rsidRPr="006D5B7F">
        <w:rPr>
          <w:rFonts w:ascii="Arial" w:hAnsi="Arial" w:cs="Arial"/>
        </w:rPr>
        <w:t>. T</w:t>
      </w:r>
      <w:r w:rsidR="009D49D9" w:rsidRPr="006D5B7F">
        <w:rPr>
          <w:rFonts w:ascii="Arial" w:hAnsi="Arial" w:cs="Arial"/>
        </w:rPr>
        <w:t>he FFO</w:t>
      </w:r>
      <w:r w:rsidRPr="006D5B7F">
        <w:rPr>
          <w:rFonts w:ascii="Arial" w:hAnsi="Arial" w:cs="Arial"/>
        </w:rPr>
        <w:t xml:space="preserve"> in the </w:t>
      </w:r>
      <w:r w:rsidR="004011DA" w:rsidRPr="006D5B7F">
        <w:rPr>
          <w:rFonts w:ascii="Arial" w:hAnsi="Arial" w:cs="Arial"/>
        </w:rPr>
        <w:t>fourth</w:t>
      </w:r>
      <w:r w:rsidRPr="006D5B7F">
        <w:rPr>
          <w:rFonts w:ascii="Arial" w:hAnsi="Arial" w:cs="Arial"/>
        </w:rPr>
        <w:t xml:space="preserve"> quarter</w:t>
      </w:r>
      <w:r w:rsidR="004011DA" w:rsidRPr="006D5B7F">
        <w:rPr>
          <w:rFonts w:ascii="Arial" w:hAnsi="Arial" w:cs="Arial"/>
        </w:rPr>
        <w:t xml:space="preserve"> of 2016 amounted to c. EUR 8 million</w:t>
      </w:r>
      <w:r w:rsidR="001527AB">
        <w:rPr>
          <w:rFonts w:ascii="Arial" w:hAnsi="Arial" w:cs="Arial"/>
        </w:rPr>
        <w:t>,</w:t>
      </w:r>
      <w:r w:rsidR="004011DA" w:rsidRPr="006D5B7F">
        <w:rPr>
          <w:rFonts w:ascii="Arial" w:hAnsi="Arial" w:cs="Arial"/>
        </w:rPr>
        <w:t xml:space="preserve"> </w:t>
      </w:r>
      <w:r w:rsidR="009D49D9" w:rsidRPr="006D5B7F">
        <w:rPr>
          <w:rFonts w:ascii="Arial" w:hAnsi="Arial" w:cs="Arial"/>
        </w:rPr>
        <w:t>w</w:t>
      </w:r>
      <w:r w:rsidR="004011DA" w:rsidRPr="006D5B7F">
        <w:rPr>
          <w:rFonts w:ascii="Arial" w:hAnsi="Arial" w:cs="Arial"/>
        </w:rPr>
        <w:t xml:space="preserve">hich </w:t>
      </w:r>
      <w:r w:rsidRPr="006D5B7F">
        <w:rPr>
          <w:rFonts w:ascii="Arial" w:hAnsi="Arial" w:cs="Arial"/>
        </w:rPr>
        <w:t xml:space="preserve">grosses up to an annualized FFO of c. </w:t>
      </w:r>
      <w:r w:rsidR="004011DA" w:rsidRPr="006D5B7F">
        <w:rPr>
          <w:rFonts w:ascii="Arial" w:hAnsi="Arial" w:cs="Arial"/>
        </w:rPr>
        <w:t>EUR 32.1</w:t>
      </w:r>
      <w:r w:rsidRPr="006D5B7F">
        <w:rPr>
          <w:rFonts w:ascii="Arial" w:hAnsi="Arial" w:cs="Arial"/>
        </w:rPr>
        <w:t xml:space="preserve"> million. </w:t>
      </w:r>
    </w:p>
    <w:p w:rsidR="008A3302" w:rsidRPr="006D5B7F" w:rsidRDefault="008A3302" w:rsidP="008A3302">
      <w:pPr>
        <w:pStyle w:val="ListParagraph"/>
        <w:spacing w:after="0" w:line="240" w:lineRule="auto"/>
        <w:ind w:left="1069"/>
        <w:contextualSpacing w:val="0"/>
        <w:jc w:val="both"/>
        <w:rPr>
          <w:rFonts w:ascii="Arial" w:hAnsi="Arial" w:cs="Arial"/>
        </w:rPr>
      </w:pPr>
    </w:p>
    <w:p w:rsidR="004011DA" w:rsidRPr="006D5B7F" w:rsidRDefault="008A3302" w:rsidP="00CD31C3">
      <w:pPr>
        <w:pStyle w:val="ListParagraph"/>
        <w:numPr>
          <w:ilvl w:val="0"/>
          <w:numId w:val="16"/>
        </w:numPr>
        <w:spacing w:after="0" w:line="240" w:lineRule="auto"/>
        <w:contextualSpacing w:val="0"/>
        <w:jc w:val="both"/>
        <w:rPr>
          <w:rFonts w:ascii="Arial" w:hAnsi="Arial" w:cs="Arial"/>
        </w:rPr>
      </w:pPr>
      <w:r w:rsidRPr="006D5B7F">
        <w:rPr>
          <w:rFonts w:ascii="Arial" w:hAnsi="Arial" w:cs="Arial"/>
        </w:rPr>
        <w:t xml:space="preserve">Residential development activity – </w:t>
      </w:r>
      <w:r w:rsidR="004011DA" w:rsidRPr="006D5B7F">
        <w:rPr>
          <w:rFonts w:ascii="Arial" w:hAnsi="Arial" w:cs="Arial"/>
        </w:rPr>
        <w:t xml:space="preserve">for 2016, the contribution to profit from the </w:t>
      </w:r>
      <w:proofErr w:type="spellStart"/>
      <w:r w:rsidR="004011DA" w:rsidRPr="006D5B7F">
        <w:rPr>
          <w:rFonts w:ascii="Arial" w:hAnsi="Arial" w:cs="Arial"/>
        </w:rPr>
        <w:t>Grafental</w:t>
      </w:r>
      <w:proofErr w:type="spellEnd"/>
      <w:r w:rsidR="004011DA" w:rsidRPr="006D5B7F">
        <w:rPr>
          <w:rFonts w:ascii="Arial" w:hAnsi="Arial" w:cs="Arial"/>
        </w:rPr>
        <w:t xml:space="preserve"> project amounted to </w:t>
      </w:r>
      <w:r w:rsidR="009D49D9" w:rsidRPr="006D5B7F">
        <w:rPr>
          <w:rFonts w:ascii="Arial" w:hAnsi="Arial" w:cs="Arial"/>
        </w:rPr>
        <w:t xml:space="preserve">c. </w:t>
      </w:r>
      <w:r w:rsidR="004011DA" w:rsidRPr="006D5B7F">
        <w:rPr>
          <w:rFonts w:ascii="Arial" w:hAnsi="Arial" w:cs="Arial"/>
        </w:rPr>
        <w:t>EUR 15.4 million (consolidated) from the completion of the delivery of th</w:t>
      </w:r>
      <w:r w:rsidR="005C3584">
        <w:rPr>
          <w:rFonts w:ascii="Arial" w:hAnsi="Arial" w:cs="Arial"/>
        </w:rPr>
        <w:t>e remaining 55 flats</w:t>
      </w:r>
      <w:r w:rsidR="00D90230">
        <w:rPr>
          <w:rFonts w:ascii="Arial" w:hAnsi="Arial" w:cs="Arial"/>
        </w:rPr>
        <w:t>,</w:t>
      </w:r>
      <w:r w:rsidR="005C3584">
        <w:rPr>
          <w:rFonts w:ascii="Arial" w:hAnsi="Arial" w:cs="Arial"/>
        </w:rPr>
        <w:t xml:space="preserve"> </w:t>
      </w:r>
      <w:r w:rsidR="00F84201">
        <w:rPr>
          <w:rFonts w:ascii="Arial" w:hAnsi="Arial" w:cs="Arial"/>
        </w:rPr>
        <w:t xml:space="preserve">out of 118 in total, </w:t>
      </w:r>
      <w:r w:rsidR="005C3584">
        <w:rPr>
          <w:rFonts w:ascii="Arial" w:hAnsi="Arial" w:cs="Arial"/>
        </w:rPr>
        <w:t xml:space="preserve">of phase B1 </w:t>
      </w:r>
      <w:r w:rsidR="004011DA" w:rsidRPr="006D5B7F">
        <w:rPr>
          <w:rFonts w:ascii="Arial" w:hAnsi="Arial" w:cs="Arial"/>
        </w:rPr>
        <w:t>and the delivery of 93 flats</w:t>
      </w:r>
      <w:r w:rsidR="001527AB">
        <w:rPr>
          <w:rFonts w:ascii="Arial" w:hAnsi="Arial" w:cs="Arial"/>
        </w:rPr>
        <w:t>,</w:t>
      </w:r>
      <w:r w:rsidR="004011DA" w:rsidRPr="006D5B7F">
        <w:rPr>
          <w:rFonts w:ascii="Arial" w:hAnsi="Arial" w:cs="Arial"/>
        </w:rPr>
        <w:t xml:space="preserve"> out of 107 </w:t>
      </w:r>
      <w:r w:rsidR="009D49D9" w:rsidRPr="006D5B7F">
        <w:rPr>
          <w:rFonts w:ascii="Arial" w:hAnsi="Arial" w:cs="Arial"/>
        </w:rPr>
        <w:t>in total</w:t>
      </w:r>
      <w:r w:rsidR="001527AB">
        <w:rPr>
          <w:rFonts w:ascii="Arial" w:hAnsi="Arial" w:cs="Arial"/>
        </w:rPr>
        <w:t>,</w:t>
      </w:r>
      <w:r w:rsidR="004011DA" w:rsidRPr="006D5B7F">
        <w:rPr>
          <w:rFonts w:ascii="Arial" w:hAnsi="Arial" w:cs="Arial"/>
        </w:rPr>
        <w:t xml:space="preserve"> of phase B3.</w:t>
      </w:r>
    </w:p>
    <w:p w:rsidR="008A3302" w:rsidRPr="006D5B7F" w:rsidRDefault="008A3302" w:rsidP="008A3302">
      <w:pPr>
        <w:pStyle w:val="ListParagraph"/>
        <w:spacing w:after="0" w:line="240" w:lineRule="auto"/>
        <w:ind w:left="1069"/>
        <w:contextualSpacing w:val="0"/>
        <w:jc w:val="both"/>
        <w:rPr>
          <w:rFonts w:ascii="Arial" w:hAnsi="Arial" w:cs="Arial"/>
        </w:rPr>
      </w:pPr>
    </w:p>
    <w:p w:rsidR="008A3302" w:rsidRPr="006D5B7F" w:rsidRDefault="008A3302" w:rsidP="008A3302">
      <w:pPr>
        <w:numPr>
          <w:ilvl w:val="0"/>
          <w:numId w:val="15"/>
        </w:numPr>
        <w:tabs>
          <w:tab w:val="num" w:pos="426"/>
        </w:tabs>
        <w:spacing w:after="0" w:line="240" w:lineRule="auto"/>
        <w:ind w:left="709" w:hanging="283"/>
        <w:jc w:val="both"/>
        <w:rPr>
          <w:rFonts w:ascii="Arial" w:hAnsi="Arial" w:cs="Arial"/>
        </w:rPr>
      </w:pPr>
      <w:r w:rsidRPr="006D5B7F">
        <w:rPr>
          <w:rFonts w:ascii="Arial" w:hAnsi="Arial" w:cs="Arial"/>
        </w:rPr>
        <w:t>Balance sheet structure and financial strength:</w:t>
      </w:r>
    </w:p>
    <w:p w:rsidR="008A3302" w:rsidRPr="006D5B7F" w:rsidRDefault="008A3302" w:rsidP="008A3302">
      <w:pPr>
        <w:spacing w:after="0" w:line="240" w:lineRule="auto"/>
        <w:ind w:left="709"/>
        <w:jc w:val="both"/>
        <w:rPr>
          <w:rFonts w:ascii="Arial" w:hAnsi="Arial" w:cs="Arial"/>
        </w:rPr>
      </w:pPr>
    </w:p>
    <w:p w:rsidR="008A3302" w:rsidRPr="006D5B7F" w:rsidRDefault="008A3302" w:rsidP="009D2F05">
      <w:pPr>
        <w:pStyle w:val="ListParagraph"/>
        <w:numPr>
          <w:ilvl w:val="0"/>
          <w:numId w:val="25"/>
        </w:numPr>
        <w:spacing w:after="0" w:line="240" w:lineRule="auto"/>
        <w:ind w:left="1134" w:hanging="425"/>
        <w:contextualSpacing w:val="0"/>
        <w:jc w:val="both"/>
        <w:rPr>
          <w:rFonts w:ascii="Arial" w:hAnsi="Arial" w:cs="Arial"/>
        </w:rPr>
      </w:pPr>
      <w:r w:rsidRPr="006D5B7F">
        <w:rPr>
          <w:rFonts w:ascii="Arial" w:hAnsi="Arial" w:cs="Arial"/>
        </w:rPr>
        <w:t>Equity and EPRA NAV</w:t>
      </w:r>
      <w:r w:rsidRPr="006D5B7F">
        <w:rPr>
          <w:rFonts w:ascii="Arial" w:hAnsi="Arial" w:cs="Arial"/>
          <w:vertAlign w:val="superscript"/>
        </w:rPr>
        <w:t>2</w:t>
      </w:r>
      <w:r w:rsidRPr="006D5B7F">
        <w:rPr>
          <w:rFonts w:ascii="Arial" w:hAnsi="Arial" w:cs="Arial"/>
        </w:rPr>
        <w:t xml:space="preserve"> - the equity attributed to the shareholders of </w:t>
      </w:r>
      <w:r w:rsidR="004011DA" w:rsidRPr="006D5B7F">
        <w:rPr>
          <w:rFonts w:ascii="Arial" w:hAnsi="Arial" w:cs="Arial"/>
        </w:rPr>
        <w:t>BCP</w:t>
      </w:r>
      <w:r w:rsidRPr="006D5B7F">
        <w:rPr>
          <w:rFonts w:ascii="Arial" w:hAnsi="Arial" w:cs="Arial"/>
        </w:rPr>
        <w:t xml:space="preserve"> amounted to c. EUR </w:t>
      </w:r>
      <w:r w:rsidR="004011DA" w:rsidRPr="006D5B7F">
        <w:rPr>
          <w:rFonts w:ascii="Arial" w:hAnsi="Arial" w:cs="Arial"/>
        </w:rPr>
        <w:t>419.2</w:t>
      </w:r>
      <w:r w:rsidRPr="006D5B7F">
        <w:rPr>
          <w:rFonts w:ascii="Arial" w:hAnsi="Arial" w:cs="Arial"/>
        </w:rPr>
        <w:t xml:space="preserve"> million and to c. </w:t>
      </w:r>
      <w:r w:rsidR="004011DA" w:rsidRPr="006D5B7F">
        <w:rPr>
          <w:rFonts w:ascii="Arial" w:hAnsi="Arial" w:cs="Arial"/>
        </w:rPr>
        <w:t>EUR 466.2</w:t>
      </w:r>
      <w:r w:rsidRPr="006D5B7F">
        <w:rPr>
          <w:rFonts w:ascii="Arial" w:hAnsi="Arial" w:cs="Arial"/>
        </w:rPr>
        <w:t xml:space="preserve"> million</w:t>
      </w:r>
      <w:r w:rsidR="004011DA" w:rsidRPr="006D5B7F">
        <w:rPr>
          <w:rFonts w:ascii="Arial" w:hAnsi="Arial" w:cs="Arial"/>
        </w:rPr>
        <w:t>, as of the report date and as of the report signing date</w:t>
      </w:r>
      <w:r w:rsidR="009D2F05" w:rsidRPr="006D5B7F">
        <w:rPr>
          <w:rFonts w:ascii="Arial" w:hAnsi="Arial" w:cs="Arial"/>
          <w:vertAlign w:val="superscript"/>
        </w:rPr>
        <w:t>1</w:t>
      </w:r>
      <w:r w:rsidR="004011DA" w:rsidRPr="006D5B7F">
        <w:rPr>
          <w:rFonts w:ascii="Arial" w:hAnsi="Arial" w:cs="Arial"/>
        </w:rPr>
        <w:t>, respectively.</w:t>
      </w:r>
      <w:r w:rsidR="009D2F05" w:rsidRPr="006D5B7F">
        <w:rPr>
          <w:rFonts w:ascii="Arial" w:hAnsi="Arial" w:cs="Arial"/>
        </w:rPr>
        <w:t xml:space="preserve"> The </w:t>
      </w:r>
      <w:r w:rsidRPr="006D5B7F">
        <w:rPr>
          <w:rFonts w:ascii="Arial" w:hAnsi="Arial" w:cs="Arial"/>
        </w:rPr>
        <w:t xml:space="preserve">EPRA NAV amounted to </w:t>
      </w:r>
      <w:r w:rsidR="009D49D9" w:rsidRPr="006D5B7F">
        <w:rPr>
          <w:rFonts w:ascii="Arial" w:hAnsi="Arial" w:cs="Arial"/>
        </w:rPr>
        <w:t xml:space="preserve">c. </w:t>
      </w:r>
      <w:r w:rsidR="009D2F05" w:rsidRPr="006D5B7F">
        <w:rPr>
          <w:rFonts w:ascii="Arial" w:hAnsi="Arial" w:cs="Arial"/>
        </w:rPr>
        <w:t xml:space="preserve">EUR 491.2 million and </w:t>
      </w:r>
      <w:r w:rsidR="009D49D9" w:rsidRPr="006D5B7F">
        <w:rPr>
          <w:rFonts w:ascii="Arial" w:hAnsi="Arial" w:cs="Arial"/>
        </w:rPr>
        <w:t xml:space="preserve">c. </w:t>
      </w:r>
      <w:r w:rsidR="009D2F05" w:rsidRPr="006D5B7F">
        <w:rPr>
          <w:rFonts w:ascii="Arial" w:hAnsi="Arial" w:cs="Arial"/>
        </w:rPr>
        <w:t>EUR 538.2</w:t>
      </w:r>
      <w:r w:rsidRPr="006D5B7F">
        <w:rPr>
          <w:rFonts w:ascii="Arial" w:hAnsi="Arial" w:cs="Arial"/>
        </w:rPr>
        <w:t xml:space="preserve">, </w:t>
      </w:r>
      <w:r w:rsidR="009D2F05" w:rsidRPr="006D5B7F">
        <w:rPr>
          <w:rFonts w:ascii="Arial" w:hAnsi="Arial" w:cs="Arial"/>
        </w:rPr>
        <w:t>as of the report date and as of the report signing date</w:t>
      </w:r>
      <w:r w:rsidR="009D2F05" w:rsidRPr="006D5B7F">
        <w:rPr>
          <w:rFonts w:ascii="Arial" w:hAnsi="Arial" w:cs="Arial"/>
          <w:vertAlign w:val="superscript"/>
        </w:rPr>
        <w:t>1</w:t>
      </w:r>
      <w:r w:rsidR="009D2F05" w:rsidRPr="006D5B7F">
        <w:rPr>
          <w:rFonts w:ascii="Arial" w:hAnsi="Arial" w:cs="Arial"/>
        </w:rPr>
        <w:t>, respectively</w:t>
      </w:r>
    </w:p>
    <w:p w:rsidR="008A3302" w:rsidRPr="006D5B7F" w:rsidRDefault="008A3302" w:rsidP="008A3302">
      <w:pPr>
        <w:pStyle w:val="ListParagraph"/>
        <w:spacing w:after="0" w:line="240" w:lineRule="auto"/>
        <w:ind w:left="1134"/>
        <w:contextualSpacing w:val="0"/>
        <w:jc w:val="both"/>
        <w:rPr>
          <w:rFonts w:ascii="Arial" w:hAnsi="Arial" w:cs="Arial"/>
        </w:rPr>
      </w:pPr>
    </w:p>
    <w:p w:rsidR="008A3302" w:rsidRPr="006D5B7F" w:rsidRDefault="008A3302" w:rsidP="00DD064F">
      <w:pPr>
        <w:pStyle w:val="ListParagraph"/>
        <w:numPr>
          <w:ilvl w:val="0"/>
          <w:numId w:val="25"/>
        </w:numPr>
        <w:spacing w:after="0" w:line="240" w:lineRule="auto"/>
        <w:ind w:left="1134" w:hanging="425"/>
        <w:contextualSpacing w:val="0"/>
        <w:jc w:val="both"/>
        <w:rPr>
          <w:rFonts w:ascii="Arial" w:hAnsi="Arial" w:cs="Arial"/>
        </w:rPr>
      </w:pPr>
      <w:r w:rsidRPr="006D5B7F">
        <w:rPr>
          <w:rFonts w:ascii="Arial" w:hAnsi="Arial" w:cs="Arial"/>
        </w:rPr>
        <w:t>Debt ratios - the LTV ratio</w:t>
      </w:r>
      <w:r w:rsidRPr="006D5B7F">
        <w:rPr>
          <w:rFonts w:ascii="Arial" w:hAnsi="Arial" w:cs="Arial"/>
          <w:vertAlign w:val="superscript"/>
        </w:rPr>
        <w:t>3</w:t>
      </w:r>
      <w:r w:rsidRPr="006D5B7F">
        <w:rPr>
          <w:rFonts w:ascii="Arial" w:hAnsi="Arial" w:cs="Arial"/>
        </w:rPr>
        <w:t xml:space="preserve"> is </w:t>
      </w:r>
      <w:r w:rsidR="003B33D1">
        <w:rPr>
          <w:rFonts w:ascii="Arial" w:hAnsi="Arial" w:cs="Arial"/>
        </w:rPr>
        <w:t>51.3% and 47.5</w:t>
      </w:r>
      <w:r w:rsidR="00F84201">
        <w:rPr>
          <w:rFonts w:ascii="Arial" w:hAnsi="Arial" w:cs="Arial"/>
        </w:rPr>
        <w:t>%</w:t>
      </w:r>
      <w:r w:rsidRPr="006D5B7F">
        <w:rPr>
          <w:rFonts w:ascii="Arial" w:hAnsi="Arial" w:cs="Arial"/>
        </w:rPr>
        <w:t xml:space="preserve"> </w:t>
      </w:r>
      <w:r w:rsidR="009D2F05" w:rsidRPr="006D5B7F">
        <w:rPr>
          <w:rFonts w:ascii="Arial" w:hAnsi="Arial" w:cs="Arial"/>
        </w:rPr>
        <w:t>as of the report date and as of the report signing date</w:t>
      </w:r>
      <w:r w:rsidR="009D2F05" w:rsidRPr="006D5B7F">
        <w:rPr>
          <w:rFonts w:ascii="Arial" w:hAnsi="Arial" w:cs="Arial"/>
          <w:vertAlign w:val="superscript"/>
        </w:rPr>
        <w:t>1</w:t>
      </w:r>
      <w:r w:rsidR="009D2F05" w:rsidRPr="006D5B7F">
        <w:rPr>
          <w:rFonts w:ascii="Arial" w:hAnsi="Arial" w:cs="Arial"/>
        </w:rPr>
        <w:t>, respectively</w:t>
      </w:r>
      <w:r w:rsidRPr="006D5B7F">
        <w:rPr>
          <w:rFonts w:ascii="Arial" w:hAnsi="Arial" w:cs="Arial"/>
        </w:rPr>
        <w:t>. The EBITDA (only from the income producing portfolio, excluding operating profit from the development activity) to interest expense is c.</w:t>
      </w:r>
      <w:r w:rsidR="009D2F05" w:rsidRPr="006D5B7F">
        <w:rPr>
          <w:rFonts w:ascii="Arial" w:hAnsi="Arial" w:cs="Arial"/>
        </w:rPr>
        <w:t xml:space="preserve"> 3.25</w:t>
      </w:r>
      <w:r w:rsidRPr="006D5B7F">
        <w:rPr>
          <w:rFonts w:ascii="Arial" w:hAnsi="Arial" w:cs="Arial"/>
        </w:rPr>
        <w:t xml:space="preserve">x in the </w:t>
      </w:r>
      <w:r w:rsidR="009D2F05" w:rsidRPr="006D5B7F">
        <w:rPr>
          <w:rFonts w:ascii="Arial" w:hAnsi="Arial" w:cs="Arial"/>
        </w:rPr>
        <w:t>fourth</w:t>
      </w:r>
      <w:r w:rsidRPr="006D5B7F">
        <w:rPr>
          <w:rFonts w:ascii="Arial" w:hAnsi="Arial" w:cs="Arial"/>
        </w:rPr>
        <w:t xml:space="preserve"> quarter of 2016. </w:t>
      </w:r>
    </w:p>
    <w:p w:rsidR="008A3302" w:rsidRPr="006D5B7F" w:rsidRDefault="008A3302" w:rsidP="00DD064F">
      <w:pPr>
        <w:spacing w:after="0" w:line="240" w:lineRule="auto"/>
        <w:jc w:val="both"/>
        <w:rPr>
          <w:rFonts w:ascii="Arial" w:hAnsi="Arial" w:cs="Arial"/>
        </w:rPr>
      </w:pPr>
    </w:p>
    <w:p w:rsidR="008A3302" w:rsidRPr="006D5B7F" w:rsidRDefault="008A3302" w:rsidP="00DD064F">
      <w:pPr>
        <w:pStyle w:val="ListParagraph"/>
        <w:numPr>
          <w:ilvl w:val="0"/>
          <w:numId w:val="25"/>
        </w:numPr>
        <w:spacing w:after="0" w:line="240" w:lineRule="auto"/>
        <w:ind w:left="1134" w:hanging="425"/>
        <w:contextualSpacing w:val="0"/>
        <w:jc w:val="both"/>
        <w:rPr>
          <w:rFonts w:ascii="Arial" w:hAnsi="Arial" w:cs="Arial"/>
        </w:rPr>
      </w:pPr>
      <w:r w:rsidRPr="006D5B7F">
        <w:rPr>
          <w:rFonts w:ascii="Arial" w:hAnsi="Arial" w:cs="Arial"/>
        </w:rPr>
        <w:t xml:space="preserve">Liquidity - cash and liquid assets amounted to c. EUR </w:t>
      </w:r>
      <w:r w:rsidR="009D2F05" w:rsidRPr="006D5B7F">
        <w:rPr>
          <w:rFonts w:ascii="Arial" w:hAnsi="Arial" w:cs="Arial"/>
        </w:rPr>
        <w:t>89</w:t>
      </w:r>
      <w:r w:rsidR="00F84201">
        <w:rPr>
          <w:rFonts w:ascii="Arial" w:hAnsi="Arial" w:cs="Arial"/>
        </w:rPr>
        <w:t>.3</w:t>
      </w:r>
      <w:r w:rsidR="009D2F05" w:rsidRPr="006D5B7F">
        <w:rPr>
          <w:rFonts w:ascii="Arial" w:hAnsi="Arial" w:cs="Arial"/>
        </w:rPr>
        <w:t xml:space="preserve"> million and </w:t>
      </w:r>
      <w:r w:rsidR="009D49D9" w:rsidRPr="006D5B7F">
        <w:rPr>
          <w:rFonts w:ascii="Arial" w:hAnsi="Arial" w:cs="Arial"/>
        </w:rPr>
        <w:t xml:space="preserve">c. </w:t>
      </w:r>
      <w:r w:rsidR="009D2F05" w:rsidRPr="006D5B7F">
        <w:rPr>
          <w:rFonts w:ascii="Arial" w:hAnsi="Arial" w:cs="Arial"/>
        </w:rPr>
        <w:t>EUR 136 million as of the report date and as of the report signing date</w:t>
      </w:r>
      <w:r w:rsidR="009D2F05" w:rsidRPr="006D5B7F">
        <w:rPr>
          <w:rFonts w:ascii="Arial" w:hAnsi="Arial" w:cs="Arial"/>
          <w:vertAlign w:val="superscript"/>
        </w:rPr>
        <w:t>1</w:t>
      </w:r>
      <w:r w:rsidR="009D2F05" w:rsidRPr="006D5B7F">
        <w:rPr>
          <w:rFonts w:ascii="Arial" w:hAnsi="Arial" w:cs="Arial"/>
        </w:rPr>
        <w:t>, respectively.</w:t>
      </w:r>
    </w:p>
    <w:p w:rsidR="009D49D9" w:rsidRPr="006D5B7F" w:rsidRDefault="009D49D9" w:rsidP="00DD064F">
      <w:pPr>
        <w:spacing w:after="0" w:line="240" w:lineRule="auto"/>
        <w:ind w:left="140" w:hanging="126"/>
        <w:jc w:val="both"/>
        <w:rPr>
          <w:rFonts w:ascii="Arial" w:hAnsi="Arial" w:cs="Arial"/>
          <w:vertAlign w:val="superscript"/>
        </w:rPr>
      </w:pPr>
    </w:p>
    <w:p w:rsidR="009D2F05" w:rsidRPr="006D5B7F" w:rsidRDefault="008A3302" w:rsidP="00DD064F">
      <w:pPr>
        <w:spacing w:after="0" w:line="240" w:lineRule="auto"/>
        <w:ind w:left="140" w:hanging="126"/>
        <w:jc w:val="both"/>
        <w:rPr>
          <w:rFonts w:ascii="Arial" w:hAnsi="Arial" w:cs="Arial"/>
          <w:vertAlign w:val="superscript"/>
        </w:rPr>
      </w:pPr>
      <w:r w:rsidRPr="006D5B7F">
        <w:rPr>
          <w:rFonts w:ascii="Arial" w:hAnsi="Arial" w:cs="Arial"/>
          <w:vertAlign w:val="superscript"/>
        </w:rPr>
        <w:t xml:space="preserve">1 </w:t>
      </w:r>
      <w:r w:rsidR="001527AB">
        <w:rPr>
          <w:rFonts w:ascii="Arial" w:hAnsi="Arial" w:cs="Arial"/>
        </w:rPr>
        <w:t>Include t</w:t>
      </w:r>
      <w:r w:rsidR="009D2F05" w:rsidRPr="006D5B7F">
        <w:rPr>
          <w:rFonts w:ascii="Arial" w:hAnsi="Arial" w:cs="Arial"/>
        </w:rPr>
        <w:t xml:space="preserve">he net consideration of the </w:t>
      </w:r>
      <w:r w:rsidR="009D2F05" w:rsidRPr="006D5B7F">
        <w:rPr>
          <w:rStyle w:val="bo"/>
          <w:rFonts w:ascii="Arial" w:hAnsi="Arial" w:cs="Arial"/>
          <w:lang w:val="en"/>
        </w:rPr>
        <w:t>publ</w:t>
      </w:r>
      <w:r w:rsidR="001527AB">
        <w:rPr>
          <w:rStyle w:val="bo"/>
          <w:rFonts w:ascii="Arial" w:hAnsi="Arial" w:cs="Arial"/>
          <w:lang w:val="en"/>
        </w:rPr>
        <w:t>ic offering completed by BCP in</w:t>
      </w:r>
      <w:r w:rsidR="009D2F05" w:rsidRPr="006D5B7F">
        <w:rPr>
          <w:rFonts w:ascii="Arial" w:hAnsi="Arial" w:cs="Arial"/>
        </w:rPr>
        <w:t xml:space="preserve"> January 2017</w:t>
      </w:r>
      <w:r w:rsidR="00DD064F" w:rsidRPr="006D5B7F">
        <w:rPr>
          <w:rFonts w:ascii="Arial" w:hAnsi="Arial" w:cs="Arial"/>
        </w:rPr>
        <w:t>.</w:t>
      </w:r>
      <w:r w:rsidR="009D2F05" w:rsidRPr="006D5B7F">
        <w:rPr>
          <w:rFonts w:ascii="Arial" w:hAnsi="Arial" w:cs="Arial"/>
        </w:rPr>
        <w:t xml:space="preserve"> For additional information regarding </w:t>
      </w:r>
      <w:r w:rsidR="00DD064F" w:rsidRPr="006D5B7F">
        <w:rPr>
          <w:rFonts w:ascii="Arial" w:hAnsi="Arial" w:cs="Arial"/>
        </w:rPr>
        <w:t>the public</w:t>
      </w:r>
      <w:r w:rsidR="009D2F05" w:rsidRPr="006D5B7F">
        <w:rPr>
          <w:rFonts w:ascii="Arial" w:hAnsi="Arial" w:cs="Arial"/>
        </w:rPr>
        <w:t xml:space="preserve"> offering see material events section </w:t>
      </w:r>
      <w:r w:rsidR="009D49D9" w:rsidRPr="006D5B7F">
        <w:rPr>
          <w:rFonts w:ascii="Arial" w:hAnsi="Arial" w:cs="Arial"/>
        </w:rPr>
        <w:t>of</w:t>
      </w:r>
      <w:r w:rsidR="009D2F05" w:rsidRPr="006D5B7F">
        <w:rPr>
          <w:rFonts w:ascii="Arial" w:hAnsi="Arial" w:cs="Arial"/>
        </w:rPr>
        <w:t xml:space="preserve"> the consolidated financial statements.</w:t>
      </w:r>
    </w:p>
    <w:p w:rsidR="008A3302" w:rsidRPr="006D5B7F" w:rsidRDefault="008A3302" w:rsidP="00DD064F">
      <w:pPr>
        <w:spacing w:after="0" w:line="240" w:lineRule="auto"/>
        <w:ind w:left="140" w:hanging="126"/>
        <w:jc w:val="both"/>
        <w:rPr>
          <w:rFonts w:ascii="Arial" w:hAnsi="Arial" w:cs="Arial"/>
        </w:rPr>
      </w:pPr>
      <w:r w:rsidRPr="006D5B7F">
        <w:rPr>
          <w:rFonts w:ascii="Arial" w:hAnsi="Arial" w:cs="Arial"/>
          <w:vertAlign w:val="superscript"/>
        </w:rPr>
        <w:t xml:space="preserve">2 </w:t>
      </w:r>
      <w:r w:rsidRPr="006D5B7F">
        <w:rPr>
          <w:rFonts w:ascii="Arial" w:hAnsi="Arial" w:cs="Arial"/>
        </w:rPr>
        <w:t xml:space="preserve">EPRA NAV – for information regarding the index and the calculation method see section 5 of part A of </w:t>
      </w:r>
      <w:r w:rsidR="00A20496" w:rsidRPr="006D5B7F">
        <w:rPr>
          <w:rFonts w:ascii="Arial" w:hAnsi="Arial" w:cs="Arial"/>
        </w:rPr>
        <w:t>BCP</w:t>
      </w:r>
      <w:r w:rsidR="009D2F05" w:rsidRPr="006D5B7F">
        <w:rPr>
          <w:rFonts w:ascii="Arial" w:hAnsi="Arial" w:cs="Arial"/>
        </w:rPr>
        <w:t>’s Board of Directors’ r</w:t>
      </w:r>
      <w:r w:rsidRPr="006D5B7F">
        <w:rPr>
          <w:rFonts w:ascii="Arial" w:hAnsi="Arial" w:cs="Arial"/>
        </w:rPr>
        <w:t>eport on the Corporation’s</w:t>
      </w:r>
      <w:r w:rsidR="009D2F05" w:rsidRPr="006D5B7F">
        <w:rPr>
          <w:rFonts w:ascii="Arial" w:hAnsi="Arial" w:cs="Arial"/>
        </w:rPr>
        <w:t xml:space="preserve"> state of a</w:t>
      </w:r>
      <w:r w:rsidRPr="006D5B7F">
        <w:rPr>
          <w:rFonts w:ascii="Arial" w:hAnsi="Arial" w:cs="Arial"/>
        </w:rPr>
        <w:t>ffairs.</w:t>
      </w:r>
    </w:p>
    <w:p w:rsidR="008A3302" w:rsidRPr="006D5B7F" w:rsidRDefault="008A3302" w:rsidP="00DD064F">
      <w:pPr>
        <w:spacing w:after="0" w:line="240" w:lineRule="auto"/>
        <w:jc w:val="both"/>
        <w:rPr>
          <w:rFonts w:ascii="Arial" w:hAnsi="Arial" w:cs="Arial"/>
        </w:rPr>
      </w:pPr>
      <w:r w:rsidRPr="006D5B7F">
        <w:rPr>
          <w:rFonts w:ascii="Arial" w:hAnsi="Arial" w:cs="Arial"/>
          <w:vertAlign w:val="superscript"/>
        </w:rPr>
        <w:t>3</w:t>
      </w:r>
      <w:r w:rsidRPr="006D5B7F">
        <w:rPr>
          <w:rFonts w:ascii="Arial" w:hAnsi="Arial" w:cs="Arial"/>
        </w:rPr>
        <w:t xml:space="preserve"> Net debt to net total balance sheet.</w:t>
      </w:r>
    </w:p>
    <w:p w:rsidR="00FB5F1A" w:rsidRPr="006D5B7F" w:rsidRDefault="00FB5F1A" w:rsidP="008A3302">
      <w:pPr>
        <w:spacing w:after="0" w:line="240" w:lineRule="auto"/>
        <w:jc w:val="both"/>
        <w:rPr>
          <w:rFonts w:ascii="Arial" w:hAnsi="Arial" w:cs="Arial"/>
          <w:lang w:eastAsia="en-GB"/>
        </w:rPr>
      </w:pPr>
    </w:p>
    <w:p w:rsidR="00FB5F1A" w:rsidRPr="006D5B7F" w:rsidRDefault="00FB5F1A" w:rsidP="008A3302">
      <w:pPr>
        <w:spacing w:after="0" w:line="360" w:lineRule="auto"/>
        <w:jc w:val="both"/>
        <w:rPr>
          <w:rFonts w:ascii="Arial" w:hAnsi="Arial" w:cs="Arial"/>
          <w:lang w:eastAsia="en-GB"/>
        </w:rPr>
      </w:pPr>
      <w:r w:rsidRPr="006D5B7F">
        <w:rPr>
          <w:rFonts w:ascii="Arial" w:hAnsi="Arial" w:cs="Arial"/>
          <w:b/>
          <w:bCs/>
          <w:lang w:eastAsia="en-GB"/>
        </w:rPr>
        <w:t>ENQUIRIES</w:t>
      </w:r>
      <w:r w:rsidRPr="006D5B7F">
        <w:rPr>
          <w:rFonts w:ascii="Arial" w:hAnsi="Arial" w:cs="Arial"/>
          <w:lang w:eastAsia="en-GB"/>
        </w:rPr>
        <w:t>:</w:t>
      </w:r>
    </w:p>
    <w:tbl>
      <w:tblPr>
        <w:tblStyle w:val="TableGrid"/>
        <w:tblW w:w="9279"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279"/>
      </w:tblGrid>
      <w:tr w:rsidR="00FB5F1A" w:rsidRPr="006D5B7F" w:rsidTr="008A3302">
        <w:tc>
          <w:tcPr>
            <w:tcW w:w="7000" w:type="dxa"/>
          </w:tcPr>
          <w:p w:rsidR="00FB5F1A" w:rsidRPr="006D5B7F" w:rsidRDefault="00FB5F1A" w:rsidP="008A3302">
            <w:pPr>
              <w:spacing w:line="360" w:lineRule="auto"/>
              <w:ind w:left="238"/>
              <w:jc w:val="both"/>
              <w:rPr>
                <w:rFonts w:ascii="Arial" w:hAnsi="Arial" w:cs="Arial"/>
                <w:b/>
                <w:sz w:val="22"/>
                <w:szCs w:val="22"/>
                <w:lang w:eastAsia="en-GB"/>
              </w:rPr>
            </w:pPr>
            <w:r w:rsidRPr="006D5B7F">
              <w:rPr>
                <w:rFonts w:ascii="Arial" w:hAnsi="Arial" w:cs="Arial"/>
                <w:b/>
                <w:sz w:val="22"/>
                <w:szCs w:val="22"/>
                <w:lang w:eastAsia="en-GB"/>
              </w:rPr>
              <w:t>BCRE - Brack Capital Real Estate Investments N.V.</w:t>
            </w: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p>
        </w:tc>
      </w:tr>
      <w:tr w:rsidR="00FB5F1A" w:rsidRPr="006D5B7F" w:rsidTr="008A3302">
        <w:tc>
          <w:tcPr>
            <w:tcW w:w="7000" w:type="dxa"/>
          </w:tcPr>
          <w:p w:rsidR="00FB5F1A" w:rsidRPr="006D5B7F" w:rsidRDefault="00FB5F1A" w:rsidP="008A3302">
            <w:pPr>
              <w:spacing w:line="360" w:lineRule="auto"/>
              <w:ind w:left="238"/>
              <w:jc w:val="both"/>
              <w:rPr>
                <w:rFonts w:ascii="Arial" w:hAnsi="Arial" w:cs="Arial"/>
                <w:sz w:val="22"/>
                <w:szCs w:val="22"/>
                <w:lang w:eastAsia="en-GB"/>
              </w:rPr>
            </w:pPr>
            <w:r w:rsidRPr="006D5B7F">
              <w:rPr>
                <w:rFonts w:ascii="Arial" w:hAnsi="Arial" w:cs="Arial"/>
                <w:sz w:val="22"/>
                <w:szCs w:val="22"/>
                <w:lang w:eastAsia="en-GB"/>
              </w:rPr>
              <w:t>Ariel Podrojski, Chief Executive Officer</w:t>
            </w: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p>
        </w:tc>
      </w:tr>
      <w:tr w:rsidR="00FB5F1A" w:rsidRPr="006D5B7F" w:rsidTr="008A3302">
        <w:tc>
          <w:tcPr>
            <w:tcW w:w="7000" w:type="dxa"/>
          </w:tcPr>
          <w:p w:rsidR="00FB5F1A" w:rsidRPr="006D5B7F" w:rsidRDefault="00FB5F1A" w:rsidP="008A3302">
            <w:pPr>
              <w:spacing w:line="360" w:lineRule="auto"/>
              <w:ind w:left="238"/>
              <w:jc w:val="both"/>
              <w:rPr>
                <w:rFonts w:ascii="Arial" w:hAnsi="Arial" w:cs="Arial"/>
                <w:sz w:val="22"/>
                <w:szCs w:val="22"/>
                <w:lang w:eastAsia="en-GB"/>
              </w:rPr>
            </w:pPr>
            <w:r w:rsidRPr="006D5B7F">
              <w:rPr>
                <w:rFonts w:ascii="Arial" w:hAnsi="Arial" w:cs="Arial"/>
                <w:sz w:val="22"/>
                <w:szCs w:val="22"/>
                <w:lang w:eastAsia="en-GB"/>
              </w:rPr>
              <w:t>Nansia Koutsou, Chief Financial Officer / Chief Operating Officer</w:t>
            </w: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r w:rsidRPr="006D5B7F">
              <w:rPr>
                <w:rFonts w:ascii="Arial" w:hAnsi="Arial" w:cs="Arial"/>
                <w:sz w:val="22"/>
                <w:szCs w:val="22"/>
                <w:lang w:eastAsia="en-GB"/>
              </w:rPr>
              <w:t>+31 20 514 1004</w:t>
            </w:r>
          </w:p>
        </w:tc>
      </w:tr>
      <w:tr w:rsidR="00FB5F1A" w:rsidRPr="006D5B7F" w:rsidTr="008A3302">
        <w:trPr>
          <w:trHeight w:val="155"/>
        </w:trPr>
        <w:tc>
          <w:tcPr>
            <w:tcW w:w="7000" w:type="dxa"/>
          </w:tcPr>
          <w:p w:rsidR="00FB5F1A" w:rsidRPr="006D5B7F" w:rsidRDefault="00FB5F1A" w:rsidP="008A3302">
            <w:pPr>
              <w:spacing w:line="360" w:lineRule="auto"/>
              <w:ind w:left="238"/>
              <w:jc w:val="both"/>
              <w:rPr>
                <w:rFonts w:ascii="Arial" w:hAnsi="Arial" w:cs="Arial"/>
                <w:sz w:val="22"/>
                <w:szCs w:val="22"/>
                <w:lang w:eastAsia="en-GB"/>
              </w:rPr>
            </w:pP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p>
        </w:tc>
      </w:tr>
      <w:tr w:rsidR="00FB5F1A" w:rsidRPr="006D5B7F" w:rsidTr="008A3302">
        <w:tc>
          <w:tcPr>
            <w:tcW w:w="7000" w:type="dxa"/>
          </w:tcPr>
          <w:p w:rsidR="00FB5F1A" w:rsidRPr="006D5B7F" w:rsidRDefault="00FB5F1A" w:rsidP="008A3302">
            <w:pPr>
              <w:spacing w:line="360" w:lineRule="auto"/>
              <w:ind w:left="238"/>
              <w:jc w:val="both"/>
              <w:rPr>
                <w:rFonts w:ascii="Arial" w:hAnsi="Arial" w:cs="Arial"/>
                <w:b/>
                <w:sz w:val="22"/>
                <w:szCs w:val="22"/>
                <w:lang w:eastAsia="en-GB"/>
              </w:rPr>
            </w:pPr>
            <w:r w:rsidRPr="006D5B7F">
              <w:rPr>
                <w:rFonts w:ascii="Arial" w:hAnsi="Arial" w:cs="Arial"/>
                <w:b/>
                <w:sz w:val="22"/>
                <w:szCs w:val="22"/>
                <w:lang w:eastAsia="en-GB"/>
              </w:rPr>
              <w:t>Novella Communications</w:t>
            </w: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p>
        </w:tc>
      </w:tr>
      <w:tr w:rsidR="00FB5F1A" w:rsidRPr="006D5B7F" w:rsidTr="008A3302">
        <w:tc>
          <w:tcPr>
            <w:tcW w:w="7000" w:type="dxa"/>
          </w:tcPr>
          <w:p w:rsidR="00FB5F1A" w:rsidRPr="006D5B7F" w:rsidRDefault="00FB5F1A" w:rsidP="008A3302">
            <w:pPr>
              <w:spacing w:line="360" w:lineRule="auto"/>
              <w:ind w:left="238"/>
              <w:jc w:val="both"/>
              <w:rPr>
                <w:rFonts w:ascii="Arial" w:hAnsi="Arial" w:cs="Arial"/>
                <w:sz w:val="22"/>
                <w:szCs w:val="22"/>
                <w:lang w:eastAsia="en-GB"/>
              </w:rPr>
            </w:pPr>
            <w:r w:rsidRPr="006D5B7F">
              <w:rPr>
                <w:rFonts w:ascii="Arial" w:hAnsi="Arial" w:cs="Arial"/>
                <w:sz w:val="22"/>
                <w:szCs w:val="22"/>
                <w:lang w:eastAsia="en-GB"/>
              </w:rPr>
              <w:t>Tim Robertson</w:t>
            </w: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p>
        </w:tc>
      </w:tr>
      <w:tr w:rsidR="00FB5F1A" w:rsidRPr="006D5B7F" w:rsidTr="008A3302">
        <w:tc>
          <w:tcPr>
            <w:tcW w:w="7000" w:type="dxa"/>
          </w:tcPr>
          <w:p w:rsidR="00FB5F1A" w:rsidRPr="006D5B7F" w:rsidRDefault="00FB5F1A" w:rsidP="008A3302">
            <w:pPr>
              <w:spacing w:line="360" w:lineRule="auto"/>
              <w:ind w:left="238"/>
              <w:jc w:val="both"/>
              <w:rPr>
                <w:rFonts w:ascii="Arial" w:hAnsi="Arial" w:cs="Arial"/>
                <w:sz w:val="22"/>
                <w:szCs w:val="22"/>
                <w:lang w:eastAsia="en-GB"/>
              </w:rPr>
            </w:pPr>
            <w:r w:rsidRPr="006D5B7F">
              <w:rPr>
                <w:rFonts w:ascii="Arial" w:hAnsi="Arial" w:cs="Arial"/>
                <w:sz w:val="22"/>
                <w:szCs w:val="22"/>
                <w:lang w:eastAsia="en-GB"/>
              </w:rPr>
              <w:t>Toby Andrews</w:t>
            </w:r>
          </w:p>
        </w:tc>
        <w:tc>
          <w:tcPr>
            <w:tcW w:w="2279" w:type="dxa"/>
          </w:tcPr>
          <w:p w:rsidR="00FB5F1A" w:rsidRPr="006D5B7F" w:rsidRDefault="00FB5F1A" w:rsidP="008A3302">
            <w:pPr>
              <w:spacing w:line="360" w:lineRule="auto"/>
              <w:ind w:left="238"/>
              <w:jc w:val="both"/>
              <w:rPr>
                <w:rFonts w:ascii="Arial" w:hAnsi="Arial" w:cs="Arial"/>
                <w:sz w:val="22"/>
                <w:szCs w:val="22"/>
                <w:lang w:eastAsia="en-GB"/>
              </w:rPr>
            </w:pPr>
            <w:r w:rsidRPr="006D5B7F">
              <w:rPr>
                <w:rFonts w:ascii="Arial" w:hAnsi="Arial" w:cs="Arial"/>
                <w:sz w:val="22"/>
                <w:szCs w:val="22"/>
                <w:lang w:eastAsia="en-GB"/>
              </w:rPr>
              <w:t>+44 203 151 7008</w:t>
            </w:r>
          </w:p>
        </w:tc>
      </w:tr>
    </w:tbl>
    <w:p w:rsidR="008A3302" w:rsidRPr="006D5B7F" w:rsidRDefault="008A3302" w:rsidP="008A3302">
      <w:pPr>
        <w:spacing w:after="0" w:line="276" w:lineRule="auto"/>
        <w:jc w:val="both"/>
        <w:rPr>
          <w:rStyle w:val="bm"/>
          <w:rFonts w:ascii="Arial" w:hAnsi="Arial" w:cs="Arial"/>
          <w:b/>
          <w:lang w:eastAsia="en-GB"/>
        </w:rPr>
      </w:pPr>
    </w:p>
    <w:p w:rsidR="00FB5F1A" w:rsidRPr="006D5B7F" w:rsidRDefault="00FB5F1A" w:rsidP="008A3302">
      <w:pPr>
        <w:spacing w:after="0" w:line="276" w:lineRule="auto"/>
        <w:jc w:val="both"/>
        <w:rPr>
          <w:rStyle w:val="bm"/>
          <w:rFonts w:ascii="Arial" w:hAnsi="Arial" w:cs="Arial"/>
          <w:b/>
          <w:lang w:eastAsia="en-GB"/>
        </w:rPr>
      </w:pPr>
      <w:r w:rsidRPr="006D5B7F">
        <w:rPr>
          <w:rStyle w:val="bm"/>
          <w:rFonts w:ascii="Arial" w:hAnsi="Arial" w:cs="Arial"/>
          <w:b/>
          <w:lang w:eastAsia="en-GB"/>
        </w:rPr>
        <w:t>About BCRE</w:t>
      </w:r>
    </w:p>
    <w:p w:rsidR="008A3302" w:rsidRPr="006D5B7F" w:rsidRDefault="008A3302" w:rsidP="008A3302">
      <w:pPr>
        <w:spacing w:after="0" w:line="276" w:lineRule="auto"/>
        <w:jc w:val="both"/>
        <w:rPr>
          <w:rStyle w:val="bm"/>
          <w:rFonts w:ascii="Arial" w:hAnsi="Arial" w:cs="Arial"/>
          <w:b/>
          <w:lang w:eastAsia="en-GB"/>
        </w:rPr>
      </w:pPr>
    </w:p>
    <w:p w:rsidR="00FB5F1A" w:rsidRPr="006D5B7F" w:rsidRDefault="00FB5F1A" w:rsidP="008A3302">
      <w:pPr>
        <w:spacing w:after="0" w:line="276" w:lineRule="auto"/>
        <w:jc w:val="both"/>
        <w:rPr>
          <w:rStyle w:val="bm"/>
          <w:rFonts w:ascii="Arial" w:hAnsi="Arial" w:cs="Arial"/>
          <w:lang w:eastAsia="en-GB"/>
        </w:rPr>
      </w:pPr>
      <w:r w:rsidRPr="006D5B7F">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predominantly located in the USA, Germany and Russia.</w:t>
      </w:r>
    </w:p>
    <w:p w:rsidR="008A3302" w:rsidRPr="006D5B7F" w:rsidRDefault="008A3302" w:rsidP="008A3302">
      <w:pPr>
        <w:spacing w:after="0" w:line="276" w:lineRule="auto"/>
        <w:jc w:val="both"/>
        <w:rPr>
          <w:rStyle w:val="bm"/>
          <w:rFonts w:ascii="Arial" w:hAnsi="Arial" w:cs="Arial"/>
          <w:lang w:eastAsia="en-GB"/>
        </w:rPr>
      </w:pPr>
    </w:p>
    <w:p w:rsidR="00FB5F1A" w:rsidRPr="006D5B7F" w:rsidRDefault="00FB5F1A" w:rsidP="008A3302">
      <w:pPr>
        <w:spacing w:after="0" w:line="276" w:lineRule="auto"/>
        <w:jc w:val="both"/>
        <w:rPr>
          <w:rFonts w:ascii="Arial" w:hAnsi="Arial" w:cs="Arial"/>
        </w:rPr>
      </w:pPr>
      <w:r w:rsidRPr="006D5B7F">
        <w:rPr>
          <w:rStyle w:val="bm"/>
          <w:rFonts w:ascii="Arial" w:hAnsi="Arial" w:cs="Arial"/>
          <w:lang w:eastAsia="en-GB"/>
        </w:rPr>
        <w:t>The Company has established local management team platforms with significant local market expertise in the US, Germany, Russia, India and the UK with exclusive access to over 550 staff. At present, the Company has offices and teams in New York, London, Frankfurt, Dusseldorf, Moscow, Kazan, New Delhi, Amsterdam and Limassol.</w:t>
      </w:r>
    </w:p>
    <w:p w:rsidR="00C511DB" w:rsidRPr="006D5B7F" w:rsidRDefault="00C511DB" w:rsidP="008A3302">
      <w:pPr>
        <w:spacing w:after="0" w:line="240" w:lineRule="auto"/>
        <w:rPr>
          <w:rFonts w:ascii="Arial" w:hAnsi="Arial" w:cs="Arial"/>
          <w:color w:val="FF0000"/>
        </w:rPr>
      </w:pPr>
    </w:p>
    <w:sectPr w:rsidR="00C511DB" w:rsidRPr="006D5B7F" w:rsidSect="00946E8A">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9C" w:rsidRDefault="00A6399C" w:rsidP="00F60296">
      <w:pPr>
        <w:spacing w:after="0" w:line="240" w:lineRule="auto"/>
      </w:pPr>
      <w:r>
        <w:separator/>
      </w:r>
    </w:p>
  </w:endnote>
  <w:endnote w:type="continuationSeparator" w:id="0">
    <w:p w:rsidR="00A6399C" w:rsidRDefault="00A6399C"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9C" w:rsidRDefault="00A6399C" w:rsidP="00F60296">
      <w:pPr>
        <w:spacing w:after="0" w:line="240" w:lineRule="auto"/>
      </w:pPr>
      <w:r>
        <w:separator/>
      </w:r>
    </w:p>
  </w:footnote>
  <w:footnote w:type="continuationSeparator" w:id="0">
    <w:p w:rsidR="00A6399C" w:rsidRDefault="00A6399C" w:rsidP="00F6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96" w:rsidRDefault="00CD77C4">
    <w:pPr>
      <w:pStyle w:val="Header"/>
    </w:pPr>
    <w:r>
      <w:rPr>
        <w:noProof/>
        <w:lang w:val="en-US"/>
      </w:rPr>
      <w:drawing>
        <wp:anchor distT="0" distB="0" distL="114300" distR="114300" simplePos="0" relativeHeight="251659264" behindDoc="1" locked="0" layoutInCell="1" allowOverlap="1" wp14:anchorId="1B3D97D6" wp14:editId="24F6BCC5">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C55A7"/>
    <w:multiLevelType w:val="hybridMultilevel"/>
    <w:tmpl w:val="3904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5" w15:restartNumberingAfterBreak="0">
    <w:nsid w:val="2EDF5466"/>
    <w:multiLevelType w:val="hybridMultilevel"/>
    <w:tmpl w:val="BA70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4751"/>
    <w:multiLevelType w:val="hybridMultilevel"/>
    <w:tmpl w:val="83DC310A"/>
    <w:lvl w:ilvl="0" w:tplc="0C4C3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C606A"/>
    <w:multiLevelType w:val="hybridMultilevel"/>
    <w:tmpl w:val="3146A3A6"/>
    <w:lvl w:ilvl="0" w:tplc="9A900B4A">
      <w:start w:val="1"/>
      <w:numFmt w:val="decimal"/>
      <w:lvlText w:val="%1."/>
      <w:lvlJc w:val="left"/>
      <w:pPr>
        <w:ind w:left="1080" w:hanging="360"/>
      </w:pPr>
      <w:rPr>
        <w:rFonts w:hint="default"/>
        <w:u w:val="none"/>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079FA"/>
    <w:multiLevelType w:val="hybridMultilevel"/>
    <w:tmpl w:val="874CF27C"/>
    <w:lvl w:ilvl="0" w:tplc="BF3E2C3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6B93BC9"/>
    <w:multiLevelType w:val="hybridMultilevel"/>
    <w:tmpl w:val="3904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D06D9"/>
    <w:multiLevelType w:val="hybridMultilevel"/>
    <w:tmpl w:val="89CCDB42"/>
    <w:lvl w:ilvl="0" w:tplc="4CE8C830">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9F52772"/>
    <w:multiLevelType w:val="hybridMultilevel"/>
    <w:tmpl w:val="1D769C84"/>
    <w:lvl w:ilvl="0" w:tplc="BE206736">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0"/>
  </w:num>
  <w:num w:numId="5">
    <w:abstractNumId w:val="17"/>
  </w:num>
  <w:num w:numId="6">
    <w:abstractNumId w:val="18"/>
  </w:num>
  <w:num w:numId="7">
    <w:abstractNumId w:val="9"/>
  </w:num>
  <w:num w:numId="8">
    <w:abstractNumId w:val="16"/>
  </w:num>
  <w:num w:numId="9">
    <w:abstractNumId w:val="4"/>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4"/>
  </w:num>
  <w:num w:numId="11">
    <w:abstractNumId w:val="15"/>
  </w:num>
  <w:num w:numId="12">
    <w:abstractNumId w:val="7"/>
  </w:num>
  <w:num w:numId="13">
    <w:abstractNumId w:val="12"/>
  </w:num>
  <w:num w:numId="14">
    <w:abstractNumId w:val="6"/>
  </w:num>
  <w:num w:numId="15">
    <w:abstractNumId w:val="20"/>
  </w:num>
  <w:num w:numId="16">
    <w:abstractNumId w:val="19"/>
  </w:num>
  <w:num w:numId="17">
    <w:abstractNumId w:val="2"/>
  </w:num>
  <w:num w:numId="18">
    <w:abstractNumId w:val="14"/>
  </w:num>
  <w:num w:numId="19">
    <w:abstractNumId w:val="8"/>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7"/>
    <w:rsid w:val="0000163D"/>
    <w:rsid w:val="00004335"/>
    <w:rsid w:val="000046ED"/>
    <w:rsid w:val="00004F18"/>
    <w:rsid w:val="00010E11"/>
    <w:rsid w:val="0001155E"/>
    <w:rsid w:val="00012798"/>
    <w:rsid w:val="00012C23"/>
    <w:rsid w:val="0001622E"/>
    <w:rsid w:val="0001745F"/>
    <w:rsid w:val="0002091B"/>
    <w:rsid w:val="000236A2"/>
    <w:rsid w:val="00024668"/>
    <w:rsid w:val="00037628"/>
    <w:rsid w:val="000435B6"/>
    <w:rsid w:val="00046853"/>
    <w:rsid w:val="0004704F"/>
    <w:rsid w:val="00050E7A"/>
    <w:rsid w:val="00053711"/>
    <w:rsid w:val="0005391F"/>
    <w:rsid w:val="00057B72"/>
    <w:rsid w:val="000628BB"/>
    <w:rsid w:val="00063691"/>
    <w:rsid w:val="00065E45"/>
    <w:rsid w:val="000665E3"/>
    <w:rsid w:val="000703B7"/>
    <w:rsid w:val="00070916"/>
    <w:rsid w:val="00073BA1"/>
    <w:rsid w:val="00082BFB"/>
    <w:rsid w:val="00083FEA"/>
    <w:rsid w:val="000860CC"/>
    <w:rsid w:val="00095A2C"/>
    <w:rsid w:val="000A5035"/>
    <w:rsid w:val="000A6D89"/>
    <w:rsid w:val="000A7114"/>
    <w:rsid w:val="000B025E"/>
    <w:rsid w:val="000B1D37"/>
    <w:rsid w:val="000B28C6"/>
    <w:rsid w:val="000B58EB"/>
    <w:rsid w:val="000B7A32"/>
    <w:rsid w:val="000C29E4"/>
    <w:rsid w:val="000D11FF"/>
    <w:rsid w:val="000D4204"/>
    <w:rsid w:val="000D5001"/>
    <w:rsid w:val="000D52ED"/>
    <w:rsid w:val="000D5927"/>
    <w:rsid w:val="000D694C"/>
    <w:rsid w:val="000E351D"/>
    <w:rsid w:val="000E51C3"/>
    <w:rsid w:val="000E6F93"/>
    <w:rsid w:val="000E7656"/>
    <w:rsid w:val="000F06DB"/>
    <w:rsid w:val="0010254A"/>
    <w:rsid w:val="00107CF8"/>
    <w:rsid w:val="00110704"/>
    <w:rsid w:val="00124D21"/>
    <w:rsid w:val="0012572A"/>
    <w:rsid w:val="001321FF"/>
    <w:rsid w:val="001368F7"/>
    <w:rsid w:val="0014077A"/>
    <w:rsid w:val="00142442"/>
    <w:rsid w:val="00144F01"/>
    <w:rsid w:val="00147417"/>
    <w:rsid w:val="00147C52"/>
    <w:rsid w:val="00150174"/>
    <w:rsid w:val="001527AB"/>
    <w:rsid w:val="00153D1E"/>
    <w:rsid w:val="0015623A"/>
    <w:rsid w:val="00163F09"/>
    <w:rsid w:val="00165C22"/>
    <w:rsid w:val="00166465"/>
    <w:rsid w:val="00171DDE"/>
    <w:rsid w:val="00173F0A"/>
    <w:rsid w:val="00174AE9"/>
    <w:rsid w:val="00175352"/>
    <w:rsid w:val="001858C4"/>
    <w:rsid w:val="00185CE0"/>
    <w:rsid w:val="00187E5A"/>
    <w:rsid w:val="00191083"/>
    <w:rsid w:val="00193B11"/>
    <w:rsid w:val="001A34C0"/>
    <w:rsid w:val="001A5A6F"/>
    <w:rsid w:val="001B0E9D"/>
    <w:rsid w:val="001B1237"/>
    <w:rsid w:val="001B280E"/>
    <w:rsid w:val="001B2FA1"/>
    <w:rsid w:val="001B69FD"/>
    <w:rsid w:val="001B74FB"/>
    <w:rsid w:val="001C3E30"/>
    <w:rsid w:val="001C45C3"/>
    <w:rsid w:val="001D08C1"/>
    <w:rsid w:val="001D2DBE"/>
    <w:rsid w:val="001D6179"/>
    <w:rsid w:val="001E1F38"/>
    <w:rsid w:val="001E429C"/>
    <w:rsid w:val="001F0BF9"/>
    <w:rsid w:val="001F14B5"/>
    <w:rsid w:val="001F2CF1"/>
    <w:rsid w:val="001F3797"/>
    <w:rsid w:val="001F4349"/>
    <w:rsid w:val="00205F95"/>
    <w:rsid w:val="00216C2A"/>
    <w:rsid w:val="00223727"/>
    <w:rsid w:val="002264AE"/>
    <w:rsid w:val="00232573"/>
    <w:rsid w:val="00233621"/>
    <w:rsid w:val="002357F5"/>
    <w:rsid w:val="00236060"/>
    <w:rsid w:val="002429B0"/>
    <w:rsid w:val="00244830"/>
    <w:rsid w:val="002456C4"/>
    <w:rsid w:val="002509BE"/>
    <w:rsid w:val="002520CF"/>
    <w:rsid w:val="002527DE"/>
    <w:rsid w:val="00254A28"/>
    <w:rsid w:val="00255994"/>
    <w:rsid w:val="00261EBC"/>
    <w:rsid w:val="00271A7F"/>
    <w:rsid w:val="00272A71"/>
    <w:rsid w:val="00274644"/>
    <w:rsid w:val="00275417"/>
    <w:rsid w:val="002820BD"/>
    <w:rsid w:val="002858C9"/>
    <w:rsid w:val="0029127D"/>
    <w:rsid w:val="00295B8F"/>
    <w:rsid w:val="00296B3D"/>
    <w:rsid w:val="0029775C"/>
    <w:rsid w:val="002A2BE2"/>
    <w:rsid w:val="002A36BD"/>
    <w:rsid w:val="002A3B90"/>
    <w:rsid w:val="002A46C3"/>
    <w:rsid w:val="002B298D"/>
    <w:rsid w:val="002B4811"/>
    <w:rsid w:val="002B7833"/>
    <w:rsid w:val="002C0364"/>
    <w:rsid w:val="002C294A"/>
    <w:rsid w:val="002D752B"/>
    <w:rsid w:val="002E1775"/>
    <w:rsid w:val="002E6993"/>
    <w:rsid w:val="002F2625"/>
    <w:rsid w:val="002F2B0E"/>
    <w:rsid w:val="002F5D51"/>
    <w:rsid w:val="002F780D"/>
    <w:rsid w:val="003031A1"/>
    <w:rsid w:val="00303800"/>
    <w:rsid w:val="00306C3B"/>
    <w:rsid w:val="00307DEA"/>
    <w:rsid w:val="003147F7"/>
    <w:rsid w:val="0031526E"/>
    <w:rsid w:val="0031614A"/>
    <w:rsid w:val="00316CFD"/>
    <w:rsid w:val="0032630F"/>
    <w:rsid w:val="00327F23"/>
    <w:rsid w:val="003327E9"/>
    <w:rsid w:val="00332A90"/>
    <w:rsid w:val="003335C3"/>
    <w:rsid w:val="00344DFB"/>
    <w:rsid w:val="00352AF2"/>
    <w:rsid w:val="003530F3"/>
    <w:rsid w:val="00356AC4"/>
    <w:rsid w:val="00360C52"/>
    <w:rsid w:val="00360E4E"/>
    <w:rsid w:val="003615C6"/>
    <w:rsid w:val="00363874"/>
    <w:rsid w:val="003750DC"/>
    <w:rsid w:val="00375BD8"/>
    <w:rsid w:val="003809DA"/>
    <w:rsid w:val="0039029D"/>
    <w:rsid w:val="00391414"/>
    <w:rsid w:val="00391654"/>
    <w:rsid w:val="00393FE6"/>
    <w:rsid w:val="003A0D12"/>
    <w:rsid w:val="003B0208"/>
    <w:rsid w:val="003B2F18"/>
    <w:rsid w:val="003B320A"/>
    <w:rsid w:val="003B33D1"/>
    <w:rsid w:val="003D4B74"/>
    <w:rsid w:val="003E0E16"/>
    <w:rsid w:val="003E2450"/>
    <w:rsid w:val="004011DA"/>
    <w:rsid w:val="00401316"/>
    <w:rsid w:val="00402589"/>
    <w:rsid w:val="00402A03"/>
    <w:rsid w:val="00403BD1"/>
    <w:rsid w:val="00404037"/>
    <w:rsid w:val="00405F60"/>
    <w:rsid w:val="00407022"/>
    <w:rsid w:val="00413185"/>
    <w:rsid w:val="00414028"/>
    <w:rsid w:val="00420F46"/>
    <w:rsid w:val="004318A8"/>
    <w:rsid w:val="00432DC1"/>
    <w:rsid w:val="00434F5D"/>
    <w:rsid w:val="004475C7"/>
    <w:rsid w:val="0045340D"/>
    <w:rsid w:val="00453C63"/>
    <w:rsid w:val="0046053B"/>
    <w:rsid w:val="004636AD"/>
    <w:rsid w:val="0046701C"/>
    <w:rsid w:val="004672A1"/>
    <w:rsid w:val="00467965"/>
    <w:rsid w:val="00471FF9"/>
    <w:rsid w:val="00472AA1"/>
    <w:rsid w:val="00472C44"/>
    <w:rsid w:val="00474193"/>
    <w:rsid w:val="00474523"/>
    <w:rsid w:val="00475736"/>
    <w:rsid w:val="00483473"/>
    <w:rsid w:val="00486101"/>
    <w:rsid w:val="00487D8C"/>
    <w:rsid w:val="00496E3A"/>
    <w:rsid w:val="004A41AA"/>
    <w:rsid w:val="004A4365"/>
    <w:rsid w:val="004A58FA"/>
    <w:rsid w:val="004B15F6"/>
    <w:rsid w:val="004B5C29"/>
    <w:rsid w:val="004C0F72"/>
    <w:rsid w:val="004C2655"/>
    <w:rsid w:val="004C6572"/>
    <w:rsid w:val="004C6CAF"/>
    <w:rsid w:val="004C6DFC"/>
    <w:rsid w:val="004D0E8A"/>
    <w:rsid w:val="004D168A"/>
    <w:rsid w:val="004D2C76"/>
    <w:rsid w:val="004D55C1"/>
    <w:rsid w:val="004E200D"/>
    <w:rsid w:val="004E327F"/>
    <w:rsid w:val="004E57EB"/>
    <w:rsid w:val="004F1EB0"/>
    <w:rsid w:val="004F37E1"/>
    <w:rsid w:val="00500A55"/>
    <w:rsid w:val="00507567"/>
    <w:rsid w:val="00507786"/>
    <w:rsid w:val="00512548"/>
    <w:rsid w:val="005134CF"/>
    <w:rsid w:val="005163DC"/>
    <w:rsid w:val="00516C8C"/>
    <w:rsid w:val="005172BE"/>
    <w:rsid w:val="00520F8E"/>
    <w:rsid w:val="00524288"/>
    <w:rsid w:val="00524AE1"/>
    <w:rsid w:val="00525A57"/>
    <w:rsid w:val="005307B1"/>
    <w:rsid w:val="005307F4"/>
    <w:rsid w:val="00532B3D"/>
    <w:rsid w:val="00532DFE"/>
    <w:rsid w:val="00533E4D"/>
    <w:rsid w:val="00534591"/>
    <w:rsid w:val="005362A0"/>
    <w:rsid w:val="00536864"/>
    <w:rsid w:val="005404A9"/>
    <w:rsid w:val="00543343"/>
    <w:rsid w:val="005433EF"/>
    <w:rsid w:val="00545A84"/>
    <w:rsid w:val="00546E4E"/>
    <w:rsid w:val="00550C00"/>
    <w:rsid w:val="00551635"/>
    <w:rsid w:val="00551E4C"/>
    <w:rsid w:val="0055368D"/>
    <w:rsid w:val="0057461E"/>
    <w:rsid w:val="0058300E"/>
    <w:rsid w:val="005841DD"/>
    <w:rsid w:val="00585625"/>
    <w:rsid w:val="0058566F"/>
    <w:rsid w:val="0059255E"/>
    <w:rsid w:val="0059536E"/>
    <w:rsid w:val="005B6AEE"/>
    <w:rsid w:val="005B7D3D"/>
    <w:rsid w:val="005C1328"/>
    <w:rsid w:val="005C3176"/>
    <w:rsid w:val="005C3584"/>
    <w:rsid w:val="005C3F9C"/>
    <w:rsid w:val="005C442D"/>
    <w:rsid w:val="005C6BD1"/>
    <w:rsid w:val="005E20BD"/>
    <w:rsid w:val="005E2E6E"/>
    <w:rsid w:val="005E4D7A"/>
    <w:rsid w:val="005E7AB3"/>
    <w:rsid w:val="005F225C"/>
    <w:rsid w:val="005F2D14"/>
    <w:rsid w:val="005F3016"/>
    <w:rsid w:val="005F6B19"/>
    <w:rsid w:val="005F6BFF"/>
    <w:rsid w:val="00603D3B"/>
    <w:rsid w:val="006140CD"/>
    <w:rsid w:val="0062184D"/>
    <w:rsid w:val="006254F2"/>
    <w:rsid w:val="00626E6E"/>
    <w:rsid w:val="00630138"/>
    <w:rsid w:val="00641467"/>
    <w:rsid w:val="00642963"/>
    <w:rsid w:val="00661DCF"/>
    <w:rsid w:val="00662076"/>
    <w:rsid w:val="00662CFA"/>
    <w:rsid w:val="006723A6"/>
    <w:rsid w:val="0067717E"/>
    <w:rsid w:val="0068111F"/>
    <w:rsid w:val="00686144"/>
    <w:rsid w:val="00687937"/>
    <w:rsid w:val="00691EA8"/>
    <w:rsid w:val="006923C1"/>
    <w:rsid w:val="006938EA"/>
    <w:rsid w:val="0069493B"/>
    <w:rsid w:val="006A0600"/>
    <w:rsid w:val="006A364F"/>
    <w:rsid w:val="006A5EC3"/>
    <w:rsid w:val="006B322A"/>
    <w:rsid w:val="006B7B51"/>
    <w:rsid w:val="006C1BB8"/>
    <w:rsid w:val="006C1F09"/>
    <w:rsid w:val="006C1F7D"/>
    <w:rsid w:val="006C29B5"/>
    <w:rsid w:val="006D2C3F"/>
    <w:rsid w:val="006D5B7F"/>
    <w:rsid w:val="006D6158"/>
    <w:rsid w:val="006E0409"/>
    <w:rsid w:val="006E40E4"/>
    <w:rsid w:val="006E68A0"/>
    <w:rsid w:val="006F2302"/>
    <w:rsid w:val="006F57DA"/>
    <w:rsid w:val="006F734E"/>
    <w:rsid w:val="007007DD"/>
    <w:rsid w:val="00701DB6"/>
    <w:rsid w:val="00704D77"/>
    <w:rsid w:val="00706A0F"/>
    <w:rsid w:val="00707D4E"/>
    <w:rsid w:val="007174D6"/>
    <w:rsid w:val="00717DD6"/>
    <w:rsid w:val="00721FBF"/>
    <w:rsid w:val="007236C6"/>
    <w:rsid w:val="00726B3F"/>
    <w:rsid w:val="00730040"/>
    <w:rsid w:val="0073423F"/>
    <w:rsid w:val="00735747"/>
    <w:rsid w:val="0073733D"/>
    <w:rsid w:val="00744518"/>
    <w:rsid w:val="00750012"/>
    <w:rsid w:val="007500B7"/>
    <w:rsid w:val="007505DE"/>
    <w:rsid w:val="00753AF2"/>
    <w:rsid w:val="00761AC6"/>
    <w:rsid w:val="007644B5"/>
    <w:rsid w:val="0076650E"/>
    <w:rsid w:val="00776A57"/>
    <w:rsid w:val="00776DD5"/>
    <w:rsid w:val="00780D6C"/>
    <w:rsid w:val="0078136F"/>
    <w:rsid w:val="00781DBB"/>
    <w:rsid w:val="00783186"/>
    <w:rsid w:val="00783ED6"/>
    <w:rsid w:val="007840CB"/>
    <w:rsid w:val="007849B4"/>
    <w:rsid w:val="007900EF"/>
    <w:rsid w:val="0079502E"/>
    <w:rsid w:val="007957C9"/>
    <w:rsid w:val="007A136E"/>
    <w:rsid w:val="007A270E"/>
    <w:rsid w:val="007A2EFD"/>
    <w:rsid w:val="007A340F"/>
    <w:rsid w:val="007A683A"/>
    <w:rsid w:val="007B1AC3"/>
    <w:rsid w:val="007B334F"/>
    <w:rsid w:val="007C099B"/>
    <w:rsid w:val="007C5282"/>
    <w:rsid w:val="007C5AED"/>
    <w:rsid w:val="007C5B59"/>
    <w:rsid w:val="007C6041"/>
    <w:rsid w:val="007D0E3C"/>
    <w:rsid w:val="007D18F8"/>
    <w:rsid w:val="007D354F"/>
    <w:rsid w:val="007E518B"/>
    <w:rsid w:val="007E6020"/>
    <w:rsid w:val="007E7D7C"/>
    <w:rsid w:val="007F2844"/>
    <w:rsid w:val="007F6E75"/>
    <w:rsid w:val="008047D6"/>
    <w:rsid w:val="0081504D"/>
    <w:rsid w:val="00817A64"/>
    <w:rsid w:val="00825ABE"/>
    <w:rsid w:val="00827203"/>
    <w:rsid w:val="0084028C"/>
    <w:rsid w:val="00845841"/>
    <w:rsid w:val="00850CC3"/>
    <w:rsid w:val="008542CE"/>
    <w:rsid w:val="008553D0"/>
    <w:rsid w:val="0086291B"/>
    <w:rsid w:val="0087226D"/>
    <w:rsid w:val="0087553A"/>
    <w:rsid w:val="00875FDA"/>
    <w:rsid w:val="008824EB"/>
    <w:rsid w:val="00887717"/>
    <w:rsid w:val="00891FE7"/>
    <w:rsid w:val="008937D3"/>
    <w:rsid w:val="008A3302"/>
    <w:rsid w:val="008C2AE3"/>
    <w:rsid w:val="008C41BA"/>
    <w:rsid w:val="008C6DA9"/>
    <w:rsid w:val="008D0AAD"/>
    <w:rsid w:val="008D69A5"/>
    <w:rsid w:val="008E1D2D"/>
    <w:rsid w:val="008E4E2E"/>
    <w:rsid w:val="008E76D4"/>
    <w:rsid w:val="008F09B7"/>
    <w:rsid w:val="008F1286"/>
    <w:rsid w:val="008F2D64"/>
    <w:rsid w:val="008F3830"/>
    <w:rsid w:val="008F4005"/>
    <w:rsid w:val="008F42BD"/>
    <w:rsid w:val="009023B3"/>
    <w:rsid w:val="00904F2D"/>
    <w:rsid w:val="00905C08"/>
    <w:rsid w:val="00907195"/>
    <w:rsid w:val="00907E03"/>
    <w:rsid w:val="009115F8"/>
    <w:rsid w:val="00912074"/>
    <w:rsid w:val="0091435C"/>
    <w:rsid w:val="00921EA4"/>
    <w:rsid w:val="009235B2"/>
    <w:rsid w:val="009275CE"/>
    <w:rsid w:val="00933BFE"/>
    <w:rsid w:val="00936E06"/>
    <w:rsid w:val="009372B5"/>
    <w:rsid w:val="00946E8A"/>
    <w:rsid w:val="00953661"/>
    <w:rsid w:val="00966A3E"/>
    <w:rsid w:val="00966C3F"/>
    <w:rsid w:val="00972DEA"/>
    <w:rsid w:val="00981812"/>
    <w:rsid w:val="0098598F"/>
    <w:rsid w:val="009931DF"/>
    <w:rsid w:val="009A4854"/>
    <w:rsid w:val="009B4FCE"/>
    <w:rsid w:val="009B6228"/>
    <w:rsid w:val="009C001A"/>
    <w:rsid w:val="009C4C26"/>
    <w:rsid w:val="009C7E18"/>
    <w:rsid w:val="009D2F05"/>
    <w:rsid w:val="009D49D9"/>
    <w:rsid w:val="009D53F4"/>
    <w:rsid w:val="009E3997"/>
    <w:rsid w:val="009E6B96"/>
    <w:rsid w:val="009F0411"/>
    <w:rsid w:val="009F10B6"/>
    <w:rsid w:val="009F58D6"/>
    <w:rsid w:val="009F70A5"/>
    <w:rsid w:val="00A01746"/>
    <w:rsid w:val="00A02ABD"/>
    <w:rsid w:val="00A0487D"/>
    <w:rsid w:val="00A123A9"/>
    <w:rsid w:val="00A15A5D"/>
    <w:rsid w:val="00A179AE"/>
    <w:rsid w:val="00A20496"/>
    <w:rsid w:val="00A22379"/>
    <w:rsid w:val="00A270C4"/>
    <w:rsid w:val="00A33088"/>
    <w:rsid w:val="00A332D6"/>
    <w:rsid w:val="00A36E6D"/>
    <w:rsid w:val="00A4129F"/>
    <w:rsid w:val="00A447B8"/>
    <w:rsid w:val="00A547A9"/>
    <w:rsid w:val="00A5741A"/>
    <w:rsid w:val="00A61150"/>
    <w:rsid w:val="00A6399C"/>
    <w:rsid w:val="00A671D6"/>
    <w:rsid w:val="00A6726D"/>
    <w:rsid w:val="00A71CAA"/>
    <w:rsid w:val="00A74322"/>
    <w:rsid w:val="00A75B9E"/>
    <w:rsid w:val="00A7766A"/>
    <w:rsid w:val="00A8091E"/>
    <w:rsid w:val="00A81F4F"/>
    <w:rsid w:val="00A91363"/>
    <w:rsid w:val="00A92412"/>
    <w:rsid w:val="00A96420"/>
    <w:rsid w:val="00A97D31"/>
    <w:rsid w:val="00AA06C0"/>
    <w:rsid w:val="00AB0E0D"/>
    <w:rsid w:val="00AB2C8E"/>
    <w:rsid w:val="00AB36DA"/>
    <w:rsid w:val="00AD0496"/>
    <w:rsid w:val="00AD08DF"/>
    <w:rsid w:val="00AD512B"/>
    <w:rsid w:val="00AD7AF4"/>
    <w:rsid w:val="00AD7E36"/>
    <w:rsid w:val="00AF068B"/>
    <w:rsid w:val="00AF3921"/>
    <w:rsid w:val="00AF39E9"/>
    <w:rsid w:val="00AF5A70"/>
    <w:rsid w:val="00AF5D78"/>
    <w:rsid w:val="00AF67F4"/>
    <w:rsid w:val="00AF6CEC"/>
    <w:rsid w:val="00B00248"/>
    <w:rsid w:val="00B045FF"/>
    <w:rsid w:val="00B05F6A"/>
    <w:rsid w:val="00B172C2"/>
    <w:rsid w:val="00B25B8B"/>
    <w:rsid w:val="00B25FFC"/>
    <w:rsid w:val="00B30DEC"/>
    <w:rsid w:val="00B3317E"/>
    <w:rsid w:val="00B33AB5"/>
    <w:rsid w:val="00B46D55"/>
    <w:rsid w:val="00B51884"/>
    <w:rsid w:val="00B53A30"/>
    <w:rsid w:val="00B53BD9"/>
    <w:rsid w:val="00B6148B"/>
    <w:rsid w:val="00B70B8E"/>
    <w:rsid w:val="00B70BF0"/>
    <w:rsid w:val="00B71615"/>
    <w:rsid w:val="00B77B8A"/>
    <w:rsid w:val="00B82C64"/>
    <w:rsid w:val="00B840C2"/>
    <w:rsid w:val="00B86FDA"/>
    <w:rsid w:val="00B90F70"/>
    <w:rsid w:val="00B91B2F"/>
    <w:rsid w:val="00BA4287"/>
    <w:rsid w:val="00BA5E83"/>
    <w:rsid w:val="00BA5FA2"/>
    <w:rsid w:val="00BA653B"/>
    <w:rsid w:val="00BB3EFB"/>
    <w:rsid w:val="00BC6635"/>
    <w:rsid w:val="00BD6536"/>
    <w:rsid w:val="00BE0E98"/>
    <w:rsid w:val="00BE1CB2"/>
    <w:rsid w:val="00BF0D42"/>
    <w:rsid w:val="00BF4D32"/>
    <w:rsid w:val="00BF69AC"/>
    <w:rsid w:val="00BF720C"/>
    <w:rsid w:val="00C00138"/>
    <w:rsid w:val="00C00407"/>
    <w:rsid w:val="00C0086D"/>
    <w:rsid w:val="00C043A5"/>
    <w:rsid w:val="00C11845"/>
    <w:rsid w:val="00C14CA1"/>
    <w:rsid w:val="00C17967"/>
    <w:rsid w:val="00C17A5C"/>
    <w:rsid w:val="00C217B1"/>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6EF5"/>
    <w:rsid w:val="00C577C0"/>
    <w:rsid w:val="00C6582B"/>
    <w:rsid w:val="00C65C69"/>
    <w:rsid w:val="00C66020"/>
    <w:rsid w:val="00C6606A"/>
    <w:rsid w:val="00C742D0"/>
    <w:rsid w:val="00C75DDD"/>
    <w:rsid w:val="00C83448"/>
    <w:rsid w:val="00C8719D"/>
    <w:rsid w:val="00C87BCA"/>
    <w:rsid w:val="00C902CE"/>
    <w:rsid w:val="00C91880"/>
    <w:rsid w:val="00C94BED"/>
    <w:rsid w:val="00C9530F"/>
    <w:rsid w:val="00C9548F"/>
    <w:rsid w:val="00C95A0D"/>
    <w:rsid w:val="00C974A1"/>
    <w:rsid w:val="00CA46B5"/>
    <w:rsid w:val="00CA57EC"/>
    <w:rsid w:val="00CA5AF1"/>
    <w:rsid w:val="00CB3A3D"/>
    <w:rsid w:val="00CB3FA6"/>
    <w:rsid w:val="00CB7053"/>
    <w:rsid w:val="00CC064B"/>
    <w:rsid w:val="00CC0A17"/>
    <w:rsid w:val="00CD36A3"/>
    <w:rsid w:val="00CD3780"/>
    <w:rsid w:val="00CD5B11"/>
    <w:rsid w:val="00CD77C4"/>
    <w:rsid w:val="00CE1DF9"/>
    <w:rsid w:val="00CE797B"/>
    <w:rsid w:val="00CF12DB"/>
    <w:rsid w:val="00CF346F"/>
    <w:rsid w:val="00CF3C7B"/>
    <w:rsid w:val="00CF4D85"/>
    <w:rsid w:val="00D005B6"/>
    <w:rsid w:val="00D01AF8"/>
    <w:rsid w:val="00D12074"/>
    <w:rsid w:val="00D13974"/>
    <w:rsid w:val="00D27017"/>
    <w:rsid w:val="00D27A96"/>
    <w:rsid w:val="00D310F8"/>
    <w:rsid w:val="00D34782"/>
    <w:rsid w:val="00D459D4"/>
    <w:rsid w:val="00D503B1"/>
    <w:rsid w:val="00D52641"/>
    <w:rsid w:val="00D5762E"/>
    <w:rsid w:val="00D57CA8"/>
    <w:rsid w:val="00D6006E"/>
    <w:rsid w:val="00D622B7"/>
    <w:rsid w:val="00D66A0C"/>
    <w:rsid w:val="00D70360"/>
    <w:rsid w:val="00D75A88"/>
    <w:rsid w:val="00D8174E"/>
    <w:rsid w:val="00D90230"/>
    <w:rsid w:val="00D9044B"/>
    <w:rsid w:val="00D954D1"/>
    <w:rsid w:val="00D95FFC"/>
    <w:rsid w:val="00DA22A7"/>
    <w:rsid w:val="00DA3FB3"/>
    <w:rsid w:val="00DA5D17"/>
    <w:rsid w:val="00DB4E09"/>
    <w:rsid w:val="00DB5B52"/>
    <w:rsid w:val="00DB79F6"/>
    <w:rsid w:val="00DC1F84"/>
    <w:rsid w:val="00DC2D5A"/>
    <w:rsid w:val="00DC5797"/>
    <w:rsid w:val="00DC7FD6"/>
    <w:rsid w:val="00DD064F"/>
    <w:rsid w:val="00DD12FD"/>
    <w:rsid w:val="00DD2320"/>
    <w:rsid w:val="00DE0B11"/>
    <w:rsid w:val="00DE461F"/>
    <w:rsid w:val="00DF1435"/>
    <w:rsid w:val="00DF3543"/>
    <w:rsid w:val="00E02BDD"/>
    <w:rsid w:val="00E02FC8"/>
    <w:rsid w:val="00E04968"/>
    <w:rsid w:val="00E06854"/>
    <w:rsid w:val="00E06BBC"/>
    <w:rsid w:val="00E07006"/>
    <w:rsid w:val="00E128CB"/>
    <w:rsid w:val="00E16FA5"/>
    <w:rsid w:val="00E305F7"/>
    <w:rsid w:val="00E33770"/>
    <w:rsid w:val="00E33879"/>
    <w:rsid w:val="00E345DD"/>
    <w:rsid w:val="00E357F1"/>
    <w:rsid w:val="00E35CB9"/>
    <w:rsid w:val="00E40189"/>
    <w:rsid w:val="00E40916"/>
    <w:rsid w:val="00E4395E"/>
    <w:rsid w:val="00E45806"/>
    <w:rsid w:val="00E46FC9"/>
    <w:rsid w:val="00E478E9"/>
    <w:rsid w:val="00E54B23"/>
    <w:rsid w:val="00E601CD"/>
    <w:rsid w:val="00E6279D"/>
    <w:rsid w:val="00E65217"/>
    <w:rsid w:val="00E669F0"/>
    <w:rsid w:val="00E67266"/>
    <w:rsid w:val="00E7004C"/>
    <w:rsid w:val="00E713A8"/>
    <w:rsid w:val="00E71D1E"/>
    <w:rsid w:val="00E72E1C"/>
    <w:rsid w:val="00E739EB"/>
    <w:rsid w:val="00E75920"/>
    <w:rsid w:val="00E76D0E"/>
    <w:rsid w:val="00E84151"/>
    <w:rsid w:val="00E920B3"/>
    <w:rsid w:val="00E92F80"/>
    <w:rsid w:val="00E95C15"/>
    <w:rsid w:val="00E97451"/>
    <w:rsid w:val="00EA1744"/>
    <w:rsid w:val="00EA175F"/>
    <w:rsid w:val="00EA1886"/>
    <w:rsid w:val="00EA3C7B"/>
    <w:rsid w:val="00EA41CA"/>
    <w:rsid w:val="00EB018A"/>
    <w:rsid w:val="00EB5A79"/>
    <w:rsid w:val="00EC2EEB"/>
    <w:rsid w:val="00EE527D"/>
    <w:rsid w:val="00EE77D1"/>
    <w:rsid w:val="00EF4A7F"/>
    <w:rsid w:val="00EF60DF"/>
    <w:rsid w:val="00EF7286"/>
    <w:rsid w:val="00F05487"/>
    <w:rsid w:val="00F060B9"/>
    <w:rsid w:val="00F114EC"/>
    <w:rsid w:val="00F151E8"/>
    <w:rsid w:val="00F17373"/>
    <w:rsid w:val="00F20040"/>
    <w:rsid w:val="00F252AC"/>
    <w:rsid w:val="00F3075D"/>
    <w:rsid w:val="00F33D1F"/>
    <w:rsid w:val="00F35468"/>
    <w:rsid w:val="00F40DD5"/>
    <w:rsid w:val="00F435D6"/>
    <w:rsid w:val="00F44697"/>
    <w:rsid w:val="00F44EB4"/>
    <w:rsid w:val="00F60296"/>
    <w:rsid w:val="00F63BB8"/>
    <w:rsid w:val="00F675B2"/>
    <w:rsid w:val="00F71440"/>
    <w:rsid w:val="00F7460F"/>
    <w:rsid w:val="00F74B40"/>
    <w:rsid w:val="00F75E6A"/>
    <w:rsid w:val="00F83156"/>
    <w:rsid w:val="00F84201"/>
    <w:rsid w:val="00F8499F"/>
    <w:rsid w:val="00F906BE"/>
    <w:rsid w:val="00F95C88"/>
    <w:rsid w:val="00F97DD3"/>
    <w:rsid w:val="00FB17D1"/>
    <w:rsid w:val="00FB1D45"/>
    <w:rsid w:val="00FB5DFA"/>
    <w:rsid w:val="00FB5F1A"/>
    <w:rsid w:val="00FC0BFF"/>
    <w:rsid w:val="00FC1377"/>
    <w:rsid w:val="00FC3DD4"/>
    <w:rsid w:val="00FC532B"/>
    <w:rsid w:val="00FD474B"/>
    <w:rsid w:val="00FD70C6"/>
    <w:rsid w:val="00FE1D76"/>
    <w:rsid w:val="00FE5DE9"/>
    <w:rsid w:val="00FE6926"/>
    <w:rsid w:val="00FF4A7C"/>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49260-917F-4BF1-B588-88DB926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uiPriority w:val="29"/>
    <w:qForma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paragraph" w:styleId="FootnoteText">
    <w:name w:val="footnote text"/>
    <w:aliases w:val="fn,Char Char Char,Char Char, Char Char Char,טקסט הערות שוליים2, תו תו,טקסט הערות שוליים1, תו,תו,Footnote Text Char3,Char Char Char Char3,טקסט הערות שוליים111 Char1,טקסט הערות שוליים11111 Char1,תו תו2111 Char2,תו תו Char2, תו תו2111,f,תו תו"/>
    <w:basedOn w:val="Normal"/>
    <w:link w:val="FootnoteTextChar"/>
    <w:uiPriority w:val="99"/>
    <w:unhideWhenUsed/>
    <w:rsid w:val="00147C52"/>
    <w:pPr>
      <w:bidi/>
      <w:spacing w:after="200" w:line="276" w:lineRule="auto"/>
    </w:pPr>
    <w:rPr>
      <w:rFonts w:ascii="Calibri" w:eastAsia="Calibri" w:hAnsi="Calibri" w:cs="Times New Roman"/>
      <w:kern w:val="36"/>
      <w:sz w:val="20"/>
      <w:szCs w:val="20"/>
      <w:lang w:val="en-US" w:bidi="he-IL"/>
    </w:rPr>
  </w:style>
  <w:style w:type="character" w:customStyle="1" w:styleId="FootnoteTextChar">
    <w:name w:val="Footnote Text Char"/>
    <w:aliases w:val="fn Char,Char Char Char Char,Char Char Char1, Char Char Char Char,טקסט הערות שוליים2 Char, תו תו Char,טקסט הערות שוליים1 Char, תו Char,תו Char,Footnote Text Char3 Char,Char Char Char Char3 Char,טקסט הערות שוליים111 Char1 Char,f Char"/>
    <w:basedOn w:val="DefaultParagraphFont"/>
    <w:link w:val="FootnoteText"/>
    <w:uiPriority w:val="99"/>
    <w:rsid w:val="00147C52"/>
    <w:rPr>
      <w:rFonts w:ascii="Calibri" w:eastAsia="Calibri" w:hAnsi="Calibri" w:cs="Times New Roman"/>
      <w:kern w:val="36"/>
      <w:sz w:val="20"/>
      <w:szCs w:val="20"/>
      <w:lang w:val="en-US" w:bidi="he-IL"/>
    </w:rPr>
  </w:style>
  <w:style w:type="character" w:styleId="FootnoteReference">
    <w:name w:val="footnote reference"/>
    <w:basedOn w:val="DefaultParagraphFont"/>
    <w:uiPriority w:val="99"/>
    <w:unhideWhenUsed/>
    <w:rsid w:val="00147C52"/>
    <w:rPr>
      <w:vertAlign w:val="superscript"/>
    </w:rPr>
  </w:style>
  <w:style w:type="character" w:styleId="CommentReference">
    <w:name w:val="annotation reference"/>
    <w:basedOn w:val="DefaultParagraphFont"/>
    <w:uiPriority w:val="99"/>
    <w:semiHidden/>
    <w:unhideWhenUsed/>
    <w:rsid w:val="00DC1F84"/>
    <w:rPr>
      <w:sz w:val="16"/>
      <w:szCs w:val="16"/>
    </w:rPr>
  </w:style>
  <w:style w:type="paragraph" w:styleId="CommentText">
    <w:name w:val="annotation text"/>
    <w:basedOn w:val="Normal"/>
    <w:link w:val="CommentTextChar"/>
    <w:uiPriority w:val="99"/>
    <w:semiHidden/>
    <w:unhideWhenUsed/>
    <w:rsid w:val="00DC1F84"/>
    <w:pPr>
      <w:spacing w:line="240" w:lineRule="auto"/>
    </w:pPr>
    <w:rPr>
      <w:sz w:val="20"/>
      <w:szCs w:val="20"/>
    </w:rPr>
  </w:style>
  <w:style w:type="character" w:customStyle="1" w:styleId="CommentTextChar">
    <w:name w:val="Comment Text Char"/>
    <w:basedOn w:val="DefaultParagraphFont"/>
    <w:link w:val="CommentText"/>
    <w:uiPriority w:val="99"/>
    <w:semiHidden/>
    <w:rsid w:val="00DC1F84"/>
    <w:rPr>
      <w:sz w:val="20"/>
      <w:szCs w:val="20"/>
    </w:rPr>
  </w:style>
  <w:style w:type="paragraph" w:styleId="CommentSubject">
    <w:name w:val="annotation subject"/>
    <w:basedOn w:val="CommentText"/>
    <w:next w:val="CommentText"/>
    <w:link w:val="CommentSubjectChar"/>
    <w:uiPriority w:val="99"/>
    <w:semiHidden/>
    <w:unhideWhenUsed/>
    <w:rsid w:val="00DC1F84"/>
    <w:rPr>
      <w:b/>
      <w:bCs/>
    </w:rPr>
  </w:style>
  <w:style w:type="character" w:customStyle="1" w:styleId="CommentSubjectChar">
    <w:name w:val="Comment Subject Char"/>
    <w:basedOn w:val="CommentTextChar"/>
    <w:link w:val="CommentSubject"/>
    <w:uiPriority w:val="99"/>
    <w:semiHidden/>
    <w:rsid w:val="00DC1F84"/>
    <w:rPr>
      <w:b/>
      <w:bCs/>
      <w:sz w:val="20"/>
      <w:szCs w:val="20"/>
    </w:rPr>
  </w:style>
  <w:style w:type="paragraph" w:styleId="NormalWeb">
    <w:name w:val="Normal (Web)"/>
    <w:basedOn w:val="Normal"/>
    <w:uiPriority w:val="99"/>
    <w:unhideWhenUsed/>
    <w:rsid w:val="00B25B8B"/>
    <w:pPr>
      <w:spacing w:before="100" w:beforeAutospacing="1" w:after="100" w:afterAutospacing="1" w:line="240" w:lineRule="auto"/>
    </w:pPr>
    <w:rPr>
      <w:rFonts w:ascii="Times New Roman" w:hAnsi="Times New Roman" w:cs="Times New Roman"/>
      <w:sz w:val="24"/>
      <w:szCs w:val="24"/>
      <w:lang w:val="en-US"/>
    </w:rPr>
  </w:style>
  <w:style w:type="character" w:customStyle="1" w:styleId="bc">
    <w:name w:val="bc"/>
    <w:basedOn w:val="DefaultParagraphFont"/>
    <w:rsid w:val="00FB5F1A"/>
  </w:style>
  <w:style w:type="character" w:customStyle="1" w:styleId="bo">
    <w:name w:val="bo"/>
    <w:basedOn w:val="DefaultParagraphFont"/>
    <w:rsid w:val="009D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4116">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341619642">
      <w:bodyDiv w:val="1"/>
      <w:marLeft w:val="0"/>
      <w:marRight w:val="0"/>
      <w:marTop w:val="0"/>
      <w:marBottom w:val="0"/>
      <w:divBdr>
        <w:top w:val="none" w:sz="0" w:space="0" w:color="auto"/>
        <w:left w:val="none" w:sz="0" w:space="0" w:color="auto"/>
        <w:bottom w:val="none" w:sz="0" w:space="0" w:color="auto"/>
        <w:right w:val="none" w:sz="0" w:space="0" w:color="auto"/>
      </w:divBdr>
    </w:div>
    <w:div w:id="1738092630">
      <w:bodyDiv w:val="1"/>
      <w:marLeft w:val="0"/>
      <w:marRight w:val="0"/>
      <w:marTop w:val="0"/>
      <w:marBottom w:val="0"/>
      <w:divBdr>
        <w:top w:val="none" w:sz="0" w:space="0" w:color="auto"/>
        <w:left w:val="none" w:sz="0" w:space="0" w:color="auto"/>
        <w:bottom w:val="none" w:sz="0" w:space="0" w:color="auto"/>
        <w:right w:val="none" w:sz="0" w:space="0" w:color="auto"/>
      </w:divBdr>
    </w:div>
    <w:div w:id="1862010900">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Heath</dc:creator>
  <cp:lastModifiedBy>Yiannis Peslikas</cp:lastModifiedBy>
  <cp:revision>12</cp:revision>
  <cp:lastPrinted>2017-03-28T14:03:00Z</cp:lastPrinted>
  <dcterms:created xsi:type="dcterms:W3CDTF">2017-03-28T13:53:00Z</dcterms:created>
  <dcterms:modified xsi:type="dcterms:W3CDTF">2017-03-28T14:44:00Z</dcterms:modified>
</cp:coreProperties>
</file>