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1A8B" w14:textId="2846237E" w:rsidR="0089032B" w:rsidRPr="0089032B" w:rsidRDefault="0089032B" w:rsidP="0089032B">
      <w:pPr>
        <w:pStyle w:val="BodyText3"/>
        <w:jc w:val="both"/>
        <w:rPr>
          <w:rFonts w:asciiTheme="majorHAnsi" w:hAnsiTheme="majorHAnsi" w:cstheme="majorHAnsi"/>
          <w:b/>
          <w:sz w:val="20"/>
          <w:szCs w:val="20"/>
          <w:lang w:val="en-GB"/>
        </w:rPr>
      </w:pPr>
      <w:r>
        <w:rPr>
          <w:rFonts w:asciiTheme="majorHAnsi" w:hAnsiTheme="majorHAnsi" w:cstheme="majorHAnsi"/>
          <w:b/>
          <w:sz w:val="20"/>
          <w:szCs w:val="20"/>
          <w:lang w:val="en-GB"/>
        </w:rPr>
        <w:t xml:space="preserve">Notice from </w:t>
      </w:r>
      <w:proofErr w:type="spellStart"/>
      <w:r w:rsidRPr="0089032B">
        <w:rPr>
          <w:rFonts w:asciiTheme="majorHAnsi" w:hAnsiTheme="majorHAnsi" w:cstheme="majorHAnsi"/>
          <w:b/>
          <w:sz w:val="20"/>
          <w:szCs w:val="20"/>
          <w:lang w:val="en-GB"/>
        </w:rPr>
        <w:t>Globalworth</w:t>
      </w:r>
      <w:proofErr w:type="spellEnd"/>
      <w:r w:rsidRPr="0089032B">
        <w:rPr>
          <w:rFonts w:asciiTheme="majorHAnsi" w:hAnsiTheme="majorHAnsi" w:cstheme="majorHAnsi"/>
          <w:b/>
          <w:sz w:val="20"/>
          <w:szCs w:val="20"/>
          <w:lang w:val="en-GB"/>
        </w:rPr>
        <w:t xml:space="preserve"> Real Estate Investments Limited</w:t>
      </w:r>
      <w:r w:rsidRPr="0089032B">
        <w:rPr>
          <w:rFonts w:asciiTheme="majorHAnsi" w:hAnsiTheme="majorHAnsi" w:cstheme="majorHAnsi"/>
          <w:b/>
          <w:sz w:val="20"/>
          <w:szCs w:val="20"/>
          <w:lang w:val="en-GB"/>
        </w:rPr>
        <w:t xml:space="preserve"> </w:t>
      </w:r>
    </w:p>
    <w:p w14:paraId="2428CEA5" w14:textId="5C8A8D50" w:rsidR="0089032B" w:rsidRPr="0089032B" w:rsidRDefault="0089032B" w:rsidP="0089032B">
      <w:pPr>
        <w:pStyle w:val="BodyText3"/>
        <w:jc w:val="both"/>
        <w:rPr>
          <w:rFonts w:asciiTheme="majorHAnsi" w:hAnsiTheme="majorHAnsi" w:cstheme="majorHAnsi"/>
          <w:sz w:val="20"/>
          <w:szCs w:val="20"/>
          <w:lang w:val="en-GB"/>
        </w:rPr>
      </w:pPr>
      <w:r w:rsidRPr="0089032B">
        <w:rPr>
          <w:rFonts w:asciiTheme="majorHAnsi" w:hAnsiTheme="majorHAnsi" w:cstheme="majorHAnsi"/>
          <w:sz w:val="20"/>
          <w:szCs w:val="20"/>
          <w:lang w:val="en-GB"/>
        </w:rPr>
        <w:t xml:space="preserve">The board of directors of </w:t>
      </w:r>
      <w:proofErr w:type="spellStart"/>
      <w:r w:rsidRPr="0089032B">
        <w:rPr>
          <w:rFonts w:asciiTheme="majorHAnsi" w:hAnsiTheme="majorHAnsi" w:cstheme="majorHAnsi"/>
          <w:sz w:val="20"/>
          <w:szCs w:val="20"/>
          <w:lang w:val="en-GB"/>
        </w:rPr>
        <w:t>Globalworth</w:t>
      </w:r>
      <w:proofErr w:type="spellEnd"/>
      <w:r w:rsidRPr="0089032B">
        <w:rPr>
          <w:rFonts w:asciiTheme="majorHAnsi" w:hAnsiTheme="majorHAnsi" w:cstheme="majorHAnsi"/>
          <w:sz w:val="20"/>
          <w:szCs w:val="20"/>
          <w:lang w:val="en-GB"/>
        </w:rPr>
        <w:t xml:space="preserve"> Poland Real Estate N.V. (the “</w:t>
      </w:r>
      <w:r w:rsidRPr="0089032B">
        <w:rPr>
          <w:rFonts w:asciiTheme="majorHAnsi" w:hAnsiTheme="majorHAnsi" w:cstheme="majorHAnsi"/>
          <w:b/>
          <w:sz w:val="20"/>
          <w:szCs w:val="20"/>
          <w:lang w:val="en-GB"/>
        </w:rPr>
        <w:t>Company</w:t>
      </w:r>
      <w:r w:rsidRPr="0089032B">
        <w:rPr>
          <w:rFonts w:asciiTheme="majorHAnsi" w:hAnsiTheme="majorHAnsi" w:cstheme="majorHAnsi"/>
          <w:sz w:val="20"/>
          <w:szCs w:val="20"/>
          <w:lang w:val="en-GB"/>
        </w:rPr>
        <w:t>” or “</w:t>
      </w:r>
      <w:r w:rsidRPr="0089032B">
        <w:rPr>
          <w:rFonts w:asciiTheme="majorHAnsi" w:hAnsiTheme="majorHAnsi" w:cstheme="majorHAnsi"/>
          <w:b/>
          <w:sz w:val="20"/>
          <w:szCs w:val="20"/>
          <w:lang w:val="en-GB"/>
        </w:rPr>
        <w:t>GPRE</w:t>
      </w:r>
      <w:r w:rsidRPr="0089032B">
        <w:rPr>
          <w:rFonts w:asciiTheme="majorHAnsi" w:hAnsiTheme="majorHAnsi" w:cstheme="majorHAnsi"/>
          <w:sz w:val="20"/>
          <w:szCs w:val="20"/>
          <w:lang w:val="en-GB"/>
        </w:rPr>
        <w:t xml:space="preserve">”) informs that on 8 April 2019 the Company received a letter from </w:t>
      </w:r>
      <w:proofErr w:type="spellStart"/>
      <w:r w:rsidRPr="0089032B">
        <w:rPr>
          <w:rFonts w:asciiTheme="majorHAnsi" w:hAnsiTheme="majorHAnsi" w:cstheme="majorHAnsi"/>
          <w:sz w:val="20"/>
          <w:szCs w:val="20"/>
          <w:lang w:val="en-GB"/>
        </w:rPr>
        <w:t>Globalworth</w:t>
      </w:r>
      <w:proofErr w:type="spellEnd"/>
      <w:r w:rsidRPr="0089032B">
        <w:rPr>
          <w:rFonts w:asciiTheme="majorHAnsi" w:hAnsiTheme="majorHAnsi" w:cstheme="majorHAnsi"/>
          <w:sz w:val="20"/>
          <w:szCs w:val="20"/>
          <w:lang w:val="en-GB"/>
        </w:rPr>
        <w:t xml:space="preserve"> Real Estate Investments Limited (“</w:t>
      </w:r>
      <w:r w:rsidRPr="0089032B">
        <w:rPr>
          <w:rFonts w:asciiTheme="majorHAnsi" w:hAnsiTheme="majorHAnsi" w:cstheme="majorHAnsi"/>
          <w:b/>
          <w:sz w:val="20"/>
          <w:szCs w:val="20"/>
          <w:lang w:val="en-GB"/>
        </w:rPr>
        <w:t>GREIL</w:t>
      </w:r>
      <w:r w:rsidRPr="0089032B">
        <w:rPr>
          <w:rFonts w:asciiTheme="majorHAnsi" w:hAnsiTheme="majorHAnsi" w:cstheme="majorHAnsi"/>
          <w:sz w:val="20"/>
          <w:szCs w:val="20"/>
          <w:lang w:val="en-GB"/>
        </w:rPr>
        <w:t xml:space="preserve">”) informing about GREIL’s intention to issue up to €500 million of additional equity capital pursuant to: </w:t>
      </w:r>
    </w:p>
    <w:p w14:paraId="4C8C4D4F" w14:textId="77777777" w:rsidR="0089032B" w:rsidRPr="0089032B" w:rsidRDefault="0089032B" w:rsidP="0089032B">
      <w:pPr>
        <w:pStyle w:val="BodyText3"/>
        <w:jc w:val="both"/>
        <w:rPr>
          <w:rFonts w:asciiTheme="majorHAnsi" w:hAnsiTheme="majorHAnsi" w:cstheme="majorHAnsi"/>
          <w:sz w:val="20"/>
          <w:szCs w:val="20"/>
          <w:lang w:val="en-GB"/>
        </w:rPr>
      </w:pPr>
      <w:r w:rsidRPr="0089032B">
        <w:rPr>
          <w:rFonts w:asciiTheme="majorHAnsi" w:hAnsiTheme="majorHAnsi" w:cstheme="majorHAnsi"/>
          <w:sz w:val="20"/>
          <w:szCs w:val="20"/>
          <w:lang w:val="en-GB"/>
        </w:rPr>
        <w:t>(</w:t>
      </w:r>
      <w:proofErr w:type="spellStart"/>
      <w:r w:rsidRPr="0089032B">
        <w:rPr>
          <w:rFonts w:asciiTheme="majorHAnsi" w:hAnsiTheme="majorHAnsi" w:cstheme="majorHAnsi"/>
          <w:sz w:val="20"/>
          <w:szCs w:val="20"/>
          <w:lang w:val="en-GB"/>
        </w:rPr>
        <w:t>i</w:t>
      </w:r>
      <w:proofErr w:type="spellEnd"/>
      <w:r w:rsidRPr="0089032B">
        <w:rPr>
          <w:rFonts w:asciiTheme="majorHAnsi" w:hAnsiTheme="majorHAnsi" w:cstheme="majorHAnsi"/>
          <w:sz w:val="20"/>
          <w:szCs w:val="20"/>
          <w:lang w:val="en-GB"/>
        </w:rPr>
        <w:t>)</w:t>
      </w:r>
      <w:r w:rsidRPr="0089032B">
        <w:rPr>
          <w:rFonts w:asciiTheme="majorHAnsi" w:hAnsiTheme="majorHAnsi" w:cstheme="majorHAnsi"/>
          <w:sz w:val="20"/>
          <w:szCs w:val="20"/>
          <w:lang w:val="en-GB"/>
        </w:rPr>
        <w:tab/>
        <w:t>a proposed equity fundraising to raise up to €347.6 million through a non-pre-emptive placing (the “</w:t>
      </w:r>
      <w:r w:rsidRPr="0089032B">
        <w:rPr>
          <w:rFonts w:asciiTheme="majorHAnsi" w:hAnsiTheme="majorHAnsi" w:cstheme="majorHAnsi"/>
          <w:b/>
          <w:sz w:val="20"/>
          <w:szCs w:val="20"/>
          <w:lang w:val="en-GB"/>
        </w:rPr>
        <w:t>Placing</w:t>
      </w:r>
      <w:r w:rsidRPr="0089032B">
        <w:rPr>
          <w:rFonts w:asciiTheme="majorHAnsi" w:hAnsiTheme="majorHAnsi" w:cstheme="majorHAnsi"/>
          <w:sz w:val="20"/>
          <w:szCs w:val="20"/>
          <w:lang w:val="en-GB"/>
        </w:rPr>
        <w:t xml:space="preserve">”) of up to 38,201,512 new ordinary shares at a price per Placing share of €9.10; and </w:t>
      </w:r>
    </w:p>
    <w:p w14:paraId="3D7EA079" w14:textId="77777777" w:rsidR="0089032B" w:rsidRPr="0089032B" w:rsidRDefault="0089032B" w:rsidP="0089032B">
      <w:pPr>
        <w:pStyle w:val="BodyText3"/>
        <w:jc w:val="both"/>
        <w:rPr>
          <w:rFonts w:asciiTheme="majorHAnsi" w:hAnsiTheme="majorHAnsi" w:cstheme="majorHAnsi"/>
          <w:sz w:val="20"/>
          <w:szCs w:val="20"/>
          <w:lang w:val="en-GB"/>
        </w:rPr>
      </w:pPr>
      <w:r w:rsidRPr="0089032B">
        <w:rPr>
          <w:rFonts w:asciiTheme="majorHAnsi" w:hAnsiTheme="majorHAnsi" w:cstheme="majorHAnsi"/>
          <w:sz w:val="20"/>
          <w:szCs w:val="20"/>
          <w:lang w:val="en-GB"/>
        </w:rPr>
        <w:t>(ii)</w:t>
      </w:r>
      <w:r w:rsidRPr="0089032B">
        <w:rPr>
          <w:rFonts w:asciiTheme="majorHAnsi" w:hAnsiTheme="majorHAnsi" w:cstheme="majorHAnsi"/>
          <w:sz w:val="20"/>
          <w:szCs w:val="20"/>
          <w:lang w:val="en-GB"/>
        </w:rPr>
        <w:tab/>
        <w:t>an agreement between GREIL and Growthpoint Properties International Proprietary Ltd (“</w:t>
      </w:r>
      <w:r w:rsidRPr="0089032B">
        <w:rPr>
          <w:rFonts w:asciiTheme="majorHAnsi" w:hAnsiTheme="majorHAnsi" w:cstheme="majorHAnsi"/>
          <w:b/>
          <w:sz w:val="20"/>
          <w:szCs w:val="20"/>
          <w:lang w:val="en-GB"/>
        </w:rPr>
        <w:t>Growthpoint</w:t>
      </w:r>
      <w:r w:rsidRPr="0089032B">
        <w:rPr>
          <w:rFonts w:asciiTheme="majorHAnsi" w:hAnsiTheme="majorHAnsi" w:cstheme="majorHAnsi"/>
          <w:sz w:val="20"/>
          <w:szCs w:val="20"/>
          <w:lang w:val="en-GB"/>
        </w:rPr>
        <w:t xml:space="preserve">”) for GREIL to acquire (through its wholly-owned subsidiary, </w:t>
      </w:r>
      <w:proofErr w:type="spellStart"/>
      <w:r w:rsidRPr="0089032B">
        <w:rPr>
          <w:rFonts w:asciiTheme="majorHAnsi" w:hAnsiTheme="majorHAnsi" w:cstheme="majorHAnsi"/>
          <w:sz w:val="20"/>
          <w:szCs w:val="20"/>
          <w:lang w:val="en-GB"/>
        </w:rPr>
        <w:t>Globalworth</w:t>
      </w:r>
      <w:proofErr w:type="spellEnd"/>
      <w:r w:rsidRPr="0089032B">
        <w:rPr>
          <w:rFonts w:asciiTheme="majorHAnsi" w:hAnsiTheme="majorHAnsi" w:cstheme="majorHAnsi"/>
          <w:sz w:val="20"/>
          <w:szCs w:val="20"/>
          <w:lang w:val="en-GB"/>
        </w:rPr>
        <w:t xml:space="preserve"> Holding B.V. (“</w:t>
      </w:r>
      <w:proofErr w:type="spellStart"/>
      <w:r w:rsidRPr="0089032B">
        <w:rPr>
          <w:rFonts w:asciiTheme="majorHAnsi" w:hAnsiTheme="majorHAnsi" w:cstheme="majorHAnsi"/>
          <w:b/>
          <w:sz w:val="20"/>
          <w:szCs w:val="20"/>
          <w:lang w:val="en-GB"/>
        </w:rPr>
        <w:t>Globalworth</w:t>
      </w:r>
      <w:proofErr w:type="spellEnd"/>
      <w:r w:rsidRPr="0089032B">
        <w:rPr>
          <w:rFonts w:asciiTheme="majorHAnsi" w:hAnsiTheme="majorHAnsi" w:cstheme="majorHAnsi"/>
          <w:b/>
          <w:sz w:val="20"/>
          <w:szCs w:val="20"/>
          <w:lang w:val="en-GB"/>
        </w:rPr>
        <w:t xml:space="preserve"> Holding</w:t>
      </w:r>
      <w:r w:rsidRPr="0089032B">
        <w:rPr>
          <w:rFonts w:asciiTheme="majorHAnsi" w:hAnsiTheme="majorHAnsi" w:cstheme="majorHAnsi"/>
          <w:sz w:val="20"/>
          <w:szCs w:val="20"/>
          <w:lang w:val="en-GB"/>
        </w:rPr>
        <w:t>”)) Growthpoint’s 95,541,401 shares in GPRE at the price of €1.60 per GPRE share, by issuing approximately 16,798,488 new GREIL ordinary shares to Growthpoint at the price of €9.10 per new ordinary share (the “</w:t>
      </w:r>
      <w:r w:rsidRPr="0089032B">
        <w:rPr>
          <w:rFonts w:asciiTheme="majorHAnsi" w:hAnsiTheme="majorHAnsi" w:cstheme="majorHAnsi"/>
          <w:b/>
          <w:sz w:val="20"/>
          <w:szCs w:val="20"/>
          <w:lang w:val="en-GB"/>
        </w:rPr>
        <w:t>GPRE Exchange</w:t>
      </w:r>
      <w:r w:rsidRPr="0089032B">
        <w:rPr>
          <w:rFonts w:asciiTheme="majorHAnsi" w:hAnsiTheme="majorHAnsi" w:cstheme="majorHAnsi"/>
          <w:sz w:val="20"/>
          <w:szCs w:val="20"/>
          <w:lang w:val="en-GB"/>
        </w:rPr>
        <w:t>”) (the “</w:t>
      </w:r>
      <w:r w:rsidRPr="0089032B">
        <w:rPr>
          <w:rFonts w:asciiTheme="majorHAnsi" w:hAnsiTheme="majorHAnsi" w:cstheme="majorHAnsi"/>
          <w:b/>
          <w:sz w:val="20"/>
          <w:szCs w:val="20"/>
          <w:lang w:val="en-GB"/>
        </w:rPr>
        <w:t>Exchange Agreement</w:t>
      </w:r>
      <w:r w:rsidRPr="0089032B">
        <w:rPr>
          <w:rFonts w:asciiTheme="majorHAnsi" w:hAnsiTheme="majorHAnsi" w:cstheme="majorHAnsi"/>
          <w:sz w:val="20"/>
          <w:szCs w:val="20"/>
          <w:lang w:val="en-GB"/>
        </w:rPr>
        <w:t xml:space="preserve">”). </w:t>
      </w:r>
    </w:p>
    <w:p w14:paraId="3DDF1474" w14:textId="77777777" w:rsidR="0089032B" w:rsidRPr="0089032B" w:rsidRDefault="0089032B" w:rsidP="0089032B">
      <w:pPr>
        <w:pStyle w:val="BodyText3"/>
        <w:jc w:val="both"/>
        <w:rPr>
          <w:rFonts w:asciiTheme="majorHAnsi" w:hAnsiTheme="majorHAnsi" w:cstheme="majorHAnsi"/>
          <w:sz w:val="20"/>
          <w:szCs w:val="20"/>
          <w:lang w:val="en-GB"/>
        </w:rPr>
      </w:pPr>
      <w:r w:rsidRPr="0089032B">
        <w:rPr>
          <w:rFonts w:asciiTheme="majorHAnsi" w:hAnsiTheme="majorHAnsi" w:cstheme="majorHAnsi"/>
          <w:sz w:val="20"/>
          <w:szCs w:val="20"/>
          <w:lang w:val="en-GB"/>
        </w:rPr>
        <w:t xml:space="preserve">According to the letter received from GREIL: </w:t>
      </w:r>
    </w:p>
    <w:p w14:paraId="32207F75" w14:textId="77777777" w:rsidR="0089032B" w:rsidRPr="0089032B" w:rsidRDefault="0089032B" w:rsidP="0089032B">
      <w:pPr>
        <w:pStyle w:val="BodyText3"/>
        <w:jc w:val="both"/>
        <w:rPr>
          <w:rFonts w:asciiTheme="majorHAnsi" w:hAnsiTheme="majorHAnsi" w:cstheme="majorHAnsi"/>
          <w:sz w:val="20"/>
          <w:szCs w:val="20"/>
          <w:lang w:val="en-GB"/>
        </w:rPr>
      </w:pPr>
      <w:r w:rsidRPr="0089032B">
        <w:rPr>
          <w:rFonts w:asciiTheme="majorHAnsi" w:hAnsiTheme="majorHAnsi" w:cstheme="majorHAnsi"/>
          <w:sz w:val="20"/>
          <w:szCs w:val="20"/>
          <w:lang w:val="en-GB"/>
        </w:rPr>
        <w:t>(</w:t>
      </w:r>
      <w:proofErr w:type="spellStart"/>
      <w:r w:rsidRPr="0089032B">
        <w:rPr>
          <w:rFonts w:asciiTheme="majorHAnsi" w:hAnsiTheme="majorHAnsi" w:cstheme="majorHAnsi"/>
          <w:sz w:val="20"/>
          <w:szCs w:val="20"/>
          <w:lang w:val="en-GB"/>
        </w:rPr>
        <w:t>i</w:t>
      </w:r>
      <w:proofErr w:type="spellEnd"/>
      <w:r w:rsidRPr="0089032B">
        <w:rPr>
          <w:rFonts w:asciiTheme="majorHAnsi" w:hAnsiTheme="majorHAnsi" w:cstheme="majorHAnsi"/>
          <w:sz w:val="20"/>
          <w:szCs w:val="20"/>
          <w:lang w:val="en-GB"/>
        </w:rPr>
        <w:t xml:space="preserve">) the GPRE Exchange is conditional on and will complete following the completion of the Placing. The GPRE Exchange will increase GREIL’s aggregate holding (held through </w:t>
      </w:r>
      <w:proofErr w:type="spellStart"/>
      <w:r w:rsidRPr="0089032B">
        <w:rPr>
          <w:rFonts w:asciiTheme="majorHAnsi" w:hAnsiTheme="majorHAnsi" w:cstheme="majorHAnsi"/>
          <w:sz w:val="20"/>
          <w:szCs w:val="20"/>
          <w:lang w:val="en-GB"/>
        </w:rPr>
        <w:t>Globalworth</w:t>
      </w:r>
      <w:proofErr w:type="spellEnd"/>
      <w:r w:rsidRPr="0089032B">
        <w:rPr>
          <w:rFonts w:asciiTheme="majorHAnsi" w:hAnsiTheme="majorHAnsi" w:cstheme="majorHAnsi"/>
          <w:sz w:val="20"/>
          <w:szCs w:val="20"/>
          <w:lang w:val="en-GB"/>
        </w:rPr>
        <w:t xml:space="preserve"> Holding) in GPRE to above 99%.</w:t>
      </w:r>
    </w:p>
    <w:p w14:paraId="23C672C3" w14:textId="77777777" w:rsidR="0089032B" w:rsidRPr="0089032B" w:rsidRDefault="0089032B" w:rsidP="0089032B">
      <w:pPr>
        <w:pStyle w:val="BodyText3"/>
        <w:jc w:val="both"/>
        <w:rPr>
          <w:rFonts w:asciiTheme="majorHAnsi" w:hAnsiTheme="majorHAnsi" w:cstheme="majorHAnsi"/>
          <w:sz w:val="20"/>
          <w:szCs w:val="20"/>
          <w:lang w:val="en-GB"/>
        </w:rPr>
      </w:pPr>
      <w:r w:rsidRPr="0089032B">
        <w:rPr>
          <w:rFonts w:asciiTheme="majorHAnsi" w:hAnsiTheme="majorHAnsi" w:cstheme="majorHAnsi"/>
          <w:sz w:val="20"/>
          <w:szCs w:val="20"/>
          <w:lang w:val="en-GB"/>
        </w:rPr>
        <w:t>(ii) in accordance with the Exchange Agreement, as soon as reasonably practicable following the completion of the GPRE Exchange, GREIL will acquire the remaining shares in GPRE that it does not own and/or exercise its statutory squeeze out rights to acquire the remainder of the GPRE shares. GREIL further intends to commence the procedure for the delisting of GPRE from the regulated market operated by the Warsaw Stock Exchange. By doing so, GREIL will be able to rationalise its group organisation as well as address commercial considerations, including a reduction of administration costs and operational synergies, while also simplifying GREIL’s equity structure.</w:t>
      </w:r>
    </w:p>
    <w:p w14:paraId="72380E45" w14:textId="68F2837A" w:rsidR="00874518" w:rsidRPr="0089032B" w:rsidRDefault="0089032B" w:rsidP="00874518">
      <w:pPr>
        <w:rPr>
          <w:rFonts w:asciiTheme="majorHAnsi" w:hAnsiTheme="majorHAnsi" w:cstheme="majorHAnsi"/>
          <w:sz w:val="20"/>
          <w:szCs w:val="20"/>
          <w:lang w:val="en-US"/>
        </w:rPr>
      </w:pPr>
      <w:r w:rsidRPr="0089032B">
        <w:rPr>
          <w:rFonts w:asciiTheme="majorHAnsi" w:hAnsiTheme="majorHAnsi" w:cstheme="majorHAnsi"/>
          <w:sz w:val="20"/>
          <w:szCs w:val="20"/>
          <w:lang w:val="en-GB"/>
        </w:rPr>
        <w:t>(iii) the Placing is expected to be completed on Friday, 12 April 2019, and the GPRE Exchange is expected to be completed as soon as reasonably practicable thereafter.</w:t>
      </w:r>
    </w:p>
    <w:p w14:paraId="67CFB01C" w14:textId="25A41424" w:rsidR="00874518" w:rsidRPr="00874518" w:rsidRDefault="00874518" w:rsidP="00874518">
      <w:pPr>
        <w:rPr>
          <w:rFonts w:asciiTheme="majorHAnsi" w:hAnsiTheme="majorHAnsi" w:cstheme="majorHAnsi"/>
          <w:sz w:val="20"/>
          <w:szCs w:val="20"/>
          <w:lang w:val="en-US"/>
        </w:rPr>
      </w:pPr>
    </w:p>
    <w:p w14:paraId="22A5671F" w14:textId="3E71D306" w:rsidR="00874518" w:rsidRPr="00874518" w:rsidRDefault="00874518" w:rsidP="00874518">
      <w:pPr>
        <w:rPr>
          <w:rFonts w:asciiTheme="majorHAnsi" w:hAnsiTheme="majorHAnsi" w:cstheme="majorHAnsi"/>
          <w:sz w:val="20"/>
          <w:szCs w:val="20"/>
          <w:lang w:val="en-US"/>
        </w:rPr>
      </w:pPr>
    </w:p>
    <w:p w14:paraId="2FB960F3" w14:textId="75C926F6" w:rsidR="00874518" w:rsidRPr="00874518" w:rsidRDefault="00874518" w:rsidP="00874518">
      <w:pPr>
        <w:rPr>
          <w:rFonts w:asciiTheme="majorHAnsi" w:hAnsiTheme="majorHAnsi" w:cstheme="majorHAnsi"/>
          <w:sz w:val="20"/>
          <w:szCs w:val="20"/>
          <w:lang w:val="en-US"/>
        </w:rPr>
      </w:pPr>
    </w:p>
    <w:p w14:paraId="40E89FA8" w14:textId="3741C646" w:rsidR="00874518" w:rsidRPr="00874518" w:rsidRDefault="00874518" w:rsidP="00874518">
      <w:pPr>
        <w:rPr>
          <w:rFonts w:asciiTheme="majorHAnsi" w:hAnsiTheme="majorHAnsi" w:cstheme="majorHAnsi"/>
          <w:sz w:val="20"/>
          <w:szCs w:val="20"/>
          <w:lang w:val="en-US"/>
        </w:rPr>
      </w:pPr>
    </w:p>
    <w:p w14:paraId="716047E3" w14:textId="15B2D537" w:rsidR="00874518" w:rsidRPr="00874518" w:rsidRDefault="00874518" w:rsidP="00874518">
      <w:pPr>
        <w:rPr>
          <w:rFonts w:asciiTheme="majorHAnsi" w:hAnsiTheme="majorHAnsi" w:cstheme="majorHAnsi"/>
          <w:sz w:val="20"/>
          <w:szCs w:val="20"/>
          <w:lang w:val="en-US"/>
        </w:rPr>
      </w:pPr>
    </w:p>
    <w:p w14:paraId="08AA5B4D" w14:textId="0A7D54EB" w:rsidR="00874518" w:rsidRPr="00874518" w:rsidRDefault="00874518" w:rsidP="00874518">
      <w:pPr>
        <w:rPr>
          <w:rFonts w:asciiTheme="majorHAnsi" w:hAnsiTheme="majorHAnsi" w:cstheme="majorHAnsi"/>
          <w:sz w:val="20"/>
          <w:szCs w:val="20"/>
          <w:lang w:val="en-US"/>
        </w:rPr>
      </w:pPr>
    </w:p>
    <w:p w14:paraId="052F7AD7" w14:textId="098837D1" w:rsidR="00874518" w:rsidRPr="00874518" w:rsidRDefault="00874518" w:rsidP="00874518">
      <w:pPr>
        <w:rPr>
          <w:rFonts w:asciiTheme="majorHAnsi" w:hAnsiTheme="majorHAnsi" w:cstheme="majorHAnsi"/>
          <w:sz w:val="20"/>
          <w:szCs w:val="20"/>
          <w:lang w:val="en-US"/>
        </w:rPr>
      </w:pPr>
    </w:p>
    <w:p w14:paraId="49D1F8C2" w14:textId="17410E49" w:rsidR="00874518" w:rsidRPr="00874518" w:rsidRDefault="00874518" w:rsidP="00874518">
      <w:pPr>
        <w:rPr>
          <w:rFonts w:asciiTheme="majorHAnsi" w:hAnsiTheme="majorHAnsi" w:cstheme="majorHAnsi"/>
          <w:sz w:val="20"/>
          <w:szCs w:val="20"/>
          <w:lang w:val="en-US"/>
        </w:rPr>
      </w:pPr>
    </w:p>
    <w:p w14:paraId="35CDB7E6" w14:textId="3014C0EE" w:rsidR="00874518" w:rsidRPr="00874518" w:rsidRDefault="00874518" w:rsidP="00874518">
      <w:pPr>
        <w:rPr>
          <w:rFonts w:asciiTheme="majorHAnsi" w:hAnsiTheme="majorHAnsi" w:cstheme="majorHAnsi"/>
          <w:sz w:val="20"/>
          <w:szCs w:val="20"/>
          <w:lang w:val="en-US"/>
        </w:rPr>
      </w:pPr>
    </w:p>
    <w:p w14:paraId="273A4427" w14:textId="01554FE8" w:rsidR="00874518" w:rsidRPr="00874518" w:rsidRDefault="00874518" w:rsidP="00874518">
      <w:pPr>
        <w:rPr>
          <w:rFonts w:asciiTheme="majorHAnsi" w:hAnsiTheme="majorHAnsi" w:cstheme="majorHAnsi"/>
          <w:sz w:val="20"/>
          <w:szCs w:val="20"/>
          <w:lang w:val="en-US"/>
        </w:rPr>
      </w:pPr>
    </w:p>
    <w:p w14:paraId="40E7328D" w14:textId="008B18B4" w:rsidR="00874518" w:rsidRPr="00874518" w:rsidRDefault="00874518" w:rsidP="00874518">
      <w:pPr>
        <w:rPr>
          <w:rFonts w:asciiTheme="majorHAnsi" w:hAnsiTheme="majorHAnsi" w:cstheme="majorHAnsi"/>
          <w:sz w:val="20"/>
          <w:szCs w:val="20"/>
          <w:lang w:val="en-US"/>
        </w:rPr>
      </w:pPr>
    </w:p>
    <w:p w14:paraId="733F6949" w14:textId="62B702B0" w:rsidR="00874518" w:rsidRPr="00874518" w:rsidRDefault="00874518" w:rsidP="00874518">
      <w:pPr>
        <w:rPr>
          <w:rFonts w:asciiTheme="majorHAnsi" w:hAnsiTheme="majorHAnsi" w:cstheme="majorHAnsi"/>
          <w:sz w:val="20"/>
          <w:szCs w:val="20"/>
          <w:lang w:val="en-US"/>
        </w:rPr>
      </w:pPr>
    </w:p>
    <w:p w14:paraId="21EF1858" w14:textId="6C85ABDA" w:rsidR="00874518" w:rsidRPr="00874518" w:rsidRDefault="00874518" w:rsidP="00874518">
      <w:pPr>
        <w:rPr>
          <w:rFonts w:asciiTheme="majorHAnsi" w:hAnsiTheme="majorHAnsi" w:cstheme="majorHAnsi"/>
          <w:sz w:val="20"/>
          <w:szCs w:val="20"/>
          <w:lang w:val="en-US"/>
        </w:rPr>
      </w:pPr>
    </w:p>
    <w:p w14:paraId="5F1EB9C3" w14:textId="38C95983" w:rsidR="00874518" w:rsidRPr="00874518" w:rsidRDefault="00874518" w:rsidP="00874518">
      <w:pPr>
        <w:rPr>
          <w:rFonts w:asciiTheme="majorHAnsi" w:hAnsiTheme="majorHAnsi" w:cstheme="majorHAnsi"/>
          <w:sz w:val="20"/>
          <w:szCs w:val="20"/>
          <w:lang w:val="en-US"/>
        </w:rPr>
      </w:pPr>
    </w:p>
    <w:p w14:paraId="1F7BD11B" w14:textId="6C11BC77" w:rsidR="00874518" w:rsidRPr="00874518" w:rsidRDefault="00874518" w:rsidP="00874518">
      <w:pPr>
        <w:rPr>
          <w:rFonts w:asciiTheme="majorHAnsi" w:hAnsiTheme="majorHAnsi" w:cstheme="majorHAnsi"/>
          <w:sz w:val="20"/>
          <w:szCs w:val="20"/>
          <w:lang w:val="en-US"/>
        </w:rPr>
      </w:pPr>
    </w:p>
    <w:p w14:paraId="7F782241" w14:textId="3EC70FB9" w:rsidR="00874518" w:rsidRPr="00874518" w:rsidRDefault="00874518" w:rsidP="00874518">
      <w:pPr>
        <w:rPr>
          <w:rFonts w:asciiTheme="majorHAnsi" w:hAnsiTheme="majorHAnsi" w:cstheme="majorHAnsi"/>
          <w:sz w:val="20"/>
          <w:szCs w:val="20"/>
          <w:lang w:val="en-US"/>
        </w:rPr>
      </w:pPr>
    </w:p>
    <w:p w14:paraId="75B30CA3" w14:textId="70F8C0A6" w:rsidR="00874518" w:rsidRPr="00874518" w:rsidRDefault="00874518" w:rsidP="00874518">
      <w:pPr>
        <w:rPr>
          <w:rFonts w:asciiTheme="majorHAnsi" w:hAnsiTheme="majorHAnsi" w:cstheme="majorHAnsi"/>
          <w:sz w:val="20"/>
          <w:szCs w:val="20"/>
          <w:lang w:val="en-US"/>
        </w:rPr>
      </w:pPr>
    </w:p>
    <w:p w14:paraId="12038ED4" w14:textId="2D8B0B7F" w:rsidR="00874518" w:rsidRPr="00874518" w:rsidRDefault="00874518" w:rsidP="00874518">
      <w:pPr>
        <w:rPr>
          <w:rFonts w:asciiTheme="majorHAnsi" w:hAnsiTheme="majorHAnsi" w:cstheme="majorHAnsi"/>
          <w:sz w:val="20"/>
          <w:szCs w:val="20"/>
          <w:lang w:val="en-US"/>
        </w:rPr>
      </w:pPr>
    </w:p>
    <w:p w14:paraId="4A44CE9E" w14:textId="4CB7682D" w:rsidR="00874518" w:rsidRPr="00874518" w:rsidRDefault="00874518" w:rsidP="00874518">
      <w:pPr>
        <w:rPr>
          <w:rFonts w:asciiTheme="majorHAnsi" w:hAnsiTheme="majorHAnsi" w:cstheme="majorHAnsi"/>
          <w:sz w:val="20"/>
          <w:szCs w:val="20"/>
          <w:lang w:val="en-US"/>
        </w:rPr>
      </w:pPr>
    </w:p>
    <w:p w14:paraId="33246BF4" w14:textId="174E2ECF" w:rsidR="00874518" w:rsidRPr="00874518" w:rsidRDefault="00874518" w:rsidP="00874518">
      <w:pPr>
        <w:rPr>
          <w:rFonts w:asciiTheme="majorHAnsi" w:hAnsiTheme="majorHAnsi" w:cstheme="majorHAnsi"/>
          <w:sz w:val="20"/>
          <w:szCs w:val="20"/>
          <w:lang w:val="en-US"/>
        </w:rPr>
      </w:pPr>
    </w:p>
    <w:p w14:paraId="2D667366" w14:textId="4E65CC5F" w:rsidR="00874518" w:rsidRPr="00874518" w:rsidRDefault="00874518" w:rsidP="00874518">
      <w:pPr>
        <w:rPr>
          <w:rFonts w:asciiTheme="majorHAnsi" w:hAnsiTheme="majorHAnsi" w:cstheme="majorHAnsi"/>
          <w:sz w:val="20"/>
          <w:szCs w:val="20"/>
          <w:lang w:val="en-US"/>
        </w:rPr>
      </w:pPr>
    </w:p>
    <w:p w14:paraId="325E3AD2" w14:textId="640349C0" w:rsidR="00874518" w:rsidRPr="00874518" w:rsidRDefault="00874518" w:rsidP="00874518">
      <w:pPr>
        <w:rPr>
          <w:rFonts w:asciiTheme="majorHAnsi" w:hAnsiTheme="majorHAnsi" w:cstheme="majorHAnsi"/>
          <w:sz w:val="20"/>
          <w:szCs w:val="20"/>
          <w:lang w:val="en-US"/>
        </w:rPr>
      </w:pPr>
    </w:p>
    <w:p w14:paraId="6D31452E" w14:textId="1637EE46" w:rsidR="00874518" w:rsidRPr="00874518" w:rsidRDefault="00874518" w:rsidP="00874518">
      <w:pPr>
        <w:rPr>
          <w:rFonts w:asciiTheme="majorHAnsi" w:hAnsiTheme="majorHAnsi" w:cstheme="majorHAnsi"/>
          <w:sz w:val="20"/>
          <w:szCs w:val="20"/>
          <w:lang w:val="en-US"/>
        </w:rPr>
      </w:pPr>
    </w:p>
    <w:p w14:paraId="7ABCB0F1" w14:textId="33DD12A0" w:rsidR="00874518" w:rsidRPr="00874518" w:rsidRDefault="00874518" w:rsidP="00874518">
      <w:pPr>
        <w:rPr>
          <w:rFonts w:asciiTheme="majorHAnsi" w:hAnsiTheme="majorHAnsi" w:cstheme="majorHAnsi"/>
          <w:sz w:val="20"/>
          <w:szCs w:val="20"/>
          <w:lang w:val="en-US"/>
        </w:rPr>
      </w:pPr>
    </w:p>
    <w:p w14:paraId="43204E61" w14:textId="496BB94D" w:rsidR="00874518" w:rsidRPr="00874518" w:rsidRDefault="00874518" w:rsidP="00874518">
      <w:pPr>
        <w:rPr>
          <w:rFonts w:asciiTheme="majorHAnsi" w:hAnsiTheme="majorHAnsi" w:cstheme="majorHAnsi"/>
          <w:sz w:val="20"/>
          <w:szCs w:val="20"/>
          <w:lang w:val="en-US"/>
        </w:rPr>
      </w:pPr>
      <w:bookmarkStart w:id="0" w:name="_GoBack"/>
      <w:bookmarkEnd w:id="0"/>
    </w:p>
    <w:sectPr w:rsidR="00874518" w:rsidRPr="00874518">
      <w:headerReference w:type="default" r:id="rId7"/>
      <w:pgSz w:w="11900" w:h="16840"/>
      <w:pgMar w:top="1843" w:right="1417" w:bottom="1374" w:left="1417"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5B605" w14:textId="77777777" w:rsidR="00830658" w:rsidRDefault="00830658">
      <w:r>
        <w:separator/>
      </w:r>
    </w:p>
  </w:endnote>
  <w:endnote w:type="continuationSeparator" w:id="0">
    <w:p w14:paraId="249D99C7" w14:textId="77777777" w:rsidR="00830658" w:rsidRDefault="0083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BD035" w14:textId="77777777" w:rsidR="00830658" w:rsidRDefault="00830658">
      <w:r>
        <w:separator/>
      </w:r>
    </w:p>
  </w:footnote>
  <w:footnote w:type="continuationSeparator" w:id="0">
    <w:p w14:paraId="59822A88" w14:textId="77777777" w:rsidR="00830658" w:rsidRDefault="0083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D790" w14:textId="014174FF" w:rsidR="002C6204" w:rsidRDefault="00143DD1">
    <w:pPr>
      <w:pStyle w:val="Header"/>
      <w:ind w:left="-284"/>
      <w:jc w:val="right"/>
    </w:pPr>
    <w:r>
      <w:rPr>
        <w:noProof/>
        <w:lang w:eastAsia="pl-PL"/>
      </w:rPr>
      <w:drawing>
        <wp:anchor distT="0" distB="0" distL="114300" distR="114300" simplePos="0" relativeHeight="251659264" behindDoc="1" locked="0" layoutInCell="1" allowOverlap="1" wp14:anchorId="47320712" wp14:editId="6710A07B">
          <wp:simplePos x="0" y="0"/>
          <wp:positionH relativeFrom="column">
            <wp:posOffset>3863340</wp:posOffset>
          </wp:positionH>
          <wp:positionV relativeFrom="paragraph">
            <wp:posOffset>-320675</wp:posOffset>
          </wp:positionV>
          <wp:extent cx="1987550" cy="82169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16920"/>
                  <a:stretch/>
                </pic:blipFill>
                <pic:spPr bwMode="auto">
                  <a:xfrm>
                    <a:off x="0" y="0"/>
                    <a:ext cx="1987550" cy="82169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6F8"/>
    <w:multiLevelType w:val="multilevel"/>
    <w:tmpl w:val="500647AA"/>
    <w:lvl w:ilvl="0">
      <w:start w:val="1"/>
      <w:numFmt w:val="decimal"/>
      <w:lvlText w:val="%1."/>
      <w:lvlJc w:val="left"/>
      <w:pPr>
        <w:tabs>
          <w:tab w:val="num" w:pos="1070"/>
        </w:tabs>
      </w:pPr>
      <w:rPr>
        <w:rFonts w:hint="default"/>
        <w:color w:val="3C9146"/>
      </w:rPr>
    </w:lvl>
    <w:lvl w:ilvl="1">
      <w:start w:val="1"/>
      <w:numFmt w:val="decimal"/>
      <w:pStyle w:val="Heading2"/>
      <w:lvlText w:val="%1.%2."/>
      <w:lvlJc w:val="left"/>
      <w:pPr>
        <w:tabs>
          <w:tab w:val="num" w:pos="7527"/>
        </w:tabs>
      </w:pPr>
      <w:rPr>
        <w:color w:val="auto"/>
        <w:lang w:val="pl-PL"/>
      </w:rPr>
    </w:lvl>
    <w:lvl w:ilvl="2">
      <w:start w:val="1"/>
      <w:numFmt w:val="decimal"/>
      <w:lvlText w:val="%1.%2.%3."/>
      <w:lvlJc w:val="left"/>
      <w:pPr>
        <w:tabs>
          <w:tab w:val="num" w:pos="1146"/>
        </w:tabs>
      </w:pPr>
      <w:rPr>
        <w:rFonts w:ascii="Arial" w:hAnsi="Arial" w:cs="Arial" w:hint="default"/>
        <w:b/>
        <w:sz w:val="20"/>
        <w:szCs w:val="20"/>
      </w:r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02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15:restartNumberingAfterBreak="0">
    <w:nsid w:val="0D2D3B59"/>
    <w:multiLevelType w:val="hybridMultilevel"/>
    <w:tmpl w:val="8EACF70E"/>
    <w:lvl w:ilvl="0" w:tplc="02E2DD7C">
      <w:start w:val="1"/>
      <w:numFmt w:val="bullet"/>
      <w:lvlText w:val=""/>
      <w:lvlJc w:val="left"/>
      <w:pPr>
        <w:tabs>
          <w:tab w:val="num" w:pos="454"/>
        </w:tabs>
        <w:ind w:left="454"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639EF"/>
    <w:multiLevelType w:val="hybridMultilevel"/>
    <w:tmpl w:val="A31039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275999"/>
    <w:multiLevelType w:val="hybridMultilevel"/>
    <w:tmpl w:val="24EAA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9B1808"/>
    <w:multiLevelType w:val="hybridMultilevel"/>
    <w:tmpl w:val="5E38016E"/>
    <w:lvl w:ilvl="0" w:tplc="0D281B52">
      <w:start w:val="1"/>
      <w:numFmt w:val="bullet"/>
      <w:lvlText w:val=""/>
      <w:lvlJc w:val="left"/>
      <w:pPr>
        <w:tabs>
          <w:tab w:val="num" w:pos="454"/>
        </w:tabs>
        <w:ind w:left="284"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B96688"/>
    <w:multiLevelType w:val="hybridMultilevel"/>
    <w:tmpl w:val="9B7EA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B62E3C"/>
    <w:multiLevelType w:val="hybridMultilevel"/>
    <w:tmpl w:val="24EAA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0650CA"/>
    <w:multiLevelType w:val="hybridMultilevel"/>
    <w:tmpl w:val="24EAA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8E2071"/>
    <w:multiLevelType w:val="hybridMultilevel"/>
    <w:tmpl w:val="E3F28204"/>
    <w:lvl w:ilvl="0" w:tplc="9B92D1AA">
      <w:start w:val="1"/>
      <w:numFmt w:val="bullet"/>
      <w:lvlText w:val=""/>
      <w:lvlJc w:val="left"/>
      <w:pPr>
        <w:ind w:left="360" w:hanging="360"/>
      </w:pPr>
      <w:rPr>
        <w:rFonts w:ascii="Symbol" w:hAnsi="Symbol" w:hint="default"/>
        <w:color w:val="auto"/>
        <w:sz w:val="18"/>
      </w:rPr>
    </w:lvl>
    <w:lvl w:ilvl="1" w:tplc="A600FC8C" w:tentative="1">
      <w:start w:val="1"/>
      <w:numFmt w:val="bullet"/>
      <w:lvlText w:val="o"/>
      <w:lvlJc w:val="left"/>
      <w:pPr>
        <w:ind w:left="1865" w:hanging="360"/>
      </w:pPr>
      <w:rPr>
        <w:rFonts w:ascii="Courier New" w:hAnsi="Courier New" w:cs="Courier New" w:hint="default"/>
      </w:rPr>
    </w:lvl>
    <w:lvl w:ilvl="2" w:tplc="3EC80682"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9" w15:restartNumberingAfterBreak="0">
    <w:nsid w:val="45440176"/>
    <w:multiLevelType w:val="multilevel"/>
    <w:tmpl w:val="91CCD2B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A5D1CAC"/>
    <w:multiLevelType w:val="multilevel"/>
    <w:tmpl w:val="38C659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5474805"/>
    <w:multiLevelType w:val="hybridMultilevel"/>
    <w:tmpl w:val="5B10CB64"/>
    <w:lvl w:ilvl="0" w:tplc="18B8B976">
      <w:start w:val="1"/>
      <w:numFmt w:val="bullet"/>
      <w:pStyle w:val="innerbullet2ndlevel"/>
      <w:lvlText w:val="-"/>
      <w:lvlJc w:val="left"/>
      <w:pPr>
        <w:tabs>
          <w:tab w:val="num" w:pos="737"/>
        </w:tabs>
        <w:ind w:left="737" w:hanging="170"/>
      </w:pPr>
      <w:rPr>
        <w:rFonts w:ascii="Helvetica" w:hAnsi="Helvetic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C7D731D"/>
    <w:multiLevelType w:val="hybridMultilevel"/>
    <w:tmpl w:val="81EA6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BA6906"/>
    <w:multiLevelType w:val="hybridMultilevel"/>
    <w:tmpl w:val="95C6706A"/>
    <w:lvl w:ilvl="0" w:tplc="F46C5B38">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BB6E6D"/>
    <w:multiLevelType w:val="hybridMultilevel"/>
    <w:tmpl w:val="4AF286BA"/>
    <w:lvl w:ilvl="0" w:tplc="D82A765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A415934"/>
    <w:multiLevelType w:val="hybridMultilevel"/>
    <w:tmpl w:val="24EAA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BC0E92"/>
    <w:multiLevelType w:val="hybridMultilevel"/>
    <w:tmpl w:val="24EAA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8E0DAD"/>
    <w:multiLevelType w:val="hybridMultilevel"/>
    <w:tmpl w:val="984C0F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FC9157B"/>
    <w:multiLevelType w:val="hybridMultilevel"/>
    <w:tmpl w:val="7576BFB0"/>
    <w:lvl w:ilvl="0" w:tplc="23E462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 w:numId="3">
    <w:abstractNumId w:val="11"/>
  </w:num>
  <w:num w:numId="4">
    <w:abstractNumId w:val="10"/>
  </w:num>
  <w:num w:numId="5">
    <w:abstractNumId w:val="0"/>
  </w:num>
  <w:num w:numId="6">
    <w:abstractNumId w:val="0"/>
  </w:num>
  <w:num w:numId="7">
    <w:abstractNumId w:val="4"/>
  </w:num>
  <w:num w:numId="8">
    <w:abstractNumId w:val="8"/>
  </w:num>
  <w:num w:numId="9">
    <w:abstractNumId w:val="9"/>
  </w:num>
  <w:num w:numId="10">
    <w:abstractNumId w:val="17"/>
  </w:num>
  <w:num w:numId="11">
    <w:abstractNumId w:val="18"/>
  </w:num>
  <w:num w:numId="12">
    <w:abstractNumId w:val="2"/>
  </w:num>
  <w:num w:numId="13">
    <w:abstractNumId w:val="3"/>
  </w:num>
  <w:num w:numId="14">
    <w:abstractNumId w:val="15"/>
  </w:num>
  <w:num w:numId="15">
    <w:abstractNumId w:val="7"/>
  </w:num>
  <w:num w:numId="16">
    <w:abstractNumId w:val="6"/>
  </w:num>
  <w:num w:numId="17">
    <w:abstractNumId w:val="16"/>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04"/>
    <w:rsid w:val="000441FE"/>
    <w:rsid w:val="000B66EE"/>
    <w:rsid w:val="000C1656"/>
    <w:rsid w:val="000D2B17"/>
    <w:rsid w:val="00143DD1"/>
    <w:rsid w:val="00150E28"/>
    <w:rsid w:val="001B023B"/>
    <w:rsid w:val="001B62D1"/>
    <w:rsid w:val="001E0256"/>
    <w:rsid w:val="001F15C9"/>
    <w:rsid w:val="001F2195"/>
    <w:rsid w:val="00271673"/>
    <w:rsid w:val="002C6204"/>
    <w:rsid w:val="002D106C"/>
    <w:rsid w:val="00306455"/>
    <w:rsid w:val="00346DC1"/>
    <w:rsid w:val="00350588"/>
    <w:rsid w:val="003B622C"/>
    <w:rsid w:val="003E34F3"/>
    <w:rsid w:val="00416190"/>
    <w:rsid w:val="0042652A"/>
    <w:rsid w:val="00451F8A"/>
    <w:rsid w:val="004F3792"/>
    <w:rsid w:val="005324D7"/>
    <w:rsid w:val="00576FBD"/>
    <w:rsid w:val="005A5774"/>
    <w:rsid w:val="00615F4C"/>
    <w:rsid w:val="006750EF"/>
    <w:rsid w:val="0068774D"/>
    <w:rsid w:val="006A186A"/>
    <w:rsid w:val="006F287E"/>
    <w:rsid w:val="00721DCF"/>
    <w:rsid w:val="00734E0F"/>
    <w:rsid w:val="00754175"/>
    <w:rsid w:val="007920D6"/>
    <w:rsid w:val="00793560"/>
    <w:rsid w:val="007B2AAF"/>
    <w:rsid w:val="007F0FB4"/>
    <w:rsid w:val="00812D8F"/>
    <w:rsid w:val="00830658"/>
    <w:rsid w:val="00832D54"/>
    <w:rsid w:val="008520BF"/>
    <w:rsid w:val="008552B8"/>
    <w:rsid w:val="008633C6"/>
    <w:rsid w:val="00874518"/>
    <w:rsid w:val="008834AD"/>
    <w:rsid w:val="0089032B"/>
    <w:rsid w:val="008904FE"/>
    <w:rsid w:val="00907142"/>
    <w:rsid w:val="00955763"/>
    <w:rsid w:val="009C7D08"/>
    <w:rsid w:val="009E005D"/>
    <w:rsid w:val="00A62A41"/>
    <w:rsid w:val="00AA6423"/>
    <w:rsid w:val="00AC49DE"/>
    <w:rsid w:val="00B039D9"/>
    <w:rsid w:val="00B238D0"/>
    <w:rsid w:val="00B92EC1"/>
    <w:rsid w:val="00C64B62"/>
    <w:rsid w:val="00C96535"/>
    <w:rsid w:val="00D00F21"/>
    <w:rsid w:val="00D22E34"/>
    <w:rsid w:val="00D44DB7"/>
    <w:rsid w:val="00D720B2"/>
    <w:rsid w:val="00DE0107"/>
    <w:rsid w:val="00DE47DF"/>
    <w:rsid w:val="00DE4835"/>
    <w:rsid w:val="00E359B3"/>
    <w:rsid w:val="00E74AAC"/>
    <w:rsid w:val="00F12188"/>
    <w:rsid w:val="00F755D5"/>
    <w:rsid w:val="00FC1470"/>
    <w:rsid w:val="00FF7FD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BEBF04"/>
  <w15:docId w15:val="{E2BDF851-89DC-42A9-BD29-1FEB5C05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7"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Section"/>
    <w:basedOn w:val="Normal"/>
    <w:next w:val="Normal"/>
    <w:link w:val="Heading1Char"/>
    <w:autoRedefine/>
    <w:qFormat/>
    <w:pPr>
      <w:keepNext/>
      <w:adjustRightInd w:val="0"/>
      <w:spacing w:before="440" w:after="220"/>
      <w:ind w:right="284"/>
      <w:outlineLvl w:val="0"/>
    </w:pPr>
    <w:rPr>
      <w:rFonts w:ascii="Times New Roman" w:hAnsi="Times New Roman" w:cs="Times New Roman"/>
      <w:b/>
      <w:bCs/>
      <w:kern w:val="32"/>
      <w:szCs w:val="22"/>
    </w:rPr>
  </w:style>
  <w:style w:type="paragraph" w:styleId="Heading2">
    <w:name w:val="heading 2"/>
    <w:aliases w:val="Reset numbering,Major,Nagłówek 2 Znak2 Znak,Znak Znak Znak1 Znak,Nagłówek 2 Znak Znak1 Znak,Znak Znak1 Znak,podtytuł pktu Znak,Nagłówek 2 Znak2,Znak Znak Znak1,Nagłówek 2 Znak Znak1,Znak Znak1,Znak,podtytuł pktu"/>
    <w:basedOn w:val="Normal"/>
    <w:next w:val="Normal"/>
    <w:link w:val="Heading2Char"/>
    <w:autoRedefine/>
    <w:qFormat/>
    <w:pPr>
      <w:keepNext/>
      <w:numPr>
        <w:ilvl w:val="1"/>
        <w:numId w:val="1"/>
      </w:numPr>
      <w:tabs>
        <w:tab w:val="left" w:pos="567"/>
      </w:tabs>
      <w:spacing w:before="280" w:after="140"/>
      <w:ind w:left="284" w:right="284"/>
      <w:jc w:val="both"/>
      <w:outlineLvl w:val="1"/>
    </w:pPr>
    <w:rPr>
      <w:rFonts w:asciiTheme="majorHAnsi" w:hAnsiTheme="majorHAnsi"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lowekwtabeli">
    <w:name w:val="naglowek w tabeli"/>
    <w:basedOn w:val="Normal"/>
    <w:qFormat/>
    <w:pPr>
      <w:jc w:val="right"/>
    </w:pPr>
    <w:rPr>
      <w:rFonts w:ascii="Arial Narrow" w:eastAsia="Times New Roman" w:hAnsi="Arial Narrow" w:cs="Arial"/>
      <w:bCs/>
      <w:color w:val="000000"/>
      <w:sz w:val="20"/>
      <w:lang w:eastAsia="pl-PL"/>
    </w:rPr>
  </w:style>
  <w:style w:type="paragraph" w:customStyle="1" w:styleId="innerheader">
    <w:name w:val="inner header"/>
    <w:basedOn w:val="Normal"/>
    <w:autoRedefine/>
    <w:qFormat/>
    <w:pPr>
      <w:tabs>
        <w:tab w:val="left" w:pos="567"/>
      </w:tabs>
      <w:spacing w:before="240" w:after="48" w:line="276" w:lineRule="auto"/>
      <w:ind w:left="284" w:right="284"/>
    </w:pPr>
    <w:rPr>
      <w:rFonts w:eastAsia="Times New Roman" w:cs="Arial"/>
      <w:b/>
      <w:lang w:eastAsia="pl-PL"/>
    </w:rPr>
  </w:style>
  <w:style w:type="character" w:customStyle="1" w:styleId="Heading1Char">
    <w:name w:val="Heading 1 Char"/>
    <w:aliases w:val="Section Heading Char,Section Char"/>
    <w:basedOn w:val="DefaultParagraphFont"/>
    <w:link w:val="Heading1"/>
    <w:rPr>
      <w:rFonts w:ascii="Times New Roman" w:hAnsi="Times New Roman" w:cs="Times New Roman"/>
      <w:b/>
      <w:bCs/>
      <w:kern w:val="32"/>
      <w:szCs w:val="22"/>
    </w:rPr>
  </w:style>
  <w:style w:type="paragraph" w:styleId="ListParagraph">
    <w:name w:val="List Paragraph"/>
    <w:basedOn w:val="Normal"/>
    <w:link w:val="ListParagraphChar"/>
    <w:autoRedefine/>
    <w:uiPriority w:val="34"/>
    <w:qFormat/>
    <w:pPr>
      <w:numPr>
        <w:numId w:val="9"/>
      </w:numPr>
      <w:tabs>
        <w:tab w:val="left" w:pos="454"/>
      </w:tabs>
      <w:spacing w:after="48"/>
      <w:ind w:left="454" w:right="284" w:hanging="170"/>
      <w:jc w:val="both"/>
    </w:pPr>
    <w:rPr>
      <w:rFonts w:ascii="Arial" w:hAnsi="Arial"/>
      <w:sz w:val="18"/>
      <w:szCs w:val="22"/>
    </w:rPr>
  </w:style>
  <w:style w:type="character" w:customStyle="1" w:styleId="ListParagraphChar">
    <w:name w:val="List Paragraph Char"/>
    <w:basedOn w:val="DefaultParagraphFont"/>
    <w:link w:val="ListParagraph"/>
    <w:uiPriority w:val="34"/>
    <w:rPr>
      <w:rFonts w:ascii="Arial" w:hAnsi="Arial"/>
      <w:sz w:val="18"/>
      <w:szCs w:val="22"/>
    </w:rPr>
  </w:style>
  <w:style w:type="paragraph" w:customStyle="1" w:styleId="innerbullet2ndlevel">
    <w:name w:val="inner bullet 2nd level"/>
    <w:basedOn w:val="ListParagraph"/>
    <w:autoRedefine/>
    <w:qFormat/>
    <w:pPr>
      <w:numPr>
        <w:numId w:val="3"/>
      </w:numPr>
    </w:pPr>
    <w:rPr>
      <w:rFonts w:eastAsia="Times New Roman" w:cs="Times New Roman"/>
      <w:lang w:eastAsia="pl-PL"/>
    </w:rPr>
  </w:style>
  <w:style w:type="paragraph" w:customStyle="1" w:styleId="Normalnywtabeli">
    <w:name w:val="Normalny w tabeli"/>
    <w:basedOn w:val="Normal"/>
    <w:qFormat/>
    <w:pPr>
      <w:tabs>
        <w:tab w:val="left" w:pos="567"/>
      </w:tabs>
      <w:jc w:val="both"/>
    </w:pPr>
    <w:rPr>
      <w:rFonts w:eastAsia="Times New Roman" w:cs="Arial"/>
      <w:color w:val="000000" w:themeColor="text1"/>
      <w:sz w:val="18"/>
      <w:szCs w:val="18"/>
      <w:lang w:eastAsia="pl-PL"/>
    </w:rPr>
  </w:style>
  <w:style w:type="character" w:customStyle="1" w:styleId="Heading2Char">
    <w:name w:val="Heading 2 Char"/>
    <w:aliases w:val="Reset numbering Char,Major Char,Nagłówek 2 Znak2 Znak Char,Znak Znak Znak1 Znak Char,Nagłówek 2 Znak Znak1 Znak Char,Znak Znak1 Znak Char,podtytuł pktu Znak Char,Nagłówek 2 Znak2 Char,Znak Znak Znak1 Char,Nagłówek 2 Znak Znak1 Char"/>
    <w:basedOn w:val="DefaultParagraphFont"/>
    <w:link w:val="Heading2"/>
    <w:rPr>
      <w:rFonts w:asciiTheme="majorHAnsi" w:hAnsiTheme="majorHAnsi" w:cs="Arial"/>
      <w:b/>
      <w:bCs/>
      <w:sz w:val="28"/>
    </w:rPr>
  </w:style>
  <w:style w:type="paragraph" w:customStyle="1" w:styleId="Innerheading">
    <w:name w:val="Inner heading"/>
    <w:basedOn w:val="Normal"/>
    <w:autoRedefine/>
    <w:qFormat/>
    <w:pPr>
      <w:tabs>
        <w:tab w:val="left" w:pos="567"/>
      </w:tabs>
      <w:spacing w:before="240" w:after="48" w:line="276" w:lineRule="auto"/>
      <w:ind w:left="284" w:right="284"/>
      <w:jc w:val="both"/>
    </w:pPr>
    <w:rPr>
      <w:rFonts w:eastAsia="Times New Roman" w:cs="Arial"/>
      <w:b/>
      <w:szCs w:val="20"/>
      <w:lang w:eastAsia="pl-PL"/>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pPr>
    <w:rPr>
      <w:rFonts w:ascii="Times" w:eastAsiaTheme="minorEastAsia" w:hAnsi="Times" w:cs="Times New Roman"/>
      <w:sz w:val="20"/>
      <w:szCs w:val="20"/>
      <w:lang w:eastAsia="pl-PL"/>
    </w:rPr>
  </w:style>
  <w:style w:type="character" w:styleId="Hyperlink">
    <w:name w:val="Hyperlink"/>
    <w:basedOn w:val="DefaultParagraphFont"/>
    <w:uiPriority w:val="99"/>
    <w:unhideWhenUsed/>
    <w:rPr>
      <w:color w:val="0563C1" w:themeColor="hyperlink"/>
      <w:u w:val="single"/>
    </w:rPr>
  </w:style>
  <w:style w:type="paragraph" w:customStyle="1" w:styleId="LLNormalIndent">
    <w:name w:val="LL_NormalIndent"/>
    <w:basedOn w:val="Normal"/>
    <w:qFormat/>
    <w:pPr>
      <w:suppressAutoHyphens/>
      <w:spacing w:after="200" w:line="280" w:lineRule="atLeast"/>
      <w:ind w:left="851"/>
      <w:jc w:val="both"/>
    </w:pPr>
    <w:rPr>
      <w:rFonts w:ascii="Arial" w:eastAsia="Calibri" w:hAnsi="Arial" w:cs="Times New Roman"/>
      <w:sz w:val="20"/>
      <w:szCs w:val="22"/>
      <w:lang w:val="nl-N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3">
    <w:name w:val="Body Text 3"/>
    <w:basedOn w:val="Normal"/>
    <w:link w:val="BodyText3Char"/>
    <w:uiPriority w:val="99"/>
    <w:semiHidden/>
    <w:unhideWhenUsed/>
    <w:pPr>
      <w:spacing w:after="120" w:line="276" w:lineRule="auto"/>
    </w:pPr>
    <w:rPr>
      <w:sz w:val="16"/>
      <w:szCs w:val="16"/>
      <w:lang w:val="en-US"/>
    </w:rPr>
  </w:style>
  <w:style w:type="character" w:customStyle="1" w:styleId="BodyText3Char">
    <w:name w:val="Body Text 3 Char"/>
    <w:basedOn w:val="DefaultParagraphFont"/>
    <w:link w:val="BodyText3"/>
    <w:uiPriority w:val="99"/>
    <w:semiHidden/>
    <w:rPr>
      <w:sz w:val="16"/>
      <w:szCs w:val="16"/>
      <w:lang w:val="en-US"/>
    </w:rPr>
  </w:style>
  <w:style w:type="paragraph" w:customStyle="1" w:styleId="Body">
    <w:name w:val="Body"/>
    <w:basedOn w:val="Normal"/>
    <w:rsid w:val="00D00F21"/>
    <w:pPr>
      <w:spacing w:after="140" w:line="290" w:lineRule="auto"/>
      <w:jc w:val="both"/>
    </w:pPr>
    <w:rPr>
      <w:rFonts w:ascii="Arial" w:eastAsia="Times New Roman" w:hAnsi="Arial" w:cs="Times New Roman"/>
      <w:kern w:val="20"/>
      <w:sz w:val="20"/>
      <w:lang w:eastAsia="en-GB"/>
    </w:rPr>
  </w:style>
  <w:style w:type="paragraph" w:styleId="BlockText">
    <w:name w:val="Block Text"/>
    <w:basedOn w:val="Normal"/>
    <w:uiPriority w:val="7"/>
    <w:qFormat/>
    <w:rsid w:val="000441FE"/>
    <w:pPr>
      <w:spacing w:after="240"/>
      <w:ind w:left="1440" w:right="144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4551">
      <w:bodyDiv w:val="1"/>
      <w:marLeft w:val="0"/>
      <w:marRight w:val="0"/>
      <w:marTop w:val="0"/>
      <w:marBottom w:val="0"/>
      <w:divBdr>
        <w:top w:val="none" w:sz="0" w:space="0" w:color="auto"/>
        <w:left w:val="none" w:sz="0" w:space="0" w:color="auto"/>
        <w:bottom w:val="none" w:sz="0" w:space="0" w:color="auto"/>
        <w:right w:val="none" w:sz="0" w:space="0" w:color="auto"/>
      </w:divBdr>
    </w:div>
    <w:div w:id="854153546">
      <w:bodyDiv w:val="1"/>
      <w:marLeft w:val="0"/>
      <w:marRight w:val="0"/>
      <w:marTop w:val="0"/>
      <w:marBottom w:val="0"/>
      <w:divBdr>
        <w:top w:val="none" w:sz="0" w:space="0" w:color="auto"/>
        <w:left w:val="none" w:sz="0" w:space="0" w:color="auto"/>
        <w:bottom w:val="none" w:sz="0" w:space="0" w:color="auto"/>
        <w:right w:val="none" w:sz="0" w:space="0" w:color="auto"/>
      </w:divBdr>
    </w:div>
    <w:div w:id="1131895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1832</Characters>
  <Application>Microsoft Office Word</Application>
  <DocSecurity>0</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Rafal Pomorski</dc:creator>
  <cp:lastModifiedBy>Rafal Pomorski</cp:lastModifiedBy>
  <cp:revision>2</cp:revision>
  <cp:lastPrinted>2019-04-05T10:43:00Z</cp:lastPrinted>
  <dcterms:created xsi:type="dcterms:W3CDTF">2019-04-08T15:08:00Z</dcterms:created>
  <dcterms:modified xsi:type="dcterms:W3CDTF">2019-04-08T15:08:00Z</dcterms:modified>
</cp:coreProperties>
</file>