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E5468" w14:textId="77777777" w:rsidR="000049F4" w:rsidRDefault="000049F4" w:rsidP="007309EC">
      <w:pPr>
        <w:spacing w:before="120" w:after="120" w:line="288" w:lineRule="auto"/>
        <w:jc w:val="center"/>
        <w:rPr>
          <w:rFonts w:ascii="Arial" w:eastAsia="Arial" w:hAnsi="Arial" w:cs="Arial"/>
          <w:b/>
          <w:sz w:val="28"/>
        </w:rPr>
      </w:pPr>
      <w:bookmarkStart w:id="0" w:name="_GoBack"/>
      <w:bookmarkEnd w:id="0"/>
      <w:r>
        <w:rPr>
          <w:rFonts w:ascii="Arial" w:eastAsia="Arial" w:hAnsi="Arial" w:cs="Arial"/>
          <w:b/>
          <w:sz w:val="28"/>
        </w:rPr>
        <w:t xml:space="preserve">QIAGEN reports </w:t>
      </w:r>
      <w:r w:rsidR="0028049F" w:rsidRPr="002F0FB0">
        <w:rPr>
          <w:rFonts w:ascii="Arial" w:eastAsia="Arial" w:hAnsi="Arial" w:cs="Arial"/>
          <w:b/>
          <w:sz w:val="28"/>
        </w:rPr>
        <w:t>full</w:t>
      </w:r>
      <w:r w:rsidR="0028049F">
        <w:rPr>
          <w:rFonts w:ascii="Arial" w:eastAsia="Arial" w:hAnsi="Arial" w:cs="Arial"/>
          <w:b/>
          <w:sz w:val="28"/>
        </w:rPr>
        <w:t xml:space="preserve"> </w:t>
      </w:r>
      <w:r>
        <w:rPr>
          <w:rFonts w:ascii="Arial" w:eastAsia="Arial" w:hAnsi="Arial" w:cs="Arial"/>
          <w:b/>
          <w:sz w:val="28"/>
        </w:rPr>
        <w:t xml:space="preserve">results for </w:t>
      </w:r>
      <w:r w:rsidR="00776302">
        <w:rPr>
          <w:rFonts w:ascii="Arial" w:eastAsia="Arial" w:hAnsi="Arial" w:cs="Arial"/>
          <w:b/>
          <w:sz w:val="28"/>
        </w:rPr>
        <w:t xml:space="preserve">second quarter and first half </w:t>
      </w:r>
      <w:r w:rsidR="00AE6F26">
        <w:rPr>
          <w:rFonts w:ascii="Arial" w:eastAsia="Arial" w:hAnsi="Arial" w:cs="Arial"/>
          <w:b/>
          <w:sz w:val="28"/>
        </w:rPr>
        <w:t xml:space="preserve">of </w:t>
      </w:r>
      <w:r w:rsidR="00776302">
        <w:rPr>
          <w:rFonts w:ascii="Arial" w:eastAsia="Arial" w:hAnsi="Arial" w:cs="Arial"/>
          <w:b/>
          <w:sz w:val="28"/>
        </w:rPr>
        <w:t>2019</w:t>
      </w:r>
    </w:p>
    <w:p w14:paraId="2C28E5AF" w14:textId="77777777" w:rsidR="00D80B2A" w:rsidRPr="000B64BA" w:rsidRDefault="003D6625" w:rsidP="000B64BA">
      <w:pPr>
        <w:numPr>
          <w:ilvl w:val="0"/>
          <w:numId w:val="8"/>
        </w:numPr>
        <w:spacing w:before="120" w:after="120" w:line="288" w:lineRule="auto"/>
        <w:ind w:left="346"/>
        <w:rPr>
          <w:rFonts w:ascii="Arial" w:eastAsia="Arial" w:hAnsi="Arial" w:cs="Arial"/>
          <w:b/>
          <w:sz w:val="24"/>
        </w:rPr>
      </w:pPr>
      <w:r w:rsidRPr="000B64BA">
        <w:rPr>
          <w:rFonts w:ascii="Arial" w:eastAsia="Arial" w:hAnsi="Arial" w:cs="Arial"/>
          <w:b/>
          <w:sz w:val="24"/>
        </w:rPr>
        <w:t xml:space="preserve">QIAGEN delivers on </w:t>
      </w:r>
      <w:r w:rsidR="005B1CFA" w:rsidRPr="000B64BA">
        <w:rPr>
          <w:rFonts w:ascii="Arial" w:eastAsia="Arial" w:hAnsi="Arial" w:cs="Arial"/>
          <w:b/>
          <w:sz w:val="24"/>
        </w:rPr>
        <w:t>Q</w:t>
      </w:r>
      <w:r w:rsidR="00D72C78" w:rsidRPr="000B64BA">
        <w:rPr>
          <w:rFonts w:ascii="Arial" w:eastAsia="Arial" w:hAnsi="Arial" w:cs="Arial"/>
          <w:b/>
          <w:sz w:val="24"/>
        </w:rPr>
        <w:t>2</w:t>
      </w:r>
      <w:r w:rsidR="000770B7" w:rsidRPr="000B64BA">
        <w:rPr>
          <w:rFonts w:ascii="Arial" w:eastAsia="Arial" w:hAnsi="Arial" w:cs="Arial"/>
          <w:b/>
          <w:sz w:val="24"/>
        </w:rPr>
        <w:t xml:space="preserve"> 2019 outlook</w:t>
      </w:r>
      <w:r w:rsidR="003125A2">
        <w:rPr>
          <w:rFonts w:ascii="Arial" w:eastAsia="Arial" w:hAnsi="Arial" w:cs="Arial"/>
          <w:b/>
          <w:sz w:val="24"/>
        </w:rPr>
        <w:t xml:space="preserve"> (</w:t>
      </w:r>
      <w:r w:rsidR="00E50110">
        <w:rPr>
          <w:rFonts w:ascii="Arial" w:eastAsia="Arial" w:hAnsi="Arial" w:cs="Arial"/>
          <w:b/>
          <w:sz w:val="24"/>
        </w:rPr>
        <w:t xml:space="preserve">unchanged from </w:t>
      </w:r>
      <w:r w:rsidR="003125A2">
        <w:rPr>
          <w:rFonts w:ascii="Arial" w:eastAsia="Arial" w:hAnsi="Arial" w:cs="Arial"/>
          <w:b/>
          <w:sz w:val="24"/>
        </w:rPr>
        <w:t>July 24</w:t>
      </w:r>
      <w:r w:rsidR="00E50110">
        <w:rPr>
          <w:rFonts w:ascii="Arial" w:eastAsia="Arial" w:hAnsi="Arial" w:cs="Arial"/>
          <w:b/>
          <w:sz w:val="24"/>
        </w:rPr>
        <w:t xml:space="preserve"> announcement</w:t>
      </w:r>
      <w:r w:rsidR="003125A2">
        <w:rPr>
          <w:rFonts w:ascii="Arial" w:eastAsia="Arial" w:hAnsi="Arial" w:cs="Arial"/>
          <w:b/>
          <w:sz w:val="24"/>
        </w:rPr>
        <w:t>)</w:t>
      </w:r>
    </w:p>
    <w:p w14:paraId="3800447D" w14:textId="77777777" w:rsidR="00507827" w:rsidRPr="000B64BA" w:rsidRDefault="00507827" w:rsidP="000B64BA">
      <w:pPr>
        <w:numPr>
          <w:ilvl w:val="0"/>
          <w:numId w:val="9"/>
        </w:numPr>
        <w:tabs>
          <w:tab w:val="left" w:pos="426"/>
          <w:tab w:val="left" w:pos="567"/>
        </w:tabs>
        <w:spacing w:before="120" w:after="120" w:line="288" w:lineRule="auto"/>
        <w:ind w:left="567" w:hanging="283"/>
        <w:rPr>
          <w:rFonts w:ascii="Arial" w:eastAsia="Arial" w:hAnsi="Arial" w:cs="Arial"/>
          <w:b/>
          <w:sz w:val="24"/>
        </w:rPr>
      </w:pPr>
      <w:bookmarkStart w:id="1" w:name="_Hlk536086464"/>
      <w:r w:rsidRPr="000B64BA">
        <w:rPr>
          <w:rFonts w:ascii="Arial" w:eastAsia="Arial" w:hAnsi="Arial" w:cs="Arial"/>
          <w:b/>
          <w:sz w:val="24"/>
        </w:rPr>
        <w:t xml:space="preserve">Net sales </w:t>
      </w:r>
      <w:r w:rsidR="00F521C1" w:rsidRPr="000B64BA">
        <w:rPr>
          <w:rFonts w:ascii="Arial" w:eastAsia="Arial" w:hAnsi="Arial" w:cs="Arial"/>
          <w:b/>
          <w:sz w:val="24"/>
        </w:rPr>
        <w:t xml:space="preserve">of </w:t>
      </w:r>
      <w:r w:rsidR="00D72C78" w:rsidRPr="000B64BA">
        <w:rPr>
          <w:rFonts w:ascii="Arial" w:eastAsia="Arial" w:hAnsi="Arial" w:cs="Arial"/>
          <w:b/>
          <w:sz w:val="24"/>
        </w:rPr>
        <w:t>$381.6 million (</w:t>
      </w:r>
      <w:r w:rsidR="00054BA7" w:rsidRPr="000B64BA">
        <w:rPr>
          <w:rFonts w:ascii="Arial" w:eastAsia="Arial" w:hAnsi="Arial" w:cs="Arial"/>
          <w:b/>
          <w:sz w:val="24"/>
        </w:rPr>
        <w:t>+</w:t>
      </w:r>
      <w:r w:rsidR="00D72C78" w:rsidRPr="000B64BA">
        <w:rPr>
          <w:rFonts w:ascii="Arial" w:eastAsia="Arial" w:hAnsi="Arial" w:cs="Arial"/>
          <w:b/>
          <w:sz w:val="24"/>
        </w:rPr>
        <w:t xml:space="preserve">1% actual, </w:t>
      </w:r>
      <w:r w:rsidR="00054BA7" w:rsidRPr="000B64BA">
        <w:rPr>
          <w:rFonts w:ascii="Arial" w:eastAsia="Arial" w:hAnsi="Arial" w:cs="Arial"/>
          <w:b/>
          <w:sz w:val="24"/>
        </w:rPr>
        <w:t>+</w:t>
      </w:r>
      <w:r w:rsidR="00D72C78" w:rsidRPr="000B64BA">
        <w:rPr>
          <w:rFonts w:ascii="Arial" w:eastAsia="Arial" w:hAnsi="Arial" w:cs="Arial"/>
          <w:b/>
          <w:sz w:val="24"/>
        </w:rPr>
        <w:t>5% at constant exchange rate</w:t>
      </w:r>
      <w:r w:rsidR="0043139B">
        <w:rPr>
          <w:rFonts w:ascii="Arial" w:eastAsia="Arial" w:hAnsi="Arial" w:cs="Arial"/>
          <w:b/>
          <w:sz w:val="24"/>
        </w:rPr>
        <w:t>s</w:t>
      </w:r>
      <w:r w:rsidR="00976150">
        <w:rPr>
          <w:rFonts w:ascii="Arial" w:eastAsia="Arial" w:hAnsi="Arial" w:cs="Arial"/>
          <w:b/>
          <w:sz w:val="24"/>
        </w:rPr>
        <w:t>, or CER</w:t>
      </w:r>
      <w:r w:rsidR="0043139B">
        <w:rPr>
          <w:rFonts w:ascii="Arial" w:eastAsia="Arial" w:hAnsi="Arial" w:cs="Arial"/>
          <w:b/>
          <w:sz w:val="24"/>
        </w:rPr>
        <w:t xml:space="preserve"> </w:t>
      </w:r>
      <w:r w:rsidR="00813776" w:rsidRPr="000B64BA">
        <w:rPr>
          <w:rFonts w:ascii="Arial" w:eastAsia="Arial" w:hAnsi="Arial" w:cs="Arial"/>
          <w:b/>
          <w:sz w:val="24"/>
        </w:rPr>
        <w:t xml:space="preserve"> </w:t>
      </w:r>
      <w:r w:rsidR="00D72C78" w:rsidRPr="000B64BA">
        <w:rPr>
          <w:rFonts w:ascii="Arial" w:eastAsia="Arial" w:hAnsi="Arial" w:cs="Arial"/>
          <w:b/>
          <w:sz w:val="24"/>
        </w:rPr>
        <w:t>vs. ~5% CER outlook</w:t>
      </w:r>
      <w:r w:rsidR="000770B7" w:rsidRPr="000B64BA">
        <w:rPr>
          <w:rFonts w:ascii="Arial" w:eastAsia="Arial" w:hAnsi="Arial" w:cs="Arial"/>
          <w:b/>
          <w:sz w:val="24"/>
        </w:rPr>
        <w:t>)</w:t>
      </w:r>
    </w:p>
    <w:p w14:paraId="7D50480C" w14:textId="77777777" w:rsidR="003D6625" w:rsidRPr="000B64BA" w:rsidRDefault="006E404F" w:rsidP="000B64BA">
      <w:pPr>
        <w:numPr>
          <w:ilvl w:val="0"/>
          <w:numId w:val="9"/>
        </w:numPr>
        <w:tabs>
          <w:tab w:val="left" w:pos="426"/>
          <w:tab w:val="left" w:pos="567"/>
        </w:tabs>
        <w:spacing w:before="120" w:after="120" w:line="288" w:lineRule="auto"/>
        <w:ind w:left="567" w:hanging="283"/>
        <w:rPr>
          <w:rFonts w:ascii="Arial" w:eastAsia="Arial" w:hAnsi="Arial" w:cs="Arial"/>
          <w:b/>
          <w:sz w:val="24"/>
        </w:rPr>
      </w:pPr>
      <w:r w:rsidRPr="000B64BA">
        <w:rPr>
          <w:rFonts w:ascii="Arial" w:eastAsia="Arial" w:hAnsi="Arial" w:cs="Arial"/>
          <w:b/>
          <w:sz w:val="24"/>
        </w:rPr>
        <w:t xml:space="preserve">Diluted </w:t>
      </w:r>
      <w:r w:rsidR="00DC1C4E" w:rsidRPr="000B64BA">
        <w:rPr>
          <w:rFonts w:ascii="Arial" w:eastAsia="Arial" w:hAnsi="Arial" w:cs="Arial"/>
          <w:b/>
          <w:sz w:val="24"/>
        </w:rPr>
        <w:t xml:space="preserve">EPS </w:t>
      </w:r>
      <w:r w:rsidR="00D72C78" w:rsidRPr="000B64BA">
        <w:rPr>
          <w:rFonts w:ascii="Arial" w:eastAsia="Arial" w:hAnsi="Arial" w:cs="Arial"/>
          <w:b/>
          <w:sz w:val="24"/>
        </w:rPr>
        <w:t>of $0.19; adj</w:t>
      </w:r>
      <w:r w:rsidR="005C5796" w:rsidRPr="000B64BA">
        <w:rPr>
          <w:rFonts w:ascii="Arial" w:eastAsia="Arial" w:hAnsi="Arial" w:cs="Arial"/>
          <w:b/>
          <w:sz w:val="24"/>
        </w:rPr>
        <w:t xml:space="preserve">usted </w:t>
      </w:r>
      <w:r w:rsidR="00D72C78" w:rsidRPr="000B64BA">
        <w:rPr>
          <w:rFonts w:ascii="Arial" w:eastAsia="Arial" w:hAnsi="Arial" w:cs="Arial"/>
          <w:b/>
          <w:sz w:val="24"/>
        </w:rPr>
        <w:t>EPS $0.33 ($0.34 CER vs. ~$0.33-0.34 CER outlook</w:t>
      </w:r>
      <w:r w:rsidR="000770B7" w:rsidRPr="000B64BA">
        <w:rPr>
          <w:rFonts w:ascii="Arial" w:eastAsia="Arial" w:hAnsi="Arial" w:cs="Arial"/>
          <w:b/>
          <w:sz w:val="24"/>
        </w:rPr>
        <w:t>)</w:t>
      </w:r>
    </w:p>
    <w:bookmarkEnd w:id="1"/>
    <w:p w14:paraId="0BE8EFFF" w14:textId="77777777" w:rsidR="003125A2" w:rsidRPr="00ED6327" w:rsidRDefault="009135BF" w:rsidP="00ED6327">
      <w:pPr>
        <w:numPr>
          <w:ilvl w:val="0"/>
          <w:numId w:val="7"/>
        </w:numPr>
        <w:tabs>
          <w:tab w:val="left" w:pos="426"/>
          <w:tab w:val="left" w:pos="567"/>
        </w:tabs>
        <w:spacing w:before="120" w:after="120" w:line="288" w:lineRule="auto"/>
        <w:ind w:left="357" w:hanging="357"/>
        <w:rPr>
          <w:rFonts w:ascii="Arial" w:eastAsia="Arial" w:hAnsi="Arial" w:cs="Arial"/>
          <w:b/>
          <w:sz w:val="24"/>
          <w:szCs w:val="24"/>
        </w:rPr>
      </w:pPr>
      <w:r w:rsidRPr="00ED6327">
        <w:rPr>
          <w:rFonts w:ascii="Arial" w:eastAsia="Arial" w:hAnsi="Arial" w:cs="Arial"/>
          <w:b/>
          <w:color w:val="000000"/>
          <w:sz w:val="24"/>
          <w:szCs w:val="24"/>
        </w:rPr>
        <w:t>Sample to Insight portfolio developments</w:t>
      </w:r>
    </w:p>
    <w:p w14:paraId="024BB207" w14:textId="77777777" w:rsidR="009135BF" w:rsidRPr="00ED6327" w:rsidRDefault="009135BF" w:rsidP="00ED6327">
      <w:pPr>
        <w:numPr>
          <w:ilvl w:val="0"/>
          <w:numId w:val="9"/>
        </w:numPr>
        <w:tabs>
          <w:tab w:val="left" w:pos="426"/>
          <w:tab w:val="left" w:pos="567"/>
        </w:tabs>
        <w:spacing w:before="120" w:after="120" w:line="288" w:lineRule="auto"/>
        <w:ind w:left="567" w:right="-103" w:hanging="283"/>
        <w:rPr>
          <w:rFonts w:ascii="Arial" w:eastAsia="Arial" w:hAnsi="Arial" w:cs="Arial"/>
          <w:b/>
          <w:sz w:val="24"/>
        </w:rPr>
      </w:pPr>
      <w:r w:rsidRPr="000B64BA">
        <w:rPr>
          <w:rFonts w:ascii="Arial" w:eastAsia="Arial" w:hAnsi="Arial" w:cs="Arial"/>
          <w:b/>
          <w:sz w:val="24"/>
        </w:rPr>
        <w:t xml:space="preserve">QuantiFERON-TB up 6% CER in line with outlook, </w:t>
      </w:r>
      <w:r w:rsidR="000B64BA">
        <w:rPr>
          <w:rFonts w:ascii="Arial" w:eastAsia="Arial" w:hAnsi="Arial" w:cs="Arial"/>
          <w:b/>
          <w:sz w:val="24"/>
        </w:rPr>
        <w:t xml:space="preserve">on track </w:t>
      </w:r>
      <w:r w:rsidRPr="000B64BA">
        <w:rPr>
          <w:rFonts w:ascii="Arial" w:eastAsia="Arial" w:hAnsi="Arial" w:cs="Arial"/>
          <w:b/>
          <w:sz w:val="24"/>
        </w:rPr>
        <w:t xml:space="preserve">for &gt;15% CER </w:t>
      </w:r>
      <w:r w:rsidR="000B64BA">
        <w:rPr>
          <w:rFonts w:ascii="Arial" w:eastAsia="Arial" w:hAnsi="Arial" w:cs="Arial"/>
          <w:b/>
          <w:sz w:val="24"/>
        </w:rPr>
        <w:t>growth</w:t>
      </w:r>
    </w:p>
    <w:p w14:paraId="2CF96659" w14:textId="77777777" w:rsidR="009135BF" w:rsidRPr="002F0FB0" w:rsidRDefault="009135BF" w:rsidP="000B64BA">
      <w:pPr>
        <w:numPr>
          <w:ilvl w:val="0"/>
          <w:numId w:val="9"/>
        </w:numPr>
        <w:tabs>
          <w:tab w:val="left" w:pos="426"/>
          <w:tab w:val="left" w:pos="567"/>
        </w:tabs>
        <w:spacing w:before="120" w:after="120" w:line="288" w:lineRule="auto"/>
        <w:ind w:left="720" w:hanging="436"/>
        <w:rPr>
          <w:rFonts w:ascii="Arial" w:eastAsia="Arial" w:hAnsi="Arial" w:cs="Arial"/>
          <w:b/>
          <w:sz w:val="24"/>
        </w:rPr>
      </w:pPr>
      <w:r w:rsidRPr="002F0FB0">
        <w:rPr>
          <w:rFonts w:ascii="Arial" w:eastAsia="Arial" w:hAnsi="Arial" w:cs="Arial"/>
          <w:b/>
          <w:sz w:val="24"/>
        </w:rPr>
        <w:t xml:space="preserve">Two FDA approvals to date in 2019 for novel </w:t>
      </w:r>
      <w:r w:rsidRPr="002F0FB0">
        <w:rPr>
          <w:rFonts w:ascii="Arial" w:eastAsia="Arial" w:hAnsi="Arial" w:cs="Arial"/>
          <w:b/>
          <w:i/>
          <w:sz w:val="24"/>
        </w:rPr>
        <w:t>therascreen</w:t>
      </w:r>
      <w:r w:rsidRPr="002F0FB0">
        <w:rPr>
          <w:rFonts w:ascii="Arial" w:eastAsia="Arial" w:hAnsi="Arial" w:cs="Arial"/>
          <w:b/>
          <w:sz w:val="24"/>
        </w:rPr>
        <w:t xml:space="preserve"> companion diagnostics</w:t>
      </w:r>
    </w:p>
    <w:p w14:paraId="76D839D3" w14:textId="77777777" w:rsidR="003125A2" w:rsidRPr="002F0FB0" w:rsidRDefault="009135BF" w:rsidP="003125A2">
      <w:pPr>
        <w:numPr>
          <w:ilvl w:val="0"/>
          <w:numId w:val="9"/>
        </w:numPr>
        <w:tabs>
          <w:tab w:val="left" w:pos="426"/>
          <w:tab w:val="left" w:pos="567"/>
        </w:tabs>
        <w:spacing w:before="120" w:after="120" w:line="288" w:lineRule="auto"/>
        <w:ind w:left="567" w:hanging="283"/>
        <w:rPr>
          <w:rFonts w:ascii="Arial" w:eastAsia="Arial" w:hAnsi="Arial" w:cs="Arial"/>
          <w:b/>
          <w:sz w:val="24"/>
        </w:rPr>
      </w:pPr>
      <w:proofErr w:type="spellStart"/>
      <w:r w:rsidRPr="002F0FB0">
        <w:rPr>
          <w:rFonts w:ascii="Arial" w:eastAsia="Arial" w:hAnsi="Arial" w:cs="Arial"/>
          <w:b/>
          <w:sz w:val="24"/>
        </w:rPr>
        <w:t>QIAstat</w:t>
      </w:r>
      <w:proofErr w:type="spellEnd"/>
      <w:r w:rsidRPr="002F0FB0">
        <w:rPr>
          <w:rFonts w:ascii="Arial" w:eastAsia="Arial" w:hAnsi="Arial" w:cs="Arial"/>
          <w:b/>
          <w:sz w:val="24"/>
        </w:rPr>
        <w:t xml:space="preserve">-Dx </w:t>
      </w:r>
      <w:r w:rsidR="000B64BA" w:rsidRPr="002F0FB0">
        <w:rPr>
          <w:rFonts w:ascii="Arial" w:eastAsia="Arial" w:hAnsi="Arial" w:cs="Arial"/>
          <w:b/>
          <w:sz w:val="24"/>
        </w:rPr>
        <w:t xml:space="preserve">launched </w:t>
      </w:r>
      <w:r w:rsidRPr="002F0FB0">
        <w:rPr>
          <w:rFonts w:ascii="Arial" w:eastAsia="Arial" w:hAnsi="Arial" w:cs="Arial"/>
          <w:b/>
          <w:sz w:val="24"/>
        </w:rPr>
        <w:t>in U.S.</w:t>
      </w:r>
      <w:r w:rsidR="000B64BA" w:rsidRPr="002F0FB0">
        <w:rPr>
          <w:rFonts w:ascii="Arial" w:eastAsia="Arial" w:hAnsi="Arial" w:cs="Arial"/>
          <w:b/>
          <w:sz w:val="24"/>
        </w:rPr>
        <w:t xml:space="preserve"> with respiratory panel and M</w:t>
      </w:r>
      <w:r w:rsidRPr="002F0FB0">
        <w:rPr>
          <w:rFonts w:ascii="Arial" w:eastAsia="Arial" w:hAnsi="Arial" w:cs="Arial"/>
          <w:b/>
          <w:sz w:val="24"/>
        </w:rPr>
        <w:t xml:space="preserve">cKesson </w:t>
      </w:r>
      <w:r w:rsidR="000B64BA" w:rsidRPr="002F0FB0">
        <w:rPr>
          <w:rFonts w:ascii="Arial" w:eastAsia="Arial" w:hAnsi="Arial" w:cs="Arial"/>
          <w:b/>
          <w:sz w:val="24"/>
        </w:rPr>
        <w:t>as new partner</w:t>
      </w:r>
    </w:p>
    <w:p w14:paraId="602F4E29" w14:textId="77777777" w:rsidR="003125A2" w:rsidRPr="00176922" w:rsidRDefault="003125A2" w:rsidP="003125A2">
      <w:pPr>
        <w:numPr>
          <w:ilvl w:val="0"/>
          <w:numId w:val="7"/>
        </w:numPr>
        <w:tabs>
          <w:tab w:val="left" w:pos="426"/>
          <w:tab w:val="left" w:pos="567"/>
        </w:tabs>
        <w:spacing w:before="120" w:after="120" w:line="288" w:lineRule="auto"/>
        <w:ind w:left="357" w:hanging="357"/>
        <w:rPr>
          <w:rFonts w:ascii="Arial" w:eastAsia="Arial" w:hAnsi="Arial" w:cs="Arial"/>
          <w:b/>
          <w:sz w:val="24"/>
        </w:rPr>
      </w:pPr>
      <w:r w:rsidRPr="00176922">
        <w:rPr>
          <w:rFonts w:ascii="Arial" w:eastAsia="Arial" w:hAnsi="Arial" w:cs="Arial"/>
          <w:b/>
          <w:sz w:val="24"/>
        </w:rPr>
        <w:t xml:space="preserve">Decision (announced July 24) to restructure China next-generation sequencing (NGS) joint venture, new goal for </w:t>
      </w:r>
      <w:r w:rsidRPr="003125A2">
        <w:rPr>
          <w:rFonts w:ascii="Arial" w:eastAsia="Arial" w:hAnsi="Arial" w:cs="Arial"/>
          <w:b/>
          <w:sz w:val="24"/>
        </w:rPr>
        <w:t xml:space="preserve">over </w:t>
      </w:r>
      <w:r w:rsidRPr="002F5BCC">
        <w:rPr>
          <w:rFonts w:ascii="Arial" w:eastAsia="Arial" w:hAnsi="Arial" w:cs="Arial"/>
          <w:b/>
          <w:sz w:val="24"/>
        </w:rPr>
        <w:t>$</w:t>
      </w:r>
      <w:r w:rsidRPr="002F0FB0">
        <w:rPr>
          <w:rFonts w:ascii="Arial" w:eastAsia="Arial" w:hAnsi="Arial" w:cs="Arial"/>
          <w:b/>
          <w:sz w:val="24"/>
        </w:rPr>
        <w:t>180</w:t>
      </w:r>
      <w:r w:rsidRPr="00176922">
        <w:rPr>
          <w:rFonts w:ascii="Arial" w:eastAsia="Arial" w:hAnsi="Arial" w:cs="Arial"/>
          <w:b/>
          <w:sz w:val="24"/>
        </w:rPr>
        <w:t xml:space="preserve"> million of NGS-related sales in 2019 </w:t>
      </w:r>
    </w:p>
    <w:p w14:paraId="11D65423" w14:textId="77777777" w:rsidR="009135BF" w:rsidRPr="000B64BA" w:rsidRDefault="002F0286" w:rsidP="00ED6327">
      <w:pPr>
        <w:numPr>
          <w:ilvl w:val="0"/>
          <w:numId w:val="7"/>
        </w:numPr>
        <w:tabs>
          <w:tab w:val="left" w:pos="426"/>
          <w:tab w:val="left" w:pos="567"/>
        </w:tabs>
        <w:spacing w:before="120" w:after="120" w:line="288" w:lineRule="auto"/>
        <w:ind w:left="357" w:hanging="357"/>
        <w:rPr>
          <w:rFonts w:ascii="Arial" w:eastAsia="Arial" w:hAnsi="Arial" w:cs="Arial"/>
          <w:b/>
          <w:sz w:val="24"/>
        </w:rPr>
      </w:pPr>
      <w:r>
        <w:rPr>
          <w:rFonts w:ascii="Arial" w:eastAsia="Arial" w:hAnsi="Arial" w:cs="Arial"/>
          <w:b/>
          <w:sz w:val="24"/>
        </w:rPr>
        <w:t xml:space="preserve">Updated outlook (announced July 24) for </w:t>
      </w:r>
      <w:r w:rsidR="009135BF" w:rsidRPr="000B64BA">
        <w:rPr>
          <w:rFonts w:ascii="Arial" w:eastAsia="Arial" w:hAnsi="Arial" w:cs="Arial"/>
          <w:b/>
          <w:sz w:val="24"/>
        </w:rPr>
        <w:t xml:space="preserve">full-year 2019 net sales growth of 5-6% CER and adjusted EPS of $1.42-1.44 CER due to China NGS </w:t>
      </w:r>
      <w:r w:rsidR="00FA6410">
        <w:rPr>
          <w:rFonts w:ascii="Arial" w:eastAsia="Arial" w:hAnsi="Arial" w:cs="Arial"/>
          <w:b/>
          <w:sz w:val="24"/>
        </w:rPr>
        <w:t>joint venture</w:t>
      </w:r>
      <w:r w:rsidR="00FA6410" w:rsidRPr="000B64BA">
        <w:rPr>
          <w:rFonts w:ascii="Arial" w:eastAsia="Arial" w:hAnsi="Arial" w:cs="Arial"/>
          <w:b/>
          <w:sz w:val="24"/>
        </w:rPr>
        <w:t xml:space="preserve"> </w:t>
      </w:r>
      <w:r w:rsidR="009135BF" w:rsidRPr="000B64BA">
        <w:rPr>
          <w:rFonts w:ascii="Arial" w:eastAsia="Arial" w:hAnsi="Arial" w:cs="Arial"/>
          <w:b/>
          <w:sz w:val="24"/>
        </w:rPr>
        <w:t>changes</w:t>
      </w:r>
    </w:p>
    <w:p w14:paraId="66668300" w14:textId="77777777" w:rsidR="005C5796" w:rsidRPr="005C5796" w:rsidRDefault="00D00097" w:rsidP="00ED6327">
      <w:pPr>
        <w:spacing w:before="240" w:after="240"/>
        <w:jc w:val="both"/>
        <w:rPr>
          <w:rFonts w:ascii="Arial" w:eastAsia="Arial" w:hAnsi="Arial" w:cs="Arial"/>
          <w:color w:val="000000"/>
          <w:sz w:val="22"/>
        </w:rPr>
      </w:pPr>
      <w:r w:rsidRPr="009135BF">
        <w:rPr>
          <w:rFonts w:ascii="Arial" w:eastAsia="Arial" w:hAnsi="Arial" w:cs="Arial"/>
          <w:b/>
          <w:sz w:val="22"/>
        </w:rPr>
        <w:t xml:space="preserve">Venlo, the Netherlands, </w:t>
      </w:r>
      <w:r w:rsidR="00D72C78" w:rsidRPr="009135BF">
        <w:rPr>
          <w:rFonts w:ascii="Arial" w:eastAsia="Arial" w:hAnsi="Arial" w:cs="Arial"/>
          <w:b/>
          <w:sz w:val="22"/>
        </w:rPr>
        <w:t>July 30, 2019</w:t>
      </w:r>
      <w:r w:rsidR="00D72C78" w:rsidRPr="009135BF">
        <w:rPr>
          <w:rFonts w:ascii="Arial" w:eastAsia="Arial" w:hAnsi="Arial" w:cs="Arial"/>
          <w:sz w:val="22"/>
        </w:rPr>
        <w:t xml:space="preserve"> </w:t>
      </w:r>
      <w:r w:rsidR="00562975" w:rsidRPr="009135BF">
        <w:rPr>
          <w:rFonts w:ascii="Arial" w:eastAsia="Arial" w:hAnsi="Arial" w:cs="Arial"/>
          <w:sz w:val="22"/>
        </w:rPr>
        <w:t>–</w:t>
      </w:r>
      <w:r w:rsidR="00D72C78" w:rsidRPr="009135BF">
        <w:rPr>
          <w:rFonts w:ascii="Arial" w:eastAsia="Arial" w:hAnsi="Arial" w:cs="Arial"/>
          <w:sz w:val="22"/>
        </w:rPr>
        <w:t xml:space="preserve"> QI</w:t>
      </w:r>
      <w:r w:rsidR="00D72C78" w:rsidRPr="009135BF">
        <w:rPr>
          <w:rFonts w:ascii="Arial" w:eastAsia="Arial" w:hAnsi="Arial" w:cs="Arial"/>
          <w:color w:val="000000"/>
          <w:sz w:val="22"/>
        </w:rPr>
        <w:t>AGEN N.V. (NYSE: QGEN; Frankfurt Prime Standard: QIA)</w:t>
      </w:r>
      <w:r w:rsidR="00D72C78" w:rsidRPr="00D72C78">
        <w:rPr>
          <w:rFonts w:ascii="Arial" w:eastAsia="Arial" w:hAnsi="Arial" w:cs="Arial"/>
          <w:color w:val="000000"/>
          <w:sz w:val="22"/>
        </w:rPr>
        <w:t xml:space="preserve"> </w:t>
      </w:r>
      <w:r w:rsidR="005C5796">
        <w:rPr>
          <w:rFonts w:ascii="Arial" w:eastAsia="Arial" w:hAnsi="Arial" w:cs="Arial"/>
          <w:color w:val="000000"/>
          <w:sz w:val="22"/>
        </w:rPr>
        <w:t xml:space="preserve">announced today full results of </w:t>
      </w:r>
      <w:r w:rsidR="00D72C78" w:rsidRPr="00D72C78">
        <w:rPr>
          <w:rFonts w:ascii="Arial" w:eastAsia="Arial" w:hAnsi="Arial" w:cs="Arial"/>
          <w:color w:val="000000"/>
          <w:sz w:val="22"/>
        </w:rPr>
        <w:t xml:space="preserve">operations for the second quarter and first half </w:t>
      </w:r>
      <w:r w:rsidR="008677BA">
        <w:rPr>
          <w:rFonts w:ascii="Arial" w:eastAsia="Arial" w:hAnsi="Arial" w:cs="Arial"/>
          <w:color w:val="000000"/>
          <w:sz w:val="22"/>
        </w:rPr>
        <w:t xml:space="preserve">of </w:t>
      </w:r>
      <w:r w:rsidR="00D72C78" w:rsidRPr="00D72C78">
        <w:rPr>
          <w:rFonts w:ascii="Arial" w:eastAsia="Arial" w:hAnsi="Arial" w:cs="Arial"/>
          <w:color w:val="000000"/>
          <w:sz w:val="22"/>
        </w:rPr>
        <w:t xml:space="preserve">2019, </w:t>
      </w:r>
      <w:r w:rsidR="005C5796">
        <w:rPr>
          <w:rFonts w:ascii="Arial" w:eastAsia="Arial" w:hAnsi="Arial" w:cs="Arial"/>
          <w:color w:val="000000"/>
          <w:sz w:val="22"/>
        </w:rPr>
        <w:t>achieving the outlook set for net sales growth and adjusted diluted earnings per share at constant exchange rates (CER).</w:t>
      </w:r>
      <w:r w:rsidR="00AB7F1A">
        <w:rPr>
          <w:rFonts w:ascii="Arial" w:eastAsia="Arial" w:hAnsi="Arial" w:cs="Arial"/>
          <w:color w:val="000000"/>
          <w:sz w:val="22"/>
        </w:rPr>
        <w:t xml:space="preserve"> </w:t>
      </w:r>
      <w:r w:rsidR="002F0286">
        <w:rPr>
          <w:rFonts w:ascii="Arial" w:eastAsia="Arial" w:hAnsi="Arial" w:cs="Arial"/>
          <w:color w:val="000000"/>
          <w:sz w:val="22"/>
        </w:rPr>
        <w:t>R</w:t>
      </w:r>
      <w:r w:rsidR="00AB7F1A">
        <w:rPr>
          <w:rFonts w:ascii="Arial" w:eastAsia="Arial" w:hAnsi="Arial" w:cs="Arial"/>
          <w:color w:val="000000"/>
          <w:sz w:val="22"/>
        </w:rPr>
        <w:t xml:space="preserve">esults </w:t>
      </w:r>
      <w:r w:rsidR="002F0286">
        <w:rPr>
          <w:rFonts w:ascii="Arial" w:eastAsia="Arial" w:hAnsi="Arial" w:cs="Arial"/>
          <w:color w:val="000000"/>
          <w:sz w:val="22"/>
        </w:rPr>
        <w:t xml:space="preserve">remain unchanged from those </w:t>
      </w:r>
      <w:r w:rsidR="00AB7F1A">
        <w:rPr>
          <w:rFonts w:ascii="Arial" w:eastAsia="Arial" w:hAnsi="Arial" w:cs="Arial"/>
          <w:color w:val="000000"/>
          <w:sz w:val="22"/>
        </w:rPr>
        <w:t>announced July 24 when QIAGEN provided an update on its next-generation (NGS) sequencing joint venture in China, and impact on the outlook for 2019.</w:t>
      </w:r>
    </w:p>
    <w:p w14:paraId="05BC915D" w14:textId="77777777" w:rsidR="00AB7F1A" w:rsidRDefault="00C13B98" w:rsidP="00624792">
      <w:pPr>
        <w:spacing w:after="240"/>
        <w:jc w:val="both"/>
        <w:rPr>
          <w:rFonts w:ascii="Arial" w:eastAsia="Arial" w:hAnsi="Arial" w:cs="Arial"/>
          <w:color w:val="000000" w:themeColor="text1"/>
          <w:sz w:val="22"/>
        </w:rPr>
      </w:pPr>
      <w:r w:rsidRPr="00ED6327">
        <w:rPr>
          <w:rFonts w:ascii="Arial" w:eastAsia="Arial" w:hAnsi="Arial" w:cs="Arial"/>
          <w:color w:val="000000" w:themeColor="text1"/>
          <w:sz w:val="22"/>
        </w:rPr>
        <w:t xml:space="preserve">“Our </w:t>
      </w:r>
      <w:r w:rsidR="009135BF">
        <w:rPr>
          <w:rFonts w:ascii="Arial" w:eastAsia="Arial" w:hAnsi="Arial" w:cs="Arial"/>
          <w:color w:val="000000" w:themeColor="text1"/>
          <w:sz w:val="22"/>
        </w:rPr>
        <w:t xml:space="preserve">results for </w:t>
      </w:r>
      <w:r w:rsidRPr="00ED6327">
        <w:rPr>
          <w:rFonts w:ascii="Arial" w:eastAsia="Arial" w:hAnsi="Arial" w:cs="Arial"/>
          <w:color w:val="000000" w:themeColor="text1"/>
          <w:sz w:val="22"/>
        </w:rPr>
        <w:t>the second quarter of 2019</w:t>
      </w:r>
      <w:r w:rsidR="0054258F" w:rsidRPr="00ED6327">
        <w:rPr>
          <w:rFonts w:ascii="Arial" w:eastAsia="Arial" w:hAnsi="Arial" w:cs="Arial"/>
          <w:color w:val="000000" w:themeColor="text1"/>
          <w:sz w:val="22"/>
        </w:rPr>
        <w:t xml:space="preserve"> w</w:t>
      </w:r>
      <w:r w:rsidR="000B64BA">
        <w:rPr>
          <w:rFonts w:ascii="Arial" w:eastAsia="Arial" w:hAnsi="Arial" w:cs="Arial"/>
          <w:color w:val="000000" w:themeColor="text1"/>
          <w:sz w:val="22"/>
        </w:rPr>
        <w:t>ere</w:t>
      </w:r>
      <w:r w:rsidR="0054258F" w:rsidRPr="00ED6327">
        <w:rPr>
          <w:rFonts w:ascii="Arial" w:eastAsia="Arial" w:hAnsi="Arial" w:cs="Arial"/>
          <w:color w:val="000000" w:themeColor="text1"/>
          <w:sz w:val="22"/>
        </w:rPr>
        <w:t xml:space="preserve"> in line with our </w:t>
      </w:r>
      <w:r w:rsidR="005C5796">
        <w:rPr>
          <w:rFonts w:ascii="Arial" w:eastAsia="Arial" w:hAnsi="Arial" w:cs="Arial"/>
          <w:color w:val="000000" w:themeColor="text1"/>
          <w:sz w:val="22"/>
        </w:rPr>
        <w:t>outloo</w:t>
      </w:r>
      <w:r w:rsidR="009135BF">
        <w:rPr>
          <w:rFonts w:ascii="Arial" w:eastAsia="Arial" w:hAnsi="Arial" w:cs="Arial"/>
          <w:color w:val="000000" w:themeColor="text1"/>
          <w:sz w:val="22"/>
        </w:rPr>
        <w:t>k</w:t>
      </w:r>
      <w:r w:rsidR="00AB7F1A">
        <w:rPr>
          <w:rFonts w:ascii="Arial" w:eastAsia="Arial" w:hAnsi="Arial" w:cs="Arial"/>
          <w:color w:val="000000" w:themeColor="text1"/>
          <w:sz w:val="22"/>
        </w:rPr>
        <w:t xml:space="preserve"> for improvements in net sales and adjusted earnings, as we continued to make progress in many areas of our Sample to Insight portfolio designed to help customers gain </w:t>
      </w:r>
      <w:r w:rsidR="001139E3">
        <w:rPr>
          <w:rFonts w:ascii="Arial" w:eastAsia="Arial" w:hAnsi="Arial" w:cs="Arial"/>
          <w:color w:val="000000" w:themeColor="text1"/>
          <w:sz w:val="22"/>
        </w:rPr>
        <w:t xml:space="preserve">valuable </w:t>
      </w:r>
      <w:r w:rsidR="00AB7F1A">
        <w:rPr>
          <w:rFonts w:ascii="Arial" w:eastAsia="Arial" w:hAnsi="Arial" w:cs="Arial"/>
          <w:color w:val="000000" w:themeColor="text1"/>
          <w:sz w:val="22"/>
        </w:rPr>
        <w:t>molecular insights,</w:t>
      </w:r>
      <w:r w:rsidR="002F0286">
        <w:rPr>
          <w:rFonts w:ascii="Arial" w:eastAsia="Arial" w:hAnsi="Arial" w:cs="Arial"/>
          <w:color w:val="000000" w:themeColor="text1"/>
          <w:sz w:val="22"/>
        </w:rPr>
        <w:t xml:space="preserve">” said Peer M. Schatz, </w:t>
      </w:r>
      <w:r w:rsidR="00AB7F1A">
        <w:rPr>
          <w:rFonts w:ascii="Arial" w:eastAsia="Arial" w:hAnsi="Arial" w:cs="Arial"/>
          <w:color w:val="000000" w:themeColor="text1"/>
          <w:sz w:val="22"/>
        </w:rPr>
        <w:t xml:space="preserve">Chief Executive Officer of QIAGEN N.V. </w:t>
      </w:r>
    </w:p>
    <w:p w14:paraId="2E2141A7" w14:textId="77777777" w:rsidR="001D0EA9" w:rsidRPr="00ED6327" w:rsidRDefault="00AB7F1A" w:rsidP="00624792">
      <w:pPr>
        <w:spacing w:after="240"/>
        <w:jc w:val="both"/>
        <w:rPr>
          <w:rFonts w:ascii="Arial" w:eastAsia="Arial" w:hAnsi="Arial" w:cs="Arial"/>
          <w:color w:val="000000" w:themeColor="text1"/>
          <w:sz w:val="22"/>
        </w:rPr>
      </w:pPr>
      <w:r>
        <w:rPr>
          <w:rFonts w:ascii="Arial" w:eastAsia="Arial" w:hAnsi="Arial" w:cs="Arial"/>
          <w:color w:val="000000" w:themeColor="text1"/>
          <w:sz w:val="22"/>
        </w:rPr>
        <w:t xml:space="preserve">“Among recent developments, our results for the second quarter showed instrument sales rising 9% CER and helped by the launch of new systems such as the QIAstat-Dx multiplex platform </w:t>
      </w:r>
      <w:r w:rsidR="001139E3">
        <w:rPr>
          <w:rFonts w:ascii="Arial" w:eastAsia="Arial" w:hAnsi="Arial" w:cs="Arial"/>
          <w:color w:val="000000" w:themeColor="text1"/>
          <w:sz w:val="22"/>
        </w:rPr>
        <w:t xml:space="preserve">launch in the U.S. after regulatory clearance in May </w:t>
      </w:r>
      <w:r>
        <w:rPr>
          <w:rFonts w:ascii="Arial" w:eastAsia="Arial" w:hAnsi="Arial" w:cs="Arial"/>
          <w:color w:val="000000" w:themeColor="text1"/>
          <w:sz w:val="22"/>
        </w:rPr>
        <w:t xml:space="preserve">and the </w:t>
      </w:r>
      <w:r w:rsidR="001139E3">
        <w:rPr>
          <w:rFonts w:ascii="Arial" w:eastAsia="Arial" w:hAnsi="Arial" w:cs="Arial"/>
          <w:color w:val="000000" w:themeColor="text1"/>
          <w:sz w:val="22"/>
        </w:rPr>
        <w:t xml:space="preserve">new </w:t>
      </w:r>
      <w:r>
        <w:rPr>
          <w:rFonts w:ascii="Arial" w:eastAsia="Arial" w:hAnsi="Arial" w:cs="Arial"/>
          <w:color w:val="000000" w:themeColor="text1"/>
          <w:sz w:val="22"/>
        </w:rPr>
        <w:t>QIAcube Connect sample processing instrument</w:t>
      </w:r>
      <w:r w:rsidR="001139E3">
        <w:rPr>
          <w:rFonts w:ascii="Arial" w:eastAsia="Arial" w:hAnsi="Arial" w:cs="Arial"/>
          <w:color w:val="000000" w:themeColor="text1"/>
          <w:sz w:val="22"/>
        </w:rPr>
        <w:t xml:space="preserve"> launched in 2019</w:t>
      </w:r>
      <w:r>
        <w:rPr>
          <w:rFonts w:ascii="Arial" w:eastAsia="Arial" w:hAnsi="Arial" w:cs="Arial"/>
          <w:color w:val="000000" w:themeColor="text1"/>
          <w:sz w:val="22"/>
        </w:rPr>
        <w:t xml:space="preserve">. Consumables and related revenues rose 4% CER, reflecting the as-expected slower growth of the QuantiFERON-TB </w:t>
      </w:r>
      <w:r w:rsidR="00E50110">
        <w:rPr>
          <w:rFonts w:ascii="Arial" w:eastAsia="Arial" w:hAnsi="Arial" w:cs="Arial"/>
          <w:color w:val="000000" w:themeColor="text1"/>
          <w:sz w:val="22"/>
        </w:rPr>
        <w:t xml:space="preserve">assay for latent TB detection </w:t>
      </w:r>
      <w:r>
        <w:rPr>
          <w:rFonts w:ascii="Arial" w:eastAsia="Arial" w:hAnsi="Arial" w:cs="Arial"/>
          <w:color w:val="000000" w:themeColor="text1"/>
          <w:sz w:val="22"/>
        </w:rPr>
        <w:t>that faced a challenging comparison to results in the second quarter of 2018 due to the transition to the new fourth-generation version.</w:t>
      </w:r>
      <w:r w:rsidR="001139E3">
        <w:rPr>
          <w:rFonts w:ascii="Arial" w:eastAsia="Arial" w:hAnsi="Arial" w:cs="Arial"/>
          <w:color w:val="000000" w:themeColor="text1"/>
          <w:sz w:val="22"/>
        </w:rPr>
        <w:t xml:space="preserve"> </w:t>
      </w:r>
      <w:r>
        <w:rPr>
          <w:rFonts w:ascii="Arial" w:eastAsia="Arial" w:hAnsi="Arial" w:cs="Arial"/>
          <w:color w:val="000000" w:themeColor="text1"/>
          <w:sz w:val="22"/>
        </w:rPr>
        <w:t xml:space="preserve">We also had strong sales from our portfolio of universal solutions for use </w:t>
      </w:r>
      <w:r w:rsidR="0043139B">
        <w:rPr>
          <w:rFonts w:ascii="Arial" w:eastAsia="Arial" w:hAnsi="Arial" w:cs="Arial"/>
          <w:color w:val="000000" w:themeColor="text1"/>
          <w:sz w:val="22"/>
        </w:rPr>
        <w:t>with any NGS sequencer</w:t>
      </w:r>
      <w:r w:rsidR="00ED622D">
        <w:rPr>
          <w:rFonts w:ascii="Arial" w:eastAsia="Arial" w:hAnsi="Arial" w:cs="Arial"/>
          <w:color w:val="000000" w:themeColor="text1"/>
          <w:sz w:val="22"/>
        </w:rPr>
        <w:t xml:space="preserve"> in all regions</w:t>
      </w:r>
      <w:r w:rsidR="001139E3">
        <w:rPr>
          <w:rFonts w:ascii="Arial" w:eastAsia="Arial" w:hAnsi="Arial" w:cs="Arial"/>
          <w:color w:val="000000" w:themeColor="text1"/>
          <w:sz w:val="22"/>
        </w:rPr>
        <w:t>.</w:t>
      </w:r>
      <w:r>
        <w:rPr>
          <w:rFonts w:ascii="Arial" w:eastAsia="Arial" w:hAnsi="Arial" w:cs="Arial"/>
          <w:color w:val="000000" w:themeColor="text1"/>
          <w:sz w:val="22"/>
        </w:rPr>
        <w:t xml:space="preserve"> </w:t>
      </w:r>
      <w:r w:rsidR="00E50110">
        <w:rPr>
          <w:rFonts w:ascii="Arial" w:eastAsia="Arial" w:hAnsi="Arial" w:cs="Arial"/>
          <w:color w:val="000000" w:themeColor="text1"/>
          <w:sz w:val="22"/>
        </w:rPr>
        <w:t xml:space="preserve">Also, </w:t>
      </w:r>
      <w:r>
        <w:rPr>
          <w:rFonts w:ascii="Arial" w:eastAsia="Arial" w:hAnsi="Arial" w:cs="Arial"/>
          <w:color w:val="000000" w:themeColor="text1"/>
          <w:sz w:val="22"/>
        </w:rPr>
        <w:t xml:space="preserve">we recently announced our intention to restructure </w:t>
      </w:r>
      <w:r w:rsidR="001139E3">
        <w:rPr>
          <w:rFonts w:ascii="Arial" w:eastAsia="Arial" w:hAnsi="Arial" w:cs="Arial"/>
          <w:color w:val="000000" w:themeColor="text1"/>
          <w:sz w:val="22"/>
        </w:rPr>
        <w:t xml:space="preserve">our NGS </w:t>
      </w:r>
      <w:r w:rsidR="00FA6410">
        <w:rPr>
          <w:rFonts w:ascii="Arial" w:eastAsia="Arial" w:hAnsi="Arial" w:cs="Arial"/>
          <w:color w:val="000000" w:themeColor="text1"/>
          <w:sz w:val="22"/>
        </w:rPr>
        <w:t xml:space="preserve">joint venture </w:t>
      </w:r>
      <w:r w:rsidR="001139E3">
        <w:rPr>
          <w:rFonts w:ascii="Arial" w:eastAsia="Arial" w:hAnsi="Arial" w:cs="Arial"/>
          <w:color w:val="000000" w:themeColor="text1"/>
          <w:sz w:val="22"/>
        </w:rPr>
        <w:t xml:space="preserve">in China, and updated our outlook for net sales </w:t>
      </w:r>
      <w:r w:rsidR="002F0286">
        <w:rPr>
          <w:rFonts w:ascii="Arial" w:eastAsia="Arial" w:hAnsi="Arial" w:cs="Arial"/>
          <w:color w:val="000000" w:themeColor="text1"/>
          <w:sz w:val="22"/>
        </w:rPr>
        <w:t xml:space="preserve">growth </w:t>
      </w:r>
      <w:r w:rsidR="001139E3">
        <w:rPr>
          <w:rFonts w:ascii="Arial" w:eastAsia="Arial" w:hAnsi="Arial" w:cs="Arial"/>
          <w:color w:val="000000" w:themeColor="text1"/>
          <w:sz w:val="22"/>
        </w:rPr>
        <w:t xml:space="preserve">and adjusted earnings per share in 2019 to reflect the loss of about $30 million of sales anticipated for </w:t>
      </w:r>
      <w:r w:rsidR="00ED6327">
        <w:rPr>
          <w:rFonts w:ascii="Arial" w:eastAsia="Arial" w:hAnsi="Arial" w:cs="Arial"/>
          <w:color w:val="000000" w:themeColor="text1"/>
          <w:sz w:val="22"/>
        </w:rPr>
        <w:t xml:space="preserve">this year </w:t>
      </w:r>
      <w:r w:rsidR="001139E3">
        <w:rPr>
          <w:rFonts w:ascii="Arial" w:eastAsia="Arial" w:hAnsi="Arial" w:cs="Arial"/>
          <w:color w:val="000000" w:themeColor="text1"/>
          <w:sz w:val="22"/>
        </w:rPr>
        <w:t>from the joint venture</w:t>
      </w:r>
      <w:r w:rsidR="00575664">
        <w:rPr>
          <w:rFonts w:ascii="Arial" w:eastAsia="Arial" w:hAnsi="Arial" w:cs="Arial"/>
          <w:color w:val="000000" w:themeColor="text1"/>
          <w:sz w:val="22"/>
        </w:rPr>
        <w:t>, and weighted to the second half</w:t>
      </w:r>
      <w:r w:rsidR="001139E3">
        <w:rPr>
          <w:rFonts w:ascii="Arial" w:eastAsia="Arial" w:hAnsi="Arial" w:cs="Arial"/>
          <w:color w:val="000000" w:themeColor="text1"/>
          <w:sz w:val="22"/>
        </w:rPr>
        <w:t>. We continue to believe in the dynamic growth potential of NGS</w:t>
      </w:r>
      <w:r w:rsidR="00851C14">
        <w:rPr>
          <w:rFonts w:ascii="Arial" w:eastAsia="Arial" w:hAnsi="Arial" w:cs="Arial"/>
          <w:color w:val="000000" w:themeColor="text1"/>
          <w:sz w:val="22"/>
        </w:rPr>
        <w:t xml:space="preserve"> </w:t>
      </w:r>
      <w:r w:rsidR="00035567">
        <w:rPr>
          <w:rFonts w:ascii="Arial" w:eastAsia="Arial" w:hAnsi="Arial" w:cs="Arial"/>
          <w:color w:val="000000" w:themeColor="text1"/>
          <w:sz w:val="22"/>
        </w:rPr>
        <w:t xml:space="preserve">in China </w:t>
      </w:r>
      <w:r w:rsidR="001139E3">
        <w:rPr>
          <w:rFonts w:ascii="Arial" w:eastAsia="Arial" w:hAnsi="Arial" w:cs="Arial"/>
          <w:color w:val="000000" w:themeColor="text1"/>
          <w:sz w:val="22"/>
        </w:rPr>
        <w:t>and will review ways to capture these opportunities</w:t>
      </w:r>
      <w:r w:rsidR="00851C14">
        <w:rPr>
          <w:rFonts w:ascii="Arial" w:eastAsia="Arial" w:hAnsi="Arial" w:cs="Arial"/>
          <w:color w:val="000000" w:themeColor="text1"/>
          <w:sz w:val="22"/>
        </w:rPr>
        <w:t xml:space="preserve"> given its status as one of the world’s largest diagnostic markets</w:t>
      </w:r>
      <w:r w:rsidR="001139E3">
        <w:rPr>
          <w:rFonts w:ascii="Arial" w:eastAsia="Arial" w:hAnsi="Arial" w:cs="Arial"/>
          <w:color w:val="000000" w:themeColor="text1"/>
          <w:sz w:val="22"/>
        </w:rPr>
        <w:t xml:space="preserve">. </w:t>
      </w:r>
      <w:r w:rsidR="001D0EA9" w:rsidRPr="00ED6327">
        <w:rPr>
          <w:rFonts w:ascii="Arial" w:eastAsia="Arial" w:hAnsi="Arial" w:cs="Arial"/>
          <w:color w:val="000000" w:themeColor="text1"/>
          <w:sz w:val="22"/>
        </w:rPr>
        <w:t xml:space="preserve">We </w:t>
      </w:r>
      <w:r w:rsidR="00B55A00" w:rsidRPr="00ED6327">
        <w:rPr>
          <w:rFonts w:ascii="Arial" w:eastAsia="Arial" w:hAnsi="Arial" w:cs="Arial"/>
          <w:color w:val="000000" w:themeColor="text1"/>
          <w:sz w:val="22"/>
        </w:rPr>
        <w:t>remain highly focused on</w:t>
      </w:r>
      <w:r w:rsidR="001D0EA9" w:rsidRPr="00ED6327">
        <w:rPr>
          <w:rFonts w:ascii="Arial" w:eastAsia="Arial" w:hAnsi="Arial" w:cs="Arial"/>
          <w:color w:val="000000" w:themeColor="text1"/>
          <w:sz w:val="22"/>
        </w:rPr>
        <w:t xml:space="preserve"> the transformation of </w:t>
      </w:r>
      <w:r w:rsidR="001139E3">
        <w:rPr>
          <w:rFonts w:ascii="Arial" w:eastAsia="Arial" w:hAnsi="Arial" w:cs="Arial"/>
          <w:color w:val="000000" w:themeColor="text1"/>
          <w:sz w:val="22"/>
        </w:rPr>
        <w:t xml:space="preserve">our </w:t>
      </w:r>
      <w:r w:rsidR="00851C14">
        <w:rPr>
          <w:rFonts w:ascii="Arial" w:eastAsia="Arial" w:hAnsi="Arial" w:cs="Arial"/>
          <w:color w:val="000000" w:themeColor="text1"/>
          <w:sz w:val="22"/>
        </w:rPr>
        <w:t xml:space="preserve">portfolio with new product launches, improving </w:t>
      </w:r>
      <w:r w:rsidR="00B55A00" w:rsidRPr="00ED6327">
        <w:rPr>
          <w:rFonts w:ascii="Arial" w:eastAsia="Arial" w:hAnsi="Arial" w:cs="Arial"/>
          <w:color w:val="000000" w:themeColor="text1"/>
          <w:sz w:val="22"/>
        </w:rPr>
        <w:t xml:space="preserve">customer engagement and </w:t>
      </w:r>
      <w:r w:rsidR="00851C14">
        <w:rPr>
          <w:rFonts w:ascii="Arial" w:eastAsia="Arial" w:hAnsi="Arial" w:cs="Arial"/>
          <w:color w:val="000000" w:themeColor="text1"/>
          <w:sz w:val="22"/>
        </w:rPr>
        <w:t xml:space="preserve">increasing </w:t>
      </w:r>
      <w:r w:rsidR="001139E3">
        <w:rPr>
          <w:rFonts w:ascii="Arial" w:eastAsia="Arial" w:hAnsi="Arial" w:cs="Arial"/>
          <w:color w:val="000000" w:themeColor="text1"/>
          <w:sz w:val="22"/>
        </w:rPr>
        <w:t xml:space="preserve">our </w:t>
      </w:r>
      <w:r w:rsidR="00B55A00" w:rsidRPr="00ED6327">
        <w:rPr>
          <w:rFonts w:ascii="Arial" w:eastAsia="Arial" w:hAnsi="Arial" w:cs="Arial"/>
          <w:color w:val="000000" w:themeColor="text1"/>
          <w:sz w:val="22"/>
        </w:rPr>
        <w:t>efficiency</w:t>
      </w:r>
      <w:r w:rsidR="001139E3">
        <w:rPr>
          <w:rFonts w:ascii="Arial" w:eastAsia="Arial" w:hAnsi="Arial" w:cs="Arial"/>
          <w:color w:val="000000" w:themeColor="text1"/>
          <w:sz w:val="22"/>
        </w:rPr>
        <w:t xml:space="preserve"> </w:t>
      </w:r>
      <w:r w:rsidR="00851C14">
        <w:rPr>
          <w:rFonts w:ascii="Arial" w:eastAsia="Arial" w:hAnsi="Arial" w:cs="Arial"/>
          <w:color w:val="000000" w:themeColor="text1"/>
          <w:sz w:val="22"/>
        </w:rPr>
        <w:t xml:space="preserve">by allocating </w:t>
      </w:r>
      <w:r w:rsidR="00813776">
        <w:rPr>
          <w:rFonts w:ascii="Arial" w:eastAsia="Arial" w:hAnsi="Arial" w:cs="Arial"/>
          <w:color w:val="000000" w:themeColor="text1"/>
          <w:sz w:val="22"/>
        </w:rPr>
        <w:t xml:space="preserve">resources to the most exciting growth opportunities </w:t>
      </w:r>
      <w:r w:rsidR="001139E3">
        <w:rPr>
          <w:rFonts w:ascii="Arial" w:eastAsia="Arial" w:hAnsi="Arial" w:cs="Arial"/>
          <w:color w:val="000000" w:themeColor="text1"/>
          <w:sz w:val="22"/>
        </w:rPr>
        <w:t xml:space="preserve">as we </w:t>
      </w:r>
      <w:r w:rsidR="001D0EA9" w:rsidRPr="00ED6327">
        <w:rPr>
          <w:rFonts w:ascii="Arial" w:eastAsia="Arial" w:hAnsi="Arial" w:cs="Arial"/>
          <w:color w:val="000000" w:themeColor="text1"/>
          <w:sz w:val="22"/>
        </w:rPr>
        <w:t xml:space="preserve">execute on a strategy to maximize the value of </w:t>
      </w:r>
      <w:r w:rsidR="00AD2142" w:rsidRPr="00ED6327">
        <w:rPr>
          <w:rFonts w:ascii="Arial" w:eastAsia="Arial" w:hAnsi="Arial" w:cs="Arial"/>
          <w:color w:val="000000" w:themeColor="text1"/>
          <w:sz w:val="22"/>
        </w:rPr>
        <w:t>our</w:t>
      </w:r>
      <w:r w:rsidR="001D0EA9" w:rsidRPr="00ED6327">
        <w:rPr>
          <w:rFonts w:ascii="Arial" w:eastAsia="Arial" w:hAnsi="Arial" w:cs="Arial"/>
          <w:color w:val="000000" w:themeColor="text1"/>
          <w:sz w:val="22"/>
        </w:rPr>
        <w:t xml:space="preserve"> portfolio </w:t>
      </w:r>
      <w:r w:rsidR="00B55A00" w:rsidRPr="00ED6327">
        <w:rPr>
          <w:rFonts w:ascii="Arial" w:eastAsia="Arial" w:hAnsi="Arial" w:cs="Arial"/>
          <w:color w:val="000000" w:themeColor="text1"/>
          <w:sz w:val="22"/>
        </w:rPr>
        <w:t>across</w:t>
      </w:r>
      <w:r w:rsidR="001D0EA9" w:rsidRPr="00ED6327">
        <w:rPr>
          <w:rFonts w:ascii="Arial" w:eastAsia="Arial" w:hAnsi="Arial" w:cs="Arial"/>
          <w:color w:val="000000" w:themeColor="text1"/>
          <w:sz w:val="22"/>
        </w:rPr>
        <w:t xml:space="preserve"> the continuum from Life Sciences to Molecular Diagnostics.</w:t>
      </w:r>
      <w:r w:rsidR="00E95F76" w:rsidRPr="00ED6327">
        <w:rPr>
          <w:rFonts w:ascii="Arial" w:hAnsi="Arial" w:cs="Arial"/>
          <w:color w:val="000000" w:themeColor="text1"/>
          <w:sz w:val="22"/>
        </w:rPr>
        <w:t>”</w:t>
      </w:r>
    </w:p>
    <w:p w14:paraId="4CE0653B" w14:textId="77777777" w:rsidR="001D0EA9" w:rsidRPr="00680803" w:rsidRDefault="001D0EA9" w:rsidP="002B27E6">
      <w:pPr>
        <w:spacing w:before="120" w:after="240"/>
        <w:jc w:val="both"/>
        <w:rPr>
          <w:rFonts w:ascii="Arial" w:eastAsia="Arial" w:hAnsi="Arial" w:cs="Arial"/>
          <w:b/>
          <w:sz w:val="22"/>
        </w:rPr>
      </w:pPr>
    </w:p>
    <w:p w14:paraId="57985FCD" w14:textId="77777777" w:rsidR="00235296" w:rsidRDefault="00235296">
      <w:pPr>
        <w:rPr>
          <w:rFonts w:ascii="Arial" w:eastAsia="Arial" w:hAnsi="Arial" w:cs="Arial"/>
          <w:b/>
          <w:sz w:val="24"/>
        </w:rPr>
      </w:pPr>
      <w:r>
        <w:rPr>
          <w:rFonts w:ascii="Arial" w:eastAsia="Arial" w:hAnsi="Arial" w:cs="Arial"/>
          <w:b/>
          <w:sz w:val="24"/>
        </w:rPr>
        <w:br w:type="page"/>
      </w:r>
    </w:p>
    <w:p w14:paraId="0BA00D5F" w14:textId="77777777" w:rsidR="007306DE" w:rsidRDefault="00D00097">
      <w:pPr>
        <w:spacing w:after="140"/>
        <w:rPr>
          <w:rFonts w:ascii="Arial" w:eastAsia="Arial" w:hAnsi="Arial" w:cs="Arial"/>
          <w:b/>
          <w:sz w:val="24"/>
        </w:rPr>
      </w:pPr>
      <w:r>
        <w:rPr>
          <w:rFonts w:ascii="Arial" w:eastAsia="Arial" w:hAnsi="Arial" w:cs="Arial"/>
          <w:b/>
          <w:sz w:val="24"/>
        </w:rPr>
        <w:lastRenderedPageBreak/>
        <w:t>Selected key figures</w:t>
      </w:r>
    </w:p>
    <w:tbl>
      <w:tblPr>
        <w:tblW w:w="9960" w:type="dxa"/>
        <w:tblInd w:w="60" w:type="dxa"/>
        <w:tblLayout w:type="fixed"/>
        <w:tblCellMar>
          <w:left w:w="10" w:type="dxa"/>
          <w:right w:w="10" w:type="dxa"/>
        </w:tblCellMar>
        <w:tblLook w:val="04A0" w:firstRow="1" w:lastRow="0" w:firstColumn="1" w:lastColumn="0" w:noHBand="0" w:noVBand="1"/>
      </w:tblPr>
      <w:tblGrid>
        <w:gridCol w:w="3260"/>
        <w:gridCol w:w="1140"/>
        <w:gridCol w:w="1040"/>
        <w:gridCol w:w="1100"/>
        <w:gridCol w:w="140"/>
        <w:gridCol w:w="1140"/>
        <w:gridCol w:w="1040"/>
        <w:gridCol w:w="1100"/>
      </w:tblGrid>
      <w:tr w:rsidR="00D72C78" w14:paraId="02447BBB" w14:textId="77777777" w:rsidTr="00D61ABF">
        <w:trPr>
          <w:trHeight w:hRule="exact" w:val="300"/>
        </w:trPr>
        <w:tc>
          <w:tcPr>
            <w:tcW w:w="3260" w:type="dxa"/>
            <w:vMerge w:val="restart"/>
            <w:tcMar>
              <w:left w:w="60" w:type="dxa"/>
              <w:right w:w="40" w:type="dxa"/>
            </w:tcMar>
            <w:vAlign w:val="bottom"/>
          </w:tcPr>
          <w:p w14:paraId="162DBD72"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 xml:space="preserve">In $ millions </w:t>
            </w:r>
            <w:r>
              <w:rPr>
                <w:rFonts w:ascii="Arial" w:eastAsia="Arial" w:hAnsi="Arial" w:cs="Arial"/>
                <w:sz w:val="18"/>
              </w:rPr>
              <w:br/>
            </w:r>
            <w:r>
              <w:rPr>
                <w:rFonts w:ascii="Arial" w:eastAsia="Arial" w:hAnsi="Arial" w:cs="Arial"/>
                <w:sz w:val="16"/>
              </w:rPr>
              <w:t>(Unless indicated / EPS $ per share)</w:t>
            </w:r>
          </w:p>
        </w:tc>
        <w:tc>
          <w:tcPr>
            <w:tcW w:w="3280" w:type="dxa"/>
            <w:gridSpan w:val="3"/>
            <w:tcMar>
              <w:left w:w="60" w:type="dxa"/>
              <w:right w:w="60" w:type="dxa"/>
            </w:tcMar>
            <w:vAlign w:val="bottom"/>
          </w:tcPr>
          <w:p w14:paraId="73C98046" w14:textId="77777777" w:rsidR="00D72C78" w:rsidRDefault="00D72C78" w:rsidP="00D61ABF">
            <w:pPr>
              <w:keepNext/>
              <w:keepLines/>
              <w:spacing w:before="40" w:after="40"/>
              <w:jc w:val="center"/>
              <w:rPr>
                <w:rFonts w:ascii="Arial" w:eastAsia="Arial" w:hAnsi="Arial" w:cs="Arial"/>
                <w:sz w:val="22"/>
              </w:rPr>
            </w:pPr>
            <w:r>
              <w:rPr>
                <w:rFonts w:ascii="Arial" w:eastAsia="Arial" w:hAnsi="Arial" w:cs="Arial"/>
                <w:sz w:val="22"/>
              </w:rPr>
              <w:t>Q2</w:t>
            </w:r>
          </w:p>
        </w:tc>
        <w:tc>
          <w:tcPr>
            <w:tcW w:w="140" w:type="dxa"/>
            <w:tcMar>
              <w:left w:w="60" w:type="dxa"/>
              <w:right w:w="60" w:type="dxa"/>
            </w:tcMar>
            <w:vAlign w:val="bottom"/>
          </w:tcPr>
          <w:p w14:paraId="144AF0AC" w14:textId="77777777" w:rsidR="00D72C78" w:rsidRDefault="00D72C78" w:rsidP="00D61ABF">
            <w:pPr>
              <w:keepNext/>
              <w:keepLines/>
              <w:spacing w:before="40" w:after="40"/>
            </w:pPr>
          </w:p>
        </w:tc>
        <w:tc>
          <w:tcPr>
            <w:tcW w:w="3280" w:type="dxa"/>
            <w:gridSpan w:val="3"/>
            <w:tcMar>
              <w:left w:w="60" w:type="dxa"/>
              <w:right w:w="60" w:type="dxa"/>
            </w:tcMar>
            <w:vAlign w:val="bottom"/>
          </w:tcPr>
          <w:p w14:paraId="19FFB80D" w14:textId="77777777" w:rsidR="00D72C78" w:rsidRDefault="00D72C78" w:rsidP="00D61ABF">
            <w:pPr>
              <w:keepNext/>
              <w:keepLines/>
              <w:spacing w:before="40" w:after="40"/>
              <w:jc w:val="center"/>
              <w:rPr>
                <w:rFonts w:ascii="Arial" w:eastAsia="Arial" w:hAnsi="Arial" w:cs="Arial"/>
                <w:sz w:val="22"/>
              </w:rPr>
            </w:pPr>
            <w:r>
              <w:rPr>
                <w:rFonts w:ascii="Arial" w:eastAsia="Arial" w:hAnsi="Arial" w:cs="Arial"/>
                <w:sz w:val="22"/>
              </w:rPr>
              <w:t>H1</w:t>
            </w:r>
          </w:p>
        </w:tc>
      </w:tr>
      <w:tr w:rsidR="00D72C78" w14:paraId="5C7C4F4E" w14:textId="77777777" w:rsidTr="00D61ABF">
        <w:trPr>
          <w:trHeight w:hRule="exact" w:val="320"/>
        </w:trPr>
        <w:tc>
          <w:tcPr>
            <w:tcW w:w="3260" w:type="dxa"/>
            <w:vMerge/>
            <w:tcBorders>
              <w:bottom w:val="single" w:sz="16" w:space="0" w:color="auto"/>
            </w:tcBorders>
            <w:tcMar>
              <w:left w:w="60" w:type="dxa"/>
              <w:right w:w="0" w:type="dxa"/>
            </w:tcMar>
            <w:vAlign w:val="bottom"/>
          </w:tcPr>
          <w:p w14:paraId="184B6078" w14:textId="77777777" w:rsidR="00D72C78" w:rsidRDefault="00D72C78" w:rsidP="00D61ABF">
            <w:pPr>
              <w:keepNext/>
              <w:keepLines/>
              <w:spacing w:before="40" w:after="40"/>
            </w:pPr>
          </w:p>
        </w:tc>
        <w:tc>
          <w:tcPr>
            <w:tcW w:w="1140" w:type="dxa"/>
            <w:tcBorders>
              <w:top w:val="single" w:sz="8" w:space="0" w:color="898989"/>
              <w:bottom w:val="single" w:sz="16" w:space="0" w:color="auto"/>
            </w:tcBorders>
            <w:tcMar>
              <w:left w:w="60" w:type="dxa"/>
              <w:right w:w="60" w:type="dxa"/>
            </w:tcMar>
            <w:vAlign w:val="center"/>
          </w:tcPr>
          <w:p w14:paraId="1EC0A38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2019</w:t>
            </w:r>
          </w:p>
        </w:tc>
        <w:tc>
          <w:tcPr>
            <w:tcW w:w="1040" w:type="dxa"/>
            <w:tcBorders>
              <w:top w:val="single" w:sz="8" w:space="0" w:color="898989"/>
              <w:bottom w:val="single" w:sz="16" w:space="0" w:color="auto"/>
            </w:tcBorders>
            <w:tcMar>
              <w:left w:w="60" w:type="dxa"/>
              <w:right w:w="60" w:type="dxa"/>
            </w:tcMar>
            <w:vAlign w:val="center"/>
          </w:tcPr>
          <w:p w14:paraId="5F4E4AE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2018</w:t>
            </w:r>
          </w:p>
        </w:tc>
        <w:tc>
          <w:tcPr>
            <w:tcW w:w="1100" w:type="dxa"/>
            <w:tcBorders>
              <w:top w:val="single" w:sz="8" w:space="0" w:color="898989"/>
              <w:bottom w:val="single" w:sz="16" w:space="0" w:color="auto"/>
            </w:tcBorders>
            <w:tcMar>
              <w:left w:w="60" w:type="dxa"/>
              <w:right w:w="60" w:type="dxa"/>
            </w:tcMar>
            <w:vAlign w:val="center"/>
          </w:tcPr>
          <w:p w14:paraId="599C907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Change</w:t>
            </w:r>
          </w:p>
        </w:tc>
        <w:tc>
          <w:tcPr>
            <w:tcW w:w="140" w:type="dxa"/>
            <w:tcMar>
              <w:left w:w="60" w:type="dxa"/>
              <w:right w:w="60" w:type="dxa"/>
            </w:tcMar>
            <w:vAlign w:val="center"/>
          </w:tcPr>
          <w:p w14:paraId="665E9ABD" w14:textId="77777777" w:rsidR="00D72C78" w:rsidRDefault="00D72C78" w:rsidP="00D61ABF">
            <w:pPr>
              <w:keepNext/>
              <w:keepLines/>
              <w:spacing w:before="40" w:after="40"/>
            </w:pPr>
          </w:p>
        </w:tc>
        <w:tc>
          <w:tcPr>
            <w:tcW w:w="1140" w:type="dxa"/>
            <w:tcBorders>
              <w:top w:val="single" w:sz="8" w:space="0" w:color="898989"/>
              <w:bottom w:val="single" w:sz="16" w:space="0" w:color="auto"/>
            </w:tcBorders>
            <w:tcMar>
              <w:left w:w="60" w:type="dxa"/>
              <w:right w:w="60" w:type="dxa"/>
            </w:tcMar>
            <w:vAlign w:val="center"/>
          </w:tcPr>
          <w:p w14:paraId="56633461"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2019</w:t>
            </w:r>
          </w:p>
        </w:tc>
        <w:tc>
          <w:tcPr>
            <w:tcW w:w="1040" w:type="dxa"/>
            <w:tcBorders>
              <w:top w:val="single" w:sz="8" w:space="0" w:color="898989"/>
              <w:bottom w:val="single" w:sz="16" w:space="0" w:color="auto"/>
            </w:tcBorders>
            <w:tcMar>
              <w:left w:w="60" w:type="dxa"/>
              <w:right w:w="60" w:type="dxa"/>
            </w:tcMar>
            <w:vAlign w:val="center"/>
          </w:tcPr>
          <w:p w14:paraId="36DD4069"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2018</w:t>
            </w:r>
          </w:p>
        </w:tc>
        <w:tc>
          <w:tcPr>
            <w:tcW w:w="1100" w:type="dxa"/>
            <w:tcBorders>
              <w:top w:val="single" w:sz="8" w:space="0" w:color="898989"/>
              <w:bottom w:val="single" w:sz="16" w:space="0" w:color="auto"/>
            </w:tcBorders>
            <w:tcMar>
              <w:left w:w="60" w:type="dxa"/>
              <w:right w:w="60" w:type="dxa"/>
            </w:tcMar>
            <w:vAlign w:val="center"/>
          </w:tcPr>
          <w:p w14:paraId="60FCC772"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Change</w:t>
            </w:r>
          </w:p>
        </w:tc>
      </w:tr>
      <w:tr w:rsidR="00D72C78" w14:paraId="689212E9" w14:textId="77777777" w:rsidTr="00575664">
        <w:trPr>
          <w:trHeight w:hRule="exact" w:val="566"/>
        </w:trPr>
        <w:tc>
          <w:tcPr>
            <w:tcW w:w="3260" w:type="dxa"/>
            <w:tcBorders>
              <w:top w:val="single" w:sz="16" w:space="0" w:color="auto"/>
              <w:right w:val="single" w:sz="8" w:space="0" w:color="898989"/>
            </w:tcBorders>
            <w:tcMar>
              <w:left w:w="60" w:type="dxa"/>
              <w:right w:w="40" w:type="dxa"/>
            </w:tcMar>
            <w:vAlign w:val="center"/>
          </w:tcPr>
          <w:p w14:paraId="27FB5CF2" w14:textId="77777777" w:rsidR="00D72C78" w:rsidRDefault="00D72C78" w:rsidP="00D61ABF">
            <w:pPr>
              <w:keepNext/>
              <w:keepLines/>
              <w:spacing w:before="40" w:after="40"/>
              <w:rPr>
                <w:rFonts w:ascii="Arial" w:eastAsia="Arial" w:hAnsi="Arial" w:cs="Arial"/>
              </w:rPr>
            </w:pPr>
            <w:r>
              <w:rPr>
                <w:rFonts w:ascii="Arial" w:eastAsia="Arial" w:hAnsi="Arial" w:cs="Arial"/>
              </w:rPr>
              <w:t>Net sales</w:t>
            </w:r>
          </w:p>
        </w:tc>
        <w:tc>
          <w:tcPr>
            <w:tcW w:w="1140" w:type="dxa"/>
            <w:tcBorders>
              <w:left w:val="single" w:sz="8" w:space="0" w:color="898989"/>
            </w:tcBorders>
            <w:tcMar>
              <w:left w:w="60" w:type="dxa"/>
              <w:right w:w="60" w:type="dxa"/>
            </w:tcMar>
            <w:vAlign w:val="center"/>
          </w:tcPr>
          <w:p w14:paraId="7129822F" w14:textId="77777777" w:rsidR="00D72C78" w:rsidRPr="00E470C3" w:rsidRDefault="00D72C78" w:rsidP="00D61ABF">
            <w:pPr>
              <w:keepNext/>
              <w:keepLines/>
              <w:spacing w:before="40" w:after="40"/>
              <w:jc w:val="center"/>
              <w:rPr>
                <w:rFonts w:ascii="Arial" w:eastAsia="Arial" w:hAnsi="Arial" w:cs="Arial"/>
                <w:sz w:val="18"/>
              </w:rPr>
            </w:pPr>
            <w:r w:rsidRPr="00E470C3">
              <w:rPr>
                <w:rFonts w:ascii="Arial" w:eastAsia="Arial" w:hAnsi="Arial" w:cs="Arial"/>
                <w:color w:val="000000"/>
                <w:sz w:val="18"/>
              </w:rPr>
              <w:t>381.6</w:t>
            </w:r>
          </w:p>
        </w:tc>
        <w:tc>
          <w:tcPr>
            <w:tcW w:w="1040" w:type="dxa"/>
            <w:tcBorders>
              <w:left w:val="single" w:sz="8" w:space="0" w:color="898989"/>
            </w:tcBorders>
            <w:tcMar>
              <w:left w:w="60" w:type="dxa"/>
              <w:right w:w="60" w:type="dxa"/>
            </w:tcMar>
            <w:vAlign w:val="center"/>
          </w:tcPr>
          <w:p w14:paraId="60742FD8" w14:textId="77777777" w:rsidR="00D72C78" w:rsidRPr="00E470C3" w:rsidRDefault="00D72C78" w:rsidP="00D61ABF">
            <w:pPr>
              <w:keepNext/>
              <w:keepLines/>
              <w:spacing w:before="40" w:after="40"/>
              <w:jc w:val="center"/>
              <w:rPr>
                <w:rFonts w:ascii="Arial" w:eastAsia="Arial" w:hAnsi="Arial" w:cs="Arial"/>
                <w:sz w:val="18"/>
              </w:rPr>
            </w:pPr>
            <w:r w:rsidRPr="00E470C3">
              <w:rPr>
                <w:rFonts w:ascii="Arial" w:eastAsia="Arial" w:hAnsi="Arial" w:cs="Arial"/>
                <w:color w:val="000000"/>
                <w:sz w:val="18"/>
              </w:rPr>
              <w:t>377.2</w:t>
            </w:r>
          </w:p>
        </w:tc>
        <w:tc>
          <w:tcPr>
            <w:tcW w:w="1100" w:type="dxa"/>
            <w:tcBorders>
              <w:top w:val="single" w:sz="16" w:space="0" w:color="auto"/>
              <w:left w:val="single" w:sz="8" w:space="0" w:color="898989"/>
            </w:tcBorders>
            <w:tcMar>
              <w:left w:w="60" w:type="dxa"/>
              <w:right w:w="60" w:type="dxa"/>
            </w:tcMar>
            <w:vAlign w:val="center"/>
          </w:tcPr>
          <w:p w14:paraId="645C6B86" w14:textId="77777777" w:rsidR="00B0487F" w:rsidRPr="00575664" w:rsidRDefault="00D72C78" w:rsidP="00B0487F">
            <w:pPr>
              <w:keepNext/>
              <w:keepLines/>
              <w:spacing w:before="40" w:after="40"/>
              <w:jc w:val="center"/>
              <w:rPr>
                <w:rFonts w:ascii="Arial" w:eastAsia="Arial" w:hAnsi="Arial" w:cs="Arial"/>
                <w:color w:val="000000"/>
                <w:sz w:val="18"/>
              </w:rPr>
            </w:pPr>
            <w:r w:rsidRPr="00E470C3">
              <w:rPr>
                <w:rFonts w:ascii="Arial" w:eastAsia="Arial" w:hAnsi="Arial" w:cs="Arial"/>
                <w:color w:val="000000"/>
                <w:sz w:val="18"/>
              </w:rPr>
              <w:t>1%</w:t>
            </w:r>
            <w:r w:rsidR="00575664">
              <w:rPr>
                <w:rFonts w:ascii="Arial" w:eastAsia="Arial" w:hAnsi="Arial" w:cs="Arial"/>
                <w:color w:val="000000"/>
                <w:sz w:val="18"/>
              </w:rPr>
              <w:t xml:space="preserve"> </w:t>
            </w:r>
            <w:r w:rsidR="00575664">
              <w:rPr>
                <w:rFonts w:ascii="Arial" w:eastAsia="Arial" w:hAnsi="Arial" w:cs="Arial"/>
                <w:color w:val="000000"/>
                <w:sz w:val="18"/>
              </w:rPr>
              <w:br/>
              <w:t>(5% CER)</w:t>
            </w:r>
          </w:p>
        </w:tc>
        <w:tc>
          <w:tcPr>
            <w:tcW w:w="140" w:type="dxa"/>
            <w:tcMar>
              <w:left w:w="60" w:type="dxa"/>
              <w:right w:w="60" w:type="dxa"/>
            </w:tcMar>
            <w:vAlign w:val="center"/>
          </w:tcPr>
          <w:p w14:paraId="4895EFC3" w14:textId="77777777" w:rsidR="00D72C78" w:rsidRPr="00E470C3" w:rsidRDefault="00D72C78" w:rsidP="00D61ABF">
            <w:pPr>
              <w:keepNext/>
              <w:keepLines/>
              <w:spacing w:before="40" w:after="40"/>
            </w:pPr>
          </w:p>
        </w:tc>
        <w:tc>
          <w:tcPr>
            <w:tcW w:w="1140" w:type="dxa"/>
            <w:tcMar>
              <w:left w:w="60" w:type="dxa"/>
              <w:right w:w="60" w:type="dxa"/>
            </w:tcMar>
            <w:vAlign w:val="center"/>
          </w:tcPr>
          <w:p w14:paraId="3B1BDDE3" w14:textId="77777777" w:rsidR="00D72C78" w:rsidRPr="00E470C3" w:rsidRDefault="00D72C78" w:rsidP="00D61ABF">
            <w:pPr>
              <w:keepNext/>
              <w:keepLines/>
              <w:spacing w:before="40" w:after="40"/>
              <w:jc w:val="center"/>
              <w:rPr>
                <w:rFonts w:ascii="Arial" w:eastAsia="Arial" w:hAnsi="Arial" w:cs="Arial"/>
                <w:sz w:val="18"/>
              </w:rPr>
            </w:pPr>
            <w:r w:rsidRPr="00E470C3">
              <w:rPr>
                <w:rFonts w:ascii="Arial" w:eastAsia="Arial" w:hAnsi="Arial" w:cs="Arial"/>
                <w:color w:val="000000"/>
                <w:sz w:val="18"/>
              </w:rPr>
              <w:t>730.3</w:t>
            </w:r>
          </w:p>
        </w:tc>
        <w:tc>
          <w:tcPr>
            <w:tcW w:w="1040" w:type="dxa"/>
            <w:tcBorders>
              <w:left w:val="single" w:sz="8" w:space="0" w:color="898989"/>
            </w:tcBorders>
            <w:tcMar>
              <w:left w:w="60" w:type="dxa"/>
              <w:right w:w="60" w:type="dxa"/>
            </w:tcMar>
            <w:vAlign w:val="center"/>
          </w:tcPr>
          <w:p w14:paraId="371C2355" w14:textId="77777777" w:rsidR="00D72C78" w:rsidRPr="00E470C3" w:rsidRDefault="00D72C78" w:rsidP="00D61ABF">
            <w:pPr>
              <w:keepNext/>
              <w:keepLines/>
              <w:spacing w:before="40" w:after="40"/>
              <w:jc w:val="center"/>
              <w:rPr>
                <w:rFonts w:ascii="Arial" w:eastAsia="Arial" w:hAnsi="Arial" w:cs="Arial"/>
                <w:sz w:val="18"/>
              </w:rPr>
            </w:pPr>
            <w:r w:rsidRPr="00E470C3">
              <w:rPr>
                <w:rFonts w:ascii="Arial" w:eastAsia="Arial" w:hAnsi="Arial" w:cs="Arial"/>
                <w:color w:val="000000"/>
                <w:sz w:val="18"/>
              </w:rPr>
              <w:t>720.8</w:t>
            </w:r>
          </w:p>
        </w:tc>
        <w:tc>
          <w:tcPr>
            <w:tcW w:w="1100" w:type="dxa"/>
            <w:tcBorders>
              <w:top w:val="single" w:sz="16" w:space="0" w:color="auto"/>
              <w:left w:val="single" w:sz="8" w:space="0" w:color="898989"/>
            </w:tcBorders>
            <w:tcMar>
              <w:left w:w="60" w:type="dxa"/>
              <w:right w:w="60" w:type="dxa"/>
            </w:tcMar>
            <w:vAlign w:val="center"/>
          </w:tcPr>
          <w:p w14:paraId="4D8453DD" w14:textId="77777777" w:rsidR="00D72C78" w:rsidRPr="00575664" w:rsidRDefault="00D72C78" w:rsidP="00D61ABF">
            <w:pPr>
              <w:keepNext/>
              <w:keepLines/>
              <w:spacing w:before="40" w:after="40"/>
              <w:jc w:val="center"/>
              <w:rPr>
                <w:rFonts w:ascii="Arial" w:eastAsia="Arial" w:hAnsi="Arial" w:cs="Arial"/>
                <w:sz w:val="18"/>
              </w:rPr>
            </w:pPr>
            <w:r w:rsidRPr="00E470C3">
              <w:rPr>
                <w:rFonts w:ascii="Arial" w:eastAsia="Arial" w:hAnsi="Arial" w:cs="Arial"/>
                <w:color w:val="000000"/>
                <w:sz w:val="18"/>
              </w:rPr>
              <w:t>1%</w:t>
            </w:r>
            <w:r w:rsidR="00575664">
              <w:rPr>
                <w:rFonts w:ascii="Arial" w:eastAsia="Arial" w:hAnsi="Arial" w:cs="Arial"/>
                <w:color w:val="000000"/>
                <w:sz w:val="18"/>
              </w:rPr>
              <w:br/>
              <w:t>(5% CER)</w:t>
            </w:r>
          </w:p>
        </w:tc>
      </w:tr>
      <w:tr w:rsidR="00D72C78" w14:paraId="41C598CA" w14:textId="77777777" w:rsidTr="000E4B8D">
        <w:trPr>
          <w:trHeight w:hRule="exact" w:val="320"/>
        </w:trPr>
        <w:tc>
          <w:tcPr>
            <w:tcW w:w="3260" w:type="dxa"/>
            <w:tcBorders>
              <w:top w:val="single" w:sz="8" w:space="0" w:color="898989"/>
            </w:tcBorders>
            <w:tcMar>
              <w:left w:w="60" w:type="dxa"/>
              <w:right w:w="40" w:type="dxa"/>
            </w:tcMar>
            <w:vAlign w:val="center"/>
          </w:tcPr>
          <w:p w14:paraId="46EC5560" w14:textId="77777777" w:rsidR="00D72C78" w:rsidRDefault="00D72C78" w:rsidP="00D61ABF">
            <w:pPr>
              <w:keepNext/>
              <w:keepLines/>
              <w:spacing w:before="40" w:after="40"/>
              <w:rPr>
                <w:rFonts w:ascii="Arial" w:eastAsia="Arial" w:hAnsi="Arial" w:cs="Arial"/>
              </w:rPr>
            </w:pPr>
            <w:r>
              <w:rPr>
                <w:rFonts w:ascii="Arial" w:eastAsia="Arial" w:hAnsi="Arial" w:cs="Arial"/>
              </w:rPr>
              <w:t>Operating income</w:t>
            </w:r>
          </w:p>
        </w:tc>
        <w:tc>
          <w:tcPr>
            <w:tcW w:w="11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739430D1"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60.2</w:t>
            </w:r>
          </w:p>
        </w:tc>
        <w:tc>
          <w:tcPr>
            <w:tcW w:w="10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1721C62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53.3</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05BC76C1"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13%</w:t>
            </w:r>
          </w:p>
        </w:tc>
        <w:tc>
          <w:tcPr>
            <w:tcW w:w="140" w:type="dxa"/>
            <w:tcMar>
              <w:left w:w="60" w:type="dxa"/>
              <w:right w:w="60" w:type="dxa"/>
            </w:tcMar>
            <w:vAlign w:val="center"/>
          </w:tcPr>
          <w:p w14:paraId="2A248BC1" w14:textId="77777777" w:rsidR="00D72C78" w:rsidRDefault="00D72C78" w:rsidP="00D61ABF">
            <w:pPr>
              <w:keepNext/>
              <w:keepLines/>
              <w:spacing w:before="40" w:after="40"/>
            </w:pPr>
          </w:p>
        </w:tc>
        <w:tc>
          <w:tcPr>
            <w:tcW w:w="1140" w:type="dxa"/>
            <w:tcBorders>
              <w:top w:val="single" w:sz="8" w:space="0" w:color="898989"/>
              <w:bottom w:val="single" w:sz="8" w:space="0" w:color="898989"/>
              <w:right w:val="single" w:sz="8" w:space="0" w:color="898989"/>
            </w:tcBorders>
            <w:tcMar>
              <w:left w:w="60" w:type="dxa"/>
              <w:right w:w="60" w:type="dxa"/>
            </w:tcMar>
            <w:vAlign w:val="center"/>
          </w:tcPr>
          <w:p w14:paraId="5712231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101.3</w:t>
            </w:r>
          </w:p>
        </w:tc>
        <w:tc>
          <w:tcPr>
            <w:tcW w:w="10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6DD8D0C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101.3</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31CDDDE0"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w:t>
            </w:r>
          </w:p>
        </w:tc>
      </w:tr>
      <w:tr w:rsidR="00D72C78" w14:paraId="17A77CE7" w14:textId="77777777" w:rsidTr="000E4B8D">
        <w:trPr>
          <w:trHeight w:hRule="exact" w:val="320"/>
        </w:trPr>
        <w:tc>
          <w:tcPr>
            <w:tcW w:w="3260" w:type="dxa"/>
            <w:tcBorders>
              <w:top w:val="single" w:sz="8" w:space="0" w:color="898989"/>
              <w:bottom w:val="single" w:sz="8" w:space="0" w:color="898989"/>
              <w:right w:val="single" w:sz="8" w:space="0" w:color="898989"/>
            </w:tcBorders>
            <w:tcMar>
              <w:left w:w="60" w:type="dxa"/>
              <w:right w:w="40" w:type="dxa"/>
            </w:tcMar>
            <w:vAlign w:val="center"/>
          </w:tcPr>
          <w:p w14:paraId="548362FC" w14:textId="77777777" w:rsidR="00D72C78" w:rsidRDefault="00D72C78" w:rsidP="00D61ABF">
            <w:pPr>
              <w:keepNext/>
              <w:keepLines/>
              <w:spacing w:before="40" w:after="40"/>
              <w:rPr>
                <w:rFonts w:ascii="Arial" w:eastAsia="Arial" w:hAnsi="Arial" w:cs="Arial"/>
              </w:rPr>
            </w:pPr>
            <w:r>
              <w:rPr>
                <w:rFonts w:ascii="Arial" w:eastAsia="Arial" w:hAnsi="Arial" w:cs="Arial"/>
              </w:rPr>
              <w:t>Adjusted operating income</w:t>
            </w:r>
          </w:p>
        </w:tc>
        <w:tc>
          <w:tcPr>
            <w:tcW w:w="11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4F794313"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99.1</w:t>
            </w:r>
          </w:p>
        </w:tc>
        <w:tc>
          <w:tcPr>
            <w:tcW w:w="1040" w:type="dxa"/>
            <w:tcBorders>
              <w:top w:val="single" w:sz="8" w:space="0" w:color="898989"/>
              <w:left w:val="single" w:sz="8" w:space="0" w:color="898989"/>
              <w:bottom w:val="single" w:sz="8" w:space="0" w:color="898989"/>
            </w:tcBorders>
            <w:tcMar>
              <w:left w:w="60" w:type="dxa"/>
              <w:right w:w="60" w:type="dxa"/>
            </w:tcMar>
            <w:vAlign w:val="center"/>
          </w:tcPr>
          <w:p w14:paraId="7A0F0E7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101.0</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2EAAA78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w:t>
            </w:r>
          </w:p>
        </w:tc>
        <w:tc>
          <w:tcPr>
            <w:tcW w:w="140" w:type="dxa"/>
            <w:tcMar>
              <w:left w:w="60" w:type="dxa"/>
              <w:right w:w="60" w:type="dxa"/>
            </w:tcMar>
            <w:vAlign w:val="center"/>
          </w:tcPr>
          <w:p w14:paraId="63EA883D" w14:textId="77777777" w:rsidR="00D72C78" w:rsidRDefault="00D72C78" w:rsidP="00D61ABF">
            <w:pPr>
              <w:keepNext/>
              <w:keepLines/>
              <w:spacing w:before="40" w:after="40"/>
            </w:pPr>
          </w:p>
        </w:tc>
        <w:tc>
          <w:tcPr>
            <w:tcW w:w="1140" w:type="dxa"/>
            <w:tcBorders>
              <w:top w:val="single" w:sz="8" w:space="0" w:color="898989"/>
              <w:bottom w:val="single" w:sz="8" w:space="0" w:color="898989"/>
              <w:right w:val="single" w:sz="8" w:space="0" w:color="898989"/>
            </w:tcBorders>
            <w:tcMar>
              <w:left w:w="60" w:type="dxa"/>
              <w:right w:w="60" w:type="dxa"/>
            </w:tcMar>
            <w:vAlign w:val="center"/>
          </w:tcPr>
          <w:p w14:paraId="377978F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177.0</w:t>
            </w:r>
          </w:p>
        </w:tc>
        <w:tc>
          <w:tcPr>
            <w:tcW w:w="1040" w:type="dxa"/>
            <w:tcBorders>
              <w:top w:val="single" w:sz="8" w:space="0" w:color="898989"/>
              <w:left w:val="single" w:sz="8" w:space="0" w:color="898989"/>
              <w:bottom w:val="single" w:sz="8" w:space="0" w:color="898989"/>
            </w:tcBorders>
            <w:tcMar>
              <w:left w:w="60" w:type="dxa"/>
              <w:right w:w="60" w:type="dxa"/>
            </w:tcMar>
            <w:vAlign w:val="center"/>
          </w:tcPr>
          <w:p w14:paraId="4A221EF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178.3</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1A0A4937"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w:t>
            </w:r>
          </w:p>
        </w:tc>
      </w:tr>
      <w:tr w:rsidR="00D72C78" w14:paraId="30D654B1" w14:textId="77777777" w:rsidTr="000E4B8D">
        <w:trPr>
          <w:trHeight w:hRule="exact" w:val="320"/>
        </w:trPr>
        <w:tc>
          <w:tcPr>
            <w:tcW w:w="3260" w:type="dxa"/>
            <w:tcBorders>
              <w:top w:val="single" w:sz="8" w:space="0" w:color="898989"/>
            </w:tcBorders>
            <w:tcMar>
              <w:left w:w="60" w:type="dxa"/>
              <w:right w:w="40" w:type="dxa"/>
            </w:tcMar>
            <w:vAlign w:val="center"/>
          </w:tcPr>
          <w:p w14:paraId="0F6F6D0F" w14:textId="77777777" w:rsidR="00D72C78" w:rsidRDefault="00D72C78" w:rsidP="00D61ABF">
            <w:pPr>
              <w:keepNext/>
              <w:keepLines/>
              <w:spacing w:before="40" w:after="40"/>
              <w:rPr>
                <w:rFonts w:ascii="Arial" w:eastAsia="Arial" w:hAnsi="Arial" w:cs="Arial"/>
              </w:rPr>
            </w:pPr>
            <w:r>
              <w:rPr>
                <w:rFonts w:ascii="Arial" w:eastAsia="Arial" w:hAnsi="Arial" w:cs="Arial"/>
              </w:rPr>
              <w:t>Net income</w:t>
            </w:r>
          </w:p>
        </w:tc>
        <w:tc>
          <w:tcPr>
            <w:tcW w:w="11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40B78256"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44.7</w:t>
            </w:r>
          </w:p>
        </w:tc>
        <w:tc>
          <w:tcPr>
            <w:tcW w:w="1040" w:type="dxa"/>
            <w:tcBorders>
              <w:top w:val="single" w:sz="8" w:space="0" w:color="898989"/>
              <w:left w:val="single" w:sz="8" w:space="0" w:color="898989"/>
            </w:tcBorders>
            <w:tcMar>
              <w:left w:w="60" w:type="dxa"/>
              <w:right w:w="60" w:type="dxa"/>
            </w:tcMar>
            <w:vAlign w:val="center"/>
          </w:tcPr>
          <w:p w14:paraId="5B0FE552"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36.8</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0BDD70F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21%</w:t>
            </w:r>
          </w:p>
        </w:tc>
        <w:tc>
          <w:tcPr>
            <w:tcW w:w="140" w:type="dxa"/>
            <w:tcMar>
              <w:left w:w="60" w:type="dxa"/>
              <w:right w:w="60" w:type="dxa"/>
            </w:tcMar>
            <w:vAlign w:val="center"/>
          </w:tcPr>
          <w:p w14:paraId="49430546" w14:textId="77777777" w:rsidR="00D72C78" w:rsidRDefault="00D72C78" w:rsidP="00D61ABF">
            <w:pPr>
              <w:keepNext/>
              <w:keepLines/>
              <w:spacing w:before="40" w:after="40"/>
            </w:pPr>
          </w:p>
        </w:tc>
        <w:tc>
          <w:tcPr>
            <w:tcW w:w="1140" w:type="dxa"/>
            <w:tcMar>
              <w:left w:w="60" w:type="dxa"/>
              <w:right w:w="60" w:type="dxa"/>
            </w:tcMar>
            <w:vAlign w:val="center"/>
          </w:tcPr>
          <w:p w14:paraId="2B2E36F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74.2</w:t>
            </w:r>
          </w:p>
        </w:tc>
        <w:tc>
          <w:tcPr>
            <w:tcW w:w="1040" w:type="dxa"/>
            <w:tcBorders>
              <w:top w:val="single" w:sz="8" w:space="0" w:color="898989"/>
              <w:left w:val="single" w:sz="8" w:space="0" w:color="898989"/>
            </w:tcBorders>
            <w:tcMar>
              <w:left w:w="60" w:type="dxa"/>
              <w:right w:w="60" w:type="dxa"/>
            </w:tcMar>
            <w:vAlign w:val="center"/>
          </w:tcPr>
          <w:p w14:paraId="26FF176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69.1</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23312E9F"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7%</w:t>
            </w:r>
          </w:p>
        </w:tc>
      </w:tr>
      <w:tr w:rsidR="00D72C78" w14:paraId="37355423" w14:textId="77777777" w:rsidTr="000E4B8D">
        <w:trPr>
          <w:trHeight w:hRule="exact" w:val="320"/>
        </w:trPr>
        <w:tc>
          <w:tcPr>
            <w:tcW w:w="3260" w:type="dxa"/>
            <w:tcBorders>
              <w:top w:val="single" w:sz="8" w:space="0" w:color="898989"/>
            </w:tcBorders>
            <w:tcMar>
              <w:left w:w="60" w:type="dxa"/>
              <w:right w:w="40" w:type="dxa"/>
            </w:tcMar>
            <w:vAlign w:val="center"/>
          </w:tcPr>
          <w:p w14:paraId="297BD65B" w14:textId="77777777" w:rsidR="00D72C78" w:rsidRDefault="00D72C78" w:rsidP="00D61ABF">
            <w:pPr>
              <w:keepNext/>
              <w:keepLines/>
              <w:spacing w:before="40" w:after="40"/>
              <w:rPr>
                <w:rFonts w:ascii="Arial" w:eastAsia="Arial" w:hAnsi="Arial" w:cs="Arial"/>
              </w:rPr>
            </w:pPr>
            <w:r>
              <w:rPr>
                <w:rFonts w:ascii="Arial" w:eastAsia="Arial" w:hAnsi="Arial" w:cs="Arial"/>
              </w:rPr>
              <w:t>Adjusted net income</w:t>
            </w:r>
          </w:p>
        </w:tc>
        <w:tc>
          <w:tcPr>
            <w:tcW w:w="1140" w:type="dxa"/>
            <w:tcBorders>
              <w:top w:val="single" w:sz="8" w:space="0" w:color="898989"/>
              <w:left w:val="single" w:sz="8" w:space="0" w:color="898989"/>
            </w:tcBorders>
            <w:tcMar>
              <w:left w:w="60" w:type="dxa"/>
              <w:right w:w="60" w:type="dxa"/>
            </w:tcMar>
            <w:vAlign w:val="center"/>
          </w:tcPr>
          <w:p w14:paraId="0EDB228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77.4</w:t>
            </w:r>
          </w:p>
        </w:tc>
        <w:tc>
          <w:tcPr>
            <w:tcW w:w="1040" w:type="dxa"/>
            <w:tcBorders>
              <w:top w:val="single" w:sz="8" w:space="0" w:color="898989"/>
              <w:left w:val="single" w:sz="8" w:space="0" w:color="898989"/>
            </w:tcBorders>
            <w:tcMar>
              <w:left w:w="60" w:type="dxa"/>
              <w:right w:w="60" w:type="dxa"/>
            </w:tcMar>
            <w:vAlign w:val="center"/>
          </w:tcPr>
          <w:p w14:paraId="07C92543"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77.2</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4AA72AF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w:t>
            </w:r>
          </w:p>
        </w:tc>
        <w:tc>
          <w:tcPr>
            <w:tcW w:w="140" w:type="dxa"/>
            <w:tcMar>
              <w:left w:w="60" w:type="dxa"/>
              <w:right w:w="60" w:type="dxa"/>
            </w:tcMar>
            <w:vAlign w:val="center"/>
          </w:tcPr>
          <w:p w14:paraId="0A294032" w14:textId="77777777" w:rsidR="00D72C78" w:rsidRDefault="00D72C78" w:rsidP="00D61ABF">
            <w:pPr>
              <w:keepNext/>
              <w:keepLines/>
              <w:spacing w:before="40" w:after="40"/>
            </w:pPr>
          </w:p>
        </w:tc>
        <w:tc>
          <w:tcPr>
            <w:tcW w:w="1140" w:type="dxa"/>
            <w:tcBorders>
              <w:top w:val="single" w:sz="8" w:space="0" w:color="898989"/>
            </w:tcBorders>
            <w:tcMar>
              <w:left w:w="60" w:type="dxa"/>
              <w:right w:w="60" w:type="dxa"/>
            </w:tcMar>
            <w:vAlign w:val="center"/>
          </w:tcPr>
          <w:p w14:paraId="6B90838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139.4</w:t>
            </w:r>
          </w:p>
        </w:tc>
        <w:tc>
          <w:tcPr>
            <w:tcW w:w="1040" w:type="dxa"/>
            <w:tcBorders>
              <w:top w:val="single" w:sz="8" w:space="0" w:color="898989"/>
              <w:left w:val="single" w:sz="8" w:space="0" w:color="898989"/>
            </w:tcBorders>
            <w:tcMar>
              <w:left w:w="60" w:type="dxa"/>
              <w:right w:w="60" w:type="dxa"/>
            </w:tcMar>
            <w:vAlign w:val="center"/>
          </w:tcPr>
          <w:p w14:paraId="2213735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136.8</w:t>
            </w:r>
          </w:p>
        </w:tc>
        <w:tc>
          <w:tcPr>
            <w:tcW w:w="1100" w:type="dxa"/>
            <w:tcBorders>
              <w:top w:val="single" w:sz="8" w:space="0" w:color="898989"/>
              <w:left w:val="single" w:sz="8" w:space="0" w:color="898989"/>
              <w:bottom w:val="single" w:sz="8" w:space="0" w:color="898989"/>
            </w:tcBorders>
            <w:tcMar>
              <w:left w:w="60" w:type="dxa"/>
              <w:right w:w="60" w:type="dxa"/>
            </w:tcMar>
            <w:vAlign w:val="center"/>
          </w:tcPr>
          <w:p w14:paraId="5F3CB69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w:t>
            </w:r>
          </w:p>
        </w:tc>
      </w:tr>
      <w:tr w:rsidR="00D72C78" w14:paraId="756002DE" w14:textId="77777777" w:rsidTr="000E4B8D">
        <w:trPr>
          <w:trHeight w:hRule="exact" w:val="320"/>
        </w:trPr>
        <w:tc>
          <w:tcPr>
            <w:tcW w:w="3260" w:type="dxa"/>
            <w:tcBorders>
              <w:top w:val="single" w:sz="8" w:space="0" w:color="898989"/>
              <w:bottom w:val="single" w:sz="8" w:space="0" w:color="898989"/>
            </w:tcBorders>
            <w:tcMar>
              <w:left w:w="60" w:type="dxa"/>
              <w:right w:w="40" w:type="dxa"/>
            </w:tcMar>
            <w:vAlign w:val="center"/>
          </w:tcPr>
          <w:p w14:paraId="13E98CAC" w14:textId="77777777" w:rsidR="00D72C78" w:rsidRDefault="00D72C78" w:rsidP="00D61ABF">
            <w:pPr>
              <w:keepNext/>
              <w:keepLines/>
              <w:spacing w:before="40" w:after="40"/>
              <w:rPr>
                <w:rFonts w:ascii="Arial" w:eastAsia="Arial" w:hAnsi="Arial" w:cs="Arial"/>
              </w:rPr>
            </w:pPr>
            <w:r>
              <w:rPr>
                <w:rFonts w:ascii="Arial" w:eastAsia="Arial" w:hAnsi="Arial" w:cs="Arial"/>
              </w:rPr>
              <w:t>Diluted EPS</w:t>
            </w:r>
            <w:r>
              <w:rPr>
                <w:rFonts w:ascii="Arial" w:eastAsia="Arial" w:hAnsi="Arial" w:cs="Arial"/>
                <w:vertAlign w:val="superscript"/>
              </w:rPr>
              <w:t>(1)</w:t>
            </w:r>
          </w:p>
        </w:tc>
        <w:tc>
          <w:tcPr>
            <w:tcW w:w="1140" w:type="dxa"/>
            <w:tcBorders>
              <w:top w:val="single" w:sz="8" w:space="0" w:color="898989"/>
              <w:left w:val="single" w:sz="8" w:space="0" w:color="898989"/>
              <w:bottom w:val="single" w:sz="8" w:space="0" w:color="898989"/>
            </w:tcBorders>
            <w:tcMar>
              <w:left w:w="60" w:type="dxa"/>
              <w:right w:w="60" w:type="dxa"/>
            </w:tcMar>
            <w:vAlign w:val="center"/>
          </w:tcPr>
          <w:p w14:paraId="01C660A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$0.19</w:t>
            </w:r>
          </w:p>
        </w:tc>
        <w:tc>
          <w:tcPr>
            <w:tcW w:w="10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32779D8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$0.16</w:t>
            </w:r>
          </w:p>
        </w:tc>
        <w:tc>
          <w:tcPr>
            <w:tcW w:w="1100" w:type="dxa"/>
            <w:tcBorders>
              <w:bottom w:val="single" w:sz="8" w:space="0" w:color="898989"/>
            </w:tcBorders>
            <w:tcMar>
              <w:left w:w="60" w:type="dxa"/>
              <w:right w:w="60" w:type="dxa"/>
            </w:tcMar>
            <w:vAlign w:val="center"/>
          </w:tcPr>
          <w:p w14:paraId="31E3CF64" w14:textId="77777777" w:rsidR="00D72C78" w:rsidRDefault="00D72C78" w:rsidP="00D61ABF">
            <w:pPr>
              <w:keepNext/>
              <w:keepLines/>
              <w:spacing w:before="40" w:after="40"/>
            </w:pPr>
          </w:p>
        </w:tc>
        <w:tc>
          <w:tcPr>
            <w:tcW w:w="140" w:type="dxa"/>
            <w:tcMar>
              <w:left w:w="60" w:type="dxa"/>
              <w:right w:w="60" w:type="dxa"/>
            </w:tcMar>
            <w:vAlign w:val="center"/>
          </w:tcPr>
          <w:p w14:paraId="0B97FD68" w14:textId="77777777" w:rsidR="00D72C78" w:rsidRDefault="00D72C78" w:rsidP="00D61ABF">
            <w:pPr>
              <w:keepNext/>
              <w:keepLines/>
              <w:spacing w:before="40" w:after="40"/>
            </w:pPr>
          </w:p>
        </w:tc>
        <w:tc>
          <w:tcPr>
            <w:tcW w:w="1140" w:type="dxa"/>
            <w:tcBorders>
              <w:top w:val="single" w:sz="8" w:space="0" w:color="898989"/>
              <w:bottom w:val="single" w:sz="8" w:space="0" w:color="898989"/>
            </w:tcBorders>
            <w:tcMar>
              <w:left w:w="60" w:type="dxa"/>
              <w:right w:w="60" w:type="dxa"/>
            </w:tcMar>
            <w:vAlign w:val="center"/>
          </w:tcPr>
          <w:p w14:paraId="60E13C9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$0.32</w:t>
            </w:r>
          </w:p>
        </w:tc>
        <w:tc>
          <w:tcPr>
            <w:tcW w:w="1040" w:type="dxa"/>
            <w:tcBorders>
              <w:top w:val="single" w:sz="8" w:space="0" w:color="898989"/>
              <w:left w:val="single" w:sz="8" w:space="0" w:color="898989"/>
              <w:bottom w:val="single" w:sz="8" w:space="0" w:color="898989"/>
              <w:right w:val="single" w:sz="8" w:space="0" w:color="898989"/>
            </w:tcBorders>
            <w:tcMar>
              <w:left w:w="60" w:type="dxa"/>
              <w:right w:w="60" w:type="dxa"/>
            </w:tcMar>
            <w:vAlign w:val="center"/>
          </w:tcPr>
          <w:p w14:paraId="3BDE8DC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$0.30</w:t>
            </w:r>
          </w:p>
        </w:tc>
        <w:tc>
          <w:tcPr>
            <w:tcW w:w="1100" w:type="dxa"/>
            <w:tcBorders>
              <w:bottom w:val="single" w:sz="8" w:space="0" w:color="898989"/>
            </w:tcBorders>
            <w:tcMar>
              <w:left w:w="60" w:type="dxa"/>
              <w:right w:w="60" w:type="dxa"/>
            </w:tcMar>
            <w:vAlign w:val="center"/>
          </w:tcPr>
          <w:p w14:paraId="63F2D19B" w14:textId="77777777" w:rsidR="00D72C78" w:rsidRDefault="00D72C78" w:rsidP="00D61ABF">
            <w:pPr>
              <w:keepNext/>
              <w:keepLines/>
              <w:spacing w:before="40" w:after="40"/>
            </w:pPr>
          </w:p>
        </w:tc>
      </w:tr>
      <w:tr w:rsidR="00D72C78" w14:paraId="5CB3403E" w14:textId="77777777" w:rsidTr="000E4B8D">
        <w:trPr>
          <w:trHeight w:hRule="exact" w:val="280"/>
        </w:trPr>
        <w:tc>
          <w:tcPr>
            <w:tcW w:w="3260" w:type="dxa"/>
            <w:vMerge w:val="restart"/>
            <w:tcMar>
              <w:left w:w="60" w:type="dxa"/>
              <w:right w:w="40" w:type="dxa"/>
            </w:tcMar>
            <w:vAlign w:val="center"/>
          </w:tcPr>
          <w:p w14:paraId="7F5AFD80" w14:textId="77777777" w:rsidR="00D72C78" w:rsidRDefault="00D72C78" w:rsidP="00D61ABF">
            <w:pPr>
              <w:keepNext/>
              <w:keepLines/>
              <w:spacing w:before="40" w:after="40"/>
              <w:rPr>
                <w:rFonts w:ascii="Arial" w:eastAsia="Arial" w:hAnsi="Arial" w:cs="Arial"/>
              </w:rPr>
            </w:pPr>
            <w:r>
              <w:rPr>
                <w:rFonts w:ascii="Arial" w:eastAsia="Arial" w:hAnsi="Arial" w:cs="Arial"/>
              </w:rPr>
              <w:t>Adjusted diluted EPS</w:t>
            </w:r>
            <w:r>
              <w:rPr>
                <w:rFonts w:ascii="Arial" w:eastAsia="Arial" w:hAnsi="Arial" w:cs="Arial"/>
                <w:vertAlign w:val="superscript"/>
              </w:rPr>
              <w:t>(1)</w:t>
            </w:r>
          </w:p>
        </w:tc>
        <w:tc>
          <w:tcPr>
            <w:tcW w:w="1140" w:type="dxa"/>
            <w:tcBorders>
              <w:top w:val="single" w:sz="8" w:space="0" w:color="898989"/>
              <w:left w:val="single" w:sz="8" w:space="0" w:color="898989"/>
            </w:tcBorders>
            <w:tcMar>
              <w:left w:w="60" w:type="dxa"/>
              <w:right w:w="60" w:type="dxa"/>
            </w:tcMar>
            <w:vAlign w:val="center"/>
          </w:tcPr>
          <w:p w14:paraId="60BC054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$0.33</w:t>
            </w:r>
          </w:p>
        </w:tc>
        <w:tc>
          <w:tcPr>
            <w:tcW w:w="1040" w:type="dxa"/>
            <w:vMerge w:val="restart"/>
            <w:tcBorders>
              <w:left w:val="single" w:sz="8" w:space="0" w:color="898989"/>
              <w:right w:val="single" w:sz="8" w:space="0" w:color="898989"/>
            </w:tcBorders>
            <w:tcMar>
              <w:left w:w="60" w:type="dxa"/>
              <w:right w:w="60" w:type="dxa"/>
            </w:tcMar>
            <w:vAlign w:val="center"/>
          </w:tcPr>
          <w:p w14:paraId="282305F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$0.33</w:t>
            </w:r>
          </w:p>
        </w:tc>
        <w:tc>
          <w:tcPr>
            <w:tcW w:w="1100" w:type="dxa"/>
            <w:vMerge w:val="restart"/>
            <w:tcMar>
              <w:left w:w="60" w:type="dxa"/>
              <w:right w:w="60" w:type="dxa"/>
            </w:tcMar>
            <w:vAlign w:val="center"/>
          </w:tcPr>
          <w:p w14:paraId="62A82BF8" w14:textId="77777777" w:rsidR="00D72C78" w:rsidRDefault="00D72C78" w:rsidP="00D61ABF">
            <w:pPr>
              <w:keepNext/>
              <w:keepLines/>
              <w:spacing w:before="40" w:after="40"/>
            </w:pPr>
          </w:p>
        </w:tc>
        <w:tc>
          <w:tcPr>
            <w:tcW w:w="140" w:type="dxa"/>
            <w:tcMar>
              <w:left w:w="60" w:type="dxa"/>
              <w:right w:w="60" w:type="dxa"/>
            </w:tcMar>
            <w:vAlign w:val="center"/>
          </w:tcPr>
          <w:p w14:paraId="68ABAA20" w14:textId="77777777" w:rsidR="00D72C78" w:rsidRDefault="00D72C78" w:rsidP="00D61ABF">
            <w:pPr>
              <w:keepNext/>
              <w:keepLines/>
              <w:spacing w:before="40" w:after="40"/>
            </w:pPr>
          </w:p>
        </w:tc>
        <w:tc>
          <w:tcPr>
            <w:tcW w:w="1140" w:type="dxa"/>
            <w:tcBorders>
              <w:top w:val="single" w:sz="8" w:space="0" w:color="898989"/>
            </w:tcBorders>
            <w:tcMar>
              <w:left w:w="60" w:type="dxa"/>
              <w:right w:w="60" w:type="dxa"/>
            </w:tcMar>
            <w:vAlign w:val="center"/>
          </w:tcPr>
          <w:p w14:paraId="1CAA701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$0.60</w:t>
            </w:r>
          </w:p>
        </w:tc>
        <w:tc>
          <w:tcPr>
            <w:tcW w:w="1040" w:type="dxa"/>
            <w:vMerge w:val="restart"/>
            <w:tcBorders>
              <w:left w:val="single" w:sz="8" w:space="0" w:color="898989"/>
              <w:right w:val="single" w:sz="8" w:space="0" w:color="898989"/>
            </w:tcBorders>
            <w:tcMar>
              <w:left w:w="60" w:type="dxa"/>
              <w:right w:w="60" w:type="dxa"/>
            </w:tcMar>
            <w:vAlign w:val="center"/>
          </w:tcPr>
          <w:p w14:paraId="519AA307"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$0.59</w:t>
            </w:r>
          </w:p>
        </w:tc>
        <w:tc>
          <w:tcPr>
            <w:tcW w:w="1100" w:type="dxa"/>
            <w:vMerge w:val="restart"/>
            <w:tcMar>
              <w:left w:w="60" w:type="dxa"/>
              <w:right w:w="60" w:type="dxa"/>
            </w:tcMar>
            <w:vAlign w:val="center"/>
          </w:tcPr>
          <w:p w14:paraId="346D35BC" w14:textId="77777777" w:rsidR="00D72C78" w:rsidRDefault="00D72C78" w:rsidP="00D61ABF">
            <w:pPr>
              <w:keepNext/>
              <w:keepLines/>
              <w:spacing w:before="40" w:after="40"/>
            </w:pPr>
          </w:p>
        </w:tc>
      </w:tr>
      <w:tr w:rsidR="00D72C78" w14:paraId="34A868A5" w14:textId="77777777" w:rsidTr="000E4B8D">
        <w:trPr>
          <w:trHeight w:hRule="exact" w:val="280"/>
        </w:trPr>
        <w:tc>
          <w:tcPr>
            <w:tcW w:w="3260" w:type="dxa"/>
            <w:vMerge/>
            <w:tcBorders>
              <w:bottom w:val="single" w:sz="16" w:space="0" w:color="auto"/>
            </w:tcBorders>
            <w:tcMar>
              <w:left w:w="60" w:type="dxa"/>
              <w:right w:w="0" w:type="dxa"/>
            </w:tcMar>
            <w:vAlign w:val="center"/>
          </w:tcPr>
          <w:p w14:paraId="63B46748" w14:textId="77777777" w:rsidR="00D72C78" w:rsidRDefault="00D72C78" w:rsidP="00D61ABF">
            <w:pPr>
              <w:keepNext/>
              <w:keepLines/>
              <w:spacing w:before="40" w:after="40"/>
            </w:pPr>
          </w:p>
        </w:tc>
        <w:tc>
          <w:tcPr>
            <w:tcW w:w="1140" w:type="dxa"/>
            <w:tcBorders>
              <w:left w:val="single" w:sz="8" w:space="0" w:color="898989"/>
              <w:bottom w:val="single" w:sz="16" w:space="0" w:color="auto"/>
              <w:right w:val="single" w:sz="8" w:space="0" w:color="898989"/>
            </w:tcBorders>
            <w:tcMar>
              <w:left w:w="60" w:type="dxa"/>
              <w:right w:w="60" w:type="dxa"/>
            </w:tcMar>
            <w:vAlign w:val="center"/>
          </w:tcPr>
          <w:p w14:paraId="1AEB306A"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($0.34 CER)</w:t>
            </w:r>
          </w:p>
        </w:tc>
        <w:tc>
          <w:tcPr>
            <w:tcW w:w="1040" w:type="dxa"/>
            <w:vMerge/>
            <w:tcBorders>
              <w:bottom w:val="single" w:sz="16" w:space="0" w:color="auto"/>
              <w:right w:val="single" w:sz="8" w:space="0" w:color="898989"/>
            </w:tcBorders>
            <w:tcMar>
              <w:left w:w="60" w:type="dxa"/>
              <w:right w:w="0" w:type="dxa"/>
            </w:tcMar>
            <w:vAlign w:val="center"/>
          </w:tcPr>
          <w:p w14:paraId="4BAD24A1" w14:textId="77777777" w:rsidR="00D72C78" w:rsidRDefault="00D72C78" w:rsidP="00D61ABF">
            <w:pPr>
              <w:keepNext/>
              <w:keepLines/>
              <w:spacing w:before="40" w:after="40"/>
            </w:pPr>
          </w:p>
        </w:tc>
        <w:tc>
          <w:tcPr>
            <w:tcW w:w="1100" w:type="dxa"/>
            <w:vMerge/>
            <w:tcBorders>
              <w:bottom w:val="single" w:sz="16" w:space="0" w:color="auto"/>
            </w:tcBorders>
            <w:tcMar>
              <w:left w:w="60" w:type="dxa"/>
              <w:right w:w="0" w:type="dxa"/>
            </w:tcMar>
            <w:vAlign w:val="center"/>
          </w:tcPr>
          <w:p w14:paraId="4C631153" w14:textId="77777777" w:rsidR="00D72C78" w:rsidRDefault="00D72C78" w:rsidP="00D61ABF">
            <w:pPr>
              <w:keepNext/>
              <w:keepLines/>
              <w:spacing w:before="40" w:after="40"/>
            </w:pPr>
          </w:p>
        </w:tc>
        <w:tc>
          <w:tcPr>
            <w:tcW w:w="140" w:type="dxa"/>
            <w:tcMar>
              <w:left w:w="60" w:type="dxa"/>
              <w:right w:w="60" w:type="dxa"/>
            </w:tcMar>
            <w:vAlign w:val="center"/>
          </w:tcPr>
          <w:p w14:paraId="0F9C7905" w14:textId="77777777" w:rsidR="00D72C78" w:rsidRDefault="00D72C78" w:rsidP="00D61ABF">
            <w:pPr>
              <w:keepNext/>
              <w:keepLines/>
              <w:spacing w:before="40" w:after="40"/>
            </w:pPr>
          </w:p>
        </w:tc>
        <w:tc>
          <w:tcPr>
            <w:tcW w:w="1140" w:type="dxa"/>
            <w:tcBorders>
              <w:bottom w:val="single" w:sz="16" w:space="0" w:color="auto"/>
              <w:right w:val="single" w:sz="8" w:space="0" w:color="898989"/>
            </w:tcBorders>
            <w:tcMar>
              <w:left w:w="60" w:type="dxa"/>
              <w:right w:w="60" w:type="dxa"/>
            </w:tcMar>
            <w:vAlign w:val="center"/>
          </w:tcPr>
          <w:p w14:paraId="00DB5C75"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($0.62 CER)</w:t>
            </w:r>
          </w:p>
        </w:tc>
        <w:tc>
          <w:tcPr>
            <w:tcW w:w="1040" w:type="dxa"/>
            <w:vMerge/>
            <w:tcBorders>
              <w:bottom w:val="single" w:sz="16" w:space="0" w:color="auto"/>
              <w:right w:val="single" w:sz="8" w:space="0" w:color="898989"/>
            </w:tcBorders>
            <w:tcMar>
              <w:left w:w="60" w:type="dxa"/>
              <w:right w:w="60" w:type="dxa"/>
            </w:tcMar>
            <w:vAlign w:val="center"/>
          </w:tcPr>
          <w:p w14:paraId="7A76AB59" w14:textId="77777777" w:rsidR="00D72C78" w:rsidRDefault="00D72C78" w:rsidP="00D61ABF">
            <w:pPr>
              <w:keepNext/>
              <w:keepLines/>
              <w:spacing w:before="40" w:after="40"/>
            </w:pPr>
          </w:p>
        </w:tc>
        <w:tc>
          <w:tcPr>
            <w:tcW w:w="1100" w:type="dxa"/>
            <w:vMerge/>
            <w:tcBorders>
              <w:bottom w:val="single" w:sz="16" w:space="0" w:color="auto"/>
            </w:tcBorders>
            <w:tcMar>
              <w:left w:w="60" w:type="dxa"/>
              <w:right w:w="60" w:type="dxa"/>
            </w:tcMar>
            <w:vAlign w:val="center"/>
          </w:tcPr>
          <w:p w14:paraId="3598740A" w14:textId="77777777" w:rsidR="00D72C78" w:rsidRDefault="00D72C78" w:rsidP="00D61ABF">
            <w:pPr>
              <w:keepNext/>
              <w:keepLines/>
              <w:spacing w:before="40" w:after="40"/>
            </w:pPr>
          </w:p>
        </w:tc>
      </w:tr>
      <w:tr w:rsidR="00D72C78" w14:paraId="6A0EA3D1" w14:textId="77777777" w:rsidTr="00D61ABF">
        <w:trPr>
          <w:trHeight w:hRule="exact" w:val="220"/>
        </w:trPr>
        <w:tc>
          <w:tcPr>
            <w:tcW w:w="3260" w:type="dxa"/>
            <w:tcMar>
              <w:left w:w="60" w:type="dxa"/>
              <w:right w:w="0" w:type="dxa"/>
            </w:tcMar>
            <w:vAlign w:val="center"/>
          </w:tcPr>
          <w:p w14:paraId="3BC34095" w14:textId="77777777" w:rsidR="00D72C78" w:rsidRDefault="00D72C78" w:rsidP="00D61ABF">
            <w:pPr>
              <w:keepNext/>
              <w:keepLines/>
              <w:spacing w:before="40" w:after="40"/>
            </w:pPr>
          </w:p>
        </w:tc>
        <w:tc>
          <w:tcPr>
            <w:tcW w:w="1140" w:type="dxa"/>
            <w:tcMar>
              <w:left w:w="60" w:type="dxa"/>
              <w:right w:w="0" w:type="dxa"/>
            </w:tcMar>
            <w:vAlign w:val="bottom"/>
          </w:tcPr>
          <w:p w14:paraId="4C916846" w14:textId="77777777" w:rsidR="00D72C78" w:rsidRDefault="00D72C78" w:rsidP="00D61ABF">
            <w:pPr>
              <w:keepNext/>
              <w:keepLines/>
              <w:spacing w:before="40" w:after="40"/>
            </w:pPr>
          </w:p>
        </w:tc>
        <w:tc>
          <w:tcPr>
            <w:tcW w:w="1040" w:type="dxa"/>
            <w:tcMar>
              <w:left w:w="60" w:type="dxa"/>
              <w:right w:w="0" w:type="dxa"/>
            </w:tcMar>
            <w:vAlign w:val="bottom"/>
          </w:tcPr>
          <w:p w14:paraId="015A1E99" w14:textId="77777777" w:rsidR="00D72C78" w:rsidRDefault="00D72C78" w:rsidP="00D61ABF">
            <w:pPr>
              <w:keepNext/>
              <w:keepLines/>
              <w:spacing w:before="40" w:after="40"/>
            </w:pPr>
          </w:p>
        </w:tc>
        <w:tc>
          <w:tcPr>
            <w:tcW w:w="1100" w:type="dxa"/>
            <w:tcMar>
              <w:left w:w="60" w:type="dxa"/>
              <w:right w:w="0" w:type="dxa"/>
            </w:tcMar>
            <w:vAlign w:val="bottom"/>
          </w:tcPr>
          <w:p w14:paraId="79548CE6" w14:textId="77777777" w:rsidR="00D72C78" w:rsidRDefault="00D72C78" w:rsidP="00D61ABF">
            <w:pPr>
              <w:keepNext/>
              <w:keepLines/>
              <w:spacing w:before="40" w:after="40"/>
            </w:pPr>
          </w:p>
        </w:tc>
        <w:tc>
          <w:tcPr>
            <w:tcW w:w="140" w:type="dxa"/>
            <w:tcMar>
              <w:left w:w="60" w:type="dxa"/>
              <w:right w:w="0" w:type="dxa"/>
            </w:tcMar>
            <w:vAlign w:val="bottom"/>
          </w:tcPr>
          <w:p w14:paraId="3BAE5209" w14:textId="77777777" w:rsidR="00D72C78" w:rsidRDefault="00D72C78" w:rsidP="00D61ABF">
            <w:pPr>
              <w:keepNext/>
              <w:keepLines/>
              <w:spacing w:before="40" w:after="40"/>
            </w:pPr>
          </w:p>
        </w:tc>
        <w:tc>
          <w:tcPr>
            <w:tcW w:w="1140" w:type="dxa"/>
            <w:tcMar>
              <w:left w:w="60" w:type="dxa"/>
              <w:right w:w="0" w:type="dxa"/>
            </w:tcMar>
            <w:vAlign w:val="bottom"/>
          </w:tcPr>
          <w:p w14:paraId="298DF9AA" w14:textId="77777777" w:rsidR="00D72C78" w:rsidRDefault="00D72C78" w:rsidP="00D61ABF">
            <w:pPr>
              <w:keepNext/>
              <w:keepLines/>
              <w:spacing w:before="40" w:after="40"/>
            </w:pPr>
          </w:p>
        </w:tc>
        <w:tc>
          <w:tcPr>
            <w:tcW w:w="1040" w:type="dxa"/>
            <w:tcMar>
              <w:left w:w="60" w:type="dxa"/>
              <w:right w:w="0" w:type="dxa"/>
            </w:tcMar>
            <w:vAlign w:val="bottom"/>
          </w:tcPr>
          <w:p w14:paraId="46AFB2CB" w14:textId="77777777" w:rsidR="00D72C78" w:rsidRDefault="00D72C78" w:rsidP="00D61ABF">
            <w:pPr>
              <w:keepNext/>
              <w:keepLines/>
              <w:spacing w:before="40" w:after="40"/>
            </w:pPr>
          </w:p>
        </w:tc>
        <w:tc>
          <w:tcPr>
            <w:tcW w:w="1100" w:type="dxa"/>
            <w:tcMar>
              <w:left w:w="60" w:type="dxa"/>
              <w:right w:w="0" w:type="dxa"/>
            </w:tcMar>
            <w:vAlign w:val="bottom"/>
          </w:tcPr>
          <w:p w14:paraId="5D6AECE3" w14:textId="77777777" w:rsidR="00D72C78" w:rsidRDefault="00D72C78" w:rsidP="00D61ABF">
            <w:pPr>
              <w:keepNext/>
              <w:keepLines/>
              <w:spacing w:before="40" w:after="40"/>
            </w:pPr>
          </w:p>
        </w:tc>
      </w:tr>
      <w:tr w:rsidR="00D72C78" w:rsidRPr="00813776" w14:paraId="26C26D4A" w14:textId="77777777" w:rsidTr="000E4B8D">
        <w:trPr>
          <w:trHeight w:hRule="exact" w:val="552"/>
        </w:trPr>
        <w:tc>
          <w:tcPr>
            <w:tcW w:w="3260" w:type="dxa"/>
            <w:tcBorders>
              <w:top w:val="single" w:sz="16" w:space="0" w:color="auto"/>
              <w:bottom w:val="single" w:sz="8" w:space="0" w:color="898989"/>
            </w:tcBorders>
            <w:tcMar>
              <w:left w:w="60" w:type="dxa"/>
              <w:right w:w="40" w:type="dxa"/>
            </w:tcMar>
            <w:vAlign w:val="bottom"/>
          </w:tcPr>
          <w:p w14:paraId="4EAF8395" w14:textId="77777777" w:rsidR="00D72C78" w:rsidRPr="00813776" w:rsidRDefault="00D72C78" w:rsidP="00D61ABF">
            <w:pPr>
              <w:keepNext/>
              <w:keepLines/>
              <w:spacing w:before="40" w:after="40"/>
              <w:rPr>
                <w:rFonts w:ascii="Arial" w:eastAsia="Arial" w:hAnsi="Arial" w:cs="Arial"/>
                <w:sz w:val="18"/>
              </w:rPr>
            </w:pPr>
            <w:r w:rsidRPr="00813776">
              <w:rPr>
                <w:rFonts w:ascii="Arial" w:eastAsia="Arial" w:hAnsi="Arial" w:cs="Arial"/>
                <w:sz w:val="18"/>
              </w:rPr>
              <w:t>Net cash provided by operating activities</w:t>
            </w:r>
          </w:p>
        </w:tc>
        <w:tc>
          <w:tcPr>
            <w:tcW w:w="1140" w:type="dxa"/>
            <w:tcBorders>
              <w:top w:val="single" w:sz="16" w:space="0" w:color="auto"/>
              <w:left w:val="single" w:sz="8" w:space="0" w:color="898989"/>
              <w:bottom w:val="single" w:sz="8" w:space="0" w:color="898989"/>
            </w:tcBorders>
            <w:tcMar>
              <w:left w:w="60" w:type="dxa"/>
              <w:right w:w="60" w:type="dxa"/>
            </w:tcMar>
            <w:vAlign w:val="center"/>
          </w:tcPr>
          <w:p w14:paraId="3E57D23B" w14:textId="77777777" w:rsidR="00D72C78" w:rsidRPr="00813776" w:rsidRDefault="00645D17"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82.5</w:t>
            </w:r>
          </w:p>
        </w:tc>
        <w:tc>
          <w:tcPr>
            <w:tcW w:w="1040" w:type="dxa"/>
            <w:tcBorders>
              <w:top w:val="single" w:sz="16" w:space="0" w:color="auto"/>
              <w:left w:val="single" w:sz="8" w:space="0" w:color="898989"/>
              <w:bottom w:val="single" w:sz="8" w:space="0" w:color="898989"/>
              <w:right w:val="single" w:sz="8" w:space="0" w:color="898989"/>
            </w:tcBorders>
            <w:tcMar>
              <w:left w:w="60" w:type="dxa"/>
              <w:right w:w="60" w:type="dxa"/>
            </w:tcMar>
            <w:vAlign w:val="center"/>
          </w:tcPr>
          <w:p w14:paraId="4A28F8E0" w14:textId="77777777" w:rsidR="00D72C78" w:rsidRPr="00813776" w:rsidRDefault="00D72C78"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118.0</w:t>
            </w:r>
          </w:p>
        </w:tc>
        <w:tc>
          <w:tcPr>
            <w:tcW w:w="1100" w:type="dxa"/>
            <w:tcBorders>
              <w:top w:val="single" w:sz="16" w:space="0" w:color="auto"/>
              <w:left w:val="single" w:sz="8" w:space="0" w:color="898989"/>
              <w:bottom w:val="single" w:sz="8" w:space="0" w:color="898989"/>
            </w:tcBorders>
            <w:tcMar>
              <w:left w:w="60" w:type="dxa"/>
              <w:right w:w="60" w:type="dxa"/>
            </w:tcMar>
            <w:vAlign w:val="center"/>
          </w:tcPr>
          <w:p w14:paraId="20E0823E" w14:textId="77777777" w:rsidR="00D72C78" w:rsidRPr="00813776" w:rsidRDefault="00D72C78" w:rsidP="00D61ABF">
            <w:pPr>
              <w:keepNext/>
              <w:keepLines/>
              <w:spacing w:before="40" w:after="40"/>
            </w:pPr>
          </w:p>
        </w:tc>
        <w:tc>
          <w:tcPr>
            <w:tcW w:w="140" w:type="dxa"/>
            <w:tcMar>
              <w:left w:w="60" w:type="dxa"/>
              <w:right w:w="60" w:type="dxa"/>
            </w:tcMar>
            <w:vAlign w:val="center"/>
          </w:tcPr>
          <w:p w14:paraId="5FF14855" w14:textId="77777777" w:rsidR="00D72C78" w:rsidRPr="00813776" w:rsidRDefault="00D72C78" w:rsidP="00D61ABF">
            <w:pPr>
              <w:keepNext/>
              <w:keepLines/>
              <w:spacing w:before="40" w:after="40"/>
            </w:pPr>
          </w:p>
        </w:tc>
        <w:tc>
          <w:tcPr>
            <w:tcW w:w="1140" w:type="dxa"/>
            <w:tcBorders>
              <w:top w:val="single" w:sz="16" w:space="0" w:color="auto"/>
              <w:bottom w:val="single" w:sz="8" w:space="0" w:color="898989"/>
            </w:tcBorders>
            <w:tcMar>
              <w:left w:w="60" w:type="dxa"/>
              <w:right w:w="60" w:type="dxa"/>
            </w:tcMar>
            <w:vAlign w:val="center"/>
          </w:tcPr>
          <w:p w14:paraId="4670CD7B" w14:textId="77777777" w:rsidR="00D72C78" w:rsidRPr="00813776" w:rsidRDefault="00645D17"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127.2</w:t>
            </w:r>
          </w:p>
        </w:tc>
        <w:tc>
          <w:tcPr>
            <w:tcW w:w="1040" w:type="dxa"/>
            <w:tcBorders>
              <w:top w:val="single" w:sz="16" w:space="0" w:color="auto"/>
              <w:left w:val="single" w:sz="8" w:space="0" w:color="898989"/>
              <w:bottom w:val="single" w:sz="8" w:space="0" w:color="898989"/>
              <w:right w:val="single" w:sz="8" w:space="0" w:color="898989"/>
            </w:tcBorders>
            <w:tcMar>
              <w:left w:w="60" w:type="dxa"/>
              <w:right w:w="60" w:type="dxa"/>
            </w:tcMar>
            <w:vAlign w:val="center"/>
          </w:tcPr>
          <w:p w14:paraId="7087B109" w14:textId="77777777" w:rsidR="00D72C78" w:rsidRPr="00813776" w:rsidRDefault="00D72C78"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166.2</w:t>
            </w:r>
          </w:p>
        </w:tc>
        <w:tc>
          <w:tcPr>
            <w:tcW w:w="1100" w:type="dxa"/>
            <w:tcBorders>
              <w:top w:val="single" w:sz="16" w:space="0" w:color="auto"/>
              <w:left w:val="single" w:sz="8" w:space="0" w:color="898989"/>
              <w:bottom w:val="single" w:sz="8" w:space="0" w:color="898989"/>
            </w:tcBorders>
            <w:tcMar>
              <w:left w:w="60" w:type="dxa"/>
              <w:right w:w="60" w:type="dxa"/>
            </w:tcMar>
            <w:vAlign w:val="center"/>
          </w:tcPr>
          <w:p w14:paraId="209F9FCE" w14:textId="77777777" w:rsidR="00D72C78" w:rsidRPr="00813776" w:rsidRDefault="00D72C78" w:rsidP="00D61ABF">
            <w:pPr>
              <w:keepNext/>
              <w:keepLines/>
              <w:spacing w:before="40" w:after="40"/>
            </w:pPr>
          </w:p>
        </w:tc>
      </w:tr>
      <w:tr w:rsidR="00D72C78" w:rsidRPr="00813776" w14:paraId="46D914DF" w14:textId="77777777" w:rsidTr="002F0FB0">
        <w:trPr>
          <w:trHeight w:hRule="exact" w:val="581"/>
        </w:trPr>
        <w:tc>
          <w:tcPr>
            <w:tcW w:w="3260" w:type="dxa"/>
            <w:tcBorders>
              <w:bottom w:val="single" w:sz="12" w:space="0" w:color="auto"/>
            </w:tcBorders>
            <w:tcMar>
              <w:left w:w="60" w:type="dxa"/>
              <w:right w:w="40" w:type="dxa"/>
            </w:tcMar>
            <w:vAlign w:val="bottom"/>
          </w:tcPr>
          <w:p w14:paraId="0BE7865B" w14:textId="77777777" w:rsidR="00D72C78" w:rsidRPr="00813776" w:rsidRDefault="00D72C78" w:rsidP="00D61ABF">
            <w:pPr>
              <w:keepNext/>
              <w:keepLines/>
              <w:spacing w:before="40" w:after="40"/>
              <w:rPr>
                <w:rFonts w:ascii="Arial" w:eastAsia="Arial" w:hAnsi="Arial" w:cs="Arial"/>
                <w:sz w:val="18"/>
              </w:rPr>
            </w:pPr>
            <w:r w:rsidRPr="00813776">
              <w:rPr>
                <w:rFonts w:ascii="Arial" w:eastAsia="Arial" w:hAnsi="Arial" w:cs="Arial"/>
                <w:sz w:val="18"/>
              </w:rPr>
              <w:t xml:space="preserve">Less purchases of property, plant </w:t>
            </w:r>
            <w:r w:rsidR="00E470C3">
              <w:rPr>
                <w:rFonts w:ascii="Arial" w:eastAsia="Arial" w:hAnsi="Arial" w:cs="Arial"/>
                <w:sz w:val="18"/>
              </w:rPr>
              <w:br/>
            </w:r>
            <w:r w:rsidRPr="00813776">
              <w:rPr>
                <w:rFonts w:ascii="Arial" w:eastAsia="Arial" w:hAnsi="Arial" w:cs="Arial"/>
                <w:sz w:val="18"/>
              </w:rPr>
              <w:t>and equipment</w:t>
            </w:r>
          </w:p>
        </w:tc>
        <w:tc>
          <w:tcPr>
            <w:tcW w:w="1140" w:type="dxa"/>
            <w:tcBorders>
              <w:left w:val="single" w:sz="8" w:space="0" w:color="898989"/>
              <w:bottom w:val="single" w:sz="12" w:space="0" w:color="auto"/>
            </w:tcBorders>
            <w:tcMar>
              <w:left w:w="60" w:type="dxa"/>
              <w:right w:w="60" w:type="dxa"/>
            </w:tcMar>
            <w:vAlign w:val="center"/>
          </w:tcPr>
          <w:p w14:paraId="4C19F5B3" w14:textId="77777777" w:rsidR="00D72C78" w:rsidRPr="00813776" w:rsidRDefault="00645D17"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(31.0)</w:t>
            </w:r>
          </w:p>
        </w:tc>
        <w:tc>
          <w:tcPr>
            <w:tcW w:w="1040" w:type="dxa"/>
            <w:tcBorders>
              <w:left w:val="single" w:sz="8" w:space="0" w:color="898989"/>
              <w:bottom w:val="single" w:sz="12" w:space="0" w:color="auto"/>
              <w:right w:val="single" w:sz="8" w:space="0" w:color="898989"/>
            </w:tcBorders>
            <w:tcMar>
              <w:left w:w="60" w:type="dxa"/>
              <w:right w:w="60" w:type="dxa"/>
            </w:tcMar>
            <w:vAlign w:val="center"/>
          </w:tcPr>
          <w:p w14:paraId="1AF3A70D" w14:textId="77777777" w:rsidR="00D72C78" w:rsidRPr="00813776" w:rsidRDefault="00D72C78"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(24.0)</w:t>
            </w:r>
          </w:p>
        </w:tc>
        <w:tc>
          <w:tcPr>
            <w:tcW w:w="1100" w:type="dxa"/>
            <w:tcBorders>
              <w:left w:val="single" w:sz="8" w:space="0" w:color="898989"/>
              <w:bottom w:val="single" w:sz="12" w:space="0" w:color="auto"/>
            </w:tcBorders>
            <w:tcMar>
              <w:left w:w="60" w:type="dxa"/>
              <w:right w:w="60" w:type="dxa"/>
            </w:tcMar>
            <w:vAlign w:val="center"/>
          </w:tcPr>
          <w:p w14:paraId="105C5B18" w14:textId="77777777" w:rsidR="00D72C78" w:rsidRPr="00813776" w:rsidRDefault="00D72C78" w:rsidP="00D61ABF">
            <w:pPr>
              <w:keepNext/>
              <w:keepLines/>
              <w:spacing w:before="40" w:after="40"/>
            </w:pPr>
          </w:p>
        </w:tc>
        <w:tc>
          <w:tcPr>
            <w:tcW w:w="140" w:type="dxa"/>
            <w:tcMar>
              <w:left w:w="60" w:type="dxa"/>
              <w:right w:w="60" w:type="dxa"/>
            </w:tcMar>
            <w:vAlign w:val="center"/>
          </w:tcPr>
          <w:p w14:paraId="421F5221" w14:textId="77777777" w:rsidR="00D72C78" w:rsidRPr="00813776" w:rsidRDefault="00D72C78" w:rsidP="00D61ABF">
            <w:pPr>
              <w:keepNext/>
              <w:keepLines/>
              <w:spacing w:before="40" w:after="40"/>
            </w:pPr>
          </w:p>
        </w:tc>
        <w:tc>
          <w:tcPr>
            <w:tcW w:w="1140" w:type="dxa"/>
            <w:tcBorders>
              <w:bottom w:val="single" w:sz="12" w:space="0" w:color="auto"/>
            </w:tcBorders>
            <w:tcMar>
              <w:left w:w="60" w:type="dxa"/>
              <w:right w:w="60" w:type="dxa"/>
            </w:tcMar>
            <w:vAlign w:val="center"/>
          </w:tcPr>
          <w:p w14:paraId="469E8E7C" w14:textId="77777777" w:rsidR="00D72C78" w:rsidRPr="00813776" w:rsidRDefault="00645D17"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(54.4)</w:t>
            </w:r>
          </w:p>
        </w:tc>
        <w:tc>
          <w:tcPr>
            <w:tcW w:w="1040" w:type="dxa"/>
            <w:tcBorders>
              <w:left w:val="single" w:sz="8" w:space="0" w:color="898989"/>
              <w:bottom w:val="single" w:sz="12" w:space="0" w:color="auto"/>
              <w:right w:val="single" w:sz="8" w:space="0" w:color="898989"/>
            </w:tcBorders>
            <w:tcMar>
              <w:left w:w="60" w:type="dxa"/>
              <w:right w:w="60" w:type="dxa"/>
            </w:tcMar>
            <w:vAlign w:val="center"/>
          </w:tcPr>
          <w:p w14:paraId="4BCD045C" w14:textId="77777777" w:rsidR="00D72C78" w:rsidRPr="00813776" w:rsidRDefault="00D72C78" w:rsidP="00D61ABF">
            <w:pPr>
              <w:keepNext/>
              <w:keepLines/>
              <w:spacing w:before="40" w:after="40"/>
              <w:jc w:val="center"/>
              <w:rPr>
                <w:rFonts w:ascii="Arial" w:eastAsia="Arial" w:hAnsi="Arial" w:cs="Arial"/>
                <w:sz w:val="18"/>
              </w:rPr>
            </w:pPr>
            <w:r w:rsidRPr="00813776">
              <w:rPr>
                <w:rFonts w:ascii="Arial" w:eastAsia="Arial" w:hAnsi="Arial" w:cs="Arial"/>
                <w:color w:val="000000"/>
                <w:sz w:val="18"/>
              </w:rPr>
              <w:t>(42.9)</w:t>
            </w:r>
          </w:p>
        </w:tc>
        <w:tc>
          <w:tcPr>
            <w:tcW w:w="1100" w:type="dxa"/>
            <w:tcBorders>
              <w:left w:val="single" w:sz="8" w:space="0" w:color="898989"/>
              <w:bottom w:val="single" w:sz="12" w:space="0" w:color="auto"/>
            </w:tcBorders>
            <w:tcMar>
              <w:left w:w="60" w:type="dxa"/>
              <w:right w:w="60" w:type="dxa"/>
            </w:tcMar>
            <w:vAlign w:val="center"/>
          </w:tcPr>
          <w:p w14:paraId="132D2B0C" w14:textId="77777777" w:rsidR="00D72C78" w:rsidRPr="00813776" w:rsidRDefault="00D72C78" w:rsidP="00D61ABF">
            <w:pPr>
              <w:keepNext/>
              <w:keepLines/>
              <w:spacing w:before="40" w:after="40"/>
            </w:pPr>
          </w:p>
        </w:tc>
      </w:tr>
      <w:tr w:rsidR="00D72C78" w:rsidRPr="00813776" w14:paraId="28F237F1" w14:textId="77777777" w:rsidTr="00D61ABF">
        <w:trPr>
          <w:trHeight w:hRule="exact" w:val="320"/>
        </w:trPr>
        <w:tc>
          <w:tcPr>
            <w:tcW w:w="3260" w:type="dxa"/>
            <w:tcBorders>
              <w:bottom w:val="single" w:sz="16" w:space="0" w:color="auto"/>
            </w:tcBorders>
            <w:tcMar>
              <w:left w:w="60" w:type="dxa"/>
              <w:right w:w="40" w:type="dxa"/>
            </w:tcMar>
            <w:vAlign w:val="center"/>
          </w:tcPr>
          <w:p w14:paraId="11027A9E" w14:textId="77777777" w:rsidR="00D72C78" w:rsidRPr="00813776" w:rsidRDefault="00D72C78" w:rsidP="00D61ABF">
            <w:pPr>
              <w:keepLines/>
              <w:spacing w:before="40" w:after="40"/>
              <w:rPr>
                <w:rFonts w:ascii="Arial" w:eastAsia="Arial" w:hAnsi="Arial" w:cs="Arial"/>
                <w:sz w:val="18"/>
              </w:rPr>
            </w:pPr>
            <w:r w:rsidRPr="00813776">
              <w:rPr>
                <w:rFonts w:ascii="Arial" w:eastAsia="Arial" w:hAnsi="Arial" w:cs="Arial"/>
                <w:sz w:val="18"/>
              </w:rPr>
              <w:t>Free cash flow</w:t>
            </w:r>
          </w:p>
        </w:tc>
        <w:tc>
          <w:tcPr>
            <w:tcW w:w="1140" w:type="dxa"/>
            <w:tcBorders>
              <w:left w:val="single" w:sz="8" w:space="0" w:color="898989"/>
              <w:bottom w:val="single" w:sz="16" w:space="0" w:color="auto"/>
            </w:tcBorders>
            <w:tcMar>
              <w:left w:w="60" w:type="dxa"/>
              <w:right w:w="60" w:type="dxa"/>
            </w:tcMar>
            <w:vAlign w:val="center"/>
          </w:tcPr>
          <w:p w14:paraId="2726BD71" w14:textId="77777777" w:rsidR="00D72C78" w:rsidRPr="00813776" w:rsidRDefault="00645D17" w:rsidP="00D61ABF">
            <w:pPr>
              <w:keepLines/>
              <w:spacing w:before="40" w:after="40"/>
              <w:jc w:val="center"/>
              <w:rPr>
                <w:rFonts w:ascii="Arial" w:eastAsia="Arial" w:hAnsi="Arial" w:cs="Arial"/>
                <w:sz w:val="18"/>
              </w:rPr>
            </w:pPr>
            <w:r w:rsidRPr="00813776">
              <w:rPr>
                <w:rFonts w:ascii="Arial" w:eastAsia="Arial" w:hAnsi="Arial" w:cs="Arial"/>
                <w:color w:val="000000"/>
                <w:sz w:val="18"/>
              </w:rPr>
              <w:t>51.5</w:t>
            </w:r>
          </w:p>
        </w:tc>
        <w:tc>
          <w:tcPr>
            <w:tcW w:w="1040" w:type="dxa"/>
            <w:tcBorders>
              <w:left w:val="single" w:sz="8" w:space="0" w:color="898989"/>
              <w:bottom w:val="single" w:sz="16" w:space="0" w:color="auto"/>
              <w:right w:val="single" w:sz="8" w:space="0" w:color="898989"/>
            </w:tcBorders>
            <w:tcMar>
              <w:left w:w="60" w:type="dxa"/>
              <w:right w:w="60" w:type="dxa"/>
            </w:tcMar>
            <w:vAlign w:val="center"/>
          </w:tcPr>
          <w:p w14:paraId="143E5AD1" w14:textId="77777777" w:rsidR="00D72C78" w:rsidRPr="00813776" w:rsidRDefault="00D72C78" w:rsidP="00D61ABF">
            <w:pPr>
              <w:keepLines/>
              <w:spacing w:before="40" w:after="40"/>
              <w:jc w:val="center"/>
              <w:rPr>
                <w:rFonts w:ascii="Arial" w:eastAsia="Arial" w:hAnsi="Arial" w:cs="Arial"/>
                <w:sz w:val="18"/>
              </w:rPr>
            </w:pPr>
            <w:r w:rsidRPr="00813776">
              <w:rPr>
                <w:rFonts w:ascii="Arial" w:eastAsia="Arial" w:hAnsi="Arial" w:cs="Arial"/>
                <w:color w:val="000000"/>
                <w:sz w:val="18"/>
              </w:rPr>
              <w:t>94.1</w:t>
            </w:r>
          </w:p>
        </w:tc>
        <w:tc>
          <w:tcPr>
            <w:tcW w:w="1100" w:type="dxa"/>
            <w:tcBorders>
              <w:top w:val="single" w:sz="8" w:space="0" w:color="898989"/>
              <w:left w:val="single" w:sz="8" w:space="0" w:color="898989"/>
              <w:bottom w:val="single" w:sz="12" w:space="0" w:color="auto"/>
            </w:tcBorders>
            <w:tcMar>
              <w:left w:w="60" w:type="dxa"/>
              <w:right w:w="60" w:type="dxa"/>
            </w:tcMar>
            <w:vAlign w:val="center"/>
          </w:tcPr>
          <w:p w14:paraId="372EB155" w14:textId="77777777" w:rsidR="00D72C78" w:rsidRPr="00813776" w:rsidRDefault="00D72C78" w:rsidP="00D61ABF">
            <w:pPr>
              <w:keepLines/>
              <w:spacing w:before="40" w:after="40"/>
              <w:jc w:val="center"/>
              <w:rPr>
                <w:rFonts w:ascii="Arial" w:eastAsia="Arial" w:hAnsi="Arial" w:cs="Arial"/>
                <w:sz w:val="18"/>
              </w:rPr>
            </w:pPr>
            <w:r w:rsidRPr="00813776">
              <w:rPr>
                <w:rFonts w:ascii="Arial" w:eastAsia="Arial" w:hAnsi="Arial" w:cs="Arial"/>
                <w:color w:val="000000"/>
                <w:sz w:val="18"/>
              </w:rPr>
              <w:t>-</w:t>
            </w:r>
            <w:r w:rsidR="00645D17" w:rsidRPr="00813776">
              <w:rPr>
                <w:rFonts w:ascii="Arial" w:eastAsia="Arial" w:hAnsi="Arial" w:cs="Arial"/>
                <w:color w:val="000000"/>
                <w:sz w:val="18"/>
              </w:rPr>
              <w:t>45</w:t>
            </w:r>
            <w:r w:rsidRPr="00813776">
              <w:rPr>
                <w:rFonts w:ascii="Arial" w:eastAsia="Arial" w:hAnsi="Arial" w:cs="Arial"/>
                <w:color w:val="000000"/>
                <w:sz w:val="18"/>
              </w:rPr>
              <w:t>%</w:t>
            </w:r>
          </w:p>
        </w:tc>
        <w:tc>
          <w:tcPr>
            <w:tcW w:w="140" w:type="dxa"/>
            <w:tcMar>
              <w:left w:w="60" w:type="dxa"/>
              <w:right w:w="60" w:type="dxa"/>
            </w:tcMar>
            <w:vAlign w:val="center"/>
          </w:tcPr>
          <w:p w14:paraId="1555E691" w14:textId="77777777" w:rsidR="00D72C78" w:rsidRPr="00813776" w:rsidRDefault="00D72C78" w:rsidP="00D61ABF">
            <w:pPr>
              <w:keepLines/>
              <w:spacing w:before="40" w:after="40"/>
            </w:pPr>
          </w:p>
        </w:tc>
        <w:tc>
          <w:tcPr>
            <w:tcW w:w="1140" w:type="dxa"/>
            <w:tcBorders>
              <w:bottom w:val="single" w:sz="16" w:space="0" w:color="auto"/>
            </w:tcBorders>
            <w:tcMar>
              <w:left w:w="60" w:type="dxa"/>
              <w:right w:w="60" w:type="dxa"/>
            </w:tcMar>
            <w:vAlign w:val="center"/>
          </w:tcPr>
          <w:p w14:paraId="1B7B169B" w14:textId="77777777" w:rsidR="00D72C78" w:rsidRPr="00813776" w:rsidRDefault="00645D17" w:rsidP="00D61ABF">
            <w:pPr>
              <w:keepLines/>
              <w:spacing w:before="40" w:after="40"/>
              <w:jc w:val="center"/>
              <w:rPr>
                <w:rFonts w:ascii="Arial" w:eastAsia="Arial" w:hAnsi="Arial" w:cs="Arial"/>
                <w:sz w:val="18"/>
              </w:rPr>
            </w:pPr>
            <w:r w:rsidRPr="00813776">
              <w:rPr>
                <w:rFonts w:ascii="Arial" w:eastAsia="Arial" w:hAnsi="Arial" w:cs="Arial"/>
                <w:color w:val="000000"/>
                <w:sz w:val="18"/>
              </w:rPr>
              <w:t>72.9</w:t>
            </w:r>
          </w:p>
        </w:tc>
        <w:tc>
          <w:tcPr>
            <w:tcW w:w="1040" w:type="dxa"/>
            <w:tcBorders>
              <w:left w:val="single" w:sz="8" w:space="0" w:color="898989"/>
              <w:bottom w:val="single" w:sz="16" w:space="0" w:color="auto"/>
              <w:right w:val="single" w:sz="8" w:space="0" w:color="898989"/>
            </w:tcBorders>
            <w:tcMar>
              <w:left w:w="60" w:type="dxa"/>
              <w:right w:w="60" w:type="dxa"/>
            </w:tcMar>
            <w:vAlign w:val="center"/>
          </w:tcPr>
          <w:p w14:paraId="5C1EE830" w14:textId="77777777" w:rsidR="00D72C78" w:rsidRPr="00813776" w:rsidRDefault="00D72C78" w:rsidP="00D61ABF">
            <w:pPr>
              <w:keepLines/>
              <w:spacing w:before="40" w:after="40"/>
              <w:jc w:val="center"/>
              <w:rPr>
                <w:rFonts w:ascii="Arial" w:eastAsia="Arial" w:hAnsi="Arial" w:cs="Arial"/>
                <w:sz w:val="18"/>
              </w:rPr>
            </w:pPr>
            <w:r w:rsidRPr="00813776">
              <w:rPr>
                <w:rFonts w:ascii="Arial" w:eastAsia="Arial" w:hAnsi="Arial" w:cs="Arial"/>
                <w:color w:val="000000"/>
                <w:sz w:val="18"/>
              </w:rPr>
              <w:t>123.4</w:t>
            </w:r>
          </w:p>
        </w:tc>
        <w:tc>
          <w:tcPr>
            <w:tcW w:w="1100" w:type="dxa"/>
            <w:tcBorders>
              <w:top w:val="single" w:sz="8" w:space="0" w:color="898989"/>
              <w:left w:val="single" w:sz="8" w:space="0" w:color="898989"/>
              <w:bottom w:val="single" w:sz="12" w:space="0" w:color="auto"/>
            </w:tcBorders>
            <w:tcMar>
              <w:left w:w="60" w:type="dxa"/>
              <w:right w:w="60" w:type="dxa"/>
            </w:tcMar>
            <w:vAlign w:val="center"/>
          </w:tcPr>
          <w:p w14:paraId="28BE55E7" w14:textId="77777777" w:rsidR="00D72C78" w:rsidRPr="00813776" w:rsidRDefault="00D72C78" w:rsidP="00D61ABF">
            <w:pPr>
              <w:keepLines/>
              <w:spacing w:before="40" w:after="40"/>
              <w:jc w:val="center"/>
              <w:rPr>
                <w:rFonts w:ascii="Arial" w:eastAsia="Arial" w:hAnsi="Arial" w:cs="Arial"/>
                <w:sz w:val="18"/>
              </w:rPr>
            </w:pPr>
            <w:r w:rsidRPr="00813776">
              <w:rPr>
                <w:rFonts w:ascii="Arial" w:eastAsia="Arial" w:hAnsi="Arial" w:cs="Arial"/>
                <w:color w:val="000000"/>
                <w:sz w:val="18"/>
              </w:rPr>
              <w:t>-</w:t>
            </w:r>
            <w:r w:rsidR="00645D17" w:rsidRPr="00813776">
              <w:rPr>
                <w:rFonts w:ascii="Arial" w:eastAsia="Arial" w:hAnsi="Arial" w:cs="Arial"/>
                <w:color w:val="000000"/>
                <w:sz w:val="18"/>
              </w:rPr>
              <w:t>41</w:t>
            </w:r>
            <w:r w:rsidRPr="00813776">
              <w:rPr>
                <w:rFonts w:ascii="Arial" w:eastAsia="Arial" w:hAnsi="Arial" w:cs="Arial"/>
                <w:color w:val="000000"/>
                <w:sz w:val="18"/>
              </w:rPr>
              <w:t>%</w:t>
            </w:r>
          </w:p>
        </w:tc>
      </w:tr>
    </w:tbl>
    <w:p w14:paraId="6F58D4CA" w14:textId="77777777" w:rsidR="00327D53" w:rsidRDefault="00D72C78" w:rsidP="00B0487F">
      <w:pPr>
        <w:spacing w:before="120" w:line="288" w:lineRule="auto"/>
        <w:rPr>
          <w:rFonts w:ascii="Arial" w:eastAsia="Arial" w:hAnsi="Arial" w:cs="Arial"/>
          <w:sz w:val="16"/>
        </w:rPr>
      </w:pPr>
      <w:r>
        <w:rPr>
          <w:rFonts w:ascii="Arial" w:eastAsia="Arial" w:hAnsi="Arial" w:cs="Arial"/>
          <w:sz w:val="16"/>
        </w:rPr>
        <w:t>Please refer to accompanying tables for reconciliation of reported to adjusted figures.</w:t>
      </w:r>
      <w:r w:rsidR="00327D53" w:rsidRPr="00327D53">
        <w:rPr>
          <w:rFonts w:ascii="Arial" w:eastAsia="Arial" w:hAnsi="Arial" w:cs="Arial"/>
          <w:sz w:val="16"/>
        </w:rPr>
        <w:t xml:space="preserve"> </w:t>
      </w:r>
      <w:r w:rsidR="0078325D">
        <w:rPr>
          <w:rFonts w:ascii="Arial" w:eastAsia="Arial" w:hAnsi="Arial" w:cs="Arial"/>
          <w:sz w:val="16"/>
        </w:rPr>
        <w:br/>
      </w:r>
      <w:r w:rsidR="00327D53">
        <w:rPr>
          <w:rFonts w:ascii="Arial" w:eastAsia="Arial" w:hAnsi="Arial" w:cs="Arial"/>
          <w:sz w:val="16"/>
        </w:rPr>
        <w:t>CER - Constant exchange rates. Tables may have rounding differences.</w:t>
      </w:r>
    </w:p>
    <w:p w14:paraId="3DE84B16" w14:textId="77777777" w:rsidR="00D72C78" w:rsidRDefault="00D72C78" w:rsidP="00D72C78">
      <w:pPr>
        <w:spacing w:line="288" w:lineRule="auto"/>
        <w:rPr>
          <w:rFonts w:ascii="Arial" w:eastAsia="Arial" w:hAnsi="Arial" w:cs="Arial"/>
          <w:sz w:val="16"/>
        </w:rPr>
      </w:pPr>
      <w:r>
        <w:rPr>
          <w:rFonts w:ascii="Arial" w:eastAsia="Arial" w:hAnsi="Arial" w:cs="Arial"/>
          <w:sz w:val="16"/>
        </w:rPr>
        <w:t>(1) Weighted number of diluted shares (Q2 2019: 232.7 million, Q2 2018: 233.8 million);</w:t>
      </w:r>
      <w:r w:rsidR="00327D53">
        <w:rPr>
          <w:rFonts w:ascii="Arial" w:eastAsia="Arial" w:hAnsi="Arial" w:cs="Arial"/>
          <w:sz w:val="16"/>
        </w:rPr>
        <w:t xml:space="preserve"> </w:t>
      </w:r>
      <w:r>
        <w:rPr>
          <w:rFonts w:ascii="Arial" w:eastAsia="Arial" w:hAnsi="Arial" w:cs="Arial"/>
          <w:sz w:val="16"/>
        </w:rPr>
        <w:t>(H1 2019: 233.2 million, H1 2018: 233.2 million).</w:t>
      </w:r>
    </w:p>
    <w:p w14:paraId="13954EA8" w14:textId="77777777" w:rsidR="007306DE" w:rsidRDefault="00D00097" w:rsidP="00980498">
      <w:pPr>
        <w:spacing w:before="120" w:after="140"/>
        <w:rPr>
          <w:rFonts w:ascii="Arial" w:eastAsia="Arial" w:hAnsi="Arial" w:cs="Arial"/>
          <w:b/>
          <w:sz w:val="24"/>
        </w:rPr>
      </w:pPr>
      <w:r>
        <w:rPr>
          <w:rFonts w:ascii="Arial" w:eastAsia="Arial" w:hAnsi="Arial" w:cs="Arial"/>
          <w:b/>
          <w:sz w:val="24"/>
        </w:rPr>
        <w:t>Net sales by product category and customer class</w:t>
      </w:r>
    </w:p>
    <w:tbl>
      <w:tblPr>
        <w:tblW w:w="9960" w:type="dxa"/>
        <w:tblInd w:w="60" w:type="dxa"/>
        <w:tblLayout w:type="fixed"/>
        <w:tblCellMar>
          <w:left w:w="10" w:type="dxa"/>
          <w:right w:w="10" w:type="dxa"/>
        </w:tblCellMar>
        <w:tblLook w:val="04A0" w:firstRow="1" w:lastRow="0" w:firstColumn="1" w:lastColumn="0" w:noHBand="0" w:noVBand="1"/>
      </w:tblPr>
      <w:tblGrid>
        <w:gridCol w:w="2980"/>
        <w:gridCol w:w="860"/>
        <w:gridCol w:w="860"/>
        <w:gridCol w:w="860"/>
        <w:gridCol w:w="860"/>
        <w:gridCol w:w="100"/>
        <w:gridCol w:w="860"/>
        <w:gridCol w:w="860"/>
        <w:gridCol w:w="860"/>
        <w:gridCol w:w="860"/>
      </w:tblGrid>
      <w:tr w:rsidR="00D72C78" w14:paraId="1C3F5DE4" w14:textId="77777777" w:rsidTr="00D61ABF">
        <w:trPr>
          <w:trHeight w:hRule="exact" w:val="300"/>
        </w:trPr>
        <w:tc>
          <w:tcPr>
            <w:tcW w:w="2980" w:type="dxa"/>
            <w:tcMar>
              <w:left w:w="60" w:type="dxa"/>
              <w:right w:w="0" w:type="dxa"/>
            </w:tcMar>
            <w:vAlign w:val="bottom"/>
          </w:tcPr>
          <w:p w14:paraId="61F73754" w14:textId="77777777" w:rsidR="00D72C78" w:rsidRDefault="00D72C78" w:rsidP="00D61ABF">
            <w:pPr>
              <w:keepNext/>
              <w:keepLines/>
              <w:spacing w:before="40" w:after="40"/>
            </w:pPr>
          </w:p>
        </w:tc>
        <w:tc>
          <w:tcPr>
            <w:tcW w:w="3440" w:type="dxa"/>
            <w:gridSpan w:val="4"/>
            <w:tcBorders>
              <w:bottom w:val="single" w:sz="8" w:space="0" w:color="898989"/>
            </w:tcBorders>
            <w:tcMar>
              <w:left w:w="60" w:type="dxa"/>
              <w:right w:w="60" w:type="dxa"/>
            </w:tcMar>
            <w:vAlign w:val="bottom"/>
          </w:tcPr>
          <w:p w14:paraId="64128979" w14:textId="77777777" w:rsidR="00D72C78" w:rsidRDefault="00D72C78" w:rsidP="00D61ABF">
            <w:pPr>
              <w:keepNext/>
              <w:keepLines/>
              <w:spacing w:before="40" w:after="40"/>
              <w:jc w:val="center"/>
              <w:rPr>
                <w:rFonts w:ascii="Arial" w:eastAsia="Arial" w:hAnsi="Arial" w:cs="Arial"/>
                <w:sz w:val="22"/>
              </w:rPr>
            </w:pPr>
            <w:r>
              <w:rPr>
                <w:rFonts w:ascii="Arial" w:eastAsia="Arial" w:hAnsi="Arial" w:cs="Arial"/>
                <w:sz w:val="22"/>
              </w:rPr>
              <w:t>Q2 2019</w:t>
            </w:r>
          </w:p>
        </w:tc>
        <w:tc>
          <w:tcPr>
            <w:tcW w:w="100" w:type="dxa"/>
            <w:tcMar>
              <w:left w:w="0" w:type="dxa"/>
              <w:right w:w="0" w:type="dxa"/>
            </w:tcMar>
            <w:vAlign w:val="bottom"/>
          </w:tcPr>
          <w:p w14:paraId="3630DFBE" w14:textId="77777777" w:rsidR="00D72C78" w:rsidRDefault="00D72C78" w:rsidP="00D61ABF">
            <w:pPr>
              <w:keepNext/>
              <w:keepLines/>
              <w:spacing w:before="40" w:after="40"/>
            </w:pPr>
          </w:p>
        </w:tc>
        <w:tc>
          <w:tcPr>
            <w:tcW w:w="3440" w:type="dxa"/>
            <w:gridSpan w:val="4"/>
            <w:tcBorders>
              <w:bottom w:val="single" w:sz="8" w:space="0" w:color="898989"/>
            </w:tcBorders>
            <w:tcMar>
              <w:left w:w="60" w:type="dxa"/>
              <w:right w:w="60" w:type="dxa"/>
            </w:tcMar>
            <w:vAlign w:val="bottom"/>
          </w:tcPr>
          <w:p w14:paraId="0C044E60" w14:textId="77777777" w:rsidR="00D72C78" w:rsidRDefault="00D72C78" w:rsidP="00D61ABF">
            <w:pPr>
              <w:keepNext/>
              <w:keepLines/>
              <w:spacing w:before="40" w:after="40"/>
              <w:jc w:val="center"/>
              <w:rPr>
                <w:rFonts w:ascii="Arial" w:eastAsia="Arial" w:hAnsi="Arial" w:cs="Arial"/>
                <w:sz w:val="22"/>
              </w:rPr>
            </w:pPr>
            <w:r>
              <w:rPr>
                <w:rFonts w:ascii="Arial" w:eastAsia="Arial" w:hAnsi="Arial" w:cs="Arial"/>
                <w:sz w:val="22"/>
              </w:rPr>
              <w:t>H1 2019</w:t>
            </w:r>
          </w:p>
        </w:tc>
      </w:tr>
      <w:tr w:rsidR="00D72C78" w14:paraId="01B8EB89" w14:textId="77777777" w:rsidTr="00D61ABF">
        <w:trPr>
          <w:trHeight w:hRule="exact" w:val="280"/>
        </w:trPr>
        <w:tc>
          <w:tcPr>
            <w:tcW w:w="2980" w:type="dxa"/>
            <w:tcBorders>
              <w:bottom w:val="single" w:sz="16" w:space="0" w:color="auto"/>
            </w:tcBorders>
            <w:tcMar>
              <w:left w:w="60" w:type="dxa"/>
              <w:right w:w="0" w:type="dxa"/>
            </w:tcMar>
            <w:vAlign w:val="bottom"/>
          </w:tcPr>
          <w:p w14:paraId="4601C354" w14:textId="77777777" w:rsidR="00D72C78" w:rsidRDefault="00D72C78" w:rsidP="00D61ABF">
            <w:pPr>
              <w:keepNext/>
              <w:keepLines/>
              <w:spacing w:before="40" w:after="40"/>
            </w:pPr>
          </w:p>
        </w:tc>
        <w:tc>
          <w:tcPr>
            <w:tcW w:w="3440" w:type="dxa"/>
            <w:gridSpan w:val="4"/>
            <w:tcMar>
              <w:left w:w="60" w:type="dxa"/>
              <w:right w:w="60" w:type="dxa"/>
            </w:tcMar>
            <w:vAlign w:val="center"/>
          </w:tcPr>
          <w:p w14:paraId="4CAF3CA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Net sales: $381.6 million</w:t>
            </w:r>
          </w:p>
        </w:tc>
        <w:tc>
          <w:tcPr>
            <w:tcW w:w="100" w:type="dxa"/>
            <w:tcMar>
              <w:left w:w="60" w:type="dxa"/>
              <w:right w:w="0" w:type="dxa"/>
            </w:tcMar>
            <w:vAlign w:val="bottom"/>
          </w:tcPr>
          <w:p w14:paraId="79B63239" w14:textId="77777777" w:rsidR="00D72C78" w:rsidRDefault="00D72C78" w:rsidP="00D61ABF">
            <w:pPr>
              <w:keepNext/>
              <w:keepLines/>
              <w:spacing w:before="40" w:after="40"/>
            </w:pPr>
          </w:p>
        </w:tc>
        <w:tc>
          <w:tcPr>
            <w:tcW w:w="3440" w:type="dxa"/>
            <w:gridSpan w:val="4"/>
            <w:tcMar>
              <w:left w:w="60" w:type="dxa"/>
              <w:right w:w="60" w:type="dxa"/>
            </w:tcMar>
            <w:vAlign w:val="center"/>
          </w:tcPr>
          <w:p w14:paraId="5DB19BF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Net sales: $730.3 million</w:t>
            </w:r>
          </w:p>
        </w:tc>
      </w:tr>
      <w:tr w:rsidR="00D72C78" w14:paraId="2C131447" w14:textId="77777777" w:rsidTr="00D61ABF">
        <w:trPr>
          <w:trHeight w:hRule="exact" w:val="560"/>
        </w:trPr>
        <w:tc>
          <w:tcPr>
            <w:tcW w:w="2980" w:type="dxa"/>
            <w:tcBorders>
              <w:bottom w:val="single" w:sz="16" w:space="0" w:color="auto"/>
            </w:tcBorders>
            <w:tcMar>
              <w:left w:w="60" w:type="dxa"/>
              <w:right w:w="0" w:type="dxa"/>
            </w:tcMar>
            <w:vAlign w:val="bottom"/>
          </w:tcPr>
          <w:p w14:paraId="2E309EF8" w14:textId="77777777" w:rsidR="00D72C78" w:rsidRDefault="00D72C78" w:rsidP="00D61ABF">
            <w:pPr>
              <w:keepNext/>
              <w:keepLines/>
              <w:spacing w:before="40" w:after="40"/>
            </w:pPr>
          </w:p>
        </w:tc>
        <w:tc>
          <w:tcPr>
            <w:tcW w:w="860" w:type="dxa"/>
            <w:tcBorders>
              <w:top w:val="single" w:sz="16" w:space="0" w:color="auto"/>
              <w:bottom w:val="single" w:sz="16" w:space="0" w:color="auto"/>
            </w:tcBorders>
            <w:tcMar>
              <w:left w:w="60" w:type="dxa"/>
              <w:right w:w="60" w:type="dxa"/>
            </w:tcMar>
            <w:vAlign w:val="center"/>
          </w:tcPr>
          <w:p w14:paraId="1A4F4C6A" w14:textId="77777777" w:rsidR="00D72C78" w:rsidRDefault="00D72C78" w:rsidP="00D61ABF">
            <w:pPr>
              <w:keepNext/>
              <w:keepLines/>
              <w:spacing w:before="40"/>
              <w:jc w:val="center"/>
              <w:rPr>
                <w:rFonts w:ascii="Arial" w:eastAsia="Arial" w:hAnsi="Arial" w:cs="Arial"/>
                <w:sz w:val="18"/>
              </w:rPr>
            </w:pPr>
            <w:r>
              <w:rPr>
                <w:rFonts w:ascii="Arial" w:eastAsia="Arial" w:hAnsi="Arial" w:cs="Arial"/>
                <w:sz w:val="18"/>
              </w:rPr>
              <w:t>Sales</w:t>
            </w:r>
          </w:p>
          <w:p w14:paraId="6F335173" w14:textId="77777777" w:rsidR="00D72C78" w:rsidRDefault="00D72C78" w:rsidP="00D61ABF">
            <w:pPr>
              <w:keepNext/>
              <w:keepLines/>
              <w:spacing w:after="40"/>
              <w:jc w:val="center"/>
              <w:rPr>
                <w:rFonts w:ascii="Arial" w:eastAsia="Arial" w:hAnsi="Arial" w:cs="Arial"/>
                <w:sz w:val="18"/>
              </w:rPr>
            </w:pPr>
            <w:r>
              <w:rPr>
                <w:rFonts w:ascii="Arial" w:eastAsia="Arial" w:hAnsi="Arial" w:cs="Arial"/>
                <w:sz w:val="18"/>
              </w:rPr>
              <w:t>(In $ m)</w:t>
            </w:r>
          </w:p>
        </w:tc>
        <w:tc>
          <w:tcPr>
            <w:tcW w:w="860" w:type="dxa"/>
            <w:tcBorders>
              <w:top w:val="single" w:sz="16" w:space="0" w:color="auto"/>
              <w:bottom w:val="single" w:sz="16" w:space="0" w:color="auto"/>
            </w:tcBorders>
            <w:tcMar>
              <w:left w:w="60" w:type="dxa"/>
              <w:right w:w="60" w:type="dxa"/>
            </w:tcMar>
            <w:vAlign w:val="center"/>
          </w:tcPr>
          <w:p w14:paraId="1EC8ABE7" w14:textId="77777777" w:rsidR="00D72C78" w:rsidRDefault="00D72C78" w:rsidP="00D61ABF">
            <w:pPr>
              <w:keepNext/>
              <w:keepLines/>
              <w:spacing w:before="40"/>
              <w:jc w:val="center"/>
              <w:rPr>
                <w:rFonts w:ascii="Arial" w:eastAsia="Arial" w:hAnsi="Arial" w:cs="Arial"/>
                <w:sz w:val="18"/>
              </w:rPr>
            </w:pPr>
            <w:r>
              <w:rPr>
                <w:rFonts w:ascii="Arial" w:eastAsia="Arial" w:hAnsi="Arial" w:cs="Arial"/>
                <w:sz w:val="18"/>
              </w:rPr>
              <w:t>%</w:t>
            </w:r>
          </w:p>
          <w:p w14:paraId="137791F7" w14:textId="77777777" w:rsidR="00D72C78" w:rsidRDefault="00D72C78" w:rsidP="00D61ABF">
            <w:pPr>
              <w:keepNext/>
              <w:keepLines/>
              <w:spacing w:after="40"/>
              <w:jc w:val="center"/>
              <w:rPr>
                <w:rFonts w:ascii="Arial" w:eastAsia="Arial" w:hAnsi="Arial" w:cs="Arial"/>
                <w:sz w:val="18"/>
              </w:rPr>
            </w:pPr>
            <w:r>
              <w:rPr>
                <w:rFonts w:ascii="Arial" w:eastAsia="Arial" w:hAnsi="Arial" w:cs="Arial"/>
                <w:sz w:val="18"/>
              </w:rPr>
              <w:t>change</w:t>
            </w:r>
          </w:p>
        </w:tc>
        <w:tc>
          <w:tcPr>
            <w:tcW w:w="860" w:type="dxa"/>
            <w:tcBorders>
              <w:top w:val="single" w:sz="16" w:space="0" w:color="auto"/>
              <w:bottom w:val="single" w:sz="16" w:space="0" w:color="auto"/>
            </w:tcBorders>
            <w:tcMar>
              <w:left w:w="60" w:type="dxa"/>
              <w:right w:w="60" w:type="dxa"/>
            </w:tcMar>
            <w:vAlign w:val="center"/>
          </w:tcPr>
          <w:p w14:paraId="6D276A6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CER change</w:t>
            </w:r>
          </w:p>
        </w:tc>
        <w:tc>
          <w:tcPr>
            <w:tcW w:w="860" w:type="dxa"/>
            <w:tcBorders>
              <w:top w:val="single" w:sz="16" w:space="0" w:color="auto"/>
              <w:bottom w:val="single" w:sz="16" w:space="0" w:color="auto"/>
            </w:tcBorders>
            <w:tcMar>
              <w:left w:w="60" w:type="dxa"/>
              <w:right w:w="60" w:type="dxa"/>
            </w:tcMar>
            <w:vAlign w:val="center"/>
          </w:tcPr>
          <w:p w14:paraId="1C2AAC32"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 of</w:t>
            </w:r>
            <w:r>
              <w:rPr>
                <w:rFonts w:ascii="Arial" w:eastAsia="Arial" w:hAnsi="Arial" w:cs="Arial"/>
                <w:sz w:val="18"/>
              </w:rPr>
              <w:br/>
              <w:t>sales</w:t>
            </w:r>
          </w:p>
        </w:tc>
        <w:tc>
          <w:tcPr>
            <w:tcW w:w="100" w:type="dxa"/>
            <w:tcMar>
              <w:left w:w="60" w:type="dxa"/>
              <w:right w:w="0" w:type="dxa"/>
            </w:tcMar>
            <w:vAlign w:val="bottom"/>
          </w:tcPr>
          <w:p w14:paraId="2C1CB07D" w14:textId="77777777" w:rsidR="00D72C78" w:rsidRDefault="00D72C78" w:rsidP="00D61ABF">
            <w:pPr>
              <w:keepNext/>
              <w:keepLines/>
              <w:spacing w:before="40" w:after="40"/>
            </w:pPr>
          </w:p>
        </w:tc>
        <w:tc>
          <w:tcPr>
            <w:tcW w:w="860" w:type="dxa"/>
            <w:tcBorders>
              <w:top w:val="single" w:sz="16" w:space="0" w:color="auto"/>
              <w:bottom w:val="single" w:sz="16" w:space="0" w:color="auto"/>
            </w:tcBorders>
            <w:tcMar>
              <w:left w:w="60" w:type="dxa"/>
              <w:right w:w="60" w:type="dxa"/>
            </w:tcMar>
            <w:vAlign w:val="center"/>
          </w:tcPr>
          <w:p w14:paraId="63AB795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Sales</w:t>
            </w:r>
            <w:r>
              <w:rPr>
                <w:rFonts w:ascii="Arial" w:eastAsia="Arial" w:hAnsi="Arial" w:cs="Arial"/>
                <w:color w:val="000000"/>
                <w:sz w:val="18"/>
              </w:rPr>
              <w:br/>
              <w:t>(In $ m)</w:t>
            </w:r>
          </w:p>
        </w:tc>
        <w:tc>
          <w:tcPr>
            <w:tcW w:w="860" w:type="dxa"/>
            <w:tcBorders>
              <w:top w:val="single" w:sz="16" w:space="0" w:color="auto"/>
              <w:bottom w:val="single" w:sz="16" w:space="0" w:color="auto"/>
            </w:tcBorders>
            <w:tcMar>
              <w:left w:w="60" w:type="dxa"/>
              <w:right w:w="60" w:type="dxa"/>
            </w:tcMar>
            <w:vAlign w:val="center"/>
          </w:tcPr>
          <w:p w14:paraId="445AAE7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change</w:t>
            </w:r>
          </w:p>
        </w:tc>
        <w:tc>
          <w:tcPr>
            <w:tcW w:w="860" w:type="dxa"/>
            <w:tcBorders>
              <w:top w:val="single" w:sz="16" w:space="0" w:color="auto"/>
              <w:bottom w:val="single" w:sz="16" w:space="0" w:color="auto"/>
            </w:tcBorders>
            <w:tcMar>
              <w:left w:w="60" w:type="dxa"/>
              <w:right w:w="60" w:type="dxa"/>
            </w:tcMar>
            <w:vAlign w:val="center"/>
          </w:tcPr>
          <w:p w14:paraId="65E4A782"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CER change</w:t>
            </w:r>
          </w:p>
        </w:tc>
        <w:tc>
          <w:tcPr>
            <w:tcW w:w="860" w:type="dxa"/>
            <w:tcBorders>
              <w:top w:val="single" w:sz="16" w:space="0" w:color="auto"/>
              <w:bottom w:val="single" w:sz="16" w:space="0" w:color="auto"/>
            </w:tcBorders>
            <w:tcMar>
              <w:left w:w="60" w:type="dxa"/>
              <w:right w:w="60" w:type="dxa"/>
            </w:tcMar>
            <w:vAlign w:val="center"/>
          </w:tcPr>
          <w:p w14:paraId="0FFB059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 of</w:t>
            </w:r>
            <w:r>
              <w:rPr>
                <w:rFonts w:ascii="Arial" w:eastAsia="Arial" w:hAnsi="Arial" w:cs="Arial"/>
                <w:sz w:val="18"/>
              </w:rPr>
              <w:br/>
              <w:t>sales</w:t>
            </w:r>
          </w:p>
        </w:tc>
      </w:tr>
      <w:tr w:rsidR="00D72C78" w14:paraId="48FE0FC8" w14:textId="77777777" w:rsidTr="00D61ABF">
        <w:trPr>
          <w:trHeight w:hRule="exact" w:val="320"/>
        </w:trPr>
        <w:tc>
          <w:tcPr>
            <w:tcW w:w="2980" w:type="dxa"/>
            <w:tcMar>
              <w:left w:w="60" w:type="dxa"/>
              <w:right w:w="40" w:type="dxa"/>
            </w:tcMar>
            <w:vAlign w:val="center"/>
          </w:tcPr>
          <w:p w14:paraId="72FDC321"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Consumables and related revenues</w:t>
            </w:r>
          </w:p>
        </w:tc>
        <w:tc>
          <w:tcPr>
            <w:tcW w:w="860" w:type="dxa"/>
            <w:tcBorders>
              <w:top w:val="single" w:sz="16" w:space="0" w:color="auto"/>
              <w:left w:val="single" w:sz="8" w:space="0" w:color="898989"/>
              <w:right w:val="single" w:sz="8" w:space="0" w:color="898989"/>
            </w:tcBorders>
            <w:tcMar>
              <w:left w:w="60" w:type="dxa"/>
              <w:right w:w="60" w:type="dxa"/>
            </w:tcMar>
            <w:vAlign w:val="center"/>
          </w:tcPr>
          <w:p w14:paraId="0C33B2F1"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$335</w:t>
            </w:r>
          </w:p>
        </w:tc>
        <w:tc>
          <w:tcPr>
            <w:tcW w:w="860" w:type="dxa"/>
            <w:tcBorders>
              <w:left w:val="single" w:sz="8" w:space="0" w:color="898989"/>
            </w:tcBorders>
            <w:tcMar>
              <w:left w:w="60" w:type="dxa"/>
              <w:right w:w="60" w:type="dxa"/>
            </w:tcMar>
            <w:vAlign w:val="center"/>
          </w:tcPr>
          <w:p w14:paraId="3664750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w:t>
            </w:r>
          </w:p>
        </w:tc>
        <w:tc>
          <w:tcPr>
            <w:tcW w:w="860" w:type="dxa"/>
            <w:tcBorders>
              <w:left w:val="single" w:sz="8" w:space="0" w:color="898989"/>
            </w:tcBorders>
            <w:tcMar>
              <w:left w:w="60" w:type="dxa"/>
              <w:right w:w="60" w:type="dxa"/>
            </w:tcMar>
            <w:vAlign w:val="center"/>
          </w:tcPr>
          <w:p w14:paraId="46EA9790"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w:t>
            </w:r>
          </w:p>
        </w:tc>
        <w:tc>
          <w:tcPr>
            <w:tcW w:w="860" w:type="dxa"/>
            <w:tcBorders>
              <w:left w:val="single" w:sz="8" w:space="0" w:color="898989"/>
            </w:tcBorders>
            <w:tcMar>
              <w:left w:w="60" w:type="dxa"/>
              <w:right w:w="60" w:type="dxa"/>
            </w:tcMar>
            <w:vAlign w:val="center"/>
          </w:tcPr>
          <w:p w14:paraId="30C5391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88%</w:t>
            </w:r>
          </w:p>
        </w:tc>
        <w:tc>
          <w:tcPr>
            <w:tcW w:w="100" w:type="dxa"/>
            <w:tcMar>
              <w:left w:w="0" w:type="dxa"/>
              <w:right w:w="60" w:type="dxa"/>
            </w:tcMar>
            <w:vAlign w:val="center"/>
          </w:tcPr>
          <w:p w14:paraId="192D0A85" w14:textId="77777777" w:rsidR="00D72C78" w:rsidRDefault="00D72C78" w:rsidP="00D61ABF">
            <w:pPr>
              <w:keepNext/>
              <w:keepLines/>
              <w:spacing w:before="40" w:after="40"/>
            </w:pPr>
          </w:p>
        </w:tc>
        <w:tc>
          <w:tcPr>
            <w:tcW w:w="860" w:type="dxa"/>
            <w:tcBorders>
              <w:top w:val="single" w:sz="16" w:space="0" w:color="auto"/>
              <w:right w:val="single" w:sz="8" w:space="0" w:color="898989"/>
            </w:tcBorders>
            <w:tcMar>
              <w:left w:w="60" w:type="dxa"/>
              <w:right w:w="60" w:type="dxa"/>
            </w:tcMar>
            <w:vAlign w:val="center"/>
          </w:tcPr>
          <w:p w14:paraId="6FF942E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$648</w:t>
            </w:r>
          </w:p>
        </w:tc>
        <w:tc>
          <w:tcPr>
            <w:tcW w:w="860" w:type="dxa"/>
            <w:tcBorders>
              <w:top w:val="single" w:sz="16" w:space="0" w:color="auto"/>
              <w:left w:val="single" w:sz="8" w:space="0" w:color="898989"/>
              <w:right w:val="single" w:sz="8" w:space="0" w:color="898989"/>
            </w:tcBorders>
            <w:tcMar>
              <w:left w:w="60" w:type="dxa"/>
              <w:right w:w="60" w:type="dxa"/>
            </w:tcMar>
            <w:vAlign w:val="center"/>
          </w:tcPr>
          <w:p w14:paraId="488815F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w:t>
            </w:r>
          </w:p>
        </w:tc>
        <w:tc>
          <w:tcPr>
            <w:tcW w:w="860" w:type="dxa"/>
            <w:tcBorders>
              <w:top w:val="single" w:sz="16" w:space="0" w:color="auto"/>
              <w:left w:val="single" w:sz="8" w:space="0" w:color="898989"/>
              <w:right w:val="single" w:sz="8" w:space="0" w:color="898989"/>
            </w:tcBorders>
            <w:tcMar>
              <w:left w:w="60" w:type="dxa"/>
              <w:right w:w="60" w:type="dxa"/>
            </w:tcMar>
            <w:vAlign w:val="center"/>
          </w:tcPr>
          <w:p w14:paraId="27BFAFB9"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w:t>
            </w:r>
          </w:p>
        </w:tc>
        <w:tc>
          <w:tcPr>
            <w:tcW w:w="860" w:type="dxa"/>
            <w:tcBorders>
              <w:left w:val="single" w:sz="8" w:space="0" w:color="898989"/>
            </w:tcBorders>
            <w:tcMar>
              <w:left w:w="60" w:type="dxa"/>
              <w:right w:w="60" w:type="dxa"/>
            </w:tcMar>
            <w:vAlign w:val="center"/>
          </w:tcPr>
          <w:p w14:paraId="7FC523DF"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89%</w:t>
            </w:r>
          </w:p>
        </w:tc>
      </w:tr>
      <w:tr w:rsidR="00D72C78" w14:paraId="25241F43" w14:textId="77777777" w:rsidTr="00D61ABF">
        <w:trPr>
          <w:trHeight w:hRule="exact" w:val="320"/>
        </w:trPr>
        <w:tc>
          <w:tcPr>
            <w:tcW w:w="2980" w:type="dxa"/>
            <w:tcBorders>
              <w:top w:val="single" w:sz="8" w:space="0" w:color="898989"/>
              <w:bottom w:val="single" w:sz="16" w:space="0" w:color="auto"/>
            </w:tcBorders>
            <w:tcMar>
              <w:left w:w="60" w:type="dxa"/>
              <w:right w:w="40" w:type="dxa"/>
            </w:tcMar>
            <w:vAlign w:val="center"/>
          </w:tcPr>
          <w:p w14:paraId="55B0498A"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Instruments</w:t>
            </w:r>
            <w:r>
              <w:rPr>
                <w:rFonts w:ascii="Arial" w:eastAsia="Arial" w:hAnsi="Arial" w:cs="Arial"/>
                <w:sz w:val="18"/>
                <w:vertAlign w:val="superscript"/>
              </w:rPr>
              <w:t>(1)</w:t>
            </w:r>
          </w:p>
        </w:tc>
        <w:tc>
          <w:tcPr>
            <w:tcW w:w="860" w:type="dxa"/>
            <w:tcBorders>
              <w:top w:val="single" w:sz="8" w:space="0" w:color="898989"/>
              <w:left w:val="single" w:sz="8" w:space="0" w:color="898989"/>
              <w:bottom w:val="single" w:sz="16" w:space="0" w:color="auto"/>
              <w:right w:val="single" w:sz="8" w:space="0" w:color="898989"/>
            </w:tcBorders>
            <w:tcMar>
              <w:left w:w="60" w:type="dxa"/>
              <w:right w:w="60" w:type="dxa"/>
            </w:tcMar>
            <w:vAlign w:val="center"/>
          </w:tcPr>
          <w:p w14:paraId="670223D3"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$47</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582536AF"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+6%</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26AFBA0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+9%</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3E80924F"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12%</w:t>
            </w:r>
          </w:p>
        </w:tc>
        <w:tc>
          <w:tcPr>
            <w:tcW w:w="100" w:type="dxa"/>
            <w:tcMar>
              <w:left w:w="0" w:type="dxa"/>
              <w:right w:w="60" w:type="dxa"/>
            </w:tcMar>
            <w:vAlign w:val="center"/>
          </w:tcPr>
          <w:p w14:paraId="6579AC86" w14:textId="77777777" w:rsidR="00D72C78" w:rsidRDefault="00D72C78" w:rsidP="00D61ABF">
            <w:pPr>
              <w:keepNext/>
              <w:keepLines/>
              <w:spacing w:before="40" w:after="40"/>
            </w:pPr>
          </w:p>
        </w:tc>
        <w:tc>
          <w:tcPr>
            <w:tcW w:w="860" w:type="dxa"/>
            <w:tcBorders>
              <w:top w:val="single" w:sz="8" w:space="0" w:color="898989"/>
              <w:bottom w:val="single" w:sz="16" w:space="0" w:color="auto"/>
              <w:right w:val="single" w:sz="8" w:space="0" w:color="898989"/>
            </w:tcBorders>
            <w:tcMar>
              <w:left w:w="60" w:type="dxa"/>
              <w:right w:w="60" w:type="dxa"/>
            </w:tcMar>
            <w:vAlign w:val="center"/>
          </w:tcPr>
          <w:p w14:paraId="07DC89F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$83</w:t>
            </w:r>
          </w:p>
        </w:tc>
        <w:tc>
          <w:tcPr>
            <w:tcW w:w="860" w:type="dxa"/>
            <w:tcBorders>
              <w:top w:val="single" w:sz="8" w:space="0" w:color="898989"/>
              <w:left w:val="single" w:sz="8" w:space="0" w:color="898989"/>
              <w:bottom w:val="single" w:sz="16" w:space="0" w:color="auto"/>
              <w:right w:val="single" w:sz="8" w:space="0" w:color="898989"/>
            </w:tcBorders>
            <w:tcMar>
              <w:left w:w="60" w:type="dxa"/>
              <w:right w:w="60" w:type="dxa"/>
            </w:tcMar>
            <w:vAlign w:val="center"/>
          </w:tcPr>
          <w:p w14:paraId="32A68BA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w:t>
            </w:r>
          </w:p>
        </w:tc>
        <w:tc>
          <w:tcPr>
            <w:tcW w:w="860" w:type="dxa"/>
            <w:tcBorders>
              <w:top w:val="single" w:sz="8" w:space="0" w:color="898989"/>
              <w:left w:val="single" w:sz="8" w:space="0" w:color="898989"/>
              <w:bottom w:val="single" w:sz="16" w:space="0" w:color="auto"/>
              <w:right w:val="single" w:sz="8" w:space="0" w:color="898989"/>
            </w:tcBorders>
            <w:tcMar>
              <w:left w:w="60" w:type="dxa"/>
              <w:right w:w="60" w:type="dxa"/>
            </w:tcMar>
            <w:vAlign w:val="center"/>
          </w:tcPr>
          <w:p w14:paraId="3A491A61"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2185CD5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11%</w:t>
            </w:r>
          </w:p>
        </w:tc>
      </w:tr>
      <w:tr w:rsidR="00D72C78" w14:paraId="0C982FD7" w14:textId="77777777" w:rsidTr="00D61ABF">
        <w:trPr>
          <w:trHeight w:hRule="exact" w:val="220"/>
        </w:trPr>
        <w:tc>
          <w:tcPr>
            <w:tcW w:w="2980" w:type="dxa"/>
            <w:tcMar>
              <w:left w:w="60" w:type="dxa"/>
              <w:right w:w="0" w:type="dxa"/>
            </w:tcMar>
            <w:vAlign w:val="center"/>
          </w:tcPr>
          <w:p w14:paraId="75D002D6" w14:textId="77777777" w:rsidR="00D72C78" w:rsidRDefault="00D72C78" w:rsidP="00D61ABF">
            <w:pPr>
              <w:keepNext/>
              <w:keepLines/>
              <w:spacing w:before="40" w:after="40"/>
            </w:pPr>
          </w:p>
        </w:tc>
        <w:tc>
          <w:tcPr>
            <w:tcW w:w="860" w:type="dxa"/>
            <w:tcMar>
              <w:left w:w="60" w:type="dxa"/>
              <w:right w:w="60" w:type="dxa"/>
            </w:tcMar>
            <w:vAlign w:val="bottom"/>
          </w:tcPr>
          <w:p w14:paraId="4809C01B" w14:textId="77777777" w:rsidR="00D72C78" w:rsidRDefault="00D72C78" w:rsidP="00D61ABF">
            <w:pPr>
              <w:keepNext/>
              <w:keepLines/>
              <w:spacing w:before="40" w:after="40"/>
            </w:pPr>
          </w:p>
        </w:tc>
        <w:tc>
          <w:tcPr>
            <w:tcW w:w="860" w:type="dxa"/>
            <w:tcMar>
              <w:left w:w="60" w:type="dxa"/>
              <w:right w:w="60" w:type="dxa"/>
            </w:tcMar>
            <w:vAlign w:val="bottom"/>
          </w:tcPr>
          <w:p w14:paraId="391BA918" w14:textId="77777777" w:rsidR="00D72C78" w:rsidRDefault="00D72C78" w:rsidP="00D61ABF">
            <w:pPr>
              <w:keepNext/>
              <w:keepLines/>
              <w:spacing w:before="40" w:after="40"/>
            </w:pPr>
          </w:p>
        </w:tc>
        <w:tc>
          <w:tcPr>
            <w:tcW w:w="860" w:type="dxa"/>
            <w:tcMar>
              <w:left w:w="60" w:type="dxa"/>
              <w:right w:w="60" w:type="dxa"/>
            </w:tcMar>
            <w:vAlign w:val="bottom"/>
          </w:tcPr>
          <w:p w14:paraId="7532DD06" w14:textId="77777777" w:rsidR="00D72C78" w:rsidRDefault="00D72C78" w:rsidP="00D61ABF">
            <w:pPr>
              <w:keepNext/>
              <w:keepLines/>
              <w:spacing w:before="40" w:after="40"/>
            </w:pPr>
          </w:p>
        </w:tc>
        <w:tc>
          <w:tcPr>
            <w:tcW w:w="860" w:type="dxa"/>
            <w:tcMar>
              <w:left w:w="60" w:type="dxa"/>
              <w:right w:w="60" w:type="dxa"/>
            </w:tcMar>
            <w:vAlign w:val="bottom"/>
          </w:tcPr>
          <w:p w14:paraId="3B56312E" w14:textId="77777777" w:rsidR="00D72C78" w:rsidRDefault="00D72C78" w:rsidP="00D61ABF">
            <w:pPr>
              <w:keepNext/>
              <w:keepLines/>
              <w:spacing w:before="40" w:after="40"/>
            </w:pPr>
          </w:p>
        </w:tc>
        <w:tc>
          <w:tcPr>
            <w:tcW w:w="100" w:type="dxa"/>
            <w:tcMar>
              <w:left w:w="0" w:type="dxa"/>
              <w:right w:w="60" w:type="dxa"/>
            </w:tcMar>
            <w:vAlign w:val="center"/>
          </w:tcPr>
          <w:p w14:paraId="74A9913E" w14:textId="77777777" w:rsidR="00D72C78" w:rsidRDefault="00D72C78" w:rsidP="00D61ABF">
            <w:pPr>
              <w:keepNext/>
              <w:keepLines/>
              <w:spacing w:before="40" w:after="40"/>
            </w:pPr>
          </w:p>
        </w:tc>
        <w:tc>
          <w:tcPr>
            <w:tcW w:w="860" w:type="dxa"/>
            <w:tcMar>
              <w:left w:w="60" w:type="dxa"/>
              <w:right w:w="60" w:type="dxa"/>
            </w:tcMar>
            <w:vAlign w:val="bottom"/>
          </w:tcPr>
          <w:p w14:paraId="2835E811" w14:textId="77777777" w:rsidR="00D72C78" w:rsidRDefault="00D72C78" w:rsidP="00D61ABF">
            <w:pPr>
              <w:keepNext/>
              <w:keepLines/>
              <w:spacing w:before="40" w:after="40"/>
            </w:pPr>
          </w:p>
        </w:tc>
        <w:tc>
          <w:tcPr>
            <w:tcW w:w="860" w:type="dxa"/>
            <w:tcMar>
              <w:left w:w="60" w:type="dxa"/>
              <w:right w:w="60" w:type="dxa"/>
            </w:tcMar>
            <w:vAlign w:val="bottom"/>
          </w:tcPr>
          <w:p w14:paraId="3714A76C" w14:textId="77777777" w:rsidR="00D72C78" w:rsidRDefault="00D72C78" w:rsidP="00D61ABF">
            <w:pPr>
              <w:keepNext/>
              <w:keepLines/>
              <w:spacing w:before="40" w:after="40"/>
            </w:pPr>
          </w:p>
        </w:tc>
        <w:tc>
          <w:tcPr>
            <w:tcW w:w="860" w:type="dxa"/>
            <w:tcMar>
              <w:left w:w="60" w:type="dxa"/>
              <w:right w:w="60" w:type="dxa"/>
            </w:tcMar>
            <w:vAlign w:val="bottom"/>
          </w:tcPr>
          <w:p w14:paraId="2E67AC82" w14:textId="77777777" w:rsidR="00D72C78" w:rsidRDefault="00D72C78" w:rsidP="00D61ABF">
            <w:pPr>
              <w:keepNext/>
              <w:keepLines/>
              <w:spacing w:before="40" w:after="40"/>
            </w:pPr>
          </w:p>
        </w:tc>
        <w:tc>
          <w:tcPr>
            <w:tcW w:w="860" w:type="dxa"/>
            <w:tcMar>
              <w:left w:w="60" w:type="dxa"/>
              <w:right w:w="60" w:type="dxa"/>
            </w:tcMar>
            <w:vAlign w:val="bottom"/>
          </w:tcPr>
          <w:p w14:paraId="5A51BBA3" w14:textId="77777777" w:rsidR="00D72C78" w:rsidRDefault="00D72C78" w:rsidP="00D61ABF">
            <w:pPr>
              <w:keepNext/>
              <w:keepLines/>
              <w:spacing w:before="40" w:after="40"/>
            </w:pPr>
          </w:p>
        </w:tc>
      </w:tr>
      <w:tr w:rsidR="00D72C78" w14:paraId="73125CF6" w14:textId="77777777" w:rsidTr="00D61ABF">
        <w:trPr>
          <w:trHeight w:hRule="exact" w:val="320"/>
        </w:trPr>
        <w:tc>
          <w:tcPr>
            <w:tcW w:w="2980" w:type="dxa"/>
            <w:tcBorders>
              <w:top w:val="single" w:sz="16" w:space="0" w:color="auto"/>
              <w:bottom w:val="single" w:sz="4" w:space="0" w:color="5F5F5F"/>
            </w:tcBorders>
            <w:tcMar>
              <w:left w:w="60" w:type="dxa"/>
              <w:right w:w="40" w:type="dxa"/>
            </w:tcMar>
            <w:vAlign w:val="center"/>
          </w:tcPr>
          <w:p w14:paraId="456FF37E"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Molecular Diagnostics</w:t>
            </w:r>
            <w:r>
              <w:rPr>
                <w:rFonts w:ascii="Arial" w:eastAsia="Arial" w:hAnsi="Arial" w:cs="Arial"/>
                <w:sz w:val="18"/>
                <w:vertAlign w:val="superscript"/>
              </w:rPr>
              <w:t>(2)</w:t>
            </w:r>
          </w:p>
        </w:tc>
        <w:tc>
          <w:tcPr>
            <w:tcW w:w="860" w:type="dxa"/>
            <w:tcBorders>
              <w:top w:val="single" w:sz="16" w:space="0" w:color="auto"/>
              <w:left w:val="single" w:sz="8" w:space="0" w:color="898989"/>
              <w:bottom w:val="single" w:sz="4" w:space="0" w:color="5F5F5F"/>
            </w:tcBorders>
            <w:tcMar>
              <w:left w:w="60" w:type="dxa"/>
              <w:right w:w="60" w:type="dxa"/>
            </w:tcMar>
            <w:vAlign w:val="bottom"/>
          </w:tcPr>
          <w:p w14:paraId="72DCFEF0"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$188</w:t>
            </w:r>
          </w:p>
        </w:tc>
        <w:tc>
          <w:tcPr>
            <w:tcW w:w="860" w:type="dxa"/>
            <w:tcBorders>
              <w:top w:val="single" w:sz="16" w:space="0" w:color="auto"/>
              <w:left w:val="single" w:sz="8" w:space="0" w:color="898989"/>
              <w:bottom w:val="single" w:sz="4" w:space="0" w:color="5F5F5F"/>
            </w:tcBorders>
            <w:tcMar>
              <w:left w:w="60" w:type="dxa"/>
              <w:right w:w="60" w:type="dxa"/>
            </w:tcMar>
            <w:vAlign w:val="bottom"/>
          </w:tcPr>
          <w:p w14:paraId="232D390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w:t>
            </w:r>
          </w:p>
        </w:tc>
        <w:tc>
          <w:tcPr>
            <w:tcW w:w="860" w:type="dxa"/>
            <w:tcBorders>
              <w:top w:val="single" w:sz="16" w:space="0" w:color="auto"/>
              <w:left w:val="single" w:sz="8" w:space="0" w:color="898989"/>
              <w:bottom w:val="single" w:sz="4" w:space="0" w:color="5F5F5F"/>
            </w:tcBorders>
            <w:tcMar>
              <w:left w:w="60" w:type="dxa"/>
              <w:right w:w="60" w:type="dxa"/>
            </w:tcMar>
            <w:vAlign w:val="bottom"/>
          </w:tcPr>
          <w:p w14:paraId="18F23E9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w:t>
            </w:r>
          </w:p>
        </w:tc>
        <w:tc>
          <w:tcPr>
            <w:tcW w:w="860" w:type="dxa"/>
            <w:tcBorders>
              <w:top w:val="single" w:sz="16" w:space="0" w:color="auto"/>
              <w:left w:val="single" w:sz="8" w:space="0" w:color="898989"/>
              <w:bottom w:val="single" w:sz="4" w:space="0" w:color="5F5F5F"/>
            </w:tcBorders>
            <w:tcMar>
              <w:left w:w="60" w:type="dxa"/>
              <w:right w:w="60" w:type="dxa"/>
            </w:tcMar>
            <w:vAlign w:val="bottom"/>
          </w:tcPr>
          <w:p w14:paraId="2057769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49%</w:t>
            </w:r>
          </w:p>
        </w:tc>
        <w:tc>
          <w:tcPr>
            <w:tcW w:w="100" w:type="dxa"/>
            <w:tcMar>
              <w:left w:w="0" w:type="dxa"/>
              <w:right w:w="60" w:type="dxa"/>
            </w:tcMar>
            <w:vAlign w:val="center"/>
          </w:tcPr>
          <w:p w14:paraId="566DCCAF" w14:textId="77777777" w:rsidR="00D72C78" w:rsidRDefault="00D72C78" w:rsidP="00D61ABF">
            <w:pPr>
              <w:keepNext/>
              <w:keepLines/>
              <w:spacing w:before="40" w:after="40"/>
            </w:pPr>
          </w:p>
        </w:tc>
        <w:tc>
          <w:tcPr>
            <w:tcW w:w="860" w:type="dxa"/>
            <w:tcBorders>
              <w:top w:val="single" w:sz="16" w:space="0" w:color="auto"/>
              <w:bottom w:val="single" w:sz="4" w:space="0" w:color="5F5F5F"/>
              <w:right w:val="single" w:sz="8" w:space="0" w:color="898989"/>
            </w:tcBorders>
            <w:tcMar>
              <w:left w:w="60" w:type="dxa"/>
              <w:right w:w="60" w:type="dxa"/>
            </w:tcMar>
            <w:vAlign w:val="bottom"/>
          </w:tcPr>
          <w:p w14:paraId="4D522E2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$356</w:t>
            </w:r>
          </w:p>
        </w:tc>
        <w:tc>
          <w:tcPr>
            <w:tcW w:w="860" w:type="dxa"/>
            <w:tcBorders>
              <w:top w:val="single" w:sz="16" w:space="0" w:color="auto"/>
              <w:left w:val="single" w:sz="8" w:space="0" w:color="898989"/>
              <w:bottom w:val="single" w:sz="4" w:space="0" w:color="5F5F5F"/>
              <w:right w:val="single" w:sz="8" w:space="0" w:color="898989"/>
            </w:tcBorders>
            <w:tcMar>
              <w:left w:w="60" w:type="dxa"/>
              <w:right w:w="60" w:type="dxa"/>
            </w:tcMar>
            <w:vAlign w:val="bottom"/>
          </w:tcPr>
          <w:p w14:paraId="64C0E960"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w:t>
            </w:r>
          </w:p>
        </w:tc>
        <w:tc>
          <w:tcPr>
            <w:tcW w:w="860" w:type="dxa"/>
            <w:tcBorders>
              <w:top w:val="single" w:sz="16" w:space="0" w:color="auto"/>
              <w:left w:val="single" w:sz="8" w:space="0" w:color="898989"/>
              <w:bottom w:val="single" w:sz="4" w:space="0" w:color="5F5F5F"/>
              <w:right w:val="single" w:sz="8" w:space="0" w:color="898989"/>
            </w:tcBorders>
            <w:tcMar>
              <w:left w:w="60" w:type="dxa"/>
              <w:right w:w="60" w:type="dxa"/>
            </w:tcMar>
            <w:vAlign w:val="bottom"/>
          </w:tcPr>
          <w:p w14:paraId="57C600F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+7%</w:t>
            </w:r>
          </w:p>
        </w:tc>
        <w:tc>
          <w:tcPr>
            <w:tcW w:w="860" w:type="dxa"/>
            <w:tcBorders>
              <w:top w:val="single" w:sz="16" w:space="0" w:color="auto"/>
              <w:left w:val="single" w:sz="8" w:space="0" w:color="898989"/>
              <w:bottom w:val="single" w:sz="4" w:space="0" w:color="5F5F5F"/>
            </w:tcBorders>
            <w:tcMar>
              <w:left w:w="60" w:type="dxa"/>
              <w:right w:w="60" w:type="dxa"/>
            </w:tcMar>
            <w:vAlign w:val="bottom"/>
          </w:tcPr>
          <w:p w14:paraId="621FA539"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49%</w:t>
            </w:r>
          </w:p>
        </w:tc>
      </w:tr>
      <w:tr w:rsidR="00D72C78" w14:paraId="174B3D83" w14:textId="77777777" w:rsidTr="000770B7">
        <w:trPr>
          <w:trHeight w:hRule="exact" w:val="320"/>
        </w:trPr>
        <w:tc>
          <w:tcPr>
            <w:tcW w:w="2980" w:type="dxa"/>
            <w:tcBorders>
              <w:bottom w:val="single" w:sz="4" w:space="0" w:color="auto"/>
            </w:tcBorders>
            <w:tcMar>
              <w:left w:w="60" w:type="dxa"/>
              <w:right w:w="40" w:type="dxa"/>
            </w:tcMar>
            <w:vAlign w:val="center"/>
          </w:tcPr>
          <w:p w14:paraId="228540BB"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Life Sciences</w:t>
            </w:r>
          </w:p>
        </w:tc>
        <w:tc>
          <w:tcPr>
            <w:tcW w:w="860" w:type="dxa"/>
            <w:tcBorders>
              <w:left w:val="single" w:sz="8" w:space="0" w:color="898989"/>
              <w:bottom w:val="single" w:sz="4" w:space="0" w:color="auto"/>
            </w:tcBorders>
            <w:tcMar>
              <w:left w:w="60" w:type="dxa"/>
              <w:right w:w="60" w:type="dxa"/>
            </w:tcMar>
            <w:vAlign w:val="center"/>
          </w:tcPr>
          <w:p w14:paraId="6D11070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$194</w:t>
            </w:r>
          </w:p>
        </w:tc>
        <w:tc>
          <w:tcPr>
            <w:tcW w:w="860" w:type="dxa"/>
            <w:tcBorders>
              <w:left w:val="single" w:sz="8" w:space="0" w:color="898989"/>
              <w:bottom w:val="single" w:sz="4" w:space="0" w:color="auto"/>
            </w:tcBorders>
            <w:tcMar>
              <w:left w:w="60" w:type="dxa"/>
              <w:right w:w="60" w:type="dxa"/>
            </w:tcMar>
            <w:vAlign w:val="center"/>
          </w:tcPr>
          <w:p w14:paraId="41482B4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w:t>
            </w:r>
          </w:p>
        </w:tc>
        <w:tc>
          <w:tcPr>
            <w:tcW w:w="860" w:type="dxa"/>
            <w:tcBorders>
              <w:left w:val="single" w:sz="8" w:space="0" w:color="898989"/>
              <w:bottom w:val="single" w:sz="4" w:space="0" w:color="auto"/>
            </w:tcBorders>
            <w:tcMar>
              <w:left w:w="60" w:type="dxa"/>
              <w:right w:w="60" w:type="dxa"/>
            </w:tcMar>
            <w:vAlign w:val="center"/>
          </w:tcPr>
          <w:p w14:paraId="08B12D6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w:t>
            </w:r>
          </w:p>
        </w:tc>
        <w:tc>
          <w:tcPr>
            <w:tcW w:w="860" w:type="dxa"/>
            <w:tcBorders>
              <w:left w:val="single" w:sz="8" w:space="0" w:color="898989"/>
              <w:bottom w:val="single" w:sz="4" w:space="0" w:color="auto"/>
            </w:tcBorders>
            <w:tcMar>
              <w:left w:w="60" w:type="dxa"/>
              <w:right w:w="60" w:type="dxa"/>
            </w:tcMar>
            <w:vAlign w:val="center"/>
          </w:tcPr>
          <w:p w14:paraId="1028278F"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51%</w:t>
            </w:r>
          </w:p>
        </w:tc>
        <w:tc>
          <w:tcPr>
            <w:tcW w:w="100" w:type="dxa"/>
            <w:tcBorders>
              <w:bottom w:val="single" w:sz="4" w:space="0" w:color="auto"/>
            </w:tcBorders>
            <w:tcMar>
              <w:left w:w="0" w:type="dxa"/>
              <w:right w:w="60" w:type="dxa"/>
            </w:tcMar>
            <w:vAlign w:val="center"/>
          </w:tcPr>
          <w:p w14:paraId="6F824993" w14:textId="77777777" w:rsidR="00D72C78" w:rsidRDefault="00D72C78" w:rsidP="00D61ABF">
            <w:pPr>
              <w:keepNext/>
              <w:keepLines/>
              <w:spacing w:before="40" w:after="40"/>
            </w:pPr>
          </w:p>
        </w:tc>
        <w:tc>
          <w:tcPr>
            <w:tcW w:w="860" w:type="dxa"/>
            <w:tcBorders>
              <w:bottom w:val="single" w:sz="4" w:space="0" w:color="auto"/>
              <w:right w:val="single" w:sz="8" w:space="0" w:color="898989"/>
            </w:tcBorders>
            <w:tcMar>
              <w:left w:w="60" w:type="dxa"/>
              <w:right w:w="60" w:type="dxa"/>
            </w:tcMar>
            <w:vAlign w:val="center"/>
          </w:tcPr>
          <w:p w14:paraId="744D882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$374</w:t>
            </w:r>
          </w:p>
        </w:tc>
        <w:tc>
          <w:tcPr>
            <w:tcW w:w="860" w:type="dxa"/>
            <w:tcBorders>
              <w:left w:val="single" w:sz="8" w:space="0" w:color="898989"/>
              <w:bottom w:val="single" w:sz="4" w:space="0" w:color="auto"/>
              <w:right w:val="single" w:sz="8" w:space="0" w:color="898989"/>
            </w:tcBorders>
            <w:tcMar>
              <w:left w:w="60" w:type="dxa"/>
              <w:right w:w="60" w:type="dxa"/>
            </w:tcMar>
            <w:vAlign w:val="center"/>
          </w:tcPr>
          <w:p w14:paraId="5D6E4F9C"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0%</w:t>
            </w:r>
          </w:p>
        </w:tc>
        <w:tc>
          <w:tcPr>
            <w:tcW w:w="860" w:type="dxa"/>
            <w:tcBorders>
              <w:left w:val="single" w:sz="8" w:space="0" w:color="898989"/>
              <w:bottom w:val="single" w:sz="4" w:space="0" w:color="auto"/>
              <w:right w:val="single" w:sz="8" w:space="0" w:color="898989"/>
            </w:tcBorders>
            <w:tcMar>
              <w:left w:w="60" w:type="dxa"/>
              <w:right w:w="60" w:type="dxa"/>
            </w:tcMar>
            <w:vAlign w:val="center"/>
          </w:tcPr>
          <w:p w14:paraId="6BF0FA19"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w:t>
            </w:r>
          </w:p>
        </w:tc>
        <w:tc>
          <w:tcPr>
            <w:tcW w:w="860" w:type="dxa"/>
            <w:tcBorders>
              <w:left w:val="single" w:sz="8" w:space="0" w:color="898989"/>
              <w:bottom w:val="single" w:sz="4" w:space="0" w:color="auto"/>
            </w:tcBorders>
            <w:tcMar>
              <w:left w:w="60" w:type="dxa"/>
              <w:right w:w="60" w:type="dxa"/>
            </w:tcMar>
            <w:vAlign w:val="center"/>
          </w:tcPr>
          <w:p w14:paraId="16B7768A"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51%</w:t>
            </w:r>
          </w:p>
        </w:tc>
      </w:tr>
      <w:tr w:rsidR="00D72C78" w14:paraId="66004E22" w14:textId="77777777" w:rsidTr="000770B7">
        <w:trPr>
          <w:trHeight w:hRule="exact" w:val="320"/>
        </w:trPr>
        <w:tc>
          <w:tcPr>
            <w:tcW w:w="2980" w:type="dxa"/>
            <w:tcBorders>
              <w:top w:val="single" w:sz="4" w:space="0" w:color="auto"/>
            </w:tcBorders>
            <w:tcMar>
              <w:left w:w="180" w:type="dxa"/>
              <w:right w:w="40" w:type="dxa"/>
            </w:tcMar>
            <w:vAlign w:val="center"/>
          </w:tcPr>
          <w:p w14:paraId="3C8398F7" w14:textId="77777777" w:rsidR="00D72C78" w:rsidRDefault="00D72C78" w:rsidP="00D61ABF">
            <w:pPr>
              <w:keepNext/>
              <w:keepLines/>
              <w:spacing w:before="40" w:after="40"/>
              <w:rPr>
                <w:rFonts w:ascii="Arial" w:eastAsia="Arial" w:hAnsi="Arial" w:cs="Arial"/>
                <w:i/>
                <w:sz w:val="18"/>
              </w:rPr>
            </w:pPr>
            <w:r>
              <w:rPr>
                <w:rFonts w:ascii="Arial" w:eastAsia="Arial" w:hAnsi="Arial" w:cs="Arial"/>
                <w:i/>
                <w:sz w:val="18"/>
              </w:rPr>
              <w:t>Academia / Applied Testing</w:t>
            </w:r>
          </w:p>
        </w:tc>
        <w:tc>
          <w:tcPr>
            <w:tcW w:w="860" w:type="dxa"/>
            <w:tcBorders>
              <w:top w:val="single" w:sz="4" w:space="0" w:color="auto"/>
              <w:left w:val="single" w:sz="8" w:space="0" w:color="898989"/>
            </w:tcBorders>
            <w:tcMar>
              <w:left w:w="60" w:type="dxa"/>
              <w:right w:w="60" w:type="dxa"/>
            </w:tcMar>
            <w:vAlign w:val="center"/>
          </w:tcPr>
          <w:p w14:paraId="1F90156C"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$118</w:t>
            </w:r>
          </w:p>
        </w:tc>
        <w:tc>
          <w:tcPr>
            <w:tcW w:w="860" w:type="dxa"/>
            <w:tcBorders>
              <w:top w:val="single" w:sz="4" w:space="0" w:color="auto"/>
              <w:left w:val="single" w:sz="8" w:space="0" w:color="898989"/>
            </w:tcBorders>
            <w:tcMar>
              <w:left w:w="60" w:type="dxa"/>
              <w:right w:w="60" w:type="dxa"/>
            </w:tcMar>
            <w:vAlign w:val="center"/>
          </w:tcPr>
          <w:p w14:paraId="759293F7"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+2%</w:t>
            </w:r>
          </w:p>
        </w:tc>
        <w:tc>
          <w:tcPr>
            <w:tcW w:w="860" w:type="dxa"/>
            <w:tcBorders>
              <w:top w:val="single" w:sz="4" w:space="0" w:color="auto"/>
              <w:left w:val="single" w:sz="8" w:space="0" w:color="898989"/>
            </w:tcBorders>
            <w:tcMar>
              <w:left w:w="60" w:type="dxa"/>
              <w:right w:w="60" w:type="dxa"/>
            </w:tcMar>
            <w:vAlign w:val="center"/>
          </w:tcPr>
          <w:p w14:paraId="134372BA"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+5%</w:t>
            </w:r>
          </w:p>
        </w:tc>
        <w:tc>
          <w:tcPr>
            <w:tcW w:w="860" w:type="dxa"/>
            <w:tcBorders>
              <w:top w:val="single" w:sz="4" w:space="0" w:color="auto"/>
              <w:left w:val="single" w:sz="8" w:space="0" w:color="898989"/>
            </w:tcBorders>
            <w:tcMar>
              <w:left w:w="60" w:type="dxa"/>
              <w:right w:w="60" w:type="dxa"/>
            </w:tcMar>
            <w:vAlign w:val="center"/>
          </w:tcPr>
          <w:p w14:paraId="1D951720"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31%</w:t>
            </w:r>
          </w:p>
        </w:tc>
        <w:tc>
          <w:tcPr>
            <w:tcW w:w="100" w:type="dxa"/>
            <w:tcBorders>
              <w:top w:val="single" w:sz="4" w:space="0" w:color="auto"/>
            </w:tcBorders>
            <w:tcMar>
              <w:left w:w="0" w:type="dxa"/>
              <w:right w:w="60" w:type="dxa"/>
            </w:tcMar>
            <w:vAlign w:val="center"/>
          </w:tcPr>
          <w:p w14:paraId="7BA4DA06" w14:textId="77777777" w:rsidR="00D72C78" w:rsidRDefault="00D72C78" w:rsidP="00D61ABF">
            <w:pPr>
              <w:keepNext/>
              <w:keepLines/>
              <w:spacing w:before="40" w:after="40"/>
            </w:pPr>
          </w:p>
        </w:tc>
        <w:tc>
          <w:tcPr>
            <w:tcW w:w="860" w:type="dxa"/>
            <w:tcBorders>
              <w:top w:val="single" w:sz="4" w:space="0" w:color="auto"/>
              <w:right w:val="single" w:sz="8" w:space="0" w:color="898989"/>
            </w:tcBorders>
            <w:tcMar>
              <w:left w:w="60" w:type="dxa"/>
              <w:right w:w="60" w:type="dxa"/>
            </w:tcMar>
            <w:vAlign w:val="center"/>
          </w:tcPr>
          <w:p w14:paraId="7E4D093E"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$227</w:t>
            </w:r>
          </w:p>
        </w:tc>
        <w:tc>
          <w:tcPr>
            <w:tcW w:w="860" w:type="dxa"/>
            <w:tcBorders>
              <w:top w:val="single" w:sz="4" w:space="0" w:color="auto"/>
              <w:left w:val="single" w:sz="8" w:space="0" w:color="898989"/>
              <w:right w:val="single" w:sz="8" w:space="0" w:color="898989"/>
            </w:tcBorders>
            <w:tcMar>
              <w:left w:w="60" w:type="dxa"/>
              <w:right w:w="60" w:type="dxa"/>
            </w:tcMar>
            <w:vAlign w:val="center"/>
          </w:tcPr>
          <w:p w14:paraId="6C689378"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0%</w:t>
            </w:r>
          </w:p>
        </w:tc>
        <w:tc>
          <w:tcPr>
            <w:tcW w:w="860" w:type="dxa"/>
            <w:tcBorders>
              <w:top w:val="single" w:sz="4" w:space="0" w:color="auto"/>
              <w:left w:val="single" w:sz="8" w:space="0" w:color="898989"/>
              <w:right w:val="single" w:sz="8" w:space="0" w:color="898989"/>
            </w:tcBorders>
            <w:tcMar>
              <w:left w:w="60" w:type="dxa"/>
              <w:right w:w="60" w:type="dxa"/>
            </w:tcMar>
            <w:vAlign w:val="center"/>
          </w:tcPr>
          <w:p w14:paraId="02EE5DDB"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+4%</w:t>
            </w:r>
          </w:p>
        </w:tc>
        <w:tc>
          <w:tcPr>
            <w:tcW w:w="860" w:type="dxa"/>
            <w:tcBorders>
              <w:top w:val="single" w:sz="4" w:space="0" w:color="auto"/>
              <w:left w:val="single" w:sz="8" w:space="0" w:color="898989"/>
            </w:tcBorders>
            <w:tcMar>
              <w:left w:w="60" w:type="dxa"/>
              <w:right w:w="60" w:type="dxa"/>
            </w:tcMar>
            <w:vAlign w:val="center"/>
          </w:tcPr>
          <w:p w14:paraId="0D934665" w14:textId="77777777" w:rsidR="00D72C78" w:rsidRDefault="00D72C78" w:rsidP="00D61ABF">
            <w:pPr>
              <w:keepNext/>
              <w:keepLines/>
              <w:spacing w:before="40" w:after="40"/>
              <w:jc w:val="center"/>
              <w:rPr>
                <w:rFonts w:ascii="Arial" w:eastAsia="Arial" w:hAnsi="Arial" w:cs="Arial"/>
                <w:i/>
                <w:sz w:val="18"/>
              </w:rPr>
            </w:pPr>
            <w:r>
              <w:rPr>
                <w:rFonts w:ascii="Arial" w:eastAsia="Arial" w:hAnsi="Arial" w:cs="Arial"/>
                <w:i/>
                <w:color w:val="000000"/>
                <w:sz w:val="18"/>
              </w:rPr>
              <w:t>31%</w:t>
            </w:r>
          </w:p>
        </w:tc>
      </w:tr>
      <w:tr w:rsidR="00D72C78" w14:paraId="07E76AA7" w14:textId="77777777" w:rsidTr="00D61ABF">
        <w:trPr>
          <w:trHeight w:hRule="exact" w:val="320"/>
        </w:trPr>
        <w:tc>
          <w:tcPr>
            <w:tcW w:w="2980" w:type="dxa"/>
            <w:tcBorders>
              <w:top w:val="single" w:sz="8" w:space="0" w:color="898989"/>
              <w:bottom w:val="single" w:sz="16" w:space="0" w:color="auto"/>
              <w:right w:val="single" w:sz="8" w:space="0" w:color="898989"/>
            </w:tcBorders>
            <w:tcMar>
              <w:left w:w="180" w:type="dxa"/>
              <w:right w:w="40" w:type="dxa"/>
            </w:tcMar>
            <w:vAlign w:val="center"/>
          </w:tcPr>
          <w:p w14:paraId="34C25D19" w14:textId="77777777" w:rsidR="00D72C78" w:rsidRDefault="00D72C78" w:rsidP="00D61ABF">
            <w:pPr>
              <w:keepLines/>
              <w:spacing w:before="40" w:after="40"/>
              <w:rPr>
                <w:rFonts w:ascii="Arial" w:eastAsia="Arial" w:hAnsi="Arial" w:cs="Arial"/>
                <w:i/>
                <w:sz w:val="18"/>
              </w:rPr>
            </w:pPr>
            <w:r>
              <w:rPr>
                <w:rFonts w:ascii="Arial" w:eastAsia="Arial" w:hAnsi="Arial" w:cs="Arial"/>
                <w:i/>
                <w:sz w:val="18"/>
              </w:rPr>
              <w:t>Pharma</w:t>
            </w:r>
          </w:p>
        </w:tc>
        <w:tc>
          <w:tcPr>
            <w:tcW w:w="860" w:type="dxa"/>
            <w:tcBorders>
              <w:top w:val="single" w:sz="8" w:space="0" w:color="898989"/>
              <w:bottom w:val="single" w:sz="16" w:space="0" w:color="auto"/>
            </w:tcBorders>
            <w:tcMar>
              <w:left w:w="60" w:type="dxa"/>
              <w:right w:w="60" w:type="dxa"/>
            </w:tcMar>
            <w:vAlign w:val="center"/>
          </w:tcPr>
          <w:p w14:paraId="1F7A4D65"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$76</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31F7CFD8"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+2%</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0AED5522"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+4%</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4DE7ADA7"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20%</w:t>
            </w:r>
          </w:p>
        </w:tc>
        <w:tc>
          <w:tcPr>
            <w:tcW w:w="100" w:type="dxa"/>
            <w:tcMar>
              <w:left w:w="0" w:type="dxa"/>
              <w:right w:w="60" w:type="dxa"/>
            </w:tcMar>
            <w:vAlign w:val="center"/>
          </w:tcPr>
          <w:p w14:paraId="4BFDB144" w14:textId="77777777" w:rsidR="00D72C78" w:rsidRDefault="00D72C78" w:rsidP="00D61ABF">
            <w:pPr>
              <w:keepLines/>
              <w:spacing w:before="40" w:after="40"/>
            </w:pPr>
          </w:p>
        </w:tc>
        <w:tc>
          <w:tcPr>
            <w:tcW w:w="860" w:type="dxa"/>
            <w:tcBorders>
              <w:top w:val="single" w:sz="8" w:space="0" w:color="898989"/>
              <w:bottom w:val="single" w:sz="16" w:space="0" w:color="auto"/>
              <w:right w:val="single" w:sz="8" w:space="0" w:color="898989"/>
            </w:tcBorders>
            <w:tcMar>
              <w:left w:w="60" w:type="dxa"/>
              <w:right w:w="60" w:type="dxa"/>
            </w:tcMar>
            <w:vAlign w:val="center"/>
          </w:tcPr>
          <w:p w14:paraId="5E86501F"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$147</w:t>
            </w:r>
          </w:p>
        </w:tc>
        <w:tc>
          <w:tcPr>
            <w:tcW w:w="860" w:type="dxa"/>
            <w:tcBorders>
              <w:top w:val="single" w:sz="8" w:space="0" w:color="898989"/>
              <w:left w:val="single" w:sz="8" w:space="0" w:color="898989"/>
              <w:bottom w:val="single" w:sz="16" w:space="0" w:color="auto"/>
              <w:right w:val="single" w:sz="8" w:space="0" w:color="898989"/>
            </w:tcBorders>
            <w:tcMar>
              <w:left w:w="60" w:type="dxa"/>
              <w:right w:w="60" w:type="dxa"/>
            </w:tcMar>
            <w:vAlign w:val="center"/>
          </w:tcPr>
          <w:p w14:paraId="61BCADF8"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+1%</w:t>
            </w:r>
          </w:p>
        </w:tc>
        <w:tc>
          <w:tcPr>
            <w:tcW w:w="860" w:type="dxa"/>
            <w:tcBorders>
              <w:top w:val="single" w:sz="8" w:space="0" w:color="898989"/>
              <w:left w:val="single" w:sz="8" w:space="0" w:color="898989"/>
              <w:bottom w:val="single" w:sz="16" w:space="0" w:color="auto"/>
              <w:right w:val="single" w:sz="8" w:space="0" w:color="898989"/>
            </w:tcBorders>
            <w:tcMar>
              <w:left w:w="60" w:type="dxa"/>
              <w:right w:w="60" w:type="dxa"/>
            </w:tcMar>
            <w:vAlign w:val="center"/>
          </w:tcPr>
          <w:p w14:paraId="1E6AF4D6"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+4%</w:t>
            </w:r>
          </w:p>
        </w:tc>
        <w:tc>
          <w:tcPr>
            <w:tcW w:w="860" w:type="dxa"/>
            <w:tcBorders>
              <w:top w:val="single" w:sz="8" w:space="0" w:color="898989"/>
              <w:left w:val="single" w:sz="8" w:space="0" w:color="898989"/>
              <w:bottom w:val="single" w:sz="16" w:space="0" w:color="auto"/>
            </w:tcBorders>
            <w:tcMar>
              <w:left w:w="60" w:type="dxa"/>
              <w:right w:w="60" w:type="dxa"/>
            </w:tcMar>
            <w:vAlign w:val="center"/>
          </w:tcPr>
          <w:p w14:paraId="083F853F" w14:textId="77777777" w:rsidR="00D72C78" w:rsidRDefault="00D72C78" w:rsidP="00D61ABF">
            <w:pPr>
              <w:keepLines/>
              <w:spacing w:before="40" w:after="40"/>
              <w:jc w:val="center"/>
              <w:rPr>
                <w:rFonts w:ascii="Arial" w:eastAsia="Arial" w:hAnsi="Arial" w:cs="Arial"/>
                <w:i/>
                <w:sz w:val="18"/>
              </w:rPr>
            </w:pPr>
            <w:r>
              <w:rPr>
                <w:rFonts w:ascii="Arial" w:eastAsia="Arial" w:hAnsi="Arial" w:cs="Arial"/>
                <w:i/>
                <w:color w:val="000000"/>
                <w:sz w:val="18"/>
              </w:rPr>
              <w:t>20%</w:t>
            </w:r>
          </w:p>
        </w:tc>
      </w:tr>
    </w:tbl>
    <w:p w14:paraId="53F334F3" w14:textId="77777777" w:rsidR="00D72C78" w:rsidRPr="00562975" w:rsidRDefault="00D72C78" w:rsidP="006077F9">
      <w:pPr>
        <w:spacing w:before="120" w:line="288" w:lineRule="auto"/>
        <w:rPr>
          <w:rFonts w:ascii="Arial" w:eastAsia="Arial" w:hAnsi="Arial" w:cs="Arial"/>
          <w:spacing w:val="-2"/>
          <w:sz w:val="16"/>
        </w:rPr>
      </w:pPr>
      <w:r w:rsidRPr="00562975">
        <w:rPr>
          <w:rFonts w:ascii="Arial" w:eastAsia="Arial" w:hAnsi="Arial" w:cs="Arial"/>
          <w:spacing w:val="-2"/>
          <w:sz w:val="16"/>
        </w:rPr>
        <w:t xml:space="preserve">(1) </w:t>
      </w:r>
      <w:r w:rsidR="00327D53" w:rsidRPr="00562975">
        <w:rPr>
          <w:rFonts w:ascii="Arial" w:eastAsia="Arial" w:hAnsi="Arial" w:cs="Arial"/>
          <w:spacing w:val="-2"/>
          <w:sz w:val="16"/>
        </w:rPr>
        <w:t xml:space="preserve">Includes instrument service revenues. </w:t>
      </w:r>
      <w:r w:rsidRPr="00562975">
        <w:rPr>
          <w:rFonts w:ascii="Arial" w:eastAsia="Arial" w:hAnsi="Arial" w:cs="Arial"/>
          <w:spacing w:val="-2"/>
          <w:sz w:val="16"/>
        </w:rPr>
        <w:t>Instrument sales excluding service (Q2 2019: +12%, +15% CER</w:t>
      </w:r>
      <w:r w:rsidR="00562975" w:rsidRPr="00562975">
        <w:rPr>
          <w:rFonts w:ascii="Arial" w:eastAsia="Arial" w:hAnsi="Arial" w:cs="Arial"/>
          <w:spacing w:val="-2"/>
          <w:sz w:val="16"/>
        </w:rPr>
        <w:t xml:space="preserve">; </w:t>
      </w:r>
      <w:r w:rsidRPr="00562975">
        <w:rPr>
          <w:rFonts w:ascii="Arial" w:eastAsia="Arial" w:hAnsi="Arial" w:cs="Arial"/>
          <w:spacing w:val="-2"/>
          <w:sz w:val="16"/>
        </w:rPr>
        <w:t>H1 2019: +8%, +12% CER)</w:t>
      </w:r>
    </w:p>
    <w:p w14:paraId="34433588" w14:textId="77777777" w:rsidR="00D72C78" w:rsidRPr="00562975" w:rsidRDefault="00D72C78" w:rsidP="00D72C78">
      <w:pPr>
        <w:spacing w:line="288" w:lineRule="auto"/>
        <w:rPr>
          <w:rFonts w:ascii="Arial" w:eastAsia="Arial" w:hAnsi="Arial" w:cs="Arial"/>
          <w:spacing w:val="-2"/>
          <w:sz w:val="16"/>
        </w:rPr>
      </w:pPr>
      <w:r w:rsidRPr="00562975">
        <w:rPr>
          <w:rFonts w:ascii="Arial" w:eastAsia="Arial" w:hAnsi="Arial" w:cs="Arial"/>
          <w:spacing w:val="-2"/>
          <w:sz w:val="16"/>
        </w:rPr>
        <w:t>(2) Includes companion diagnostic co-development revenues (Q2 2019: $11 million, -22%, -21% CER</w:t>
      </w:r>
      <w:r w:rsidR="00562975" w:rsidRPr="00562975">
        <w:rPr>
          <w:rFonts w:ascii="Arial" w:eastAsia="Arial" w:hAnsi="Arial" w:cs="Arial"/>
          <w:spacing w:val="-2"/>
          <w:sz w:val="16"/>
        </w:rPr>
        <w:t xml:space="preserve">; </w:t>
      </w:r>
      <w:r w:rsidRPr="00562975">
        <w:rPr>
          <w:rFonts w:ascii="Arial" w:eastAsia="Arial" w:hAnsi="Arial" w:cs="Arial"/>
          <w:spacing w:val="-2"/>
          <w:sz w:val="16"/>
        </w:rPr>
        <w:t>H1 2019: $23 million, +3%, +4% CER)</w:t>
      </w:r>
    </w:p>
    <w:p w14:paraId="1169616D" w14:textId="77777777" w:rsidR="00D72C78" w:rsidRDefault="00D72C78" w:rsidP="00D72C78">
      <w:pPr>
        <w:spacing w:line="288" w:lineRule="auto"/>
        <w:rPr>
          <w:rFonts w:ascii="Arial" w:eastAsia="Arial" w:hAnsi="Arial" w:cs="Arial"/>
          <w:sz w:val="16"/>
        </w:rPr>
      </w:pPr>
      <w:r>
        <w:rPr>
          <w:rFonts w:ascii="Arial" w:eastAsia="Arial" w:hAnsi="Arial" w:cs="Arial"/>
          <w:sz w:val="16"/>
        </w:rPr>
        <w:t>Tables may have rounding differences.</w:t>
      </w:r>
      <w:r w:rsidR="00F40930">
        <w:rPr>
          <w:rFonts w:ascii="Arial" w:eastAsia="Arial" w:hAnsi="Arial" w:cs="Arial"/>
          <w:sz w:val="16"/>
        </w:rPr>
        <w:t xml:space="preserve"> Percentage change</w:t>
      </w:r>
      <w:r w:rsidR="00E470C3">
        <w:rPr>
          <w:rFonts w:ascii="Arial" w:eastAsia="Arial" w:hAnsi="Arial" w:cs="Arial"/>
          <w:sz w:val="16"/>
        </w:rPr>
        <w:t>s</w:t>
      </w:r>
      <w:r w:rsidR="00F40930">
        <w:rPr>
          <w:rFonts w:ascii="Arial" w:eastAsia="Arial" w:hAnsi="Arial" w:cs="Arial"/>
          <w:sz w:val="16"/>
        </w:rPr>
        <w:t xml:space="preserve"> are to prior</w:t>
      </w:r>
      <w:r w:rsidR="0078325D">
        <w:rPr>
          <w:rFonts w:ascii="Arial" w:eastAsia="Arial" w:hAnsi="Arial" w:cs="Arial"/>
          <w:sz w:val="16"/>
        </w:rPr>
        <w:t>-</w:t>
      </w:r>
      <w:r w:rsidR="00F40930">
        <w:rPr>
          <w:rFonts w:ascii="Arial" w:eastAsia="Arial" w:hAnsi="Arial" w:cs="Arial"/>
          <w:sz w:val="16"/>
        </w:rPr>
        <w:t>year period</w:t>
      </w:r>
      <w:r w:rsidR="0078325D">
        <w:rPr>
          <w:rFonts w:ascii="Arial" w:eastAsia="Arial" w:hAnsi="Arial" w:cs="Arial"/>
          <w:sz w:val="16"/>
        </w:rPr>
        <w:t>s</w:t>
      </w:r>
      <w:r w:rsidR="00F40930">
        <w:rPr>
          <w:rFonts w:ascii="Arial" w:eastAsia="Arial" w:hAnsi="Arial" w:cs="Arial"/>
          <w:sz w:val="16"/>
        </w:rPr>
        <w:t xml:space="preserve">. </w:t>
      </w:r>
    </w:p>
    <w:p w14:paraId="12CB3CDC" w14:textId="77777777" w:rsidR="007306DE" w:rsidRDefault="00D00097" w:rsidP="009448ED">
      <w:pPr>
        <w:tabs>
          <w:tab w:val="left" w:pos="1276"/>
        </w:tabs>
        <w:spacing w:before="120" w:after="140"/>
        <w:rPr>
          <w:rFonts w:ascii="Arial" w:eastAsia="Arial" w:hAnsi="Arial" w:cs="Arial"/>
          <w:b/>
          <w:sz w:val="24"/>
        </w:rPr>
      </w:pPr>
      <w:r>
        <w:rPr>
          <w:rFonts w:ascii="Arial" w:eastAsia="Arial" w:hAnsi="Arial" w:cs="Arial"/>
          <w:b/>
          <w:sz w:val="24"/>
        </w:rPr>
        <w:t>Net sales by geographic region</w:t>
      </w:r>
    </w:p>
    <w:tbl>
      <w:tblPr>
        <w:tblW w:w="9960" w:type="dxa"/>
        <w:tblInd w:w="60" w:type="dxa"/>
        <w:tblLayout w:type="fixed"/>
        <w:tblCellMar>
          <w:left w:w="10" w:type="dxa"/>
          <w:right w:w="10" w:type="dxa"/>
        </w:tblCellMar>
        <w:tblLook w:val="04A0" w:firstRow="1" w:lastRow="0" w:firstColumn="1" w:lastColumn="0" w:noHBand="0" w:noVBand="1"/>
      </w:tblPr>
      <w:tblGrid>
        <w:gridCol w:w="2960"/>
        <w:gridCol w:w="860"/>
        <w:gridCol w:w="860"/>
        <w:gridCol w:w="860"/>
        <w:gridCol w:w="860"/>
        <w:gridCol w:w="120"/>
        <w:gridCol w:w="860"/>
        <w:gridCol w:w="860"/>
        <w:gridCol w:w="860"/>
        <w:gridCol w:w="860"/>
      </w:tblGrid>
      <w:tr w:rsidR="00D72C78" w14:paraId="35C9A31A" w14:textId="77777777" w:rsidTr="00D61ABF">
        <w:trPr>
          <w:trHeight w:hRule="exact" w:val="300"/>
        </w:trPr>
        <w:tc>
          <w:tcPr>
            <w:tcW w:w="2960" w:type="dxa"/>
            <w:tcMar>
              <w:left w:w="60" w:type="dxa"/>
              <w:right w:w="0" w:type="dxa"/>
            </w:tcMar>
            <w:vAlign w:val="bottom"/>
          </w:tcPr>
          <w:p w14:paraId="19EA887C" w14:textId="77777777" w:rsidR="00D72C78" w:rsidRDefault="00D72C78" w:rsidP="00D61ABF">
            <w:pPr>
              <w:keepNext/>
              <w:keepLines/>
              <w:spacing w:before="40" w:after="40"/>
            </w:pPr>
          </w:p>
        </w:tc>
        <w:tc>
          <w:tcPr>
            <w:tcW w:w="3440" w:type="dxa"/>
            <w:gridSpan w:val="4"/>
            <w:tcBorders>
              <w:bottom w:val="single" w:sz="8" w:space="0" w:color="898989"/>
            </w:tcBorders>
            <w:tcMar>
              <w:left w:w="60" w:type="dxa"/>
              <w:right w:w="60" w:type="dxa"/>
            </w:tcMar>
          </w:tcPr>
          <w:p w14:paraId="5582B83D" w14:textId="77777777" w:rsidR="00D72C78" w:rsidRDefault="00D72C78" w:rsidP="00D61ABF">
            <w:pPr>
              <w:keepNext/>
              <w:keepLines/>
              <w:spacing w:before="40" w:after="40"/>
              <w:jc w:val="center"/>
              <w:rPr>
                <w:rFonts w:ascii="Arial" w:eastAsia="Arial" w:hAnsi="Arial" w:cs="Arial"/>
                <w:sz w:val="22"/>
              </w:rPr>
            </w:pPr>
            <w:r>
              <w:rPr>
                <w:rFonts w:ascii="Arial" w:eastAsia="Arial" w:hAnsi="Arial" w:cs="Arial"/>
                <w:sz w:val="22"/>
              </w:rPr>
              <w:t>Q2 2019</w:t>
            </w:r>
          </w:p>
        </w:tc>
        <w:tc>
          <w:tcPr>
            <w:tcW w:w="120" w:type="dxa"/>
            <w:tcMar>
              <w:left w:w="60" w:type="dxa"/>
              <w:right w:w="0" w:type="dxa"/>
            </w:tcMar>
            <w:vAlign w:val="bottom"/>
          </w:tcPr>
          <w:p w14:paraId="12E2E909" w14:textId="77777777" w:rsidR="00D72C78" w:rsidRDefault="00D72C78" w:rsidP="00D61ABF">
            <w:pPr>
              <w:keepNext/>
              <w:keepLines/>
              <w:spacing w:before="40" w:after="40"/>
            </w:pPr>
          </w:p>
        </w:tc>
        <w:tc>
          <w:tcPr>
            <w:tcW w:w="3440" w:type="dxa"/>
            <w:gridSpan w:val="4"/>
            <w:tcBorders>
              <w:bottom w:val="single" w:sz="8" w:space="0" w:color="898989"/>
            </w:tcBorders>
            <w:tcMar>
              <w:left w:w="60" w:type="dxa"/>
              <w:right w:w="60" w:type="dxa"/>
            </w:tcMar>
          </w:tcPr>
          <w:p w14:paraId="2612AED3" w14:textId="77777777" w:rsidR="00D72C78" w:rsidRDefault="00D72C78" w:rsidP="00D61ABF">
            <w:pPr>
              <w:keepNext/>
              <w:keepLines/>
              <w:spacing w:before="40" w:after="40"/>
              <w:jc w:val="center"/>
              <w:rPr>
                <w:rFonts w:ascii="Arial" w:eastAsia="Arial" w:hAnsi="Arial" w:cs="Arial"/>
                <w:sz w:val="22"/>
              </w:rPr>
            </w:pPr>
            <w:r>
              <w:rPr>
                <w:rFonts w:ascii="Arial" w:eastAsia="Arial" w:hAnsi="Arial" w:cs="Arial"/>
                <w:sz w:val="22"/>
              </w:rPr>
              <w:t>H1 2019</w:t>
            </w:r>
          </w:p>
        </w:tc>
      </w:tr>
      <w:tr w:rsidR="00D72C78" w14:paraId="60234DDF" w14:textId="77777777" w:rsidTr="00D61ABF">
        <w:trPr>
          <w:trHeight w:hRule="exact" w:val="280"/>
        </w:trPr>
        <w:tc>
          <w:tcPr>
            <w:tcW w:w="2960" w:type="dxa"/>
            <w:tcBorders>
              <w:bottom w:val="single" w:sz="16" w:space="0" w:color="auto"/>
            </w:tcBorders>
            <w:tcMar>
              <w:left w:w="60" w:type="dxa"/>
              <w:right w:w="0" w:type="dxa"/>
            </w:tcMar>
            <w:vAlign w:val="bottom"/>
          </w:tcPr>
          <w:p w14:paraId="1382FD1B" w14:textId="77777777" w:rsidR="00D72C78" w:rsidRDefault="00D72C78" w:rsidP="00D61ABF">
            <w:pPr>
              <w:keepNext/>
              <w:keepLines/>
              <w:spacing w:before="40" w:after="40"/>
            </w:pPr>
          </w:p>
        </w:tc>
        <w:tc>
          <w:tcPr>
            <w:tcW w:w="3440" w:type="dxa"/>
            <w:gridSpan w:val="4"/>
            <w:tcMar>
              <w:left w:w="60" w:type="dxa"/>
              <w:right w:w="60" w:type="dxa"/>
            </w:tcMar>
            <w:vAlign w:val="center"/>
          </w:tcPr>
          <w:p w14:paraId="2334B46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Net sales: $381.6 million</w:t>
            </w:r>
          </w:p>
        </w:tc>
        <w:tc>
          <w:tcPr>
            <w:tcW w:w="120" w:type="dxa"/>
            <w:tcMar>
              <w:left w:w="60" w:type="dxa"/>
              <w:right w:w="0" w:type="dxa"/>
            </w:tcMar>
            <w:vAlign w:val="bottom"/>
          </w:tcPr>
          <w:p w14:paraId="37FA753E" w14:textId="77777777" w:rsidR="00D72C78" w:rsidRDefault="00D72C78" w:rsidP="00D61ABF">
            <w:pPr>
              <w:keepNext/>
              <w:keepLines/>
              <w:spacing w:before="40" w:after="40"/>
            </w:pPr>
          </w:p>
        </w:tc>
        <w:tc>
          <w:tcPr>
            <w:tcW w:w="3440" w:type="dxa"/>
            <w:gridSpan w:val="4"/>
            <w:tcMar>
              <w:left w:w="60" w:type="dxa"/>
              <w:right w:w="60" w:type="dxa"/>
            </w:tcMar>
            <w:vAlign w:val="center"/>
          </w:tcPr>
          <w:p w14:paraId="1E70957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Net sales: $730.3 million</w:t>
            </w:r>
          </w:p>
        </w:tc>
      </w:tr>
      <w:tr w:rsidR="00D72C78" w14:paraId="7E61A236" w14:textId="77777777" w:rsidTr="00D61ABF">
        <w:trPr>
          <w:trHeight w:hRule="exact" w:val="560"/>
        </w:trPr>
        <w:tc>
          <w:tcPr>
            <w:tcW w:w="2960" w:type="dxa"/>
            <w:tcBorders>
              <w:bottom w:val="single" w:sz="16" w:space="0" w:color="auto"/>
            </w:tcBorders>
            <w:tcMar>
              <w:left w:w="60" w:type="dxa"/>
              <w:right w:w="0" w:type="dxa"/>
            </w:tcMar>
            <w:vAlign w:val="bottom"/>
          </w:tcPr>
          <w:p w14:paraId="456F5B13" w14:textId="77777777" w:rsidR="00D72C78" w:rsidRDefault="00D72C78" w:rsidP="00D61ABF">
            <w:pPr>
              <w:keepNext/>
              <w:keepLines/>
              <w:spacing w:before="40" w:after="40"/>
            </w:pPr>
          </w:p>
        </w:tc>
        <w:tc>
          <w:tcPr>
            <w:tcW w:w="860" w:type="dxa"/>
            <w:tcBorders>
              <w:top w:val="single" w:sz="16" w:space="0" w:color="auto"/>
              <w:bottom w:val="single" w:sz="16" w:space="0" w:color="auto"/>
            </w:tcBorders>
            <w:tcMar>
              <w:left w:w="60" w:type="dxa"/>
              <w:right w:w="60" w:type="dxa"/>
            </w:tcMar>
            <w:vAlign w:val="center"/>
          </w:tcPr>
          <w:p w14:paraId="5C05B36E" w14:textId="77777777" w:rsidR="00D72C78" w:rsidRDefault="00D72C78" w:rsidP="00D61ABF">
            <w:pPr>
              <w:keepNext/>
              <w:keepLines/>
              <w:spacing w:before="40"/>
              <w:jc w:val="center"/>
              <w:rPr>
                <w:rFonts w:ascii="Arial" w:eastAsia="Arial" w:hAnsi="Arial" w:cs="Arial"/>
                <w:sz w:val="18"/>
              </w:rPr>
            </w:pPr>
            <w:r>
              <w:rPr>
                <w:rFonts w:ascii="Arial" w:eastAsia="Arial" w:hAnsi="Arial" w:cs="Arial"/>
                <w:sz w:val="18"/>
              </w:rPr>
              <w:t>Sales</w:t>
            </w:r>
          </w:p>
          <w:p w14:paraId="61C16065" w14:textId="77777777" w:rsidR="00D72C78" w:rsidRDefault="00D72C78" w:rsidP="00D61ABF">
            <w:pPr>
              <w:keepNext/>
              <w:keepLines/>
              <w:spacing w:after="40"/>
              <w:jc w:val="center"/>
              <w:rPr>
                <w:rFonts w:ascii="Arial" w:eastAsia="Arial" w:hAnsi="Arial" w:cs="Arial"/>
                <w:sz w:val="18"/>
              </w:rPr>
            </w:pPr>
            <w:r>
              <w:rPr>
                <w:rFonts w:ascii="Arial" w:eastAsia="Arial" w:hAnsi="Arial" w:cs="Arial"/>
                <w:sz w:val="18"/>
              </w:rPr>
              <w:t>(In $ m)</w:t>
            </w:r>
          </w:p>
        </w:tc>
        <w:tc>
          <w:tcPr>
            <w:tcW w:w="860" w:type="dxa"/>
            <w:tcBorders>
              <w:top w:val="single" w:sz="16" w:space="0" w:color="auto"/>
              <w:bottom w:val="single" w:sz="16" w:space="0" w:color="auto"/>
            </w:tcBorders>
            <w:tcMar>
              <w:left w:w="60" w:type="dxa"/>
              <w:right w:w="60" w:type="dxa"/>
            </w:tcMar>
            <w:vAlign w:val="center"/>
          </w:tcPr>
          <w:p w14:paraId="529BEFF0"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change</w:t>
            </w:r>
          </w:p>
        </w:tc>
        <w:tc>
          <w:tcPr>
            <w:tcW w:w="860" w:type="dxa"/>
            <w:tcBorders>
              <w:top w:val="single" w:sz="16" w:space="0" w:color="auto"/>
              <w:bottom w:val="single" w:sz="16" w:space="0" w:color="auto"/>
            </w:tcBorders>
            <w:tcMar>
              <w:left w:w="60" w:type="dxa"/>
              <w:right w:w="60" w:type="dxa"/>
            </w:tcMar>
            <w:vAlign w:val="center"/>
          </w:tcPr>
          <w:p w14:paraId="43509D95"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CER change</w:t>
            </w:r>
          </w:p>
        </w:tc>
        <w:tc>
          <w:tcPr>
            <w:tcW w:w="860" w:type="dxa"/>
            <w:tcBorders>
              <w:top w:val="single" w:sz="16" w:space="0" w:color="auto"/>
              <w:bottom w:val="single" w:sz="16" w:space="0" w:color="auto"/>
            </w:tcBorders>
            <w:tcMar>
              <w:left w:w="60" w:type="dxa"/>
              <w:right w:w="60" w:type="dxa"/>
            </w:tcMar>
            <w:vAlign w:val="center"/>
          </w:tcPr>
          <w:p w14:paraId="06BA3D57"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 of</w:t>
            </w:r>
            <w:r>
              <w:rPr>
                <w:rFonts w:ascii="Arial" w:eastAsia="Arial" w:hAnsi="Arial" w:cs="Arial"/>
                <w:sz w:val="18"/>
              </w:rPr>
              <w:br/>
              <w:t>sales</w:t>
            </w:r>
          </w:p>
        </w:tc>
        <w:tc>
          <w:tcPr>
            <w:tcW w:w="120" w:type="dxa"/>
            <w:tcMar>
              <w:left w:w="60" w:type="dxa"/>
              <w:right w:w="0" w:type="dxa"/>
            </w:tcMar>
            <w:vAlign w:val="bottom"/>
          </w:tcPr>
          <w:p w14:paraId="31CFEEC6" w14:textId="77777777" w:rsidR="00D72C78" w:rsidRDefault="00D72C78" w:rsidP="00D61ABF">
            <w:pPr>
              <w:keepNext/>
              <w:keepLines/>
              <w:spacing w:before="40" w:after="40"/>
            </w:pPr>
          </w:p>
        </w:tc>
        <w:tc>
          <w:tcPr>
            <w:tcW w:w="860" w:type="dxa"/>
            <w:tcBorders>
              <w:top w:val="single" w:sz="16" w:space="0" w:color="auto"/>
              <w:bottom w:val="single" w:sz="16" w:space="0" w:color="auto"/>
            </w:tcBorders>
            <w:tcMar>
              <w:left w:w="60" w:type="dxa"/>
              <w:right w:w="60" w:type="dxa"/>
            </w:tcMar>
            <w:vAlign w:val="center"/>
          </w:tcPr>
          <w:p w14:paraId="1107F64D" w14:textId="77777777" w:rsidR="00D72C78" w:rsidRDefault="00D72C78" w:rsidP="00D61ABF">
            <w:pPr>
              <w:keepNext/>
              <w:keepLines/>
              <w:spacing w:before="40"/>
              <w:jc w:val="center"/>
              <w:rPr>
                <w:rFonts w:ascii="Arial" w:eastAsia="Arial" w:hAnsi="Arial" w:cs="Arial"/>
                <w:sz w:val="18"/>
              </w:rPr>
            </w:pPr>
            <w:r>
              <w:rPr>
                <w:rFonts w:ascii="Arial" w:eastAsia="Arial" w:hAnsi="Arial" w:cs="Arial"/>
                <w:sz w:val="18"/>
              </w:rPr>
              <w:t>Sales</w:t>
            </w:r>
          </w:p>
          <w:p w14:paraId="7980AFAD" w14:textId="77777777" w:rsidR="00D72C78" w:rsidRDefault="00D72C78" w:rsidP="00D61ABF">
            <w:pPr>
              <w:keepNext/>
              <w:keepLines/>
              <w:spacing w:after="40"/>
              <w:jc w:val="center"/>
              <w:rPr>
                <w:rFonts w:ascii="Arial" w:eastAsia="Arial" w:hAnsi="Arial" w:cs="Arial"/>
                <w:sz w:val="18"/>
              </w:rPr>
            </w:pPr>
            <w:r>
              <w:rPr>
                <w:rFonts w:ascii="Arial" w:eastAsia="Arial" w:hAnsi="Arial" w:cs="Arial"/>
                <w:sz w:val="18"/>
              </w:rPr>
              <w:t>(In $ m)</w:t>
            </w:r>
          </w:p>
        </w:tc>
        <w:tc>
          <w:tcPr>
            <w:tcW w:w="860" w:type="dxa"/>
            <w:tcBorders>
              <w:top w:val="single" w:sz="16" w:space="0" w:color="auto"/>
              <w:bottom w:val="single" w:sz="16" w:space="0" w:color="auto"/>
            </w:tcBorders>
            <w:tcMar>
              <w:left w:w="60" w:type="dxa"/>
              <w:right w:w="60" w:type="dxa"/>
            </w:tcMar>
            <w:vAlign w:val="center"/>
          </w:tcPr>
          <w:p w14:paraId="58E0798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change</w:t>
            </w:r>
          </w:p>
        </w:tc>
        <w:tc>
          <w:tcPr>
            <w:tcW w:w="860" w:type="dxa"/>
            <w:tcBorders>
              <w:top w:val="single" w:sz="16" w:space="0" w:color="auto"/>
              <w:bottom w:val="single" w:sz="16" w:space="0" w:color="auto"/>
            </w:tcBorders>
            <w:tcMar>
              <w:left w:w="60" w:type="dxa"/>
              <w:right w:w="60" w:type="dxa"/>
            </w:tcMar>
            <w:vAlign w:val="center"/>
          </w:tcPr>
          <w:p w14:paraId="36A32FA6"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 CER change</w:t>
            </w:r>
          </w:p>
        </w:tc>
        <w:tc>
          <w:tcPr>
            <w:tcW w:w="860" w:type="dxa"/>
            <w:tcBorders>
              <w:top w:val="single" w:sz="16" w:space="0" w:color="auto"/>
              <w:bottom w:val="single" w:sz="16" w:space="0" w:color="auto"/>
            </w:tcBorders>
            <w:tcMar>
              <w:left w:w="60" w:type="dxa"/>
              <w:right w:w="60" w:type="dxa"/>
            </w:tcMar>
            <w:vAlign w:val="center"/>
          </w:tcPr>
          <w:p w14:paraId="2D67B39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sz w:val="18"/>
              </w:rPr>
              <w:t>% of</w:t>
            </w:r>
            <w:r>
              <w:rPr>
                <w:rFonts w:ascii="Arial" w:eastAsia="Arial" w:hAnsi="Arial" w:cs="Arial"/>
                <w:sz w:val="18"/>
              </w:rPr>
              <w:br/>
              <w:t>sales</w:t>
            </w:r>
          </w:p>
        </w:tc>
      </w:tr>
      <w:tr w:rsidR="00D72C78" w14:paraId="75486329" w14:textId="77777777" w:rsidTr="00D61ABF">
        <w:trPr>
          <w:trHeight w:hRule="exact" w:val="320"/>
        </w:trPr>
        <w:tc>
          <w:tcPr>
            <w:tcW w:w="2960" w:type="dxa"/>
            <w:tcMar>
              <w:left w:w="60" w:type="dxa"/>
              <w:right w:w="40" w:type="dxa"/>
            </w:tcMar>
            <w:vAlign w:val="center"/>
          </w:tcPr>
          <w:p w14:paraId="0298E336"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Americas</w:t>
            </w:r>
          </w:p>
        </w:tc>
        <w:tc>
          <w:tcPr>
            <w:tcW w:w="860" w:type="dxa"/>
            <w:tcBorders>
              <w:left w:val="single" w:sz="8" w:space="0" w:color="898989"/>
            </w:tcBorders>
            <w:tcMar>
              <w:left w:w="60" w:type="dxa"/>
              <w:right w:w="60" w:type="dxa"/>
            </w:tcMar>
            <w:vAlign w:val="bottom"/>
          </w:tcPr>
          <w:p w14:paraId="3E51502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$181</w:t>
            </w:r>
          </w:p>
        </w:tc>
        <w:tc>
          <w:tcPr>
            <w:tcW w:w="860" w:type="dxa"/>
            <w:tcBorders>
              <w:left w:val="single" w:sz="8" w:space="0" w:color="898989"/>
            </w:tcBorders>
            <w:tcMar>
              <w:left w:w="60" w:type="dxa"/>
              <w:right w:w="60" w:type="dxa"/>
            </w:tcMar>
            <w:vAlign w:val="bottom"/>
          </w:tcPr>
          <w:p w14:paraId="507DCC1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w:t>
            </w:r>
          </w:p>
        </w:tc>
        <w:tc>
          <w:tcPr>
            <w:tcW w:w="860" w:type="dxa"/>
            <w:tcBorders>
              <w:left w:val="single" w:sz="8" w:space="0" w:color="898989"/>
            </w:tcBorders>
            <w:tcMar>
              <w:left w:w="60" w:type="dxa"/>
              <w:right w:w="60" w:type="dxa"/>
            </w:tcMar>
            <w:vAlign w:val="bottom"/>
          </w:tcPr>
          <w:p w14:paraId="050B042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w:t>
            </w:r>
          </w:p>
        </w:tc>
        <w:tc>
          <w:tcPr>
            <w:tcW w:w="860" w:type="dxa"/>
            <w:tcBorders>
              <w:left w:val="single" w:sz="8" w:space="0" w:color="898989"/>
            </w:tcBorders>
            <w:tcMar>
              <w:left w:w="60" w:type="dxa"/>
              <w:right w:w="60" w:type="dxa"/>
            </w:tcMar>
            <w:vAlign w:val="bottom"/>
          </w:tcPr>
          <w:p w14:paraId="12ABA47D"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47%</w:t>
            </w:r>
          </w:p>
        </w:tc>
        <w:tc>
          <w:tcPr>
            <w:tcW w:w="120" w:type="dxa"/>
            <w:tcMar>
              <w:left w:w="60" w:type="dxa"/>
              <w:right w:w="0" w:type="dxa"/>
            </w:tcMar>
            <w:vAlign w:val="bottom"/>
          </w:tcPr>
          <w:p w14:paraId="5DD21218" w14:textId="77777777" w:rsidR="00D72C78" w:rsidRDefault="00D72C78" w:rsidP="00D61ABF">
            <w:pPr>
              <w:keepNext/>
              <w:keepLines/>
              <w:spacing w:before="40" w:after="40"/>
            </w:pPr>
          </w:p>
        </w:tc>
        <w:tc>
          <w:tcPr>
            <w:tcW w:w="860" w:type="dxa"/>
            <w:tcMar>
              <w:left w:w="60" w:type="dxa"/>
              <w:right w:w="60" w:type="dxa"/>
            </w:tcMar>
            <w:vAlign w:val="bottom"/>
          </w:tcPr>
          <w:p w14:paraId="5F0D15E2"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$350</w:t>
            </w:r>
          </w:p>
        </w:tc>
        <w:tc>
          <w:tcPr>
            <w:tcW w:w="860" w:type="dxa"/>
            <w:tcBorders>
              <w:left w:val="single" w:sz="8" w:space="0" w:color="898989"/>
            </w:tcBorders>
            <w:tcMar>
              <w:left w:w="60" w:type="dxa"/>
              <w:right w:w="60" w:type="dxa"/>
            </w:tcMar>
            <w:vAlign w:val="bottom"/>
          </w:tcPr>
          <w:p w14:paraId="140D5FE9"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w:t>
            </w:r>
          </w:p>
        </w:tc>
        <w:tc>
          <w:tcPr>
            <w:tcW w:w="860" w:type="dxa"/>
            <w:tcBorders>
              <w:left w:val="single" w:sz="8" w:space="0" w:color="898989"/>
            </w:tcBorders>
            <w:tcMar>
              <w:left w:w="60" w:type="dxa"/>
              <w:right w:w="60" w:type="dxa"/>
            </w:tcMar>
            <w:vAlign w:val="bottom"/>
          </w:tcPr>
          <w:p w14:paraId="60253B32"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w:t>
            </w:r>
          </w:p>
        </w:tc>
        <w:tc>
          <w:tcPr>
            <w:tcW w:w="860" w:type="dxa"/>
            <w:tcBorders>
              <w:left w:val="single" w:sz="8" w:space="0" w:color="898989"/>
            </w:tcBorders>
            <w:tcMar>
              <w:left w:w="60" w:type="dxa"/>
              <w:right w:w="60" w:type="dxa"/>
            </w:tcMar>
            <w:vAlign w:val="bottom"/>
          </w:tcPr>
          <w:p w14:paraId="0F5CC6EE"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48%</w:t>
            </w:r>
          </w:p>
        </w:tc>
      </w:tr>
      <w:tr w:rsidR="00D72C78" w14:paraId="7232A84B" w14:textId="77777777" w:rsidTr="00D61ABF">
        <w:trPr>
          <w:trHeight w:hRule="exact" w:val="300"/>
        </w:trPr>
        <w:tc>
          <w:tcPr>
            <w:tcW w:w="2960" w:type="dxa"/>
            <w:tcBorders>
              <w:top w:val="single" w:sz="8" w:space="0" w:color="898989"/>
            </w:tcBorders>
            <w:tcMar>
              <w:left w:w="60" w:type="dxa"/>
              <w:right w:w="40" w:type="dxa"/>
            </w:tcMar>
            <w:vAlign w:val="center"/>
          </w:tcPr>
          <w:p w14:paraId="75111FC4" w14:textId="77777777" w:rsidR="00D72C78" w:rsidRDefault="00D72C78" w:rsidP="00D61ABF">
            <w:pPr>
              <w:keepNext/>
              <w:keepLines/>
              <w:spacing w:before="40" w:after="40"/>
              <w:rPr>
                <w:rFonts w:ascii="Arial" w:eastAsia="Arial" w:hAnsi="Arial" w:cs="Arial"/>
                <w:sz w:val="18"/>
              </w:rPr>
            </w:pPr>
            <w:r>
              <w:rPr>
                <w:rFonts w:ascii="Arial" w:eastAsia="Arial" w:hAnsi="Arial" w:cs="Arial"/>
                <w:sz w:val="18"/>
              </w:rPr>
              <w:t>Europe / Middle East / Africa</w:t>
            </w:r>
          </w:p>
        </w:tc>
        <w:tc>
          <w:tcPr>
            <w:tcW w:w="860" w:type="dxa"/>
            <w:tcBorders>
              <w:top w:val="single" w:sz="8" w:space="0" w:color="898989"/>
              <w:left w:val="single" w:sz="8" w:space="0" w:color="898989"/>
            </w:tcBorders>
            <w:tcMar>
              <w:left w:w="60" w:type="dxa"/>
              <w:right w:w="60" w:type="dxa"/>
            </w:tcMar>
            <w:vAlign w:val="bottom"/>
          </w:tcPr>
          <w:p w14:paraId="2CFC966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$118</w:t>
            </w:r>
          </w:p>
        </w:tc>
        <w:tc>
          <w:tcPr>
            <w:tcW w:w="860" w:type="dxa"/>
            <w:tcBorders>
              <w:top w:val="single" w:sz="8" w:space="0" w:color="898989"/>
              <w:left w:val="single" w:sz="8" w:space="0" w:color="898989"/>
            </w:tcBorders>
            <w:tcMar>
              <w:left w:w="60" w:type="dxa"/>
              <w:right w:w="60" w:type="dxa"/>
            </w:tcMar>
            <w:vAlign w:val="bottom"/>
          </w:tcPr>
          <w:p w14:paraId="7123563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w:t>
            </w:r>
          </w:p>
        </w:tc>
        <w:tc>
          <w:tcPr>
            <w:tcW w:w="860" w:type="dxa"/>
            <w:tcBorders>
              <w:top w:val="single" w:sz="8" w:space="0" w:color="898989"/>
              <w:left w:val="single" w:sz="8" w:space="0" w:color="898989"/>
            </w:tcBorders>
            <w:tcMar>
              <w:left w:w="60" w:type="dxa"/>
              <w:right w:w="60" w:type="dxa"/>
            </w:tcMar>
            <w:vAlign w:val="bottom"/>
          </w:tcPr>
          <w:p w14:paraId="73AF89E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+5%</w:t>
            </w:r>
          </w:p>
        </w:tc>
        <w:tc>
          <w:tcPr>
            <w:tcW w:w="860" w:type="dxa"/>
            <w:tcBorders>
              <w:top w:val="single" w:sz="8" w:space="0" w:color="898989"/>
              <w:left w:val="single" w:sz="8" w:space="0" w:color="898989"/>
            </w:tcBorders>
            <w:tcMar>
              <w:left w:w="60" w:type="dxa"/>
              <w:right w:w="60" w:type="dxa"/>
            </w:tcMar>
            <w:vAlign w:val="bottom"/>
          </w:tcPr>
          <w:p w14:paraId="3049F13B"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31%</w:t>
            </w:r>
          </w:p>
        </w:tc>
        <w:tc>
          <w:tcPr>
            <w:tcW w:w="120" w:type="dxa"/>
            <w:tcMar>
              <w:left w:w="60" w:type="dxa"/>
              <w:right w:w="0" w:type="dxa"/>
            </w:tcMar>
            <w:vAlign w:val="bottom"/>
          </w:tcPr>
          <w:p w14:paraId="1FB83296" w14:textId="77777777" w:rsidR="00D72C78" w:rsidRDefault="00D72C78" w:rsidP="00D61ABF">
            <w:pPr>
              <w:keepNext/>
              <w:keepLines/>
              <w:spacing w:before="40" w:after="40"/>
            </w:pPr>
          </w:p>
        </w:tc>
        <w:tc>
          <w:tcPr>
            <w:tcW w:w="860" w:type="dxa"/>
            <w:tcBorders>
              <w:top w:val="single" w:sz="8" w:space="0" w:color="898989"/>
            </w:tcBorders>
            <w:tcMar>
              <w:left w:w="60" w:type="dxa"/>
              <w:right w:w="60" w:type="dxa"/>
            </w:tcMar>
            <w:vAlign w:val="bottom"/>
          </w:tcPr>
          <w:p w14:paraId="78796946"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$227</w:t>
            </w:r>
          </w:p>
        </w:tc>
        <w:tc>
          <w:tcPr>
            <w:tcW w:w="860" w:type="dxa"/>
            <w:tcBorders>
              <w:top w:val="single" w:sz="8" w:space="0" w:color="898989"/>
              <w:left w:val="single" w:sz="8" w:space="0" w:color="898989"/>
            </w:tcBorders>
            <w:tcMar>
              <w:left w:w="60" w:type="dxa"/>
              <w:right w:w="60" w:type="dxa"/>
            </w:tcMar>
            <w:vAlign w:val="bottom"/>
          </w:tcPr>
          <w:p w14:paraId="64C898E4"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w:t>
            </w:r>
          </w:p>
        </w:tc>
        <w:tc>
          <w:tcPr>
            <w:tcW w:w="860" w:type="dxa"/>
            <w:tcBorders>
              <w:top w:val="single" w:sz="8" w:space="0" w:color="898989"/>
              <w:left w:val="single" w:sz="8" w:space="0" w:color="898989"/>
            </w:tcBorders>
            <w:tcMar>
              <w:left w:w="60" w:type="dxa"/>
              <w:right w:w="60" w:type="dxa"/>
            </w:tcMar>
            <w:vAlign w:val="bottom"/>
          </w:tcPr>
          <w:p w14:paraId="7E9E436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+4%</w:t>
            </w:r>
          </w:p>
        </w:tc>
        <w:tc>
          <w:tcPr>
            <w:tcW w:w="860" w:type="dxa"/>
            <w:tcBorders>
              <w:top w:val="single" w:sz="8" w:space="0" w:color="898989"/>
              <w:left w:val="single" w:sz="8" w:space="0" w:color="898989"/>
            </w:tcBorders>
            <w:tcMar>
              <w:left w:w="60" w:type="dxa"/>
              <w:right w:w="60" w:type="dxa"/>
            </w:tcMar>
            <w:vAlign w:val="bottom"/>
          </w:tcPr>
          <w:p w14:paraId="188CF228" w14:textId="77777777" w:rsidR="00D72C78" w:rsidRDefault="00D72C78" w:rsidP="00D61ABF">
            <w:pPr>
              <w:keepNext/>
              <w:keepLines/>
              <w:spacing w:before="40" w:after="40"/>
              <w:jc w:val="center"/>
              <w:rPr>
                <w:rFonts w:ascii="Arial" w:eastAsia="Arial" w:hAnsi="Arial" w:cs="Arial"/>
                <w:sz w:val="18"/>
              </w:rPr>
            </w:pPr>
            <w:r>
              <w:rPr>
                <w:rFonts w:ascii="Arial" w:eastAsia="Arial" w:hAnsi="Arial" w:cs="Arial"/>
                <w:color w:val="000000"/>
                <w:sz w:val="18"/>
              </w:rPr>
              <w:t>31%</w:t>
            </w:r>
          </w:p>
        </w:tc>
      </w:tr>
      <w:tr w:rsidR="00D72C78" w14:paraId="39CB7078" w14:textId="77777777" w:rsidTr="00D61ABF">
        <w:trPr>
          <w:trHeight w:hRule="exact" w:val="320"/>
        </w:trPr>
        <w:tc>
          <w:tcPr>
            <w:tcW w:w="2960" w:type="dxa"/>
            <w:tcBorders>
              <w:top w:val="single" w:sz="8" w:space="0" w:color="898989"/>
              <w:bottom w:val="single" w:sz="16" w:space="0" w:color="auto"/>
            </w:tcBorders>
            <w:tcMar>
              <w:left w:w="60" w:type="dxa"/>
              <w:right w:w="40" w:type="dxa"/>
            </w:tcMar>
            <w:vAlign w:val="center"/>
          </w:tcPr>
          <w:p w14:paraId="1C6F3531" w14:textId="77777777" w:rsidR="00D72C78" w:rsidRDefault="00D72C78" w:rsidP="00D61ABF">
            <w:pPr>
              <w:keepLines/>
              <w:spacing w:before="40" w:after="40"/>
              <w:rPr>
                <w:rFonts w:ascii="Arial" w:eastAsia="Arial" w:hAnsi="Arial" w:cs="Arial"/>
                <w:sz w:val="18"/>
              </w:rPr>
            </w:pPr>
            <w:r>
              <w:rPr>
                <w:rFonts w:ascii="Arial" w:eastAsia="Arial" w:hAnsi="Arial" w:cs="Arial"/>
                <w:sz w:val="18"/>
              </w:rPr>
              <w:t>Asia-Pacific / Japan</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71585AA9"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$83</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659AF8A2"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+8%</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054146C8"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+12%</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344517A9"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22%</w:t>
            </w:r>
          </w:p>
        </w:tc>
        <w:tc>
          <w:tcPr>
            <w:tcW w:w="120" w:type="dxa"/>
            <w:tcMar>
              <w:left w:w="60" w:type="dxa"/>
              <w:right w:w="0" w:type="dxa"/>
            </w:tcMar>
            <w:vAlign w:val="bottom"/>
          </w:tcPr>
          <w:p w14:paraId="59A9804A" w14:textId="77777777" w:rsidR="00D72C78" w:rsidRDefault="00D72C78" w:rsidP="00D61ABF">
            <w:pPr>
              <w:keepLines/>
              <w:spacing w:before="40" w:after="40"/>
            </w:pPr>
          </w:p>
        </w:tc>
        <w:tc>
          <w:tcPr>
            <w:tcW w:w="860" w:type="dxa"/>
            <w:tcBorders>
              <w:top w:val="single" w:sz="8" w:space="0" w:color="898989"/>
              <w:bottom w:val="single" w:sz="16" w:space="0" w:color="auto"/>
            </w:tcBorders>
            <w:tcMar>
              <w:left w:w="60" w:type="dxa"/>
              <w:right w:w="60" w:type="dxa"/>
            </w:tcMar>
            <w:vAlign w:val="bottom"/>
          </w:tcPr>
          <w:p w14:paraId="56AB852D"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$151</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0D20F794"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+5%</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44C68F47"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+10%</w:t>
            </w:r>
          </w:p>
        </w:tc>
        <w:tc>
          <w:tcPr>
            <w:tcW w:w="860" w:type="dxa"/>
            <w:tcBorders>
              <w:top w:val="single" w:sz="8" w:space="0" w:color="898989"/>
              <w:left w:val="single" w:sz="8" w:space="0" w:color="898989"/>
              <w:bottom w:val="single" w:sz="16" w:space="0" w:color="auto"/>
            </w:tcBorders>
            <w:tcMar>
              <w:left w:w="60" w:type="dxa"/>
              <w:right w:w="60" w:type="dxa"/>
            </w:tcMar>
            <w:vAlign w:val="bottom"/>
          </w:tcPr>
          <w:p w14:paraId="10737E92" w14:textId="77777777" w:rsidR="00D72C78" w:rsidRDefault="00D72C78" w:rsidP="00D61ABF">
            <w:pPr>
              <w:keepLines/>
              <w:spacing w:before="40" w:after="40"/>
              <w:jc w:val="center"/>
              <w:rPr>
                <w:rFonts w:ascii="Arial" w:eastAsia="Arial" w:hAnsi="Arial" w:cs="Arial"/>
                <w:sz w:val="18"/>
              </w:rPr>
            </w:pPr>
            <w:r>
              <w:rPr>
                <w:rFonts w:ascii="Arial" w:eastAsia="Arial" w:hAnsi="Arial" w:cs="Arial"/>
                <w:color w:val="000000"/>
                <w:sz w:val="18"/>
              </w:rPr>
              <w:t>21%</w:t>
            </w:r>
          </w:p>
        </w:tc>
      </w:tr>
    </w:tbl>
    <w:p w14:paraId="4CA685BB" w14:textId="77777777" w:rsidR="00235296" w:rsidRDefault="00D00097" w:rsidP="006077F9">
      <w:pPr>
        <w:tabs>
          <w:tab w:val="left" w:pos="1276"/>
        </w:tabs>
        <w:spacing w:before="120" w:line="288" w:lineRule="auto"/>
        <w:rPr>
          <w:rFonts w:ascii="Arial" w:eastAsia="Arial" w:hAnsi="Arial" w:cs="Arial"/>
          <w:b/>
          <w:sz w:val="22"/>
        </w:rPr>
      </w:pPr>
      <w:r>
        <w:rPr>
          <w:rFonts w:ascii="Arial" w:eastAsia="Arial" w:hAnsi="Arial" w:cs="Arial"/>
          <w:sz w:val="16"/>
        </w:rPr>
        <w:t>Tables may have rounding differences.</w:t>
      </w:r>
      <w:r w:rsidR="00F40930">
        <w:rPr>
          <w:rFonts w:ascii="Arial" w:eastAsia="Arial" w:hAnsi="Arial" w:cs="Arial"/>
          <w:sz w:val="16"/>
        </w:rPr>
        <w:t xml:space="preserve"> Percentage change</w:t>
      </w:r>
      <w:r w:rsidR="00E470C3">
        <w:rPr>
          <w:rFonts w:ascii="Arial" w:eastAsia="Arial" w:hAnsi="Arial" w:cs="Arial"/>
          <w:sz w:val="16"/>
        </w:rPr>
        <w:t>s</w:t>
      </w:r>
      <w:r w:rsidR="00F40930">
        <w:rPr>
          <w:rFonts w:ascii="Arial" w:eastAsia="Arial" w:hAnsi="Arial" w:cs="Arial"/>
          <w:sz w:val="16"/>
        </w:rPr>
        <w:t xml:space="preserve"> are to prior</w:t>
      </w:r>
      <w:r w:rsidR="00E470C3">
        <w:rPr>
          <w:rFonts w:ascii="Arial" w:eastAsia="Arial" w:hAnsi="Arial" w:cs="Arial"/>
          <w:sz w:val="16"/>
        </w:rPr>
        <w:t>-</w:t>
      </w:r>
      <w:r w:rsidR="00F40930">
        <w:rPr>
          <w:rFonts w:ascii="Arial" w:eastAsia="Arial" w:hAnsi="Arial" w:cs="Arial"/>
          <w:sz w:val="16"/>
        </w:rPr>
        <w:t>year period</w:t>
      </w:r>
      <w:r w:rsidR="00E470C3">
        <w:rPr>
          <w:rFonts w:ascii="Arial" w:eastAsia="Arial" w:hAnsi="Arial" w:cs="Arial"/>
          <w:sz w:val="16"/>
        </w:rPr>
        <w:t>s</w:t>
      </w:r>
      <w:r w:rsidR="00F40930">
        <w:rPr>
          <w:rFonts w:ascii="Arial" w:eastAsia="Arial" w:hAnsi="Arial" w:cs="Arial"/>
          <w:sz w:val="16"/>
        </w:rPr>
        <w:t xml:space="preserve">. </w:t>
      </w:r>
      <w:r w:rsidR="001B5A3E">
        <w:rPr>
          <w:rFonts w:ascii="Arial" w:eastAsia="Arial" w:hAnsi="Arial" w:cs="Arial"/>
          <w:sz w:val="16"/>
        </w:rPr>
        <w:t>Rest of world represented less than 1% of sales.</w:t>
      </w:r>
    </w:p>
    <w:p w14:paraId="2B65447B" w14:textId="77777777" w:rsidR="00ED6327" w:rsidRDefault="00ED6327" w:rsidP="009448ED">
      <w:pPr>
        <w:tabs>
          <w:tab w:val="left" w:pos="1276"/>
        </w:tabs>
        <w:spacing w:before="240" w:after="120"/>
        <w:jc w:val="both"/>
        <w:rPr>
          <w:rFonts w:ascii="Arial" w:eastAsia="Arial" w:hAnsi="Arial" w:cs="Arial"/>
          <w:b/>
          <w:sz w:val="22"/>
        </w:rPr>
      </w:pPr>
    </w:p>
    <w:p w14:paraId="6700EB96" w14:textId="77777777" w:rsidR="00052054" w:rsidRPr="0031658F" w:rsidRDefault="00D72C78" w:rsidP="009448ED">
      <w:pPr>
        <w:tabs>
          <w:tab w:val="left" w:pos="1276"/>
        </w:tabs>
        <w:spacing w:before="240" w:after="120"/>
        <w:jc w:val="both"/>
        <w:rPr>
          <w:rFonts w:ascii="Arial" w:eastAsia="Arial" w:hAnsi="Arial" w:cs="Arial"/>
          <w:b/>
          <w:sz w:val="22"/>
        </w:rPr>
      </w:pPr>
      <w:r>
        <w:rPr>
          <w:rFonts w:ascii="Arial" w:eastAsia="Arial" w:hAnsi="Arial" w:cs="Arial"/>
          <w:b/>
          <w:sz w:val="22"/>
        </w:rPr>
        <w:lastRenderedPageBreak/>
        <w:t>Second</w:t>
      </w:r>
      <w:r w:rsidR="00052054">
        <w:rPr>
          <w:rFonts w:ascii="Arial" w:eastAsia="Arial" w:hAnsi="Arial" w:cs="Arial"/>
          <w:b/>
          <w:sz w:val="22"/>
        </w:rPr>
        <w:t xml:space="preserve"> quarter 2019 </w:t>
      </w:r>
      <w:r w:rsidR="00052054" w:rsidRPr="00E50110">
        <w:rPr>
          <w:rFonts w:ascii="Arial" w:eastAsia="Arial" w:hAnsi="Arial" w:cs="Arial"/>
          <w:b/>
          <w:sz w:val="22"/>
        </w:rPr>
        <w:t>results</w:t>
      </w:r>
      <w:r w:rsidR="0031658F" w:rsidRPr="00E50110">
        <w:rPr>
          <w:rFonts w:ascii="Arial" w:eastAsia="Arial" w:hAnsi="Arial" w:cs="Arial"/>
          <w:b/>
          <w:sz w:val="22"/>
        </w:rPr>
        <w:t xml:space="preserve"> </w:t>
      </w:r>
      <w:r w:rsidR="0031658F" w:rsidRPr="002F0FB0">
        <w:rPr>
          <w:rFonts w:ascii="Arial" w:eastAsia="Arial" w:hAnsi="Arial" w:cs="Arial"/>
          <w:b/>
          <w:sz w:val="22"/>
        </w:rPr>
        <w:t>(</w:t>
      </w:r>
      <w:r w:rsidR="006077F9" w:rsidRPr="002F0FB0">
        <w:rPr>
          <w:rFonts w:ascii="Arial" w:eastAsia="Arial" w:hAnsi="Arial" w:cs="Arial"/>
          <w:b/>
          <w:sz w:val="22"/>
        </w:rPr>
        <w:t xml:space="preserve">unchanged from </w:t>
      </w:r>
      <w:r w:rsidR="0031658F" w:rsidRPr="002F0FB0">
        <w:rPr>
          <w:rFonts w:ascii="Arial" w:eastAsia="Arial" w:hAnsi="Arial" w:cs="Arial"/>
          <w:b/>
          <w:sz w:val="22"/>
        </w:rPr>
        <w:t>July 24</w:t>
      </w:r>
      <w:r w:rsidR="006077F9" w:rsidRPr="002F0FB0">
        <w:rPr>
          <w:rFonts w:ascii="Arial" w:eastAsia="Arial" w:hAnsi="Arial" w:cs="Arial"/>
          <w:b/>
          <w:sz w:val="22"/>
        </w:rPr>
        <w:t xml:space="preserve"> announcement</w:t>
      </w:r>
      <w:r w:rsidR="0031658F" w:rsidRPr="002F0FB0">
        <w:rPr>
          <w:rFonts w:ascii="Arial" w:eastAsia="Arial" w:hAnsi="Arial" w:cs="Arial"/>
          <w:b/>
          <w:sz w:val="22"/>
        </w:rPr>
        <w:t>)</w:t>
      </w:r>
    </w:p>
    <w:p w14:paraId="295ACF95" w14:textId="77777777" w:rsidR="00953C43" w:rsidRPr="00575664" w:rsidRDefault="00D72C78" w:rsidP="00D72C78">
      <w:pPr>
        <w:spacing w:after="180"/>
        <w:jc w:val="both"/>
        <w:rPr>
          <w:rFonts w:ascii="Arial" w:eastAsia="Arial" w:hAnsi="Arial" w:cs="Arial"/>
          <w:sz w:val="22"/>
        </w:rPr>
      </w:pPr>
      <w:r>
        <w:rPr>
          <w:rFonts w:ascii="Arial" w:eastAsia="Arial" w:hAnsi="Arial" w:cs="Arial"/>
          <w:sz w:val="22"/>
        </w:rPr>
        <w:t xml:space="preserve">Total net sales rose 1% to $381.6 million in the second quarter of 2019 from $377.2 million in the second quarter of 2018, </w:t>
      </w:r>
      <w:r w:rsidR="00177F7A">
        <w:rPr>
          <w:rFonts w:ascii="Arial" w:eastAsia="Arial" w:hAnsi="Arial" w:cs="Arial"/>
          <w:sz w:val="22"/>
        </w:rPr>
        <w:t xml:space="preserve">and grew </w:t>
      </w:r>
      <w:r>
        <w:rPr>
          <w:rFonts w:ascii="Arial" w:eastAsia="Arial" w:hAnsi="Arial" w:cs="Arial"/>
          <w:sz w:val="22"/>
        </w:rPr>
        <w:t>5% CER</w:t>
      </w:r>
      <w:r w:rsidR="00E470C3">
        <w:rPr>
          <w:rFonts w:ascii="Arial" w:eastAsia="Arial" w:hAnsi="Arial" w:cs="Arial"/>
          <w:sz w:val="22"/>
        </w:rPr>
        <w:t>, in line with the outlook for 5% CER growth. The adverse currency movements against the U.S. dollar were in line with QIAGEN’s publicly announced expectations.</w:t>
      </w:r>
      <w:r>
        <w:rPr>
          <w:rFonts w:ascii="Arial" w:eastAsia="Arial" w:hAnsi="Arial" w:cs="Arial"/>
          <w:sz w:val="22"/>
        </w:rPr>
        <w:t xml:space="preserve"> </w:t>
      </w:r>
      <w:r w:rsidR="00575664">
        <w:rPr>
          <w:rFonts w:ascii="Arial" w:eastAsia="Arial" w:hAnsi="Arial" w:cs="Arial"/>
          <w:sz w:val="22"/>
          <w:highlight w:val="yellow"/>
        </w:rPr>
        <w:t xml:space="preserve"> </w:t>
      </w:r>
    </w:p>
    <w:p w14:paraId="1BDA44CC" w14:textId="77777777" w:rsidR="00D72C78" w:rsidRDefault="00953C43" w:rsidP="00F70890">
      <w:pPr>
        <w:spacing w:after="180"/>
        <w:jc w:val="both"/>
        <w:rPr>
          <w:rFonts w:ascii="Arial" w:eastAsia="Arial" w:hAnsi="Arial" w:cs="Arial"/>
          <w:sz w:val="22"/>
        </w:rPr>
      </w:pPr>
      <w:r>
        <w:rPr>
          <w:rFonts w:ascii="Arial" w:eastAsia="Arial" w:hAnsi="Arial" w:cs="Arial"/>
          <w:sz w:val="22"/>
        </w:rPr>
        <w:t>Instruments (+9% CER / 12% of sales) led the performance</w:t>
      </w:r>
      <w:r w:rsidR="00F70890">
        <w:rPr>
          <w:rFonts w:ascii="Arial" w:eastAsia="Arial" w:hAnsi="Arial" w:cs="Arial"/>
          <w:sz w:val="22"/>
        </w:rPr>
        <w:t xml:space="preserve"> ahead of consumables and related revenues (+4% CER / 88% of sales). Instrument sales rose </w:t>
      </w:r>
      <w:r>
        <w:rPr>
          <w:rFonts w:ascii="Arial" w:eastAsia="Arial" w:hAnsi="Arial" w:cs="Arial"/>
          <w:sz w:val="22"/>
        </w:rPr>
        <w:t>15% CER excluding third-party instrument service contracts</w:t>
      </w:r>
      <w:r w:rsidR="00734ABB">
        <w:rPr>
          <w:rFonts w:ascii="Arial" w:eastAsia="Arial" w:hAnsi="Arial" w:cs="Arial"/>
          <w:sz w:val="22"/>
        </w:rPr>
        <w:t>,</w:t>
      </w:r>
      <w:r w:rsidR="00F70890">
        <w:rPr>
          <w:rFonts w:ascii="Arial" w:eastAsia="Arial" w:hAnsi="Arial" w:cs="Arial"/>
          <w:sz w:val="22"/>
        </w:rPr>
        <w:t xml:space="preserve"> led by contributions from the </w:t>
      </w:r>
      <w:proofErr w:type="spellStart"/>
      <w:r w:rsidR="00F70890">
        <w:rPr>
          <w:rFonts w:ascii="Arial" w:eastAsia="Arial" w:hAnsi="Arial" w:cs="Arial"/>
          <w:sz w:val="22"/>
        </w:rPr>
        <w:t>QIAstat</w:t>
      </w:r>
      <w:proofErr w:type="spellEnd"/>
      <w:r w:rsidR="00F70890">
        <w:rPr>
          <w:rFonts w:ascii="Arial" w:eastAsia="Arial" w:hAnsi="Arial" w:cs="Arial"/>
          <w:sz w:val="22"/>
        </w:rPr>
        <w:t xml:space="preserve">-Dx multiplex system launched in 2018 as well as the new </w:t>
      </w:r>
      <w:proofErr w:type="spellStart"/>
      <w:r w:rsidR="00F70890">
        <w:rPr>
          <w:rFonts w:ascii="Arial" w:eastAsia="Arial" w:hAnsi="Arial" w:cs="Arial"/>
          <w:sz w:val="22"/>
        </w:rPr>
        <w:t>QIAcube</w:t>
      </w:r>
      <w:proofErr w:type="spellEnd"/>
      <w:r w:rsidR="00F70890">
        <w:rPr>
          <w:rFonts w:ascii="Arial" w:eastAsia="Arial" w:hAnsi="Arial" w:cs="Arial"/>
          <w:sz w:val="22"/>
        </w:rPr>
        <w:t xml:space="preserve"> Connect sample processing instrument launched in early 2019. </w:t>
      </w:r>
      <w:r w:rsidR="00D72C78">
        <w:rPr>
          <w:rFonts w:ascii="Arial" w:eastAsia="Arial" w:hAnsi="Arial" w:cs="Arial"/>
          <w:sz w:val="22"/>
        </w:rPr>
        <w:t>Molecular Diagnostics (</w:t>
      </w:r>
      <w:r w:rsidR="00F70890">
        <w:rPr>
          <w:rFonts w:ascii="Arial" w:eastAsia="Arial" w:hAnsi="Arial" w:cs="Arial"/>
          <w:sz w:val="22"/>
        </w:rPr>
        <w:t>+</w:t>
      </w:r>
      <w:r w:rsidR="00D72C78">
        <w:rPr>
          <w:rFonts w:ascii="Arial" w:eastAsia="Arial" w:hAnsi="Arial" w:cs="Arial"/>
          <w:sz w:val="22"/>
        </w:rPr>
        <w:t>5% CER</w:t>
      </w:r>
      <w:r w:rsidR="00F70890">
        <w:rPr>
          <w:rFonts w:ascii="Arial" w:eastAsia="Arial" w:hAnsi="Arial" w:cs="Arial"/>
          <w:sz w:val="22"/>
        </w:rPr>
        <w:t xml:space="preserve"> </w:t>
      </w:r>
      <w:r w:rsidR="00D72C78">
        <w:rPr>
          <w:rFonts w:ascii="Arial" w:eastAsia="Arial" w:hAnsi="Arial" w:cs="Arial"/>
          <w:sz w:val="22"/>
        </w:rPr>
        <w:t>/</w:t>
      </w:r>
      <w:r w:rsidR="00F70890">
        <w:rPr>
          <w:rFonts w:ascii="Arial" w:eastAsia="Arial" w:hAnsi="Arial" w:cs="Arial"/>
          <w:sz w:val="22"/>
        </w:rPr>
        <w:t xml:space="preserve"> </w:t>
      </w:r>
      <w:r w:rsidR="00D72C78">
        <w:rPr>
          <w:rFonts w:ascii="Arial" w:eastAsia="Arial" w:hAnsi="Arial" w:cs="Arial"/>
          <w:sz w:val="22"/>
        </w:rPr>
        <w:t xml:space="preserve">49% of sales) </w:t>
      </w:r>
      <w:r w:rsidR="00F70890">
        <w:rPr>
          <w:rFonts w:ascii="Arial" w:eastAsia="Arial" w:hAnsi="Arial" w:cs="Arial"/>
          <w:sz w:val="22"/>
        </w:rPr>
        <w:t xml:space="preserve">had double-digit CER </w:t>
      </w:r>
      <w:r w:rsidR="00E470C3">
        <w:rPr>
          <w:rFonts w:ascii="Arial" w:eastAsia="Arial" w:hAnsi="Arial" w:cs="Arial"/>
          <w:sz w:val="22"/>
        </w:rPr>
        <w:t xml:space="preserve">growth in instrument sales, </w:t>
      </w:r>
      <w:r w:rsidR="00F70890">
        <w:rPr>
          <w:rFonts w:ascii="Arial" w:eastAsia="Arial" w:hAnsi="Arial" w:cs="Arial"/>
          <w:sz w:val="22"/>
        </w:rPr>
        <w:t xml:space="preserve">while consumables and related revenues rose at a mid-single-digit CER pace. As expected, sales of the QuantiFERON-TB test rose 6% CER in the second quarter of 2019, </w:t>
      </w:r>
      <w:r w:rsidR="0031658F">
        <w:rPr>
          <w:rFonts w:ascii="Arial" w:eastAsia="Arial" w:hAnsi="Arial" w:cs="Arial"/>
          <w:sz w:val="22"/>
        </w:rPr>
        <w:t xml:space="preserve">which was </w:t>
      </w:r>
      <w:r w:rsidR="00F70890">
        <w:rPr>
          <w:rFonts w:ascii="Arial" w:eastAsia="Arial" w:hAnsi="Arial" w:cs="Arial"/>
          <w:sz w:val="22"/>
        </w:rPr>
        <w:t xml:space="preserve">below the annual target </w:t>
      </w:r>
      <w:r w:rsidR="00734ABB">
        <w:rPr>
          <w:rFonts w:ascii="Arial" w:eastAsia="Arial" w:hAnsi="Arial" w:cs="Arial"/>
          <w:sz w:val="22"/>
        </w:rPr>
        <w:t xml:space="preserve">of </w:t>
      </w:r>
      <w:r w:rsidR="00F70890">
        <w:rPr>
          <w:rFonts w:ascii="Arial" w:eastAsia="Arial" w:hAnsi="Arial" w:cs="Arial"/>
          <w:sz w:val="22"/>
        </w:rPr>
        <w:t xml:space="preserve">at least 15% CER growth due to the very strong year-ago </w:t>
      </w:r>
      <w:r w:rsidR="0031658F">
        <w:rPr>
          <w:rFonts w:ascii="Arial" w:eastAsia="Arial" w:hAnsi="Arial" w:cs="Arial"/>
          <w:sz w:val="22"/>
        </w:rPr>
        <w:t xml:space="preserve">comparison </w:t>
      </w:r>
      <w:r w:rsidR="00734ABB">
        <w:rPr>
          <w:rFonts w:ascii="Arial" w:eastAsia="Arial" w:hAnsi="Arial" w:cs="Arial"/>
          <w:sz w:val="22"/>
        </w:rPr>
        <w:t>amid</w:t>
      </w:r>
      <w:r w:rsidR="00F70890">
        <w:rPr>
          <w:rFonts w:ascii="Arial" w:eastAsia="Arial" w:hAnsi="Arial" w:cs="Arial"/>
          <w:sz w:val="22"/>
        </w:rPr>
        <w:t xml:space="preserve"> the transition to the fourth</w:t>
      </w:r>
      <w:r w:rsidR="00734ABB">
        <w:rPr>
          <w:rFonts w:ascii="Arial" w:eastAsia="Arial" w:hAnsi="Arial" w:cs="Arial"/>
          <w:sz w:val="22"/>
        </w:rPr>
        <w:t>-</w:t>
      </w:r>
      <w:r w:rsidR="00F70890">
        <w:rPr>
          <w:rFonts w:ascii="Arial" w:eastAsia="Arial" w:hAnsi="Arial" w:cs="Arial"/>
          <w:sz w:val="22"/>
        </w:rPr>
        <w:t xml:space="preserve">generation version. </w:t>
      </w:r>
      <w:r w:rsidR="00F83C5A">
        <w:rPr>
          <w:rFonts w:ascii="Arial" w:eastAsia="Arial" w:hAnsi="Arial" w:cs="Arial"/>
          <w:sz w:val="22"/>
        </w:rPr>
        <w:t xml:space="preserve">Also weighing on growth was </w:t>
      </w:r>
      <w:r w:rsidR="00734ABB">
        <w:rPr>
          <w:rFonts w:ascii="Arial" w:eastAsia="Arial" w:hAnsi="Arial" w:cs="Arial"/>
          <w:sz w:val="22"/>
        </w:rPr>
        <w:t>a</w:t>
      </w:r>
      <w:r w:rsidR="00F83C5A">
        <w:rPr>
          <w:rFonts w:ascii="Arial" w:eastAsia="Arial" w:hAnsi="Arial" w:cs="Arial"/>
          <w:sz w:val="22"/>
        </w:rPr>
        <w:t xml:space="preserve"> decline </w:t>
      </w:r>
      <w:r w:rsidR="00734ABB">
        <w:rPr>
          <w:rFonts w:ascii="Arial" w:eastAsia="Arial" w:hAnsi="Arial" w:cs="Arial"/>
          <w:sz w:val="22"/>
        </w:rPr>
        <w:t xml:space="preserve">of </w:t>
      </w:r>
      <w:r w:rsidR="00645D17">
        <w:rPr>
          <w:rFonts w:ascii="Arial" w:eastAsia="Arial" w:hAnsi="Arial" w:cs="Arial"/>
          <w:sz w:val="22"/>
        </w:rPr>
        <w:t>2</w:t>
      </w:r>
      <w:r w:rsidR="00734ABB">
        <w:rPr>
          <w:rFonts w:ascii="Arial" w:eastAsia="Arial" w:hAnsi="Arial" w:cs="Arial"/>
          <w:sz w:val="22"/>
        </w:rPr>
        <w:t>1%</w:t>
      </w:r>
      <w:r w:rsidR="00645D17">
        <w:rPr>
          <w:rFonts w:ascii="Arial" w:eastAsia="Arial" w:hAnsi="Arial" w:cs="Arial"/>
          <w:sz w:val="22"/>
        </w:rPr>
        <w:t xml:space="preserve"> CER</w:t>
      </w:r>
      <w:r w:rsidR="00734ABB">
        <w:rPr>
          <w:rFonts w:ascii="Arial" w:eastAsia="Arial" w:hAnsi="Arial" w:cs="Arial"/>
          <w:sz w:val="22"/>
        </w:rPr>
        <w:t xml:space="preserve"> </w:t>
      </w:r>
      <w:r w:rsidR="00F83C5A">
        <w:rPr>
          <w:rFonts w:ascii="Arial" w:eastAsia="Arial" w:hAnsi="Arial" w:cs="Arial"/>
          <w:sz w:val="22"/>
        </w:rPr>
        <w:t xml:space="preserve">in revenues from </w:t>
      </w:r>
      <w:r w:rsidR="00F70890">
        <w:rPr>
          <w:rFonts w:ascii="Arial" w:eastAsia="Arial" w:hAnsi="Arial" w:cs="Arial"/>
          <w:sz w:val="22"/>
        </w:rPr>
        <w:t xml:space="preserve">companion diagnostic co-development </w:t>
      </w:r>
      <w:r w:rsidR="00F83C5A">
        <w:rPr>
          <w:rFonts w:ascii="Arial" w:eastAsia="Arial" w:hAnsi="Arial" w:cs="Arial"/>
          <w:sz w:val="22"/>
        </w:rPr>
        <w:t>projects to $</w:t>
      </w:r>
      <w:r w:rsidR="00645D17">
        <w:rPr>
          <w:rFonts w:ascii="Arial" w:eastAsia="Arial" w:hAnsi="Arial" w:cs="Arial"/>
          <w:sz w:val="22"/>
        </w:rPr>
        <w:t>1</w:t>
      </w:r>
      <w:r w:rsidR="00F83C5A">
        <w:rPr>
          <w:rFonts w:ascii="Arial" w:eastAsia="Arial" w:hAnsi="Arial" w:cs="Arial"/>
          <w:sz w:val="22"/>
        </w:rPr>
        <w:t>1 million</w:t>
      </w:r>
      <w:r w:rsidR="00734ABB">
        <w:rPr>
          <w:rFonts w:ascii="Arial" w:eastAsia="Arial" w:hAnsi="Arial" w:cs="Arial"/>
          <w:sz w:val="22"/>
        </w:rPr>
        <w:t xml:space="preserve"> in the quarter</w:t>
      </w:r>
      <w:r w:rsidR="00F70890">
        <w:rPr>
          <w:rFonts w:ascii="Arial" w:eastAsia="Arial" w:hAnsi="Arial" w:cs="Arial"/>
          <w:sz w:val="22"/>
        </w:rPr>
        <w:t>.</w:t>
      </w:r>
      <w:r w:rsidR="00D72C78">
        <w:rPr>
          <w:rFonts w:ascii="Arial" w:eastAsia="Arial" w:hAnsi="Arial" w:cs="Arial"/>
          <w:sz w:val="22"/>
        </w:rPr>
        <w:t xml:space="preserve"> Life Sciences (+5% CER / 51% of sales) </w:t>
      </w:r>
      <w:r w:rsidR="00F83C5A">
        <w:rPr>
          <w:rFonts w:ascii="Arial" w:eastAsia="Arial" w:hAnsi="Arial" w:cs="Arial"/>
          <w:sz w:val="22"/>
        </w:rPr>
        <w:t xml:space="preserve">benefitted from </w:t>
      </w:r>
      <w:r w:rsidR="00D72C78">
        <w:rPr>
          <w:rFonts w:ascii="Arial" w:eastAsia="Arial" w:hAnsi="Arial" w:cs="Arial"/>
          <w:sz w:val="22"/>
        </w:rPr>
        <w:t xml:space="preserve">Pharma (+4% CER / 20% of sales) </w:t>
      </w:r>
      <w:r w:rsidR="0031658F">
        <w:rPr>
          <w:rFonts w:ascii="Arial" w:eastAsia="Arial" w:hAnsi="Arial" w:cs="Arial"/>
          <w:sz w:val="22"/>
        </w:rPr>
        <w:t xml:space="preserve">rising at a </w:t>
      </w:r>
      <w:r w:rsidR="00D72C78">
        <w:rPr>
          <w:rFonts w:ascii="Arial" w:eastAsia="Arial" w:hAnsi="Arial" w:cs="Arial"/>
          <w:sz w:val="22"/>
        </w:rPr>
        <w:t xml:space="preserve">mid-single-digit CER </w:t>
      </w:r>
      <w:r w:rsidR="0031658F">
        <w:rPr>
          <w:rFonts w:ascii="Arial" w:eastAsia="Arial" w:hAnsi="Arial" w:cs="Arial"/>
          <w:sz w:val="22"/>
        </w:rPr>
        <w:t xml:space="preserve">rate for </w:t>
      </w:r>
      <w:r w:rsidR="00D72C78">
        <w:rPr>
          <w:rFonts w:ascii="Arial" w:eastAsia="Arial" w:hAnsi="Arial" w:cs="Arial"/>
          <w:sz w:val="22"/>
        </w:rPr>
        <w:t>consumables and related revenues</w:t>
      </w:r>
      <w:r w:rsidR="00F70890">
        <w:rPr>
          <w:rFonts w:ascii="Arial" w:eastAsia="Arial" w:hAnsi="Arial" w:cs="Arial"/>
          <w:sz w:val="22"/>
        </w:rPr>
        <w:t xml:space="preserve"> and low-single-digit CER growth in instrument</w:t>
      </w:r>
      <w:r w:rsidR="00F83C5A">
        <w:rPr>
          <w:rFonts w:ascii="Arial" w:eastAsia="Arial" w:hAnsi="Arial" w:cs="Arial"/>
          <w:sz w:val="22"/>
        </w:rPr>
        <w:t xml:space="preserve">s, </w:t>
      </w:r>
      <w:r w:rsidR="00D72C78">
        <w:rPr>
          <w:rFonts w:ascii="Arial" w:eastAsia="Arial" w:hAnsi="Arial" w:cs="Arial"/>
          <w:sz w:val="22"/>
        </w:rPr>
        <w:t xml:space="preserve">while Academia / Applied Testing (+5% CER / 31% of sales) </w:t>
      </w:r>
      <w:r w:rsidR="0031658F">
        <w:rPr>
          <w:rFonts w:ascii="Arial" w:eastAsia="Arial" w:hAnsi="Arial" w:cs="Arial"/>
          <w:sz w:val="22"/>
        </w:rPr>
        <w:t xml:space="preserve">had </w:t>
      </w:r>
      <w:r w:rsidR="00D72C78">
        <w:rPr>
          <w:rFonts w:ascii="Arial" w:eastAsia="Arial" w:hAnsi="Arial" w:cs="Arial"/>
          <w:sz w:val="22"/>
        </w:rPr>
        <w:t xml:space="preserve">double-digit CER growth in instruments and mid-single-digit </w:t>
      </w:r>
      <w:r w:rsidR="0031658F">
        <w:rPr>
          <w:rFonts w:ascii="Arial" w:eastAsia="Arial" w:hAnsi="Arial" w:cs="Arial"/>
          <w:sz w:val="22"/>
        </w:rPr>
        <w:t xml:space="preserve">gains </w:t>
      </w:r>
      <w:r w:rsidR="00D72C78">
        <w:rPr>
          <w:rFonts w:ascii="Arial" w:eastAsia="Arial" w:hAnsi="Arial" w:cs="Arial"/>
          <w:sz w:val="22"/>
        </w:rPr>
        <w:t>in consumables.</w:t>
      </w:r>
    </w:p>
    <w:p w14:paraId="1F8E0C65" w14:textId="77777777" w:rsidR="00D72C78" w:rsidRPr="000770B7" w:rsidRDefault="00D72C78" w:rsidP="00D72C78">
      <w:pPr>
        <w:spacing w:after="180"/>
        <w:jc w:val="both"/>
        <w:rPr>
          <w:rFonts w:ascii="Arial" w:eastAsia="Arial" w:hAnsi="Arial" w:cs="Arial"/>
          <w:spacing w:val="-2"/>
          <w:sz w:val="22"/>
        </w:rPr>
      </w:pPr>
      <w:r w:rsidRPr="000770B7">
        <w:rPr>
          <w:rFonts w:ascii="Arial" w:eastAsia="Arial" w:hAnsi="Arial" w:cs="Arial"/>
          <w:spacing w:val="-2"/>
          <w:sz w:val="22"/>
        </w:rPr>
        <w:t xml:space="preserve">Operating income was $60.2 million compared to $53.3 million in the </w:t>
      </w:r>
      <w:r w:rsidR="00584937" w:rsidRPr="000770B7">
        <w:rPr>
          <w:rFonts w:ascii="Arial" w:eastAsia="Arial" w:hAnsi="Arial" w:cs="Arial"/>
          <w:spacing w:val="-2"/>
          <w:sz w:val="22"/>
        </w:rPr>
        <w:t xml:space="preserve">same </w:t>
      </w:r>
      <w:r w:rsidR="00915A3C">
        <w:rPr>
          <w:rFonts w:ascii="Arial" w:eastAsia="Arial" w:hAnsi="Arial" w:cs="Arial"/>
          <w:spacing w:val="-2"/>
          <w:sz w:val="22"/>
        </w:rPr>
        <w:t xml:space="preserve">quarter </w:t>
      </w:r>
      <w:r w:rsidRPr="000770B7">
        <w:rPr>
          <w:rFonts w:ascii="Arial" w:eastAsia="Arial" w:hAnsi="Arial" w:cs="Arial"/>
          <w:spacing w:val="-2"/>
          <w:sz w:val="22"/>
        </w:rPr>
        <w:t>of 2018. Adjusted operating income</w:t>
      </w:r>
      <w:r w:rsidR="00813776">
        <w:rPr>
          <w:rFonts w:ascii="Arial" w:eastAsia="Arial" w:hAnsi="Arial" w:cs="Arial"/>
          <w:spacing w:val="-2"/>
          <w:sz w:val="22"/>
        </w:rPr>
        <w:t xml:space="preserve"> - </w:t>
      </w:r>
      <w:r w:rsidR="00584937">
        <w:rPr>
          <w:rFonts w:ascii="Arial" w:eastAsia="Arial" w:hAnsi="Arial" w:cs="Arial"/>
          <w:spacing w:val="-2"/>
          <w:sz w:val="22"/>
        </w:rPr>
        <w:t xml:space="preserve">which </w:t>
      </w:r>
      <w:r w:rsidRPr="000770B7">
        <w:rPr>
          <w:rFonts w:ascii="Arial" w:eastAsia="Arial" w:hAnsi="Arial" w:cs="Arial"/>
          <w:spacing w:val="-2"/>
          <w:sz w:val="22"/>
        </w:rPr>
        <w:t xml:space="preserve">excludes </w:t>
      </w:r>
      <w:r w:rsidR="000A1182" w:rsidRPr="000770B7">
        <w:rPr>
          <w:rFonts w:ascii="Arial" w:eastAsia="Arial" w:hAnsi="Arial" w:cs="Arial"/>
          <w:spacing w:val="-2"/>
          <w:sz w:val="22"/>
        </w:rPr>
        <w:t xml:space="preserve">amortization of intangible assets acquired in business combinations </w:t>
      </w:r>
      <w:r w:rsidRPr="000770B7">
        <w:rPr>
          <w:rFonts w:ascii="Arial" w:eastAsia="Arial" w:hAnsi="Arial" w:cs="Arial"/>
          <w:spacing w:val="-2"/>
          <w:sz w:val="22"/>
        </w:rPr>
        <w:t>and other items such as business integration, acquisition-related costs, litigation costs and</w:t>
      </w:r>
      <w:r w:rsidR="000A1182" w:rsidRPr="000770B7">
        <w:rPr>
          <w:rFonts w:ascii="Arial" w:eastAsia="Arial" w:hAnsi="Arial" w:cs="Arial"/>
          <w:spacing w:val="-2"/>
          <w:sz w:val="22"/>
        </w:rPr>
        <w:t xml:space="preserve"> restructuring</w:t>
      </w:r>
      <w:r w:rsidRPr="000770B7">
        <w:rPr>
          <w:rFonts w:ascii="Arial" w:eastAsia="Arial" w:hAnsi="Arial" w:cs="Arial"/>
          <w:spacing w:val="-2"/>
          <w:sz w:val="22"/>
        </w:rPr>
        <w:t xml:space="preserve"> </w:t>
      </w:r>
      <w:r w:rsidR="00813776">
        <w:rPr>
          <w:rFonts w:ascii="Arial" w:eastAsia="Arial" w:hAnsi="Arial" w:cs="Arial"/>
          <w:spacing w:val="-2"/>
          <w:sz w:val="22"/>
        </w:rPr>
        <w:t>-</w:t>
      </w:r>
      <w:r w:rsidRPr="000770B7">
        <w:rPr>
          <w:rFonts w:ascii="Arial" w:eastAsia="Arial" w:hAnsi="Arial" w:cs="Arial"/>
          <w:spacing w:val="-2"/>
          <w:sz w:val="22"/>
        </w:rPr>
        <w:t xml:space="preserve"> fell 2% to $99.1 million in the second quarter of 2019, absorbing </w:t>
      </w:r>
      <w:r w:rsidR="00E50110">
        <w:rPr>
          <w:rFonts w:ascii="Arial" w:eastAsia="Arial" w:hAnsi="Arial" w:cs="Arial"/>
          <w:spacing w:val="-2"/>
          <w:sz w:val="22"/>
        </w:rPr>
        <w:t xml:space="preserve">investments for the development, production </w:t>
      </w:r>
      <w:r w:rsidR="003125A2">
        <w:rPr>
          <w:rFonts w:ascii="Arial" w:eastAsia="Arial" w:hAnsi="Arial" w:cs="Arial"/>
          <w:spacing w:val="-2"/>
          <w:sz w:val="22"/>
        </w:rPr>
        <w:t>ramp</w:t>
      </w:r>
      <w:r w:rsidR="00E50110">
        <w:rPr>
          <w:rFonts w:ascii="Arial" w:eastAsia="Arial" w:hAnsi="Arial" w:cs="Arial"/>
          <w:spacing w:val="-2"/>
          <w:sz w:val="22"/>
        </w:rPr>
        <w:t>-</w:t>
      </w:r>
      <w:r w:rsidR="003125A2">
        <w:rPr>
          <w:rFonts w:ascii="Arial" w:eastAsia="Arial" w:hAnsi="Arial" w:cs="Arial"/>
          <w:spacing w:val="-2"/>
          <w:sz w:val="22"/>
        </w:rPr>
        <w:t xml:space="preserve">up and </w:t>
      </w:r>
      <w:r w:rsidR="00E50110">
        <w:rPr>
          <w:rFonts w:ascii="Arial" w:eastAsia="Arial" w:hAnsi="Arial" w:cs="Arial"/>
          <w:spacing w:val="-2"/>
          <w:sz w:val="22"/>
        </w:rPr>
        <w:t xml:space="preserve">commercialization </w:t>
      </w:r>
      <w:r w:rsidR="003125A2">
        <w:rPr>
          <w:rFonts w:ascii="Arial" w:eastAsia="Arial" w:hAnsi="Arial" w:cs="Arial"/>
          <w:spacing w:val="-2"/>
          <w:sz w:val="22"/>
        </w:rPr>
        <w:t xml:space="preserve">of new instruments. </w:t>
      </w:r>
      <w:r w:rsidRPr="000770B7">
        <w:rPr>
          <w:rFonts w:ascii="Arial" w:eastAsia="Arial" w:hAnsi="Arial" w:cs="Arial"/>
          <w:spacing w:val="-2"/>
          <w:sz w:val="22"/>
        </w:rPr>
        <w:t>The adjusted operating income margin was 26</w:t>
      </w:r>
      <w:r w:rsidR="00915A3C">
        <w:rPr>
          <w:rFonts w:ascii="Arial" w:eastAsia="Arial" w:hAnsi="Arial" w:cs="Arial"/>
          <w:spacing w:val="-2"/>
          <w:sz w:val="22"/>
        </w:rPr>
        <w:t>.0</w:t>
      </w:r>
      <w:r w:rsidRPr="000770B7">
        <w:rPr>
          <w:rFonts w:ascii="Arial" w:eastAsia="Arial" w:hAnsi="Arial" w:cs="Arial"/>
          <w:spacing w:val="-2"/>
          <w:sz w:val="22"/>
        </w:rPr>
        <w:t>% of sales compared to 2</w:t>
      </w:r>
      <w:r w:rsidR="00915A3C">
        <w:rPr>
          <w:rFonts w:ascii="Arial" w:eastAsia="Arial" w:hAnsi="Arial" w:cs="Arial"/>
          <w:spacing w:val="-2"/>
          <w:sz w:val="22"/>
        </w:rPr>
        <w:t>6.8</w:t>
      </w:r>
      <w:r w:rsidRPr="000770B7">
        <w:rPr>
          <w:rFonts w:ascii="Arial" w:eastAsia="Arial" w:hAnsi="Arial" w:cs="Arial"/>
          <w:spacing w:val="-2"/>
          <w:sz w:val="22"/>
        </w:rPr>
        <w:t>% in the same quarter of 2018.</w:t>
      </w:r>
    </w:p>
    <w:p w14:paraId="277E40B4" w14:textId="77777777" w:rsidR="00D72C78" w:rsidRPr="000770B7" w:rsidRDefault="00D72C78" w:rsidP="00D72C78">
      <w:pPr>
        <w:spacing w:after="240"/>
        <w:jc w:val="both"/>
        <w:rPr>
          <w:rFonts w:ascii="Arial" w:eastAsia="Arial" w:hAnsi="Arial" w:cs="Arial"/>
          <w:sz w:val="22"/>
        </w:rPr>
      </w:pPr>
      <w:r>
        <w:rPr>
          <w:rFonts w:ascii="Arial" w:eastAsia="Arial" w:hAnsi="Arial" w:cs="Arial"/>
          <w:sz w:val="22"/>
        </w:rPr>
        <w:t>Net income was $44.7 million in the second quarter of 2019</w:t>
      </w:r>
      <w:r w:rsidR="00734ABB">
        <w:rPr>
          <w:rFonts w:ascii="Arial" w:eastAsia="Arial" w:hAnsi="Arial" w:cs="Arial"/>
          <w:sz w:val="22"/>
        </w:rPr>
        <w:t>,</w:t>
      </w:r>
      <w:r>
        <w:rPr>
          <w:rFonts w:ascii="Arial" w:eastAsia="Arial" w:hAnsi="Arial" w:cs="Arial"/>
          <w:sz w:val="22"/>
        </w:rPr>
        <w:t xml:space="preserve"> or $0.19 per diluted share (based on 232.7 million diluted shares)</w:t>
      </w:r>
      <w:r w:rsidR="00734ABB">
        <w:rPr>
          <w:rFonts w:ascii="Arial" w:eastAsia="Arial" w:hAnsi="Arial" w:cs="Arial"/>
          <w:sz w:val="22"/>
        </w:rPr>
        <w:t>,</w:t>
      </w:r>
      <w:r>
        <w:rPr>
          <w:rFonts w:ascii="Arial" w:eastAsia="Arial" w:hAnsi="Arial" w:cs="Arial"/>
          <w:sz w:val="22"/>
        </w:rPr>
        <w:t xml:space="preserve"> compared to $36.8 million, or $0.16 per share (based on 233.8 million diluted shares) in the second quarter of 2018. Adjusted net income was $77.4 million, or $0.33 per diluted share ($0.34 CER), compared to $77.2 million, or $0.33 per diluted share, in the prior-year quarter</w:t>
      </w:r>
      <w:r w:rsidR="00645D17">
        <w:rPr>
          <w:rFonts w:ascii="Arial" w:eastAsia="Arial" w:hAnsi="Arial" w:cs="Arial"/>
          <w:sz w:val="22"/>
        </w:rPr>
        <w:t>, with an</w:t>
      </w:r>
      <w:r w:rsidR="00FE1806">
        <w:rPr>
          <w:rFonts w:ascii="Arial" w:eastAsia="Arial" w:hAnsi="Arial" w:cs="Arial"/>
          <w:sz w:val="22"/>
        </w:rPr>
        <w:t xml:space="preserve"> adjusted tax rate </w:t>
      </w:r>
      <w:r w:rsidR="00645D17">
        <w:rPr>
          <w:rFonts w:ascii="Arial" w:eastAsia="Arial" w:hAnsi="Arial" w:cs="Arial"/>
          <w:sz w:val="22"/>
        </w:rPr>
        <w:t>of 20% in both periods.</w:t>
      </w:r>
    </w:p>
    <w:p w14:paraId="31851434" w14:textId="77777777" w:rsidR="00D72C78" w:rsidRDefault="00D72C78" w:rsidP="00D72C78">
      <w:pPr>
        <w:spacing w:after="180" w:line="288" w:lineRule="auto"/>
        <w:jc w:val="both"/>
        <w:rPr>
          <w:rFonts w:ascii="Arial" w:eastAsia="Arial" w:hAnsi="Arial" w:cs="Arial"/>
          <w:b/>
          <w:sz w:val="22"/>
        </w:rPr>
      </w:pPr>
      <w:r>
        <w:rPr>
          <w:rFonts w:ascii="Arial" w:eastAsia="Arial" w:hAnsi="Arial" w:cs="Arial"/>
          <w:b/>
          <w:sz w:val="22"/>
        </w:rPr>
        <w:t>First half 2019 results</w:t>
      </w:r>
    </w:p>
    <w:p w14:paraId="5964EE6C" w14:textId="77777777" w:rsidR="00D72C78" w:rsidRDefault="00D72C78" w:rsidP="00D72C78">
      <w:pPr>
        <w:spacing w:after="180"/>
        <w:jc w:val="both"/>
        <w:rPr>
          <w:rFonts w:ascii="Arial" w:eastAsia="Arial" w:hAnsi="Arial" w:cs="Arial"/>
          <w:sz w:val="22"/>
        </w:rPr>
      </w:pPr>
      <w:r>
        <w:rPr>
          <w:rFonts w:ascii="Arial" w:eastAsia="Arial" w:hAnsi="Arial" w:cs="Arial"/>
          <w:sz w:val="22"/>
        </w:rPr>
        <w:t xml:space="preserve">Total net sales grew 1% at actual rates to $730.3 million in 2019 </w:t>
      </w:r>
      <w:r w:rsidR="00E363E3">
        <w:rPr>
          <w:rFonts w:ascii="Arial" w:eastAsia="Arial" w:hAnsi="Arial" w:cs="Arial"/>
          <w:sz w:val="22"/>
        </w:rPr>
        <w:t xml:space="preserve">from </w:t>
      </w:r>
      <w:r>
        <w:rPr>
          <w:rFonts w:ascii="Arial" w:eastAsia="Arial" w:hAnsi="Arial" w:cs="Arial"/>
          <w:sz w:val="22"/>
        </w:rPr>
        <w:t>$720.8 million in the year-ago period</w:t>
      </w:r>
      <w:r w:rsidR="00FE1806">
        <w:rPr>
          <w:rFonts w:ascii="Arial" w:eastAsia="Arial" w:hAnsi="Arial" w:cs="Arial"/>
          <w:sz w:val="22"/>
        </w:rPr>
        <w:t xml:space="preserve">, and grew </w:t>
      </w:r>
      <w:r>
        <w:rPr>
          <w:rFonts w:ascii="Arial" w:eastAsia="Arial" w:hAnsi="Arial" w:cs="Arial"/>
          <w:sz w:val="22"/>
        </w:rPr>
        <w:t xml:space="preserve">5% CER as currency movements against the U.S. dollar had a negative impact of </w:t>
      </w:r>
      <w:r w:rsidR="00FE1806">
        <w:rPr>
          <w:rFonts w:ascii="Arial" w:eastAsia="Arial" w:hAnsi="Arial" w:cs="Arial"/>
          <w:sz w:val="22"/>
        </w:rPr>
        <w:t xml:space="preserve">four </w:t>
      </w:r>
      <w:r>
        <w:rPr>
          <w:rFonts w:ascii="Arial" w:eastAsia="Arial" w:hAnsi="Arial" w:cs="Arial"/>
          <w:sz w:val="22"/>
        </w:rPr>
        <w:t xml:space="preserve">percentage points. About one percentage point of total CER sales growth came from the launch of </w:t>
      </w:r>
      <w:proofErr w:type="spellStart"/>
      <w:r>
        <w:rPr>
          <w:rFonts w:ascii="Arial" w:eastAsia="Arial" w:hAnsi="Arial" w:cs="Arial"/>
          <w:sz w:val="22"/>
        </w:rPr>
        <w:t>QIAstat</w:t>
      </w:r>
      <w:proofErr w:type="spellEnd"/>
      <w:r>
        <w:rPr>
          <w:rFonts w:ascii="Arial" w:eastAsia="Arial" w:hAnsi="Arial" w:cs="Arial"/>
          <w:sz w:val="22"/>
        </w:rPr>
        <w:t>-Dx, while four percentage points came from the rest of the business</w:t>
      </w:r>
      <w:r w:rsidR="00830ECF">
        <w:rPr>
          <w:rFonts w:ascii="Arial" w:eastAsia="Arial" w:hAnsi="Arial" w:cs="Arial"/>
          <w:sz w:val="22"/>
        </w:rPr>
        <w:t>,</w:t>
      </w:r>
      <w:r>
        <w:rPr>
          <w:rFonts w:ascii="Arial" w:eastAsia="Arial" w:hAnsi="Arial" w:cs="Arial"/>
          <w:sz w:val="22"/>
        </w:rPr>
        <w:t xml:space="preserve"> </w:t>
      </w:r>
      <w:r w:rsidR="0031658F">
        <w:rPr>
          <w:rFonts w:ascii="Arial" w:eastAsia="Arial" w:hAnsi="Arial" w:cs="Arial"/>
          <w:sz w:val="22"/>
        </w:rPr>
        <w:t xml:space="preserve">and </w:t>
      </w:r>
      <w:r w:rsidR="00830ECF">
        <w:rPr>
          <w:rFonts w:ascii="Arial" w:eastAsia="Arial" w:hAnsi="Arial" w:cs="Arial"/>
          <w:sz w:val="22"/>
        </w:rPr>
        <w:t>absorb</w:t>
      </w:r>
      <w:r w:rsidR="0031658F">
        <w:rPr>
          <w:rFonts w:ascii="Arial" w:eastAsia="Arial" w:hAnsi="Arial" w:cs="Arial"/>
          <w:sz w:val="22"/>
        </w:rPr>
        <w:t>ed</w:t>
      </w:r>
      <w:r w:rsidR="00830ECF">
        <w:rPr>
          <w:rFonts w:ascii="Arial" w:eastAsia="Arial" w:hAnsi="Arial" w:cs="Arial"/>
          <w:sz w:val="22"/>
        </w:rPr>
        <w:t xml:space="preserve"> </w:t>
      </w:r>
      <w:r>
        <w:rPr>
          <w:rFonts w:ascii="Arial" w:eastAsia="Arial" w:hAnsi="Arial" w:cs="Arial"/>
          <w:sz w:val="22"/>
        </w:rPr>
        <w:t xml:space="preserve">about one percentage point </w:t>
      </w:r>
      <w:r w:rsidR="00FE1806">
        <w:rPr>
          <w:rFonts w:ascii="Arial" w:eastAsia="Arial" w:hAnsi="Arial" w:cs="Arial"/>
          <w:sz w:val="22"/>
        </w:rPr>
        <w:t xml:space="preserve">of sales lost through </w:t>
      </w:r>
      <w:r>
        <w:rPr>
          <w:rFonts w:ascii="Arial" w:eastAsia="Arial" w:hAnsi="Arial" w:cs="Arial"/>
          <w:sz w:val="22"/>
        </w:rPr>
        <w:t>the divestment of the veterinary assay portfolio (</w:t>
      </w:r>
      <w:r w:rsidR="0031658F">
        <w:rPr>
          <w:rFonts w:ascii="Arial" w:eastAsia="Arial" w:hAnsi="Arial" w:cs="Arial"/>
          <w:sz w:val="22"/>
        </w:rPr>
        <w:t xml:space="preserve">completed in </w:t>
      </w:r>
      <w:r>
        <w:rPr>
          <w:rFonts w:ascii="Arial" w:eastAsia="Arial" w:hAnsi="Arial" w:cs="Arial"/>
          <w:sz w:val="22"/>
        </w:rPr>
        <w:t xml:space="preserve">April 2018) and the </w:t>
      </w:r>
      <w:r w:rsidR="0031658F">
        <w:rPr>
          <w:rFonts w:ascii="Arial" w:eastAsia="Arial" w:hAnsi="Arial" w:cs="Arial"/>
          <w:sz w:val="22"/>
        </w:rPr>
        <w:t xml:space="preserve">decision to reduce </w:t>
      </w:r>
      <w:r>
        <w:rPr>
          <w:rFonts w:ascii="Arial" w:eastAsia="Arial" w:hAnsi="Arial" w:cs="Arial"/>
          <w:sz w:val="22"/>
        </w:rPr>
        <w:t>third-party instrument service contracts that began in 2018</w:t>
      </w:r>
      <w:r>
        <w:rPr>
          <w:sz w:val="22"/>
        </w:rPr>
        <w:t>.</w:t>
      </w:r>
    </w:p>
    <w:p w14:paraId="101B95C8" w14:textId="77777777" w:rsidR="00D72C78" w:rsidRPr="000770B7" w:rsidRDefault="00D72C78" w:rsidP="00D72C78">
      <w:pPr>
        <w:spacing w:after="180"/>
        <w:jc w:val="both"/>
        <w:rPr>
          <w:rFonts w:ascii="Arial" w:eastAsia="Arial" w:hAnsi="Arial" w:cs="Arial"/>
          <w:sz w:val="22"/>
        </w:rPr>
      </w:pPr>
      <w:r>
        <w:rPr>
          <w:rFonts w:ascii="Arial" w:eastAsia="Arial" w:hAnsi="Arial" w:cs="Arial"/>
          <w:sz w:val="22"/>
        </w:rPr>
        <w:t xml:space="preserve">Operating income was $101.3 million in the first half of 2019 and </w:t>
      </w:r>
      <w:r w:rsidR="00830ECF">
        <w:rPr>
          <w:rFonts w:ascii="Arial" w:eastAsia="Arial" w:hAnsi="Arial" w:cs="Arial"/>
          <w:sz w:val="22"/>
        </w:rPr>
        <w:t xml:space="preserve">in </w:t>
      </w:r>
      <w:r>
        <w:rPr>
          <w:rFonts w:ascii="Arial" w:eastAsia="Arial" w:hAnsi="Arial" w:cs="Arial"/>
          <w:sz w:val="22"/>
        </w:rPr>
        <w:t xml:space="preserve">the same period of 2018. Adjusted operating income </w:t>
      </w:r>
      <w:r w:rsidR="00813776">
        <w:rPr>
          <w:rFonts w:ascii="Arial" w:eastAsia="Arial" w:hAnsi="Arial" w:cs="Arial"/>
          <w:sz w:val="22"/>
        </w:rPr>
        <w:t>-</w:t>
      </w:r>
      <w:r>
        <w:rPr>
          <w:rFonts w:ascii="Arial" w:eastAsia="Arial" w:hAnsi="Arial" w:cs="Arial"/>
          <w:sz w:val="22"/>
        </w:rPr>
        <w:t xml:space="preserve"> which excludes </w:t>
      </w:r>
      <w:r w:rsidR="00C14D5E">
        <w:rPr>
          <w:rFonts w:ascii="Arial" w:eastAsia="Arial" w:hAnsi="Arial" w:cs="Arial"/>
          <w:sz w:val="22"/>
        </w:rPr>
        <w:t xml:space="preserve">amortization of intangible assets acquired in business combinations </w:t>
      </w:r>
      <w:r>
        <w:rPr>
          <w:rFonts w:ascii="Arial" w:eastAsia="Arial" w:hAnsi="Arial" w:cs="Arial"/>
          <w:sz w:val="22"/>
        </w:rPr>
        <w:t>and other items such as business integration, acquisition-related costs, litigation costs and</w:t>
      </w:r>
      <w:r w:rsidR="00C14D5E">
        <w:rPr>
          <w:rFonts w:ascii="Arial" w:eastAsia="Arial" w:hAnsi="Arial" w:cs="Arial"/>
          <w:sz w:val="22"/>
        </w:rPr>
        <w:t xml:space="preserve"> restructuring</w:t>
      </w:r>
      <w:r>
        <w:rPr>
          <w:rFonts w:ascii="Arial" w:eastAsia="Arial" w:hAnsi="Arial" w:cs="Arial"/>
          <w:sz w:val="22"/>
        </w:rPr>
        <w:t xml:space="preserve"> </w:t>
      </w:r>
      <w:r w:rsidR="00813776">
        <w:rPr>
          <w:rFonts w:ascii="Arial" w:eastAsia="Arial" w:hAnsi="Arial" w:cs="Arial"/>
          <w:sz w:val="22"/>
        </w:rPr>
        <w:t>-</w:t>
      </w:r>
      <w:r w:rsidR="00FE1806">
        <w:rPr>
          <w:rFonts w:ascii="Arial" w:eastAsia="Arial" w:hAnsi="Arial" w:cs="Arial"/>
          <w:sz w:val="22"/>
        </w:rPr>
        <w:t xml:space="preserve"> was $177.0 million (24.2% of sales) </w:t>
      </w:r>
      <w:r>
        <w:rPr>
          <w:rFonts w:ascii="Arial" w:eastAsia="Arial" w:hAnsi="Arial" w:cs="Arial"/>
          <w:sz w:val="22"/>
        </w:rPr>
        <w:t>compared to $178.3 million</w:t>
      </w:r>
      <w:r w:rsidR="00C20C1B">
        <w:rPr>
          <w:rFonts w:ascii="Arial" w:eastAsia="Arial" w:hAnsi="Arial" w:cs="Arial"/>
          <w:sz w:val="22"/>
        </w:rPr>
        <w:t xml:space="preserve"> (24.7% of sales)</w:t>
      </w:r>
      <w:r>
        <w:rPr>
          <w:rFonts w:ascii="Arial" w:eastAsia="Arial" w:hAnsi="Arial" w:cs="Arial"/>
          <w:sz w:val="22"/>
        </w:rPr>
        <w:t xml:space="preserve"> in the </w:t>
      </w:r>
      <w:r w:rsidR="00FE1806">
        <w:rPr>
          <w:rFonts w:ascii="Arial" w:eastAsia="Arial" w:hAnsi="Arial" w:cs="Arial"/>
          <w:sz w:val="22"/>
        </w:rPr>
        <w:t xml:space="preserve">2018 </w:t>
      </w:r>
      <w:r>
        <w:rPr>
          <w:rFonts w:ascii="Arial" w:eastAsia="Arial" w:hAnsi="Arial" w:cs="Arial"/>
          <w:sz w:val="22"/>
        </w:rPr>
        <w:t xml:space="preserve">period. </w:t>
      </w:r>
    </w:p>
    <w:p w14:paraId="0D4DC664" w14:textId="77777777" w:rsidR="00D72C78" w:rsidRDefault="00D72C78" w:rsidP="00D72C78">
      <w:pPr>
        <w:spacing w:after="240"/>
        <w:jc w:val="both"/>
        <w:rPr>
          <w:rFonts w:ascii="Arial" w:eastAsia="Arial" w:hAnsi="Arial" w:cs="Arial"/>
          <w:sz w:val="22"/>
        </w:rPr>
      </w:pPr>
      <w:r>
        <w:rPr>
          <w:rFonts w:ascii="Arial" w:eastAsia="Arial" w:hAnsi="Arial" w:cs="Arial"/>
          <w:sz w:val="22"/>
        </w:rPr>
        <w:t>Net income was $74.2 million, or $0.32 per diluted share (based on 233.2 million diluted shares) compared to $69.1 million, or $0.30 per share (based on 233.2 million diluted shares) in the first half of 2018. Adjusted net income was $139.4 million, or $0.60 per share ($0.62 CER), compared to $136.8 million, or $0.59, in the prior year, with an adjusted tax rate of 20% in both periods.</w:t>
      </w:r>
    </w:p>
    <w:p w14:paraId="7BC0AEA9" w14:textId="77777777" w:rsidR="00915A3C" w:rsidRDefault="00915A3C" w:rsidP="009448ED">
      <w:pPr>
        <w:tabs>
          <w:tab w:val="left" w:pos="1276"/>
        </w:tabs>
        <w:spacing w:before="240" w:after="120"/>
        <w:jc w:val="both"/>
        <w:rPr>
          <w:rFonts w:ascii="Arial" w:eastAsia="Arial" w:hAnsi="Arial" w:cs="Arial"/>
          <w:b/>
          <w:sz w:val="22"/>
        </w:rPr>
      </w:pPr>
    </w:p>
    <w:p w14:paraId="29F97C69" w14:textId="77777777" w:rsidR="00575664" w:rsidRDefault="00575664" w:rsidP="009448ED">
      <w:pPr>
        <w:tabs>
          <w:tab w:val="left" w:pos="1276"/>
        </w:tabs>
        <w:spacing w:before="240" w:after="120"/>
        <w:jc w:val="both"/>
        <w:rPr>
          <w:rFonts w:ascii="Arial" w:eastAsia="Arial" w:hAnsi="Arial" w:cs="Arial"/>
          <w:b/>
          <w:sz w:val="22"/>
        </w:rPr>
      </w:pPr>
    </w:p>
    <w:p w14:paraId="63269B17" w14:textId="77777777" w:rsidR="00575664" w:rsidRDefault="00575664" w:rsidP="009448ED">
      <w:pPr>
        <w:tabs>
          <w:tab w:val="left" w:pos="1276"/>
        </w:tabs>
        <w:spacing w:before="240" w:after="120"/>
        <w:jc w:val="both"/>
        <w:rPr>
          <w:rFonts w:ascii="Arial" w:eastAsia="Arial" w:hAnsi="Arial" w:cs="Arial"/>
          <w:b/>
          <w:sz w:val="22"/>
        </w:rPr>
      </w:pPr>
    </w:p>
    <w:p w14:paraId="5B189E1E" w14:textId="77777777" w:rsidR="007306DE" w:rsidRPr="009C5780" w:rsidRDefault="00D00097" w:rsidP="009448ED">
      <w:pPr>
        <w:tabs>
          <w:tab w:val="left" w:pos="1276"/>
        </w:tabs>
        <w:spacing w:before="240" w:after="120"/>
        <w:jc w:val="both"/>
        <w:rPr>
          <w:rFonts w:ascii="Arial" w:eastAsia="Arial" w:hAnsi="Arial" w:cs="Arial"/>
          <w:b/>
          <w:sz w:val="22"/>
        </w:rPr>
      </w:pPr>
      <w:r w:rsidRPr="009C5780">
        <w:rPr>
          <w:rFonts w:ascii="Arial" w:eastAsia="Arial" w:hAnsi="Arial" w:cs="Arial"/>
          <w:b/>
          <w:sz w:val="22"/>
        </w:rPr>
        <w:lastRenderedPageBreak/>
        <w:t>Balance sheet and cash flows</w:t>
      </w:r>
    </w:p>
    <w:p w14:paraId="5A76B9CA" w14:textId="77777777" w:rsidR="004B5264" w:rsidRDefault="00D72C78" w:rsidP="00D72C78">
      <w:pPr>
        <w:spacing w:after="180"/>
        <w:jc w:val="both"/>
        <w:rPr>
          <w:sz w:val="22"/>
        </w:rPr>
      </w:pPr>
      <w:r>
        <w:rPr>
          <w:rFonts w:ascii="Arial" w:eastAsia="Arial" w:hAnsi="Arial" w:cs="Arial"/>
          <w:sz w:val="22"/>
        </w:rPr>
        <w:t xml:space="preserve">At June </w:t>
      </w:r>
      <w:r w:rsidRPr="00813776">
        <w:rPr>
          <w:rFonts w:ascii="Arial" w:eastAsia="Arial" w:hAnsi="Arial" w:cs="Arial"/>
          <w:sz w:val="22"/>
        </w:rPr>
        <w:t xml:space="preserve">30, 2019, cash and cash equivalents were $624.6 million compared to $1.16 billion at December 31, 2018. </w:t>
      </w:r>
      <w:r w:rsidR="00C708A6" w:rsidRPr="00446A3F">
        <w:rPr>
          <w:rFonts w:ascii="Arial" w:eastAsia="Arial" w:hAnsi="Arial" w:cs="Arial"/>
          <w:sz w:val="22"/>
        </w:rPr>
        <w:t>Net cash provided by operating activities in the first half of 2019 was $127.2 million</w:t>
      </w:r>
      <w:r w:rsidR="00956F4F">
        <w:rPr>
          <w:rFonts w:ascii="Arial" w:eastAsia="Arial" w:hAnsi="Arial" w:cs="Arial"/>
          <w:sz w:val="22"/>
        </w:rPr>
        <w:t xml:space="preserve">, which </w:t>
      </w:r>
      <w:r w:rsidR="00956F4F" w:rsidRPr="00446A3F">
        <w:rPr>
          <w:rFonts w:ascii="Arial" w:eastAsia="Arial" w:hAnsi="Arial" w:cs="Arial"/>
          <w:color w:val="000000"/>
          <w:sz w:val="22"/>
        </w:rPr>
        <w:t>included significant payments for taxes, derivative transactions and litigation</w:t>
      </w:r>
      <w:r w:rsidR="00446A3F">
        <w:rPr>
          <w:rFonts w:ascii="Arial" w:eastAsia="Arial" w:hAnsi="Arial" w:cs="Arial"/>
          <w:color w:val="000000"/>
          <w:sz w:val="22"/>
        </w:rPr>
        <w:t xml:space="preserve"> </w:t>
      </w:r>
      <w:r w:rsidR="00956F4F" w:rsidRPr="00446A3F">
        <w:rPr>
          <w:rFonts w:ascii="Arial" w:eastAsia="Arial" w:hAnsi="Arial" w:cs="Arial"/>
          <w:color w:val="000000"/>
          <w:sz w:val="22"/>
        </w:rPr>
        <w:t>settlements</w:t>
      </w:r>
      <w:r w:rsidR="004B5264">
        <w:rPr>
          <w:rFonts w:ascii="Arial" w:eastAsia="Arial" w:hAnsi="Arial" w:cs="Arial"/>
          <w:color w:val="000000"/>
          <w:sz w:val="22"/>
        </w:rPr>
        <w:t>,</w:t>
      </w:r>
      <w:r w:rsidR="00956F4F" w:rsidRPr="00446A3F">
        <w:rPr>
          <w:rFonts w:ascii="Arial" w:eastAsia="Arial" w:hAnsi="Arial" w:cs="Arial"/>
          <w:color w:val="000000"/>
          <w:sz w:val="22"/>
        </w:rPr>
        <w:t xml:space="preserve"> </w:t>
      </w:r>
      <w:r w:rsidR="00C708A6" w:rsidRPr="00446A3F">
        <w:rPr>
          <w:rFonts w:ascii="Arial" w:eastAsia="Arial" w:hAnsi="Arial" w:cs="Arial"/>
          <w:color w:val="000000"/>
          <w:sz w:val="22"/>
        </w:rPr>
        <w:t xml:space="preserve"> </w:t>
      </w:r>
      <w:r w:rsidR="0031658F" w:rsidRPr="00446A3F">
        <w:rPr>
          <w:rFonts w:ascii="Arial" w:eastAsia="Arial" w:hAnsi="Arial" w:cs="Arial"/>
          <w:color w:val="000000"/>
          <w:sz w:val="22"/>
        </w:rPr>
        <w:t xml:space="preserve">compared to </w:t>
      </w:r>
      <w:r w:rsidR="00C708A6" w:rsidRPr="00446A3F">
        <w:rPr>
          <w:rFonts w:ascii="Arial" w:eastAsia="Arial" w:hAnsi="Arial" w:cs="Arial"/>
          <w:color w:val="000000"/>
          <w:sz w:val="22"/>
        </w:rPr>
        <w:t>$166.2 million</w:t>
      </w:r>
      <w:r w:rsidR="0031658F" w:rsidRPr="00446A3F">
        <w:rPr>
          <w:rFonts w:ascii="Arial" w:eastAsia="Arial" w:hAnsi="Arial" w:cs="Arial"/>
          <w:color w:val="000000"/>
          <w:sz w:val="22"/>
        </w:rPr>
        <w:t xml:space="preserve"> in the year-ago period</w:t>
      </w:r>
      <w:r w:rsidR="00C708A6" w:rsidRPr="00446A3F">
        <w:rPr>
          <w:rFonts w:ascii="Arial" w:eastAsia="Arial" w:hAnsi="Arial" w:cs="Arial"/>
          <w:color w:val="000000"/>
          <w:sz w:val="22"/>
        </w:rPr>
        <w:t>.</w:t>
      </w:r>
      <w:r w:rsidRPr="004B5264">
        <w:rPr>
          <w:rFonts w:ascii="Arial" w:eastAsia="Arial" w:hAnsi="Arial" w:cs="Arial"/>
          <w:color w:val="000000"/>
          <w:sz w:val="22"/>
        </w:rPr>
        <w:t xml:space="preserve"> F</w:t>
      </w:r>
      <w:r w:rsidRPr="00446A3F">
        <w:rPr>
          <w:rFonts w:ascii="Arial" w:eastAsia="Arial" w:hAnsi="Arial" w:cs="Arial"/>
          <w:color w:val="000000"/>
          <w:sz w:val="22"/>
        </w:rPr>
        <w:t xml:space="preserve">ree cash flow was </w:t>
      </w:r>
      <w:r w:rsidRPr="00813776">
        <w:rPr>
          <w:rFonts w:ascii="Arial" w:eastAsia="Arial" w:hAnsi="Arial" w:cs="Arial"/>
          <w:color w:val="000000"/>
          <w:sz w:val="22"/>
        </w:rPr>
        <w:t>$</w:t>
      </w:r>
      <w:r w:rsidR="00645D17" w:rsidRPr="00813776">
        <w:rPr>
          <w:rFonts w:ascii="Arial" w:eastAsia="Arial" w:hAnsi="Arial" w:cs="Arial"/>
          <w:color w:val="000000"/>
          <w:sz w:val="22"/>
        </w:rPr>
        <w:t>72.9</w:t>
      </w:r>
      <w:r w:rsidRPr="00813776">
        <w:rPr>
          <w:rFonts w:ascii="Arial" w:eastAsia="Arial" w:hAnsi="Arial" w:cs="Arial"/>
          <w:color w:val="000000"/>
          <w:sz w:val="22"/>
        </w:rPr>
        <w:t xml:space="preserve"> million </w:t>
      </w:r>
      <w:r w:rsidRPr="00446A3F">
        <w:rPr>
          <w:rFonts w:ascii="Arial" w:eastAsia="Arial" w:hAnsi="Arial" w:cs="Arial"/>
          <w:color w:val="000000"/>
          <w:sz w:val="22"/>
        </w:rPr>
        <w:t>compared to $123.4 million, as purchases of Property, Plant and</w:t>
      </w:r>
      <w:r w:rsidRPr="00813776">
        <w:rPr>
          <w:rFonts w:ascii="Arial" w:eastAsia="Arial" w:hAnsi="Arial" w:cs="Arial"/>
          <w:sz w:val="22"/>
        </w:rPr>
        <w:t xml:space="preserve"> Equipment </w:t>
      </w:r>
      <w:r w:rsidRPr="00813776">
        <w:rPr>
          <w:rFonts w:ascii="Arial" w:eastAsia="Arial" w:hAnsi="Arial" w:cs="Arial"/>
          <w:color w:val="000000"/>
          <w:sz w:val="22"/>
        </w:rPr>
        <w:t>rose to $</w:t>
      </w:r>
      <w:r w:rsidR="00645D17" w:rsidRPr="00813776">
        <w:rPr>
          <w:rFonts w:ascii="Arial" w:eastAsia="Arial" w:hAnsi="Arial" w:cs="Arial"/>
          <w:color w:val="000000"/>
          <w:sz w:val="22"/>
        </w:rPr>
        <w:t>54.4</w:t>
      </w:r>
      <w:r w:rsidRPr="00813776">
        <w:rPr>
          <w:rFonts w:ascii="Arial" w:eastAsia="Arial" w:hAnsi="Arial" w:cs="Arial"/>
          <w:color w:val="000000"/>
          <w:sz w:val="22"/>
        </w:rPr>
        <w:t xml:space="preserve"> million (</w:t>
      </w:r>
      <w:r w:rsidR="00645D17" w:rsidRPr="00813776">
        <w:rPr>
          <w:rFonts w:ascii="Arial" w:eastAsia="Arial" w:hAnsi="Arial" w:cs="Arial"/>
          <w:color w:val="000000"/>
          <w:sz w:val="22"/>
        </w:rPr>
        <w:t>7.4</w:t>
      </w:r>
      <w:r w:rsidRPr="00813776">
        <w:rPr>
          <w:rFonts w:ascii="Arial" w:eastAsia="Arial" w:hAnsi="Arial" w:cs="Arial"/>
          <w:color w:val="000000"/>
          <w:sz w:val="22"/>
        </w:rPr>
        <w:t>% of sales)</w:t>
      </w:r>
      <w:r w:rsidRPr="00813776">
        <w:rPr>
          <w:rFonts w:ascii="Arial" w:eastAsia="Arial" w:hAnsi="Arial" w:cs="Arial"/>
          <w:sz w:val="22"/>
        </w:rPr>
        <w:t xml:space="preserve"> from $42.9 million (5.9% of sales) in the 2018 period. Net cash </w:t>
      </w:r>
      <w:r w:rsidRPr="00813776">
        <w:rPr>
          <w:rFonts w:ascii="Arial" w:eastAsia="Arial" w:hAnsi="Arial" w:cs="Arial"/>
          <w:color w:val="000000"/>
          <w:sz w:val="22"/>
        </w:rPr>
        <w:t xml:space="preserve">used in </w:t>
      </w:r>
      <w:r w:rsidRPr="00813776">
        <w:rPr>
          <w:rFonts w:ascii="Arial" w:eastAsia="Arial" w:hAnsi="Arial" w:cs="Arial"/>
          <w:sz w:val="22"/>
        </w:rPr>
        <w:t>investing activities was</w:t>
      </w:r>
      <w:r w:rsidRPr="00813776">
        <w:rPr>
          <w:rFonts w:ascii="Arial" w:eastAsia="Arial" w:hAnsi="Arial" w:cs="Arial"/>
          <w:color w:val="000000"/>
          <w:sz w:val="22"/>
        </w:rPr>
        <w:t xml:space="preserve"> $</w:t>
      </w:r>
      <w:r w:rsidR="00645D17" w:rsidRPr="00813776">
        <w:rPr>
          <w:rFonts w:ascii="Arial" w:eastAsia="Arial" w:hAnsi="Arial" w:cs="Arial"/>
          <w:color w:val="000000"/>
          <w:sz w:val="22"/>
        </w:rPr>
        <w:t xml:space="preserve">128.4 </w:t>
      </w:r>
      <w:r w:rsidRPr="00813776">
        <w:rPr>
          <w:rFonts w:ascii="Arial" w:eastAsia="Arial" w:hAnsi="Arial" w:cs="Arial"/>
          <w:color w:val="000000"/>
          <w:sz w:val="22"/>
        </w:rPr>
        <w:t xml:space="preserve">million </w:t>
      </w:r>
      <w:r w:rsidRPr="00813776">
        <w:rPr>
          <w:rFonts w:ascii="Arial" w:eastAsia="Arial" w:hAnsi="Arial" w:cs="Arial"/>
          <w:sz w:val="22"/>
        </w:rPr>
        <w:t xml:space="preserve">in the 2019 period, </w:t>
      </w:r>
      <w:r w:rsidRPr="00813776">
        <w:rPr>
          <w:rFonts w:ascii="Arial" w:eastAsia="Arial" w:hAnsi="Arial" w:cs="Arial"/>
          <w:color w:val="000000"/>
          <w:sz w:val="22"/>
        </w:rPr>
        <w:t xml:space="preserve">and included $125.0 million for the acquisition of digital PCR assets. </w:t>
      </w:r>
      <w:r w:rsidRPr="00813776">
        <w:rPr>
          <w:rFonts w:ascii="Arial" w:eastAsia="Arial" w:hAnsi="Arial" w:cs="Arial"/>
          <w:sz w:val="22"/>
        </w:rPr>
        <w:t xml:space="preserve">This compared to net cash used in investing activities of $120.5 million in the 2018 period, which included cash payments for acquisitions (net of cash acquired). Net cash </w:t>
      </w:r>
      <w:r w:rsidRPr="00813776">
        <w:rPr>
          <w:rFonts w:ascii="Arial" w:eastAsia="Arial" w:hAnsi="Arial" w:cs="Arial"/>
          <w:color w:val="000000"/>
          <w:sz w:val="22"/>
        </w:rPr>
        <w:t xml:space="preserve">used in </w:t>
      </w:r>
      <w:r w:rsidRPr="00813776">
        <w:rPr>
          <w:rFonts w:ascii="Arial" w:eastAsia="Arial" w:hAnsi="Arial" w:cs="Arial"/>
          <w:sz w:val="22"/>
        </w:rPr>
        <w:t xml:space="preserve">financing activities was </w:t>
      </w:r>
      <w:r w:rsidRPr="00813776">
        <w:rPr>
          <w:rFonts w:ascii="Arial" w:eastAsia="Arial" w:hAnsi="Arial" w:cs="Arial"/>
          <w:color w:val="000000"/>
          <w:sz w:val="22"/>
        </w:rPr>
        <w:t>$</w:t>
      </w:r>
      <w:r w:rsidR="00645D17" w:rsidRPr="00813776">
        <w:rPr>
          <w:rFonts w:ascii="Arial" w:eastAsia="Arial" w:hAnsi="Arial" w:cs="Arial"/>
          <w:color w:val="000000"/>
          <w:sz w:val="22"/>
        </w:rPr>
        <w:t>534.1</w:t>
      </w:r>
      <w:r w:rsidRPr="00813776">
        <w:rPr>
          <w:rFonts w:ascii="Arial" w:eastAsia="Arial" w:hAnsi="Arial" w:cs="Arial"/>
          <w:color w:val="000000"/>
          <w:sz w:val="22"/>
        </w:rPr>
        <w:t xml:space="preserve"> million </w:t>
      </w:r>
      <w:r w:rsidRPr="00813776">
        <w:rPr>
          <w:rFonts w:ascii="Arial" w:eastAsia="Arial" w:hAnsi="Arial" w:cs="Arial"/>
          <w:sz w:val="22"/>
        </w:rPr>
        <w:t xml:space="preserve">in the 2019 period, </w:t>
      </w:r>
      <w:r w:rsidR="0031658F">
        <w:rPr>
          <w:rFonts w:ascii="Arial" w:eastAsia="Arial" w:hAnsi="Arial" w:cs="Arial"/>
          <w:sz w:val="22"/>
        </w:rPr>
        <w:t xml:space="preserve">which </w:t>
      </w:r>
      <w:r w:rsidRPr="00813776">
        <w:rPr>
          <w:rFonts w:ascii="Arial" w:eastAsia="Arial" w:hAnsi="Arial" w:cs="Arial"/>
          <w:sz w:val="22"/>
        </w:rPr>
        <w:t xml:space="preserve">included $430.0 million for redemption of the 2019 convertible notes and </w:t>
      </w:r>
      <w:r w:rsidRPr="00813776">
        <w:rPr>
          <w:rFonts w:ascii="Arial" w:eastAsia="Arial" w:hAnsi="Arial" w:cs="Arial"/>
          <w:color w:val="000000"/>
          <w:sz w:val="22"/>
        </w:rPr>
        <w:t>$</w:t>
      </w:r>
      <w:r w:rsidR="00645D17" w:rsidRPr="00813776">
        <w:rPr>
          <w:rFonts w:ascii="Arial" w:eastAsia="Arial" w:hAnsi="Arial" w:cs="Arial"/>
          <w:color w:val="000000"/>
          <w:sz w:val="22"/>
        </w:rPr>
        <w:t>74.4</w:t>
      </w:r>
      <w:r w:rsidRPr="00813776">
        <w:rPr>
          <w:rFonts w:ascii="Arial" w:eastAsia="Arial" w:hAnsi="Arial" w:cs="Arial"/>
          <w:color w:val="000000"/>
          <w:sz w:val="22"/>
        </w:rPr>
        <w:t xml:space="preserve"> million f</w:t>
      </w:r>
      <w:r w:rsidRPr="00813776">
        <w:rPr>
          <w:rFonts w:ascii="Arial" w:eastAsia="Arial" w:hAnsi="Arial" w:cs="Arial"/>
          <w:sz w:val="22"/>
        </w:rPr>
        <w:t xml:space="preserve">or share </w:t>
      </w:r>
      <w:r w:rsidR="0043139B">
        <w:rPr>
          <w:rFonts w:ascii="Arial" w:eastAsia="Arial" w:hAnsi="Arial" w:cs="Arial"/>
          <w:sz w:val="22"/>
        </w:rPr>
        <w:t>repurchases</w:t>
      </w:r>
      <w:r w:rsidR="0031658F">
        <w:rPr>
          <w:rFonts w:ascii="Arial" w:eastAsia="Arial" w:hAnsi="Arial" w:cs="Arial"/>
          <w:sz w:val="22"/>
        </w:rPr>
        <w:t xml:space="preserve">, compared to </w:t>
      </w:r>
      <w:r w:rsidRPr="00813776">
        <w:rPr>
          <w:rFonts w:ascii="Arial" w:eastAsia="Arial" w:hAnsi="Arial" w:cs="Arial"/>
          <w:sz w:val="22"/>
        </w:rPr>
        <w:t>$25.4 million of net cash used in financing activities in the 2018 period</w:t>
      </w:r>
      <w:r w:rsidRPr="00813776">
        <w:rPr>
          <w:sz w:val="22"/>
        </w:rPr>
        <w:t>.</w:t>
      </w:r>
    </w:p>
    <w:p w14:paraId="17C272DF" w14:textId="77777777" w:rsidR="004B5264" w:rsidRPr="00446A3F" w:rsidRDefault="004B5264" w:rsidP="00D72C78">
      <w:pPr>
        <w:spacing w:after="180"/>
        <w:jc w:val="both"/>
        <w:rPr>
          <w:rFonts w:ascii="Arial" w:eastAsia="Arial" w:hAnsi="Arial" w:cs="Arial"/>
          <w:color w:val="000000"/>
          <w:sz w:val="22"/>
        </w:rPr>
      </w:pPr>
      <w:r w:rsidRPr="00446A3F">
        <w:rPr>
          <w:rFonts w:ascii="Arial" w:eastAsia="Arial" w:hAnsi="Arial" w:cs="Arial"/>
          <w:color w:val="000000"/>
          <w:sz w:val="22"/>
        </w:rPr>
        <w:t>"</w:t>
      </w:r>
      <w:r w:rsidR="000E4B8D">
        <w:rPr>
          <w:rFonts w:ascii="Arial" w:eastAsia="Arial" w:hAnsi="Arial" w:cs="Arial"/>
          <w:color w:val="000000"/>
          <w:sz w:val="22"/>
        </w:rPr>
        <w:t xml:space="preserve">QIAGEN has a strong financial </w:t>
      </w:r>
      <w:r w:rsidR="00035567">
        <w:rPr>
          <w:rFonts w:ascii="Arial" w:eastAsia="Arial" w:hAnsi="Arial" w:cs="Arial"/>
          <w:color w:val="000000"/>
          <w:sz w:val="22"/>
        </w:rPr>
        <w:t xml:space="preserve">foundation </w:t>
      </w:r>
      <w:r w:rsidR="000E4B8D">
        <w:rPr>
          <w:rFonts w:ascii="Arial" w:eastAsia="Arial" w:hAnsi="Arial" w:cs="Arial"/>
          <w:color w:val="000000"/>
          <w:sz w:val="22"/>
        </w:rPr>
        <w:t xml:space="preserve">to support the business expansion under way with our Sample to Insight portfolio while also increasing returns,” said Roland Sackers, Chief Financial Officer of QIAGEN N.V. “We are making </w:t>
      </w:r>
      <w:r w:rsidR="00E50110">
        <w:rPr>
          <w:rFonts w:ascii="Arial" w:eastAsia="Arial" w:hAnsi="Arial" w:cs="Arial"/>
          <w:color w:val="000000"/>
          <w:sz w:val="22"/>
        </w:rPr>
        <w:t xml:space="preserve">important </w:t>
      </w:r>
      <w:r w:rsidR="000E4B8D">
        <w:rPr>
          <w:rFonts w:ascii="Arial" w:eastAsia="Arial" w:hAnsi="Arial" w:cs="Arial"/>
          <w:color w:val="000000"/>
          <w:sz w:val="22"/>
        </w:rPr>
        <w:t>investments into new product development</w:t>
      </w:r>
      <w:r w:rsidR="00E50110">
        <w:rPr>
          <w:rFonts w:ascii="Arial" w:eastAsia="Arial" w:hAnsi="Arial" w:cs="Arial"/>
          <w:color w:val="000000"/>
          <w:sz w:val="22"/>
        </w:rPr>
        <w:t>, production</w:t>
      </w:r>
      <w:r w:rsidR="000E4B8D">
        <w:rPr>
          <w:rFonts w:ascii="Arial" w:eastAsia="Arial" w:hAnsi="Arial" w:cs="Arial"/>
          <w:color w:val="000000"/>
          <w:sz w:val="22"/>
        </w:rPr>
        <w:t xml:space="preserve"> and commercialization, and increasingly focusing on allocat</w:t>
      </w:r>
      <w:r w:rsidR="005F6534">
        <w:rPr>
          <w:rFonts w:ascii="Arial" w:eastAsia="Arial" w:hAnsi="Arial" w:cs="Arial"/>
          <w:color w:val="000000"/>
          <w:sz w:val="22"/>
        </w:rPr>
        <w:t>ing</w:t>
      </w:r>
      <w:r w:rsidR="000E4B8D">
        <w:rPr>
          <w:rFonts w:ascii="Arial" w:eastAsia="Arial" w:hAnsi="Arial" w:cs="Arial"/>
          <w:color w:val="000000"/>
          <w:sz w:val="22"/>
        </w:rPr>
        <w:t xml:space="preserve"> more resources to </w:t>
      </w:r>
      <w:r w:rsidR="00035567">
        <w:rPr>
          <w:rFonts w:ascii="Arial" w:eastAsia="Arial" w:hAnsi="Arial" w:cs="Arial"/>
          <w:color w:val="000000"/>
          <w:sz w:val="22"/>
        </w:rPr>
        <w:t>th</w:t>
      </w:r>
      <w:r w:rsidR="0093483A">
        <w:rPr>
          <w:rFonts w:ascii="Arial" w:eastAsia="Arial" w:hAnsi="Arial" w:cs="Arial"/>
          <w:color w:val="000000"/>
          <w:sz w:val="22"/>
        </w:rPr>
        <w:t xml:space="preserve">e </w:t>
      </w:r>
      <w:r w:rsidR="00035567">
        <w:rPr>
          <w:rFonts w:ascii="Arial" w:eastAsia="Arial" w:hAnsi="Arial" w:cs="Arial"/>
          <w:color w:val="000000"/>
          <w:sz w:val="22"/>
        </w:rPr>
        <w:t>highest value</w:t>
      </w:r>
      <w:r w:rsidR="0093483A">
        <w:rPr>
          <w:rFonts w:ascii="Arial" w:eastAsia="Arial" w:hAnsi="Arial" w:cs="Arial"/>
          <w:color w:val="000000"/>
          <w:sz w:val="22"/>
        </w:rPr>
        <w:t>-</w:t>
      </w:r>
      <w:r w:rsidR="00035567">
        <w:rPr>
          <w:rFonts w:ascii="Arial" w:eastAsia="Arial" w:hAnsi="Arial" w:cs="Arial"/>
          <w:color w:val="000000"/>
          <w:sz w:val="22"/>
        </w:rPr>
        <w:t xml:space="preserve">generating </w:t>
      </w:r>
      <w:r w:rsidR="000E4B8D">
        <w:rPr>
          <w:rFonts w:ascii="Arial" w:eastAsia="Arial" w:hAnsi="Arial" w:cs="Arial"/>
          <w:color w:val="000000"/>
          <w:sz w:val="22"/>
        </w:rPr>
        <w:t>opportunities while increasing our efficiency and effectiveness. At the same time, we intend to continue our programs to create additional value for shareholders and maintaining our disciplined capital allocation strategy.”</w:t>
      </w:r>
    </w:p>
    <w:p w14:paraId="19BD8B7D" w14:textId="77777777" w:rsidR="007306DE" w:rsidRPr="0031658F" w:rsidRDefault="002247F6" w:rsidP="009448ED">
      <w:pPr>
        <w:tabs>
          <w:tab w:val="left" w:pos="1276"/>
        </w:tabs>
        <w:spacing w:before="240" w:after="120"/>
        <w:jc w:val="both"/>
        <w:rPr>
          <w:rFonts w:ascii="Arial" w:eastAsia="Arial" w:hAnsi="Arial" w:cs="Arial"/>
          <w:b/>
          <w:sz w:val="24"/>
        </w:rPr>
      </w:pPr>
      <w:r>
        <w:rPr>
          <w:rFonts w:ascii="Arial" w:eastAsia="Arial" w:hAnsi="Arial" w:cs="Arial"/>
          <w:b/>
          <w:sz w:val="24"/>
        </w:rPr>
        <w:t>Sample to Insight portfolio</w:t>
      </w:r>
      <w:r w:rsidR="0031658F">
        <w:rPr>
          <w:rFonts w:ascii="Arial" w:eastAsia="Arial" w:hAnsi="Arial" w:cs="Arial"/>
          <w:b/>
          <w:sz w:val="24"/>
        </w:rPr>
        <w:t xml:space="preserve"> developments</w:t>
      </w:r>
    </w:p>
    <w:p w14:paraId="179CEFE9" w14:textId="77777777" w:rsidR="007306DE" w:rsidRPr="001B5B64" w:rsidRDefault="00D00097" w:rsidP="009448ED">
      <w:pPr>
        <w:tabs>
          <w:tab w:val="left" w:pos="1276"/>
        </w:tabs>
        <w:spacing w:before="120" w:after="240"/>
        <w:jc w:val="both"/>
        <w:rPr>
          <w:rFonts w:ascii="Arial" w:eastAsia="Arial" w:hAnsi="Arial" w:cs="Arial"/>
          <w:sz w:val="22"/>
        </w:rPr>
      </w:pPr>
      <w:r w:rsidRPr="00652913">
        <w:rPr>
          <w:rFonts w:ascii="Arial" w:eastAsia="Arial" w:hAnsi="Arial" w:cs="Arial"/>
          <w:sz w:val="22"/>
        </w:rPr>
        <w:t xml:space="preserve">QIAGEN is focused on growth opportunities for its Sample to Insight portfolio across the continuum of </w:t>
      </w:r>
      <w:r w:rsidRPr="001B5B64">
        <w:rPr>
          <w:rFonts w:ascii="Arial" w:eastAsia="Arial" w:hAnsi="Arial" w:cs="Arial"/>
          <w:sz w:val="22"/>
        </w:rPr>
        <w:t xml:space="preserve">molecular testing </w:t>
      </w:r>
      <w:r w:rsidR="002247F6" w:rsidRPr="001B5B64">
        <w:rPr>
          <w:rFonts w:ascii="Arial" w:eastAsia="Arial" w:hAnsi="Arial" w:cs="Arial"/>
          <w:sz w:val="22"/>
        </w:rPr>
        <w:t>from basic research to c</w:t>
      </w:r>
      <w:r w:rsidRPr="001B5B64">
        <w:rPr>
          <w:rFonts w:ascii="Arial" w:eastAsia="Arial" w:hAnsi="Arial" w:cs="Arial"/>
          <w:sz w:val="22"/>
        </w:rPr>
        <w:t>linical healthcare</w:t>
      </w:r>
      <w:r w:rsidR="002247F6" w:rsidRPr="001B5B64">
        <w:rPr>
          <w:rFonts w:ascii="Arial" w:eastAsia="Arial" w:hAnsi="Arial" w:cs="Arial"/>
          <w:sz w:val="22"/>
        </w:rPr>
        <w:t>. Among recent developments:</w:t>
      </w:r>
    </w:p>
    <w:p w14:paraId="7AAC8BA4" w14:textId="77777777" w:rsidR="00454BE4" w:rsidRPr="002F0FB0" w:rsidRDefault="00B93E77" w:rsidP="00312F84">
      <w:pPr>
        <w:numPr>
          <w:ilvl w:val="0"/>
          <w:numId w:val="18"/>
        </w:numPr>
        <w:spacing w:before="120" w:after="240"/>
        <w:jc w:val="both"/>
        <w:textAlignment w:val="baseline"/>
        <w:rPr>
          <w:rFonts w:ascii="Arial" w:eastAsia="Arial" w:hAnsi="Arial" w:cs="Arial"/>
          <w:color w:val="000000" w:themeColor="text1"/>
          <w:sz w:val="22"/>
        </w:rPr>
      </w:pPr>
      <w:r w:rsidRPr="002F0FB0">
        <w:rPr>
          <w:rFonts w:ascii="Arial" w:eastAsia="Arial" w:hAnsi="Arial" w:cs="Arial"/>
          <w:color w:val="000000" w:themeColor="text1"/>
          <w:sz w:val="22"/>
        </w:rPr>
        <w:t xml:space="preserve">As announced on July 24, QIAGEN intends to restructure the current format of its </w:t>
      </w:r>
      <w:r w:rsidRPr="002F0FB0">
        <w:rPr>
          <w:rFonts w:ascii="Arial" w:eastAsia="Arial" w:hAnsi="Arial" w:cs="Arial"/>
          <w:b/>
          <w:color w:val="000000" w:themeColor="text1"/>
          <w:sz w:val="22"/>
        </w:rPr>
        <w:t xml:space="preserve">NGS </w:t>
      </w:r>
      <w:r w:rsidR="002F5BCC" w:rsidRPr="002F0FB0">
        <w:rPr>
          <w:rFonts w:ascii="Arial" w:eastAsia="Arial" w:hAnsi="Arial" w:cs="Arial"/>
          <w:b/>
          <w:color w:val="000000" w:themeColor="text1"/>
          <w:sz w:val="22"/>
        </w:rPr>
        <w:t xml:space="preserve">joint venture </w:t>
      </w:r>
      <w:r w:rsidRPr="002F0FB0">
        <w:rPr>
          <w:rFonts w:ascii="Arial" w:eastAsia="Arial" w:hAnsi="Arial" w:cs="Arial"/>
          <w:b/>
          <w:color w:val="000000" w:themeColor="text1"/>
          <w:sz w:val="22"/>
        </w:rPr>
        <w:t>in China</w:t>
      </w:r>
      <w:r w:rsidRPr="002F0FB0">
        <w:rPr>
          <w:rFonts w:ascii="Arial" w:eastAsia="Arial" w:hAnsi="Arial" w:cs="Arial"/>
          <w:color w:val="000000" w:themeColor="text1"/>
          <w:sz w:val="22"/>
        </w:rPr>
        <w:t xml:space="preserve">. Sales from this </w:t>
      </w:r>
      <w:r w:rsidR="00FC7DA3">
        <w:rPr>
          <w:rFonts w:ascii="Arial" w:eastAsia="Arial" w:hAnsi="Arial" w:cs="Arial"/>
          <w:color w:val="000000" w:themeColor="text1"/>
          <w:sz w:val="22"/>
        </w:rPr>
        <w:t>joint venture</w:t>
      </w:r>
      <w:r w:rsidR="00FC7DA3" w:rsidRPr="002F0FB0">
        <w:rPr>
          <w:rFonts w:ascii="Arial" w:eastAsia="Arial" w:hAnsi="Arial" w:cs="Arial"/>
          <w:color w:val="000000" w:themeColor="text1"/>
          <w:sz w:val="22"/>
        </w:rPr>
        <w:t xml:space="preserve"> </w:t>
      </w:r>
      <w:r w:rsidRPr="002F0FB0">
        <w:rPr>
          <w:rFonts w:ascii="Arial" w:eastAsia="Arial" w:hAnsi="Arial" w:cs="Arial"/>
          <w:color w:val="000000" w:themeColor="text1"/>
          <w:sz w:val="22"/>
        </w:rPr>
        <w:t xml:space="preserve">were planned to be approximately $30 million CER for full-year 2019, and </w:t>
      </w:r>
      <w:r w:rsidR="002F0286" w:rsidRPr="002F0FB0">
        <w:rPr>
          <w:rFonts w:ascii="Arial" w:eastAsia="Arial" w:hAnsi="Arial" w:cs="Arial"/>
          <w:color w:val="000000" w:themeColor="text1"/>
          <w:sz w:val="22"/>
        </w:rPr>
        <w:t xml:space="preserve">weighted </w:t>
      </w:r>
      <w:r w:rsidRPr="002F0FB0">
        <w:rPr>
          <w:rFonts w:ascii="Arial" w:eastAsia="Arial" w:hAnsi="Arial" w:cs="Arial"/>
          <w:color w:val="000000" w:themeColor="text1"/>
          <w:sz w:val="22"/>
        </w:rPr>
        <w:t>to the second half of this year.</w:t>
      </w:r>
      <w:r w:rsidR="004B5264" w:rsidRPr="002F0FB0">
        <w:rPr>
          <w:rFonts w:ascii="Arial" w:eastAsia="Arial" w:hAnsi="Arial" w:cs="Arial"/>
          <w:color w:val="000000" w:themeColor="text1"/>
          <w:sz w:val="22"/>
        </w:rPr>
        <w:t xml:space="preserve"> These involve </w:t>
      </w:r>
      <w:r w:rsidR="00AE3240" w:rsidRPr="002F0FB0">
        <w:rPr>
          <w:rFonts w:ascii="Arial" w:eastAsia="Arial" w:hAnsi="Arial" w:cs="Arial"/>
          <w:color w:val="000000" w:themeColor="text1"/>
          <w:sz w:val="22"/>
        </w:rPr>
        <w:t xml:space="preserve">primarily </w:t>
      </w:r>
      <w:r w:rsidR="00454BE4" w:rsidRPr="002F0FB0">
        <w:rPr>
          <w:rFonts w:ascii="Arial" w:eastAsia="Arial" w:hAnsi="Arial" w:cs="Arial"/>
          <w:color w:val="000000" w:themeColor="text1"/>
          <w:sz w:val="22"/>
        </w:rPr>
        <w:t xml:space="preserve">revenues for the </w:t>
      </w:r>
      <w:r w:rsidR="00AE3240" w:rsidRPr="002F0FB0">
        <w:rPr>
          <w:rFonts w:ascii="Arial" w:eastAsia="Arial" w:hAnsi="Arial" w:cs="Arial"/>
          <w:color w:val="000000" w:themeColor="text1"/>
          <w:sz w:val="22"/>
        </w:rPr>
        <w:t xml:space="preserve">services provided by QIAGEN </w:t>
      </w:r>
      <w:r w:rsidR="00446A3F" w:rsidRPr="002F0FB0">
        <w:rPr>
          <w:rFonts w:ascii="Arial" w:eastAsia="Arial" w:hAnsi="Arial" w:cs="Arial"/>
          <w:color w:val="000000" w:themeColor="text1"/>
          <w:sz w:val="22"/>
        </w:rPr>
        <w:t>to</w:t>
      </w:r>
      <w:r w:rsidR="00AE3240" w:rsidRPr="002F0FB0">
        <w:rPr>
          <w:rFonts w:ascii="Arial" w:eastAsia="Arial" w:hAnsi="Arial" w:cs="Arial"/>
          <w:color w:val="000000" w:themeColor="text1"/>
          <w:sz w:val="22"/>
        </w:rPr>
        <w:t xml:space="preserve"> </w:t>
      </w:r>
      <w:r w:rsidR="00454BE4" w:rsidRPr="002F0FB0">
        <w:rPr>
          <w:rFonts w:ascii="Arial" w:eastAsia="Arial" w:hAnsi="Arial" w:cs="Arial"/>
          <w:color w:val="000000" w:themeColor="text1"/>
          <w:sz w:val="22"/>
        </w:rPr>
        <w:t xml:space="preserve">develop in-vitro diagnostic assays </w:t>
      </w:r>
      <w:r w:rsidR="002F0286" w:rsidRPr="002F0FB0">
        <w:rPr>
          <w:rFonts w:ascii="Arial" w:eastAsia="Arial" w:hAnsi="Arial" w:cs="Arial"/>
          <w:color w:val="000000" w:themeColor="text1"/>
          <w:sz w:val="22"/>
        </w:rPr>
        <w:t xml:space="preserve">on behalf of </w:t>
      </w:r>
      <w:r w:rsidR="00454BE4" w:rsidRPr="002F0FB0">
        <w:rPr>
          <w:rFonts w:ascii="Arial" w:eastAsia="Arial" w:hAnsi="Arial" w:cs="Arial"/>
          <w:color w:val="000000" w:themeColor="text1"/>
          <w:sz w:val="22"/>
        </w:rPr>
        <w:t xml:space="preserve">the joint venture, as well as the sale of the </w:t>
      </w:r>
      <w:proofErr w:type="spellStart"/>
      <w:r w:rsidR="00454BE4" w:rsidRPr="002F0FB0">
        <w:rPr>
          <w:rFonts w:ascii="Arial" w:eastAsia="Arial" w:hAnsi="Arial" w:cs="Arial"/>
          <w:color w:val="000000" w:themeColor="text1"/>
          <w:sz w:val="22"/>
        </w:rPr>
        <w:t>GeneReader</w:t>
      </w:r>
      <w:proofErr w:type="spellEnd"/>
      <w:r w:rsidR="00454BE4" w:rsidRPr="002F0FB0">
        <w:rPr>
          <w:rFonts w:ascii="Arial" w:eastAsia="Arial" w:hAnsi="Arial" w:cs="Arial"/>
          <w:color w:val="000000" w:themeColor="text1"/>
          <w:sz w:val="22"/>
        </w:rPr>
        <w:t xml:space="preserve"> NGS System as well as other consumables and products to the joint venture at transfer prices. Sales of universal NGS solutions in China are handled directly by QIAGEN in this country, and QIAGEN </w:t>
      </w:r>
      <w:r w:rsidR="00AE3240" w:rsidRPr="002F0FB0">
        <w:rPr>
          <w:rFonts w:ascii="Arial" w:eastAsia="Arial" w:hAnsi="Arial" w:cs="Arial"/>
          <w:color w:val="000000" w:themeColor="text1"/>
          <w:sz w:val="22"/>
        </w:rPr>
        <w:t xml:space="preserve">is experiencing strong growth in this portfolio and </w:t>
      </w:r>
      <w:r w:rsidR="00454BE4" w:rsidRPr="002F0FB0">
        <w:rPr>
          <w:rFonts w:ascii="Arial" w:eastAsia="Arial" w:hAnsi="Arial" w:cs="Arial"/>
          <w:color w:val="000000" w:themeColor="text1"/>
          <w:sz w:val="22"/>
        </w:rPr>
        <w:t xml:space="preserve">intends to review various options on how to </w:t>
      </w:r>
      <w:r w:rsidR="00AE3240" w:rsidRPr="002F0FB0">
        <w:rPr>
          <w:rFonts w:ascii="Arial" w:eastAsia="Arial" w:hAnsi="Arial" w:cs="Arial"/>
          <w:color w:val="000000" w:themeColor="text1"/>
          <w:sz w:val="22"/>
        </w:rPr>
        <w:t xml:space="preserve">further add </w:t>
      </w:r>
      <w:r w:rsidR="00446A3F" w:rsidRPr="002F0FB0">
        <w:rPr>
          <w:rFonts w:ascii="Arial" w:eastAsia="Arial" w:hAnsi="Arial" w:cs="Arial"/>
          <w:color w:val="000000" w:themeColor="text1"/>
          <w:sz w:val="22"/>
        </w:rPr>
        <w:t xml:space="preserve">from the </w:t>
      </w:r>
      <w:r w:rsidR="00454BE4" w:rsidRPr="002F0FB0">
        <w:rPr>
          <w:rFonts w:ascii="Arial" w:eastAsia="Arial" w:hAnsi="Arial" w:cs="Arial"/>
          <w:color w:val="000000" w:themeColor="text1"/>
          <w:sz w:val="22"/>
        </w:rPr>
        <w:t xml:space="preserve">growth opportunities for NGS technologies in China. </w:t>
      </w:r>
      <w:r w:rsidR="00AE3240" w:rsidRPr="002F0FB0">
        <w:rPr>
          <w:rFonts w:ascii="Arial" w:eastAsia="Arial" w:hAnsi="Arial" w:cs="Arial"/>
          <w:sz w:val="22"/>
        </w:rPr>
        <w:t xml:space="preserve">As a result of the changes to </w:t>
      </w:r>
      <w:r w:rsidR="00E50110" w:rsidRPr="002F0FB0">
        <w:rPr>
          <w:rFonts w:ascii="Arial" w:eastAsia="Arial" w:hAnsi="Arial" w:cs="Arial"/>
          <w:sz w:val="22"/>
        </w:rPr>
        <w:t xml:space="preserve">this </w:t>
      </w:r>
      <w:r w:rsidR="00AE3240" w:rsidRPr="002F0FB0">
        <w:rPr>
          <w:rFonts w:ascii="Arial" w:eastAsia="Arial" w:hAnsi="Arial" w:cs="Arial"/>
          <w:sz w:val="22"/>
        </w:rPr>
        <w:t>joint venture, QIAGEN now expects NGS-related sales of about $</w:t>
      </w:r>
      <w:r w:rsidR="00575664" w:rsidRPr="002F0FB0">
        <w:rPr>
          <w:rFonts w:ascii="Arial" w:eastAsia="Arial" w:hAnsi="Arial" w:cs="Arial"/>
          <w:sz w:val="22"/>
        </w:rPr>
        <w:t>180</w:t>
      </w:r>
      <w:r w:rsidR="00AE3240" w:rsidRPr="002F0FB0">
        <w:rPr>
          <w:rFonts w:ascii="Arial" w:eastAsia="Arial" w:hAnsi="Arial" w:cs="Arial"/>
          <w:sz w:val="22"/>
        </w:rPr>
        <w:t xml:space="preserve"> million CER in 2019 (prior</w:t>
      </w:r>
      <w:r w:rsidR="00E50110" w:rsidRPr="002F0FB0">
        <w:rPr>
          <w:rFonts w:ascii="Arial" w:eastAsia="Arial" w:hAnsi="Arial" w:cs="Arial"/>
          <w:sz w:val="22"/>
        </w:rPr>
        <w:t xml:space="preserve"> target</w:t>
      </w:r>
      <w:r w:rsidR="00AE3240" w:rsidRPr="002F0FB0">
        <w:rPr>
          <w:rFonts w:ascii="Arial" w:eastAsia="Arial" w:hAnsi="Arial" w:cs="Arial"/>
          <w:sz w:val="22"/>
        </w:rPr>
        <w:t>: over $190 million) compared to over $140 million in 2018</w:t>
      </w:r>
      <w:r w:rsidR="00575664" w:rsidRPr="002F0FB0">
        <w:rPr>
          <w:rFonts w:ascii="Arial" w:eastAsia="Arial" w:hAnsi="Arial" w:cs="Arial"/>
          <w:sz w:val="22"/>
        </w:rPr>
        <w:t xml:space="preserve">, and for </w:t>
      </w:r>
      <w:r w:rsidR="00E50110" w:rsidRPr="002F0FB0">
        <w:rPr>
          <w:rFonts w:ascii="Arial" w:eastAsia="Arial" w:hAnsi="Arial" w:cs="Arial"/>
          <w:sz w:val="22"/>
        </w:rPr>
        <w:t>a decline of approximately $</w:t>
      </w:r>
      <w:r w:rsidR="002F5BCC" w:rsidRPr="002F0FB0">
        <w:rPr>
          <w:rFonts w:ascii="Arial" w:eastAsia="Arial" w:hAnsi="Arial" w:cs="Arial"/>
          <w:sz w:val="22"/>
        </w:rPr>
        <w:t>20</w:t>
      </w:r>
      <w:r w:rsidR="00E50110" w:rsidRPr="002F0FB0">
        <w:rPr>
          <w:rFonts w:ascii="Arial" w:eastAsia="Arial" w:hAnsi="Arial" w:cs="Arial"/>
          <w:sz w:val="22"/>
        </w:rPr>
        <w:t xml:space="preserve"> </w:t>
      </w:r>
      <w:r w:rsidR="002F5BCC" w:rsidRPr="002F0FB0">
        <w:rPr>
          <w:rFonts w:ascii="Arial" w:eastAsia="Arial" w:hAnsi="Arial" w:cs="Arial"/>
          <w:sz w:val="22"/>
        </w:rPr>
        <w:t>million</w:t>
      </w:r>
      <w:r w:rsidR="00575664" w:rsidRPr="002F0FB0">
        <w:rPr>
          <w:rFonts w:ascii="Arial" w:eastAsia="Arial" w:hAnsi="Arial" w:cs="Arial"/>
          <w:sz w:val="22"/>
        </w:rPr>
        <w:t xml:space="preserve"> in companion diagnostic co-development revenues</w:t>
      </w:r>
      <w:r w:rsidR="00AE3240" w:rsidRPr="002F0FB0">
        <w:rPr>
          <w:rFonts w:ascii="Arial" w:eastAsia="Arial" w:hAnsi="Arial" w:cs="Arial"/>
          <w:sz w:val="22"/>
        </w:rPr>
        <w:t>.</w:t>
      </w:r>
      <w:r w:rsidR="00E50110" w:rsidRPr="002F0FB0">
        <w:rPr>
          <w:rFonts w:ascii="Arial" w:eastAsia="Arial" w:hAnsi="Arial" w:cs="Arial"/>
          <w:sz w:val="22"/>
        </w:rPr>
        <w:t xml:space="preserve"> All of the adverse sales impact is in the Molecular Diagnostics customer class.</w:t>
      </w:r>
    </w:p>
    <w:p w14:paraId="48761627" w14:textId="77777777" w:rsidR="00F9579E" w:rsidRPr="00446A3F" w:rsidRDefault="00454BE4" w:rsidP="00446A3F">
      <w:pPr>
        <w:tabs>
          <w:tab w:val="left" w:pos="1276"/>
        </w:tabs>
        <w:spacing w:before="120" w:after="240"/>
        <w:ind w:left="360"/>
        <w:jc w:val="both"/>
        <w:textAlignment w:val="baseline"/>
        <w:rPr>
          <w:rFonts w:ascii="Arial" w:hAnsi="Arial" w:cs="Arial"/>
          <w:color w:val="000000" w:themeColor="text1"/>
          <w:sz w:val="22"/>
          <w:szCs w:val="22"/>
          <w:highlight w:val="yellow"/>
          <w:bdr w:val="none" w:sz="0" w:space="0" w:color="auto" w:frame="1"/>
        </w:rPr>
      </w:pPr>
      <w:r>
        <w:rPr>
          <w:rFonts w:ascii="Arial" w:eastAsia="Arial" w:hAnsi="Arial" w:cs="Arial"/>
          <w:color w:val="000000" w:themeColor="text1"/>
          <w:sz w:val="22"/>
        </w:rPr>
        <w:t xml:space="preserve">In other areas of </w:t>
      </w:r>
      <w:r w:rsidR="00F9579E" w:rsidRPr="00FD4554">
        <w:rPr>
          <w:rFonts w:ascii="Arial" w:hAnsi="Arial" w:cs="Arial"/>
          <w:color w:val="000000" w:themeColor="text1"/>
          <w:sz w:val="22"/>
          <w:szCs w:val="22"/>
          <w:bdr w:val="none" w:sz="0" w:space="0" w:color="auto" w:frame="1"/>
        </w:rPr>
        <w:t>QIAGEN’s portfolio for</w:t>
      </w:r>
      <w:r w:rsidR="00F9579E" w:rsidRPr="00FD4554">
        <w:rPr>
          <w:rFonts w:ascii="Arial" w:hAnsi="Arial" w:cs="Arial"/>
          <w:b/>
          <w:color w:val="000000" w:themeColor="text1"/>
          <w:sz w:val="22"/>
          <w:szCs w:val="22"/>
          <w:bdr w:val="none" w:sz="0" w:space="0" w:color="auto" w:frame="1"/>
        </w:rPr>
        <w:t xml:space="preserve"> NGS</w:t>
      </w:r>
      <w:r w:rsidR="00F9579E" w:rsidRPr="00FD4554">
        <w:rPr>
          <w:rFonts w:ascii="Arial" w:hAnsi="Arial" w:cs="Arial"/>
          <w:color w:val="000000" w:themeColor="text1"/>
          <w:sz w:val="22"/>
          <w:szCs w:val="22"/>
          <w:bdr w:val="none" w:sz="0" w:space="0" w:color="auto" w:frame="1"/>
        </w:rPr>
        <w:t xml:space="preserve"> </w:t>
      </w:r>
      <w:r>
        <w:rPr>
          <w:rFonts w:ascii="Arial" w:hAnsi="Arial" w:cs="Arial"/>
          <w:color w:val="000000" w:themeColor="text1"/>
          <w:sz w:val="22"/>
          <w:szCs w:val="22"/>
          <w:bdr w:val="none" w:sz="0" w:space="0" w:color="auto" w:frame="1"/>
        </w:rPr>
        <w:t xml:space="preserve">technologies, </w:t>
      </w:r>
      <w:r w:rsidR="00F9579E" w:rsidRPr="00FD4554">
        <w:rPr>
          <w:rFonts w:ascii="Arial" w:eastAsia="Arial" w:hAnsi="Arial" w:cs="Arial"/>
          <w:sz w:val="22"/>
        </w:rPr>
        <w:t xml:space="preserve">the </w:t>
      </w:r>
      <w:proofErr w:type="spellStart"/>
      <w:r w:rsidR="00F9579E" w:rsidRPr="00FD4554">
        <w:rPr>
          <w:rFonts w:ascii="Arial" w:eastAsia="Arial" w:hAnsi="Arial" w:cs="Arial"/>
          <w:sz w:val="22"/>
        </w:rPr>
        <w:t>QIAseq</w:t>
      </w:r>
      <w:proofErr w:type="spellEnd"/>
      <w:r w:rsidR="00F9579E" w:rsidRPr="00FD4554">
        <w:rPr>
          <w:rFonts w:ascii="Arial" w:eastAsia="Arial" w:hAnsi="Arial" w:cs="Arial"/>
          <w:sz w:val="22"/>
        </w:rPr>
        <w:t xml:space="preserve"> Expanded Carrier Screening Panel </w:t>
      </w:r>
      <w:r>
        <w:rPr>
          <w:rFonts w:ascii="Arial" w:eastAsia="Arial" w:hAnsi="Arial" w:cs="Arial"/>
          <w:sz w:val="22"/>
        </w:rPr>
        <w:t xml:space="preserve">was launched </w:t>
      </w:r>
      <w:r w:rsidR="00F9579E" w:rsidRPr="00FD4554">
        <w:rPr>
          <w:rFonts w:ascii="Arial" w:eastAsia="Arial" w:hAnsi="Arial" w:cs="Arial"/>
          <w:sz w:val="22"/>
        </w:rPr>
        <w:t xml:space="preserve">for translational and clinical research into genetic drivers of rare and inherited diseases. The panel identifies targets, genes and other regions of interest responsible for </w:t>
      </w:r>
      <w:r w:rsidR="00F9579E">
        <w:rPr>
          <w:rFonts w:ascii="Arial" w:eastAsia="Arial" w:hAnsi="Arial" w:cs="Arial"/>
          <w:sz w:val="22"/>
        </w:rPr>
        <w:t>over 200 disease indications, and is integrated into QIAGEN’s bioinformatics solutions.</w:t>
      </w:r>
      <w:r w:rsidR="00F9579E">
        <w:rPr>
          <w:rFonts w:ascii="Arial" w:hAnsi="Arial" w:cs="Arial"/>
          <w:color w:val="000000" w:themeColor="text1"/>
          <w:sz w:val="22"/>
          <w:szCs w:val="22"/>
          <w:bdr w:val="none" w:sz="0" w:space="0" w:color="auto" w:frame="1"/>
        </w:rPr>
        <w:t xml:space="preserve"> </w:t>
      </w:r>
      <w:r w:rsidR="00F9579E" w:rsidRPr="000648BC">
        <w:rPr>
          <w:rFonts w:ascii="Arial" w:eastAsia="Arial" w:hAnsi="Arial" w:cs="Arial"/>
          <w:sz w:val="22"/>
        </w:rPr>
        <w:t xml:space="preserve">QIAGEN also recently won a </w:t>
      </w:r>
      <w:r w:rsidR="00F9579E">
        <w:rPr>
          <w:rFonts w:ascii="Arial" w:eastAsia="Arial" w:hAnsi="Arial" w:cs="Arial"/>
          <w:sz w:val="22"/>
        </w:rPr>
        <w:t xml:space="preserve">key </w:t>
      </w:r>
      <w:r w:rsidR="00F9579E" w:rsidRPr="000648BC">
        <w:rPr>
          <w:rFonts w:ascii="Arial" w:eastAsia="Arial" w:hAnsi="Arial" w:cs="Arial"/>
          <w:sz w:val="22"/>
        </w:rPr>
        <w:t xml:space="preserve">tender in the United Kingdom for the use of </w:t>
      </w:r>
      <w:proofErr w:type="spellStart"/>
      <w:r w:rsidR="00F9579E" w:rsidRPr="000648BC">
        <w:rPr>
          <w:rFonts w:ascii="Arial" w:eastAsia="Arial" w:hAnsi="Arial" w:cs="Arial"/>
          <w:sz w:val="22"/>
        </w:rPr>
        <w:t>QIAseq</w:t>
      </w:r>
      <w:proofErr w:type="spellEnd"/>
      <w:r w:rsidR="00F9579E" w:rsidRPr="000648BC">
        <w:rPr>
          <w:rFonts w:ascii="Arial" w:eastAsia="Arial" w:hAnsi="Arial" w:cs="Arial"/>
          <w:sz w:val="22"/>
        </w:rPr>
        <w:t xml:space="preserve"> panels and QCI-Interpret at </w:t>
      </w:r>
      <w:r w:rsidR="002F0286">
        <w:rPr>
          <w:rFonts w:ascii="Arial" w:eastAsia="Arial" w:hAnsi="Arial" w:cs="Arial"/>
          <w:sz w:val="22"/>
        </w:rPr>
        <w:t xml:space="preserve">The </w:t>
      </w:r>
      <w:r w:rsidR="00F9579E" w:rsidRPr="000648BC">
        <w:rPr>
          <w:rFonts w:ascii="Arial" w:eastAsia="Arial" w:hAnsi="Arial" w:cs="Arial"/>
          <w:sz w:val="22"/>
        </w:rPr>
        <w:t>Royal Marsden</w:t>
      </w:r>
      <w:r w:rsidR="002F0286">
        <w:rPr>
          <w:rFonts w:ascii="Arial" w:eastAsia="Arial" w:hAnsi="Arial" w:cs="Arial"/>
          <w:sz w:val="22"/>
        </w:rPr>
        <w:t xml:space="preserve"> NHS Trust Foundation</w:t>
      </w:r>
      <w:r w:rsidR="00F9579E" w:rsidRPr="000648BC">
        <w:rPr>
          <w:rFonts w:ascii="Arial" w:eastAsia="Arial" w:hAnsi="Arial" w:cs="Arial"/>
          <w:sz w:val="22"/>
        </w:rPr>
        <w:t xml:space="preserve">, </w:t>
      </w:r>
      <w:r w:rsidR="002F0286">
        <w:rPr>
          <w:rFonts w:ascii="Arial" w:eastAsia="Arial" w:hAnsi="Arial" w:cs="Arial"/>
          <w:sz w:val="22"/>
        </w:rPr>
        <w:t xml:space="preserve">which is </w:t>
      </w:r>
      <w:r w:rsidR="00F9579E">
        <w:rPr>
          <w:rFonts w:ascii="Arial" w:eastAsia="Arial" w:hAnsi="Arial" w:cs="Arial"/>
          <w:sz w:val="22"/>
        </w:rPr>
        <w:t xml:space="preserve">one of </w:t>
      </w:r>
      <w:r w:rsidR="00F9579E" w:rsidRPr="000648BC">
        <w:rPr>
          <w:rFonts w:ascii="Arial" w:eastAsia="Arial" w:hAnsi="Arial" w:cs="Arial"/>
          <w:sz w:val="22"/>
        </w:rPr>
        <w:t xml:space="preserve">the </w:t>
      </w:r>
      <w:r w:rsidR="002F0286">
        <w:rPr>
          <w:rFonts w:ascii="Arial" w:eastAsia="Arial" w:hAnsi="Arial" w:cs="Arial"/>
          <w:sz w:val="22"/>
        </w:rPr>
        <w:t xml:space="preserve">country’s </w:t>
      </w:r>
      <w:r w:rsidR="00F9579E" w:rsidRPr="000648BC">
        <w:rPr>
          <w:rFonts w:ascii="Arial" w:eastAsia="Arial" w:hAnsi="Arial" w:cs="Arial"/>
          <w:sz w:val="22"/>
        </w:rPr>
        <w:t>largest cancer testing sites.</w:t>
      </w:r>
      <w:r>
        <w:rPr>
          <w:rFonts w:ascii="Arial" w:eastAsia="Arial" w:hAnsi="Arial" w:cs="Arial"/>
          <w:sz w:val="22"/>
        </w:rPr>
        <w:t xml:space="preserve"> </w:t>
      </w:r>
    </w:p>
    <w:p w14:paraId="753CAE81" w14:textId="77777777" w:rsidR="001C7FC1" w:rsidRPr="00A3212A" w:rsidRDefault="002247F6" w:rsidP="00312F84">
      <w:pPr>
        <w:numPr>
          <w:ilvl w:val="0"/>
          <w:numId w:val="18"/>
        </w:numPr>
        <w:spacing w:before="120" w:after="240"/>
        <w:jc w:val="both"/>
        <w:textAlignment w:val="baseline"/>
        <w:rPr>
          <w:rFonts w:ascii="Arial" w:eastAsia="Arial" w:hAnsi="Arial" w:cs="Arial"/>
          <w:color w:val="000000" w:themeColor="text1"/>
          <w:sz w:val="22"/>
        </w:rPr>
      </w:pPr>
      <w:r w:rsidRPr="000770B7">
        <w:rPr>
          <w:rFonts w:ascii="Arial" w:eastAsia="Arial" w:hAnsi="Arial" w:cs="Arial"/>
          <w:sz w:val="22"/>
        </w:rPr>
        <w:t xml:space="preserve">Another new application of </w:t>
      </w:r>
      <w:r w:rsidRPr="002F0FB0">
        <w:rPr>
          <w:rFonts w:ascii="Arial" w:eastAsia="Arial" w:hAnsi="Arial" w:cs="Arial"/>
          <w:b/>
          <w:sz w:val="22"/>
        </w:rPr>
        <w:t>QuantiFERON</w:t>
      </w:r>
      <w:r w:rsidRPr="000770B7">
        <w:rPr>
          <w:rFonts w:ascii="Arial" w:eastAsia="Arial" w:hAnsi="Arial" w:cs="Arial"/>
          <w:sz w:val="22"/>
        </w:rPr>
        <w:t xml:space="preserve"> technology began development as QIAGEN and </w:t>
      </w:r>
      <w:proofErr w:type="spellStart"/>
      <w:r w:rsidRPr="000770B7">
        <w:rPr>
          <w:rFonts w:ascii="Arial" w:eastAsia="Arial" w:hAnsi="Arial" w:cs="Arial"/>
          <w:sz w:val="22"/>
        </w:rPr>
        <w:t>DiaSorin</w:t>
      </w:r>
      <w:proofErr w:type="spellEnd"/>
      <w:r w:rsidRPr="000770B7">
        <w:rPr>
          <w:rFonts w:ascii="Arial" w:eastAsia="Arial" w:hAnsi="Arial" w:cs="Arial"/>
          <w:sz w:val="22"/>
        </w:rPr>
        <w:t xml:space="preserve"> expanded their collaboration with plans for an ultra-sensitive diagnostic test for Lyme disease, desig</w:t>
      </w:r>
      <w:r w:rsidR="000648BC">
        <w:rPr>
          <w:rFonts w:ascii="Arial" w:eastAsia="Arial" w:hAnsi="Arial" w:cs="Arial"/>
          <w:sz w:val="22"/>
        </w:rPr>
        <w:t>ned to run on LIAISON platforms.</w:t>
      </w:r>
      <w:r w:rsidR="003C5CD1">
        <w:rPr>
          <w:rFonts w:ascii="Arial" w:eastAsia="Arial" w:hAnsi="Arial" w:cs="Arial"/>
          <w:sz w:val="22"/>
        </w:rPr>
        <w:t xml:space="preserve"> </w:t>
      </w:r>
    </w:p>
    <w:p w14:paraId="33FF90FC" w14:textId="77777777" w:rsidR="003C5CD1" w:rsidRPr="003C5CD1" w:rsidRDefault="00813776" w:rsidP="00813776">
      <w:pPr>
        <w:numPr>
          <w:ilvl w:val="0"/>
          <w:numId w:val="18"/>
        </w:numPr>
        <w:tabs>
          <w:tab w:val="left" w:pos="1276"/>
        </w:tabs>
        <w:spacing w:before="120" w:after="240"/>
        <w:jc w:val="both"/>
        <w:textAlignment w:val="baseline"/>
        <w:rPr>
          <w:rFonts w:ascii="Arial" w:hAnsi="Arial" w:cs="Arial"/>
          <w:color w:val="000000" w:themeColor="text1"/>
          <w:sz w:val="22"/>
          <w:szCs w:val="22"/>
          <w:lang w:eastAsia="en-US"/>
        </w:rPr>
      </w:pPr>
      <w:r w:rsidRPr="002F0FB0">
        <w:rPr>
          <w:rFonts w:ascii="Arial" w:hAnsi="Arial" w:cs="Arial"/>
          <w:color w:val="000000" w:themeColor="text1"/>
          <w:sz w:val="22"/>
          <w:szCs w:val="22"/>
        </w:rPr>
        <w:t>In</w:t>
      </w:r>
      <w:r>
        <w:rPr>
          <w:rFonts w:ascii="Arial" w:hAnsi="Arial" w:cs="Arial"/>
          <w:b/>
          <w:color w:val="000000" w:themeColor="text1"/>
          <w:sz w:val="22"/>
          <w:szCs w:val="22"/>
        </w:rPr>
        <w:t xml:space="preserve"> </w:t>
      </w:r>
      <w:r w:rsidRPr="001C6D51">
        <w:rPr>
          <w:rFonts w:ascii="Arial" w:hAnsi="Arial" w:cs="Arial"/>
          <w:b/>
          <w:color w:val="000000" w:themeColor="text1"/>
          <w:sz w:val="22"/>
          <w:szCs w:val="22"/>
        </w:rPr>
        <w:t>Precision Medicine</w:t>
      </w:r>
      <w:r>
        <w:rPr>
          <w:rFonts w:ascii="Arial" w:hAnsi="Arial" w:cs="Arial"/>
          <w:b/>
          <w:color w:val="000000" w:themeColor="text1"/>
          <w:sz w:val="22"/>
          <w:szCs w:val="22"/>
        </w:rPr>
        <w:t>,</w:t>
      </w:r>
      <w:r w:rsidRPr="001C6D51">
        <w:rPr>
          <w:rFonts w:ascii="Arial" w:hAnsi="Arial" w:cs="Arial"/>
          <w:b/>
          <w:color w:val="000000" w:themeColor="text1"/>
          <w:sz w:val="22"/>
          <w:szCs w:val="22"/>
        </w:rPr>
        <w:t xml:space="preserve"> </w:t>
      </w:r>
      <w:r>
        <w:rPr>
          <w:rFonts w:ascii="Arial" w:eastAsia="Arial" w:hAnsi="Arial" w:cs="Arial"/>
          <w:sz w:val="22"/>
        </w:rPr>
        <w:t xml:space="preserve">the </w:t>
      </w:r>
      <w:proofErr w:type="spellStart"/>
      <w:r w:rsidRPr="000770B7">
        <w:rPr>
          <w:rFonts w:ascii="Arial" w:eastAsia="Arial" w:hAnsi="Arial" w:cs="Arial"/>
          <w:i/>
          <w:sz w:val="22"/>
        </w:rPr>
        <w:t>therascreen</w:t>
      </w:r>
      <w:proofErr w:type="spellEnd"/>
      <w:r>
        <w:rPr>
          <w:rFonts w:ascii="Arial" w:eastAsia="Arial" w:hAnsi="Arial" w:cs="Arial"/>
          <w:sz w:val="22"/>
        </w:rPr>
        <w:t xml:space="preserve"> PIK3CA RGQ PCR Kit was launched in the U.S. to aid in identifying breast cancer patients suitable for treatment with the newly approved Novartis therapy PIQRAY (</w:t>
      </w:r>
      <w:proofErr w:type="spellStart"/>
      <w:r>
        <w:rPr>
          <w:rFonts w:ascii="Arial" w:eastAsia="Arial" w:hAnsi="Arial" w:cs="Arial"/>
          <w:sz w:val="22"/>
        </w:rPr>
        <w:t>alpelisib</w:t>
      </w:r>
      <w:proofErr w:type="spellEnd"/>
      <w:r>
        <w:rPr>
          <w:rFonts w:ascii="Arial" w:eastAsia="Arial" w:hAnsi="Arial" w:cs="Arial"/>
          <w:sz w:val="22"/>
        </w:rPr>
        <w:t xml:space="preserve">). The kit is the first FDA-approved companion diagnostic for detection of activating mutations in the PIK3CA gene </w:t>
      </w:r>
      <w:r w:rsidR="00AE3240">
        <w:rPr>
          <w:rFonts w:ascii="Arial" w:eastAsia="Arial" w:hAnsi="Arial" w:cs="Arial"/>
          <w:sz w:val="22"/>
        </w:rPr>
        <w:t>and has received approval for use with both</w:t>
      </w:r>
      <w:r w:rsidR="00AE3240" w:rsidRPr="0080183F">
        <w:rPr>
          <w:rFonts w:ascii="Arial" w:eastAsia="Arial" w:hAnsi="Arial" w:cs="Arial"/>
          <w:sz w:val="22"/>
        </w:rPr>
        <w:t xml:space="preserve"> </w:t>
      </w:r>
      <w:r w:rsidRPr="0080183F">
        <w:rPr>
          <w:rFonts w:ascii="Arial" w:eastAsia="Arial" w:hAnsi="Arial" w:cs="Arial"/>
          <w:sz w:val="22"/>
        </w:rPr>
        <w:t>tissue and liquid biopsy samples</w:t>
      </w:r>
      <w:r>
        <w:rPr>
          <w:rFonts w:ascii="Arial" w:eastAsia="Arial" w:hAnsi="Arial" w:cs="Arial"/>
          <w:sz w:val="22"/>
        </w:rPr>
        <w:t xml:space="preserve">. </w:t>
      </w:r>
    </w:p>
    <w:p w14:paraId="6E69F2C7" w14:textId="77777777" w:rsidR="00813776" w:rsidRPr="000770B7" w:rsidRDefault="00813776" w:rsidP="003C5CD1">
      <w:pPr>
        <w:tabs>
          <w:tab w:val="left" w:pos="1276"/>
        </w:tabs>
        <w:spacing w:before="120" w:after="240"/>
        <w:ind w:left="360"/>
        <w:jc w:val="both"/>
        <w:textAlignment w:val="baseline"/>
        <w:rPr>
          <w:rFonts w:ascii="Arial" w:hAnsi="Arial" w:cs="Arial"/>
          <w:color w:val="000000" w:themeColor="text1"/>
          <w:sz w:val="22"/>
          <w:szCs w:val="22"/>
          <w:lang w:eastAsia="en-US"/>
        </w:rPr>
      </w:pPr>
      <w:r>
        <w:rPr>
          <w:rFonts w:ascii="Arial" w:eastAsia="Arial" w:hAnsi="Arial" w:cs="Arial"/>
          <w:sz w:val="22"/>
        </w:rPr>
        <w:lastRenderedPageBreak/>
        <w:t xml:space="preserve">This marks the second FDA approval of a </w:t>
      </w:r>
      <w:r w:rsidRPr="000770B7">
        <w:rPr>
          <w:rFonts w:ascii="Arial" w:eastAsia="Arial" w:hAnsi="Arial" w:cs="Arial"/>
          <w:sz w:val="22"/>
        </w:rPr>
        <w:t xml:space="preserve">QIAGEN companion diagnostic in 2019, with the </w:t>
      </w:r>
      <w:proofErr w:type="spellStart"/>
      <w:r w:rsidRPr="000770B7">
        <w:rPr>
          <w:rFonts w:ascii="Arial" w:eastAsia="Arial" w:hAnsi="Arial" w:cs="Arial"/>
          <w:i/>
          <w:sz w:val="22"/>
        </w:rPr>
        <w:t>therascreen</w:t>
      </w:r>
      <w:proofErr w:type="spellEnd"/>
      <w:r w:rsidRPr="000770B7">
        <w:rPr>
          <w:rFonts w:ascii="Arial" w:eastAsia="Arial" w:hAnsi="Arial" w:cs="Arial"/>
          <w:sz w:val="22"/>
        </w:rPr>
        <w:t xml:space="preserve"> FGFR RGQ RT-PCR Kit </w:t>
      </w:r>
      <w:r w:rsidR="00575664">
        <w:rPr>
          <w:rFonts w:ascii="Arial" w:eastAsia="Arial" w:hAnsi="Arial" w:cs="Arial"/>
          <w:sz w:val="22"/>
        </w:rPr>
        <w:t xml:space="preserve">launched </w:t>
      </w:r>
      <w:r w:rsidRPr="000770B7">
        <w:rPr>
          <w:rFonts w:ascii="Arial" w:eastAsia="Arial" w:hAnsi="Arial" w:cs="Arial"/>
          <w:sz w:val="22"/>
        </w:rPr>
        <w:t>in April 2019 for use in selecting urothelial cancer patients eligible for treatment with the newly approved therapy BALVERSA™ (</w:t>
      </w:r>
      <w:proofErr w:type="spellStart"/>
      <w:r w:rsidRPr="000770B7">
        <w:rPr>
          <w:rFonts w:ascii="Arial" w:eastAsia="Arial" w:hAnsi="Arial" w:cs="Arial"/>
          <w:sz w:val="22"/>
        </w:rPr>
        <w:t>erdafitinib</w:t>
      </w:r>
      <w:proofErr w:type="spellEnd"/>
      <w:r w:rsidRPr="000770B7">
        <w:rPr>
          <w:rFonts w:ascii="Arial" w:eastAsia="Arial" w:hAnsi="Arial" w:cs="Arial"/>
          <w:sz w:val="22"/>
        </w:rPr>
        <w:t>), developed by Janssen. The</w:t>
      </w:r>
      <w:r>
        <w:rPr>
          <w:rFonts w:ascii="Arial" w:eastAsia="Arial" w:hAnsi="Arial" w:cs="Arial"/>
          <w:sz w:val="22"/>
        </w:rPr>
        <w:t xml:space="preserve"> two </w:t>
      </w:r>
      <w:r w:rsidR="0043139B">
        <w:rPr>
          <w:rFonts w:ascii="Arial" w:eastAsia="Arial" w:hAnsi="Arial" w:cs="Arial"/>
          <w:sz w:val="22"/>
        </w:rPr>
        <w:t xml:space="preserve">assays </w:t>
      </w:r>
      <w:r w:rsidRPr="000770B7">
        <w:rPr>
          <w:rFonts w:ascii="Arial" w:eastAsia="Arial" w:hAnsi="Arial" w:cs="Arial"/>
          <w:sz w:val="22"/>
        </w:rPr>
        <w:t>have</w:t>
      </w:r>
      <w:r>
        <w:rPr>
          <w:rFonts w:ascii="Arial" w:eastAsia="Arial" w:hAnsi="Arial" w:cs="Arial"/>
          <w:sz w:val="22"/>
        </w:rPr>
        <w:t xml:space="preserve"> </w:t>
      </w:r>
      <w:r w:rsidRPr="000770B7">
        <w:rPr>
          <w:rFonts w:ascii="Arial" w:eastAsia="Arial" w:hAnsi="Arial" w:cs="Arial"/>
          <w:sz w:val="22"/>
        </w:rPr>
        <w:t>been made available under QIAGEN’s Day-One Lab Readiness program that includes leading U.S. labs and allow</w:t>
      </w:r>
      <w:r>
        <w:rPr>
          <w:rFonts w:ascii="Arial" w:eastAsia="Arial" w:hAnsi="Arial" w:cs="Arial"/>
          <w:sz w:val="22"/>
        </w:rPr>
        <w:t>s</w:t>
      </w:r>
      <w:r w:rsidRPr="000770B7">
        <w:rPr>
          <w:rFonts w:ascii="Arial" w:eastAsia="Arial" w:hAnsi="Arial" w:cs="Arial"/>
          <w:sz w:val="22"/>
        </w:rPr>
        <w:t xml:space="preserve"> for testing availability </w:t>
      </w:r>
      <w:r w:rsidR="002F3994">
        <w:rPr>
          <w:rFonts w:ascii="Arial" w:eastAsia="Arial" w:hAnsi="Arial" w:cs="Arial"/>
          <w:sz w:val="22"/>
        </w:rPr>
        <w:t xml:space="preserve">quickly </w:t>
      </w:r>
      <w:r w:rsidRPr="000770B7">
        <w:rPr>
          <w:rFonts w:ascii="Arial" w:eastAsia="Arial" w:hAnsi="Arial" w:cs="Arial"/>
          <w:sz w:val="22"/>
        </w:rPr>
        <w:t>after the FDA approval.</w:t>
      </w:r>
    </w:p>
    <w:p w14:paraId="7193B753" w14:textId="77777777" w:rsidR="002F3CF3" w:rsidRPr="002F3CF3" w:rsidRDefault="002247F6" w:rsidP="002F3CF3">
      <w:pPr>
        <w:numPr>
          <w:ilvl w:val="0"/>
          <w:numId w:val="16"/>
        </w:numPr>
        <w:tabs>
          <w:tab w:val="left" w:pos="1276"/>
        </w:tabs>
        <w:spacing w:before="120" w:after="240"/>
        <w:jc w:val="both"/>
        <w:textAlignment w:val="baseline"/>
        <w:rPr>
          <w:rFonts w:ascii="Arial" w:eastAsia="Arial" w:hAnsi="Arial" w:cs="Arial"/>
          <w:color w:val="000000" w:themeColor="text1"/>
          <w:sz w:val="22"/>
          <w:szCs w:val="22"/>
        </w:rPr>
      </w:pPr>
      <w:r w:rsidRPr="002247F6">
        <w:rPr>
          <w:rFonts w:ascii="Arial" w:eastAsia="Arial" w:hAnsi="Arial" w:cs="Arial"/>
          <w:color w:val="000000" w:themeColor="text1"/>
          <w:sz w:val="22"/>
          <w:szCs w:val="22"/>
        </w:rPr>
        <w:t>New</w:t>
      </w:r>
      <w:r>
        <w:rPr>
          <w:rFonts w:ascii="Arial" w:eastAsia="Arial" w:hAnsi="Arial" w:cs="Arial"/>
          <w:b/>
          <w:color w:val="000000" w:themeColor="text1"/>
          <w:sz w:val="22"/>
          <w:szCs w:val="22"/>
        </w:rPr>
        <w:t xml:space="preserve"> a</w:t>
      </w:r>
      <w:r w:rsidR="00CB48CF">
        <w:rPr>
          <w:rFonts w:ascii="Arial" w:eastAsia="Arial" w:hAnsi="Arial" w:cs="Arial"/>
          <w:b/>
          <w:color w:val="000000" w:themeColor="text1"/>
          <w:sz w:val="22"/>
          <w:szCs w:val="22"/>
        </w:rPr>
        <w:t xml:space="preserve">utomation solutions </w:t>
      </w:r>
      <w:r>
        <w:rPr>
          <w:rFonts w:ascii="Arial" w:eastAsia="Arial" w:hAnsi="Arial" w:cs="Arial"/>
          <w:sz w:val="22"/>
        </w:rPr>
        <w:t>are enlarging QIAGEN’s reach in large diagnostic segments</w:t>
      </w:r>
      <w:r w:rsidR="00813776">
        <w:rPr>
          <w:rFonts w:ascii="Arial" w:eastAsia="Arial" w:hAnsi="Arial" w:cs="Arial"/>
          <w:sz w:val="22"/>
        </w:rPr>
        <w:t>:</w:t>
      </w:r>
      <w:r>
        <w:rPr>
          <w:rFonts w:ascii="Arial" w:eastAsia="Arial" w:hAnsi="Arial" w:cs="Arial"/>
          <w:sz w:val="22"/>
        </w:rPr>
        <w:t xml:space="preserve"> </w:t>
      </w:r>
    </w:p>
    <w:p w14:paraId="4AECCEE2" w14:textId="77777777" w:rsidR="001C7FC1" w:rsidRDefault="001C7FC1" w:rsidP="007F32E4">
      <w:pPr>
        <w:numPr>
          <w:ilvl w:val="0"/>
          <w:numId w:val="11"/>
        </w:numPr>
        <w:spacing w:before="120" w:after="240"/>
        <w:jc w:val="both"/>
        <w:textAlignment w:val="baseline"/>
        <w:rPr>
          <w:rFonts w:ascii="Arial" w:eastAsia="Arial" w:hAnsi="Arial" w:cs="Arial"/>
          <w:color w:val="000000" w:themeColor="text1"/>
          <w:sz w:val="22"/>
          <w:szCs w:val="22"/>
        </w:rPr>
      </w:pPr>
      <w:proofErr w:type="spellStart"/>
      <w:r w:rsidRPr="00454CBE">
        <w:rPr>
          <w:rFonts w:ascii="Arial" w:eastAsia="Arial" w:hAnsi="Arial" w:cs="Arial"/>
          <w:b/>
          <w:color w:val="000000" w:themeColor="text1"/>
          <w:sz w:val="22"/>
          <w:szCs w:val="22"/>
        </w:rPr>
        <w:t>QIAstat</w:t>
      </w:r>
      <w:proofErr w:type="spellEnd"/>
      <w:r w:rsidRPr="00454CBE">
        <w:rPr>
          <w:rFonts w:ascii="Arial" w:eastAsia="Arial" w:hAnsi="Arial" w:cs="Arial"/>
          <w:b/>
          <w:color w:val="000000" w:themeColor="text1"/>
          <w:sz w:val="22"/>
          <w:szCs w:val="22"/>
        </w:rPr>
        <w:t>-Dx</w:t>
      </w:r>
      <w:r w:rsidR="002247F6">
        <w:rPr>
          <w:rFonts w:ascii="Arial" w:eastAsia="Arial" w:hAnsi="Arial" w:cs="Arial"/>
          <w:sz w:val="22"/>
        </w:rPr>
        <w:t xml:space="preserve">, the next-generation solution for Sample to Insight syndromic testing, was launched in the </w:t>
      </w:r>
      <w:r w:rsidR="00235296">
        <w:rPr>
          <w:rFonts w:ascii="Arial" w:eastAsia="Arial" w:hAnsi="Arial" w:cs="Arial"/>
          <w:sz w:val="22"/>
        </w:rPr>
        <w:t xml:space="preserve">U.S. in May 2019 </w:t>
      </w:r>
      <w:r w:rsidR="002247F6">
        <w:rPr>
          <w:rFonts w:ascii="Arial" w:eastAsia="Arial" w:hAnsi="Arial" w:cs="Arial"/>
          <w:sz w:val="22"/>
        </w:rPr>
        <w:t>after receiving 510(k) clearance</w:t>
      </w:r>
      <w:r w:rsidR="00235296">
        <w:rPr>
          <w:rFonts w:ascii="Arial" w:eastAsia="Arial" w:hAnsi="Arial" w:cs="Arial"/>
          <w:sz w:val="22"/>
        </w:rPr>
        <w:t xml:space="preserve"> </w:t>
      </w:r>
      <w:r w:rsidR="002247F6">
        <w:rPr>
          <w:rFonts w:ascii="Arial" w:eastAsia="Arial" w:hAnsi="Arial" w:cs="Arial"/>
          <w:sz w:val="22"/>
        </w:rPr>
        <w:t xml:space="preserve">along with the </w:t>
      </w:r>
      <w:proofErr w:type="spellStart"/>
      <w:r w:rsidR="002247F6">
        <w:rPr>
          <w:rFonts w:ascii="Arial" w:eastAsia="Arial" w:hAnsi="Arial" w:cs="Arial"/>
          <w:sz w:val="22"/>
        </w:rPr>
        <w:t>QIAstat</w:t>
      </w:r>
      <w:proofErr w:type="spellEnd"/>
      <w:r w:rsidR="002247F6">
        <w:rPr>
          <w:rFonts w:ascii="Arial" w:eastAsia="Arial" w:hAnsi="Arial" w:cs="Arial"/>
          <w:sz w:val="22"/>
        </w:rPr>
        <w:t xml:space="preserve">-Dx Respiratory Panel for qualitative detection and identification of more than 20 viral and bacterial pathogens. QIAGEN </w:t>
      </w:r>
      <w:r w:rsidR="008D0A05">
        <w:rPr>
          <w:rFonts w:ascii="Arial" w:eastAsia="Arial" w:hAnsi="Arial" w:cs="Arial"/>
          <w:sz w:val="22"/>
        </w:rPr>
        <w:t xml:space="preserve">also recently </w:t>
      </w:r>
      <w:r w:rsidR="000648BC">
        <w:rPr>
          <w:rFonts w:ascii="Arial" w:eastAsia="Arial" w:hAnsi="Arial" w:cs="Arial"/>
          <w:sz w:val="22"/>
        </w:rPr>
        <w:t xml:space="preserve">announced a new partnership </w:t>
      </w:r>
      <w:r w:rsidR="00813776">
        <w:rPr>
          <w:rFonts w:ascii="Arial" w:eastAsia="Arial" w:hAnsi="Arial" w:cs="Arial"/>
          <w:sz w:val="22"/>
        </w:rPr>
        <w:t>with</w:t>
      </w:r>
      <w:r w:rsidR="000648BC">
        <w:rPr>
          <w:rFonts w:ascii="Arial" w:eastAsia="Arial" w:hAnsi="Arial" w:cs="Arial"/>
          <w:sz w:val="22"/>
        </w:rPr>
        <w:t xml:space="preserve"> </w:t>
      </w:r>
      <w:r w:rsidR="002247F6">
        <w:rPr>
          <w:rFonts w:ascii="Arial" w:eastAsia="Arial" w:hAnsi="Arial" w:cs="Arial"/>
          <w:sz w:val="22"/>
        </w:rPr>
        <w:t xml:space="preserve">McKesson Medical-Surgical Inc. to serve as exclusive distributor </w:t>
      </w:r>
      <w:r w:rsidR="00235296">
        <w:rPr>
          <w:rFonts w:ascii="Arial" w:eastAsia="Arial" w:hAnsi="Arial" w:cs="Arial"/>
          <w:sz w:val="22"/>
        </w:rPr>
        <w:t xml:space="preserve">in the </w:t>
      </w:r>
      <w:r w:rsidR="002247F6">
        <w:rPr>
          <w:rFonts w:ascii="Arial" w:eastAsia="Arial" w:hAnsi="Arial" w:cs="Arial"/>
          <w:sz w:val="22"/>
        </w:rPr>
        <w:t xml:space="preserve">market segment of U.S. hospitals with 200 beds or less. McKesson </w:t>
      </w:r>
      <w:r w:rsidR="000648BC">
        <w:rPr>
          <w:rFonts w:ascii="Arial" w:eastAsia="Arial" w:hAnsi="Arial" w:cs="Arial"/>
          <w:sz w:val="22"/>
        </w:rPr>
        <w:t xml:space="preserve">is also slated to be </w:t>
      </w:r>
      <w:r w:rsidR="002247F6">
        <w:rPr>
          <w:rFonts w:ascii="Arial" w:eastAsia="Arial" w:hAnsi="Arial" w:cs="Arial"/>
          <w:sz w:val="22"/>
        </w:rPr>
        <w:t xml:space="preserve">a non-exclusive distributor for future expansion into non-acute clinics located in U.S. retail pharmacies. </w:t>
      </w:r>
    </w:p>
    <w:p w14:paraId="79C984F2" w14:textId="77777777" w:rsidR="0047727D" w:rsidRPr="008457A8" w:rsidRDefault="0047727D" w:rsidP="009448ED">
      <w:pPr>
        <w:numPr>
          <w:ilvl w:val="1"/>
          <w:numId w:val="11"/>
        </w:numPr>
        <w:tabs>
          <w:tab w:val="clear" w:pos="1440"/>
          <w:tab w:val="num" w:pos="709"/>
          <w:tab w:val="left" w:pos="1276"/>
        </w:tabs>
        <w:spacing w:before="120" w:after="240"/>
        <w:ind w:left="709" w:hanging="283"/>
        <w:jc w:val="both"/>
        <w:textAlignment w:val="baseline"/>
        <w:rPr>
          <w:rFonts w:ascii="Arial" w:hAnsi="Arial" w:cs="Arial"/>
          <w:color w:val="000000" w:themeColor="text1"/>
          <w:sz w:val="22"/>
          <w:szCs w:val="22"/>
        </w:rPr>
      </w:pPr>
      <w:bookmarkStart w:id="2" w:name="_Hlk15116671"/>
      <w:proofErr w:type="spellStart"/>
      <w:r w:rsidRPr="008457A8">
        <w:rPr>
          <w:rFonts w:ascii="Arial" w:hAnsi="Arial" w:cs="Arial"/>
          <w:b/>
          <w:color w:val="000000" w:themeColor="text1"/>
          <w:sz w:val="22"/>
          <w:szCs w:val="22"/>
        </w:rPr>
        <w:t>NeuMoDx</w:t>
      </w:r>
      <w:proofErr w:type="spellEnd"/>
      <w:r w:rsidRPr="008457A8">
        <w:rPr>
          <w:rFonts w:ascii="Arial" w:hAnsi="Arial" w:cs="Arial"/>
          <w:b/>
          <w:color w:val="000000" w:themeColor="text1"/>
          <w:sz w:val="22"/>
          <w:szCs w:val="22"/>
        </w:rPr>
        <w:t xml:space="preserve"> </w:t>
      </w:r>
      <w:r w:rsidR="002247F6">
        <w:rPr>
          <w:rFonts w:ascii="Arial" w:hAnsi="Arial" w:cs="Arial"/>
          <w:b/>
          <w:color w:val="000000" w:themeColor="text1"/>
          <w:sz w:val="22"/>
          <w:szCs w:val="22"/>
        </w:rPr>
        <w:t>96</w:t>
      </w:r>
      <w:r w:rsidRPr="008457A8">
        <w:rPr>
          <w:rFonts w:ascii="Arial" w:hAnsi="Arial" w:cs="Arial"/>
          <w:b/>
          <w:color w:val="000000" w:themeColor="text1"/>
          <w:sz w:val="22"/>
          <w:szCs w:val="22"/>
        </w:rPr>
        <w:t xml:space="preserve"> and </w:t>
      </w:r>
      <w:r w:rsidR="002247F6">
        <w:rPr>
          <w:rFonts w:ascii="Arial" w:hAnsi="Arial" w:cs="Arial"/>
          <w:b/>
          <w:color w:val="000000" w:themeColor="text1"/>
          <w:sz w:val="22"/>
          <w:szCs w:val="22"/>
        </w:rPr>
        <w:t>228 Molecular Systems</w:t>
      </w:r>
      <w:r w:rsidR="002247F6" w:rsidRPr="002247F6">
        <w:rPr>
          <w:rFonts w:ascii="Arial" w:eastAsia="Arial" w:hAnsi="Arial" w:cs="Arial"/>
          <w:sz w:val="22"/>
        </w:rPr>
        <w:t xml:space="preserve"> </w:t>
      </w:r>
      <w:r w:rsidR="00235296">
        <w:rPr>
          <w:rFonts w:ascii="Arial" w:eastAsia="Arial" w:hAnsi="Arial" w:cs="Arial"/>
          <w:sz w:val="22"/>
        </w:rPr>
        <w:t>now have six</w:t>
      </w:r>
      <w:r w:rsidR="000648BC">
        <w:rPr>
          <w:rFonts w:ascii="Arial" w:eastAsia="Arial" w:hAnsi="Arial" w:cs="Arial"/>
          <w:sz w:val="22"/>
        </w:rPr>
        <w:t xml:space="preserve"> CE-IVD</w:t>
      </w:r>
      <w:r w:rsidR="00235296">
        <w:rPr>
          <w:rFonts w:ascii="Arial" w:eastAsia="Arial" w:hAnsi="Arial" w:cs="Arial"/>
          <w:sz w:val="22"/>
        </w:rPr>
        <w:t xml:space="preserve"> </w:t>
      </w:r>
      <w:r w:rsidR="009E78F6">
        <w:rPr>
          <w:rFonts w:ascii="Arial" w:eastAsia="Arial" w:hAnsi="Arial" w:cs="Arial"/>
          <w:sz w:val="22"/>
        </w:rPr>
        <w:t xml:space="preserve">assays </w:t>
      </w:r>
      <w:r w:rsidR="00235296">
        <w:rPr>
          <w:rFonts w:ascii="Arial" w:eastAsia="Arial" w:hAnsi="Arial" w:cs="Arial"/>
          <w:sz w:val="22"/>
        </w:rPr>
        <w:t xml:space="preserve">available for infectious diseases in Europe, </w:t>
      </w:r>
      <w:r w:rsidR="001D0EA9">
        <w:rPr>
          <w:rFonts w:ascii="Arial" w:eastAsia="Arial" w:hAnsi="Arial" w:cs="Arial"/>
          <w:sz w:val="22"/>
        </w:rPr>
        <w:t>and QIAGEN is</w:t>
      </w:r>
      <w:r w:rsidR="00235296">
        <w:rPr>
          <w:rFonts w:ascii="Arial" w:eastAsia="Arial" w:hAnsi="Arial" w:cs="Arial"/>
          <w:sz w:val="22"/>
        </w:rPr>
        <w:t xml:space="preserve"> on track to </w:t>
      </w:r>
      <w:r w:rsidR="008D0A05">
        <w:rPr>
          <w:rFonts w:ascii="Arial" w:eastAsia="Arial" w:hAnsi="Arial" w:cs="Arial"/>
          <w:sz w:val="22"/>
        </w:rPr>
        <w:t xml:space="preserve">have </w:t>
      </w:r>
      <w:r w:rsidR="00235296">
        <w:rPr>
          <w:rFonts w:ascii="Arial" w:eastAsia="Arial" w:hAnsi="Arial" w:cs="Arial"/>
          <w:sz w:val="22"/>
        </w:rPr>
        <w:t xml:space="preserve">11 </w:t>
      </w:r>
      <w:r w:rsidR="009E78F6">
        <w:rPr>
          <w:rFonts w:ascii="Arial" w:eastAsia="Arial" w:hAnsi="Arial" w:cs="Arial"/>
          <w:sz w:val="22"/>
        </w:rPr>
        <w:t xml:space="preserve">assays </w:t>
      </w:r>
      <w:r w:rsidR="00235296">
        <w:rPr>
          <w:rFonts w:ascii="Arial" w:eastAsia="Arial" w:hAnsi="Arial" w:cs="Arial"/>
          <w:sz w:val="22"/>
        </w:rPr>
        <w:t xml:space="preserve">available </w:t>
      </w:r>
      <w:r w:rsidR="008D0A05">
        <w:rPr>
          <w:rFonts w:ascii="Arial" w:eastAsia="Arial" w:hAnsi="Arial" w:cs="Arial"/>
          <w:sz w:val="22"/>
        </w:rPr>
        <w:t xml:space="preserve">on these systems </w:t>
      </w:r>
      <w:r w:rsidR="00235296">
        <w:rPr>
          <w:rFonts w:ascii="Arial" w:eastAsia="Arial" w:hAnsi="Arial" w:cs="Arial"/>
          <w:sz w:val="22"/>
        </w:rPr>
        <w:t xml:space="preserve">by the end of 2019 that use </w:t>
      </w:r>
      <w:r w:rsidR="002247F6">
        <w:rPr>
          <w:rFonts w:ascii="Arial" w:eastAsia="Arial" w:hAnsi="Arial" w:cs="Arial"/>
          <w:sz w:val="22"/>
        </w:rPr>
        <w:t>proprietary microfluidic PCR technology</w:t>
      </w:r>
      <w:r w:rsidR="00235296">
        <w:rPr>
          <w:rFonts w:ascii="Arial" w:eastAsia="Arial" w:hAnsi="Arial" w:cs="Arial"/>
          <w:sz w:val="22"/>
        </w:rPr>
        <w:t>.</w:t>
      </w:r>
      <w:r w:rsidR="000648BC">
        <w:rPr>
          <w:rFonts w:ascii="Arial" w:eastAsia="Arial" w:hAnsi="Arial" w:cs="Arial"/>
          <w:sz w:val="22"/>
        </w:rPr>
        <w:t xml:space="preserve"> QIAGEN is the distributor of </w:t>
      </w:r>
      <w:r w:rsidR="008D0A05">
        <w:rPr>
          <w:rFonts w:ascii="Arial" w:eastAsia="Arial" w:hAnsi="Arial" w:cs="Arial"/>
          <w:sz w:val="22"/>
        </w:rPr>
        <w:t xml:space="preserve">the </w:t>
      </w:r>
      <w:proofErr w:type="spellStart"/>
      <w:r w:rsidR="008D0A05">
        <w:rPr>
          <w:rFonts w:ascii="Arial" w:eastAsia="Arial" w:hAnsi="Arial" w:cs="Arial"/>
          <w:sz w:val="22"/>
        </w:rPr>
        <w:t>NeuMoDx</w:t>
      </w:r>
      <w:proofErr w:type="spellEnd"/>
      <w:r w:rsidR="008D0A05">
        <w:rPr>
          <w:rFonts w:ascii="Arial" w:eastAsia="Arial" w:hAnsi="Arial" w:cs="Arial"/>
          <w:sz w:val="22"/>
        </w:rPr>
        <w:t xml:space="preserve"> systems </w:t>
      </w:r>
      <w:r w:rsidR="000648BC">
        <w:rPr>
          <w:rFonts w:ascii="Arial" w:eastAsia="Arial" w:hAnsi="Arial" w:cs="Arial"/>
          <w:sz w:val="22"/>
        </w:rPr>
        <w:t xml:space="preserve">in Europe and other countries, while </w:t>
      </w:r>
      <w:proofErr w:type="spellStart"/>
      <w:r w:rsidR="000648BC">
        <w:rPr>
          <w:rFonts w:ascii="Arial" w:eastAsia="Arial" w:hAnsi="Arial" w:cs="Arial"/>
          <w:sz w:val="22"/>
        </w:rPr>
        <w:t>NeuMoDx</w:t>
      </w:r>
      <w:proofErr w:type="spellEnd"/>
      <w:r w:rsidR="000648BC">
        <w:rPr>
          <w:rFonts w:ascii="Arial" w:eastAsia="Arial" w:hAnsi="Arial" w:cs="Arial"/>
          <w:sz w:val="22"/>
        </w:rPr>
        <w:t xml:space="preserve"> is responsible for </w:t>
      </w:r>
      <w:r w:rsidR="008D0A05">
        <w:rPr>
          <w:rFonts w:ascii="Arial" w:eastAsia="Arial" w:hAnsi="Arial" w:cs="Arial"/>
          <w:sz w:val="22"/>
        </w:rPr>
        <w:t xml:space="preserve">commercialization in </w:t>
      </w:r>
      <w:r w:rsidR="000648BC">
        <w:rPr>
          <w:rFonts w:ascii="Arial" w:eastAsia="Arial" w:hAnsi="Arial" w:cs="Arial"/>
          <w:sz w:val="22"/>
        </w:rPr>
        <w:t>the United States. QIAGEN has the right to fully acquire the remaining 80% stake</w:t>
      </w:r>
      <w:r w:rsidR="001D0EA9" w:rsidRPr="001D0EA9">
        <w:rPr>
          <w:rFonts w:ascii="Arial" w:eastAsia="Arial" w:hAnsi="Arial" w:cs="Arial"/>
          <w:sz w:val="22"/>
        </w:rPr>
        <w:t xml:space="preserve"> </w:t>
      </w:r>
      <w:r w:rsidR="001D0EA9">
        <w:rPr>
          <w:rFonts w:ascii="Arial" w:eastAsia="Arial" w:hAnsi="Arial" w:cs="Arial"/>
          <w:sz w:val="22"/>
        </w:rPr>
        <w:t xml:space="preserve">in </w:t>
      </w:r>
      <w:proofErr w:type="spellStart"/>
      <w:r w:rsidR="001D0EA9">
        <w:rPr>
          <w:rFonts w:ascii="Arial" w:eastAsia="Arial" w:hAnsi="Arial" w:cs="Arial"/>
          <w:sz w:val="22"/>
        </w:rPr>
        <w:t>NeuMoDx</w:t>
      </w:r>
      <w:proofErr w:type="spellEnd"/>
      <w:r w:rsidR="000648BC">
        <w:rPr>
          <w:rFonts w:ascii="Arial" w:eastAsia="Arial" w:hAnsi="Arial" w:cs="Arial"/>
          <w:sz w:val="22"/>
        </w:rPr>
        <w:t xml:space="preserve"> it does not own at a predetermined price of $234 million until mid-2020</w:t>
      </w:r>
      <w:r w:rsidR="00E50110">
        <w:rPr>
          <w:rFonts w:ascii="Arial" w:eastAsia="Arial" w:hAnsi="Arial" w:cs="Arial"/>
          <w:sz w:val="22"/>
        </w:rPr>
        <w:t>,</w:t>
      </w:r>
      <w:r w:rsidR="002F5BCC">
        <w:rPr>
          <w:rFonts w:ascii="Arial" w:eastAsia="Arial" w:hAnsi="Arial" w:cs="Arial"/>
          <w:sz w:val="22"/>
        </w:rPr>
        <w:t xml:space="preserve"> </w:t>
      </w:r>
      <w:r w:rsidR="002F5BCC" w:rsidRPr="00E50110">
        <w:rPr>
          <w:rFonts w:ascii="Arial" w:eastAsia="Arial" w:hAnsi="Arial" w:cs="Arial"/>
          <w:sz w:val="22"/>
        </w:rPr>
        <w:t>subject to the achievement of certain regulatory and operational milestones</w:t>
      </w:r>
      <w:r w:rsidR="002F5BCC">
        <w:rPr>
          <w:rFonts w:ascii="Arial" w:eastAsia="Arial" w:hAnsi="Arial" w:cs="Arial"/>
          <w:sz w:val="22"/>
        </w:rPr>
        <w:t>.</w:t>
      </w:r>
    </w:p>
    <w:bookmarkEnd w:id="2"/>
    <w:p w14:paraId="42FE37BE" w14:textId="77777777" w:rsidR="000648BC" w:rsidRPr="000770B7" w:rsidRDefault="000648BC" w:rsidP="000648BC">
      <w:pPr>
        <w:numPr>
          <w:ilvl w:val="0"/>
          <w:numId w:val="17"/>
        </w:numPr>
        <w:tabs>
          <w:tab w:val="left" w:pos="1276"/>
        </w:tabs>
        <w:spacing w:before="120" w:after="240"/>
        <w:ind w:left="357" w:hanging="357"/>
        <w:jc w:val="both"/>
        <w:textAlignment w:val="baseline"/>
        <w:rPr>
          <w:rFonts w:ascii="Arial" w:hAnsi="Arial" w:cs="Arial"/>
          <w:color w:val="000000" w:themeColor="text1"/>
          <w:sz w:val="22"/>
          <w:szCs w:val="22"/>
          <w:bdr w:val="none" w:sz="0" w:space="0" w:color="auto" w:frame="1"/>
        </w:rPr>
      </w:pPr>
      <w:r>
        <w:rPr>
          <w:rFonts w:ascii="Arial" w:hAnsi="Arial" w:cs="Arial"/>
          <w:color w:val="000000" w:themeColor="text1"/>
          <w:sz w:val="22"/>
          <w:szCs w:val="22"/>
          <w:bdr w:val="none" w:sz="0" w:space="0" w:color="auto" w:frame="1"/>
        </w:rPr>
        <w:t xml:space="preserve">In </w:t>
      </w:r>
      <w:r>
        <w:rPr>
          <w:rFonts w:ascii="Arial" w:hAnsi="Arial" w:cs="Arial"/>
          <w:b/>
          <w:color w:val="000000" w:themeColor="text1"/>
          <w:sz w:val="22"/>
          <w:szCs w:val="22"/>
          <w:bdr w:val="none" w:sz="0" w:space="0" w:color="auto" w:frame="1"/>
        </w:rPr>
        <w:t>Bioinformatics,</w:t>
      </w:r>
      <w:r w:rsidRPr="00AA0027">
        <w:rPr>
          <w:rFonts w:ascii="Arial" w:hAnsi="Arial" w:cs="Arial"/>
          <w:color w:val="000000" w:themeColor="text1"/>
          <w:sz w:val="22"/>
          <w:szCs w:val="22"/>
          <w:bdr w:val="none" w:sz="0" w:space="0" w:color="auto" w:frame="1"/>
        </w:rPr>
        <w:t xml:space="preserve"> </w:t>
      </w:r>
      <w:r>
        <w:rPr>
          <w:rFonts w:ascii="Arial" w:eastAsia="Arial" w:hAnsi="Arial" w:cs="Arial"/>
          <w:sz w:val="22"/>
        </w:rPr>
        <w:t xml:space="preserve">QIAGEN Clinical Insight (QCI), a cloud-based decision support platform for interpretation and reporting of variants from NGS data, recently achieved a milestone of more than one million patient test cases analyzed and interpreted. Additionally, QCI was selected by the National Cancer Center of Japan for the analysis, interpretation and reporting of molecular oncology and </w:t>
      </w:r>
      <w:proofErr w:type="spellStart"/>
      <w:r>
        <w:rPr>
          <w:rFonts w:ascii="Arial" w:eastAsia="Arial" w:hAnsi="Arial" w:cs="Arial"/>
          <w:sz w:val="22"/>
        </w:rPr>
        <w:t>oncogenetic</w:t>
      </w:r>
      <w:proofErr w:type="spellEnd"/>
      <w:r>
        <w:rPr>
          <w:rFonts w:ascii="Arial" w:eastAsia="Arial" w:hAnsi="Arial" w:cs="Arial"/>
          <w:sz w:val="22"/>
        </w:rPr>
        <w:t xml:space="preserve"> screening as part of a national precision medicine initiative. </w:t>
      </w:r>
    </w:p>
    <w:p w14:paraId="2DAD495E" w14:textId="77777777" w:rsidR="007306DE" w:rsidRPr="00452BAD" w:rsidRDefault="00D00097" w:rsidP="009448ED">
      <w:pPr>
        <w:tabs>
          <w:tab w:val="left" w:pos="1276"/>
        </w:tabs>
        <w:spacing w:before="240" w:after="120"/>
        <w:rPr>
          <w:rFonts w:ascii="Arial" w:eastAsia="Arial" w:hAnsi="Arial" w:cs="Arial"/>
          <w:b/>
          <w:sz w:val="24"/>
        </w:rPr>
      </w:pPr>
      <w:bookmarkStart w:id="3" w:name="_Hlk7102397"/>
      <w:bookmarkStart w:id="4" w:name="_Hlk536697275"/>
      <w:r w:rsidRPr="00452BAD">
        <w:rPr>
          <w:rFonts w:ascii="Arial" w:eastAsia="Arial" w:hAnsi="Arial" w:cs="Arial"/>
          <w:b/>
          <w:sz w:val="24"/>
        </w:rPr>
        <w:t>Update on share</w:t>
      </w:r>
      <w:r w:rsidR="000648BC">
        <w:rPr>
          <w:rFonts w:ascii="Arial" w:eastAsia="Arial" w:hAnsi="Arial" w:cs="Arial"/>
          <w:b/>
          <w:sz w:val="24"/>
        </w:rPr>
        <w:t xml:space="preserve"> buyback</w:t>
      </w:r>
      <w:r w:rsidRPr="00452BAD">
        <w:rPr>
          <w:rFonts w:ascii="Arial" w:eastAsia="Arial" w:hAnsi="Arial" w:cs="Arial"/>
          <w:b/>
          <w:sz w:val="24"/>
        </w:rPr>
        <w:t xml:space="preserve"> program</w:t>
      </w:r>
    </w:p>
    <w:bookmarkEnd w:id="3"/>
    <w:p w14:paraId="6BE470B7" w14:textId="77777777" w:rsidR="002247F6" w:rsidRPr="00AE6F26" w:rsidRDefault="008D0A05" w:rsidP="002247F6">
      <w:pPr>
        <w:spacing w:before="120" w:after="240"/>
        <w:jc w:val="both"/>
        <w:rPr>
          <w:rFonts w:ascii="Arial" w:eastAsia="Arial" w:hAnsi="Arial" w:cs="Arial"/>
          <w:sz w:val="22"/>
        </w:rPr>
      </w:pPr>
      <w:r>
        <w:rPr>
          <w:rFonts w:ascii="Arial" w:eastAsia="Arial" w:hAnsi="Arial" w:cs="Arial"/>
          <w:sz w:val="22"/>
        </w:rPr>
        <w:t xml:space="preserve">As of June 19, </w:t>
      </w:r>
      <w:r w:rsidR="00AD5B19">
        <w:rPr>
          <w:rFonts w:ascii="Arial" w:eastAsia="Arial" w:hAnsi="Arial" w:cs="Arial"/>
          <w:sz w:val="22"/>
        </w:rPr>
        <w:t xml:space="preserve">2019, </w:t>
      </w:r>
      <w:r w:rsidR="00376AC2">
        <w:rPr>
          <w:rFonts w:ascii="Arial" w:eastAsia="Arial" w:hAnsi="Arial" w:cs="Arial"/>
          <w:sz w:val="22"/>
        </w:rPr>
        <w:t xml:space="preserve">QIAGEN had repurchased </w:t>
      </w:r>
      <w:r w:rsidR="00AD5B19">
        <w:rPr>
          <w:rFonts w:ascii="Arial" w:eastAsia="Arial" w:hAnsi="Arial" w:cs="Arial"/>
          <w:sz w:val="22"/>
        </w:rPr>
        <w:t>approximately $180 million</w:t>
      </w:r>
      <w:r w:rsidR="00B642FE">
        <w:rPr>
          <w:rFonts w:ascii="Arial" w:eastAsia="Arial" w:hAnsi="Arial" w:cs="Arial"/>
          <w:sz w:val="22"/>
        </w:rPr>
        <w:t xml:space="preserve"> of shares </w:t>
      </w:r>
      <w:r w:rsidR="00AE6F26">
        <w:rPr>
          <w:rFonts w:ascii="Arial" w:eastAsia="Arial" w:hAnsi="Arial" w:cs="Arial"/>
          <w:sz w:val="22"/>
        </w:rPr>
        <w:t>(</w:t>
      </w:r>
      <w:r w:rsidR="00312F84">
        <w:rPr>
          <w:rFonts w:ascii="Arial" w:eastAsia="Arial" w:hAnsi="Arial" w:cs="Arial"/>
          <w:sz w:val="22"/>
        </w:rPr>
        <w:t>4.9</w:t>
      </w:r>
      <w:r w:rsidR="00AE6F26">
        <w:rPr>
          <w:rFonts w:ascii="Arial" w:eastAsia="Arial" w:hAnsi="Arial" w:cs="Arial"/>
          <w:sz w:val="22"/>
        </w:rPr>
        <w:t xml:space="preserve"> million shares on the Frankfurt Stock Exchange at a volume-weighted average price of EUR </w:t>
      </w:r>
      <w:r w:rsidR="007B205D">
        <w:rPr>
          <w:rFonts w:ascii="Arial" w:eastAsia="Arial" w:hAnsi="Arial" w:cs="Arial"/>
          <w:sz w:val="22"/>
        </w:rPr>
        <w:t>32.05</w:t>
      </w:r>
      <w:r w:rsidR="00AE6F26">
        <w:rPr>
          <w:rFonts w:ascii="Arial" w:eastAsia="Arial" w:hAnsi="Arial" w:cs="Arial"/>
          <w:sz w:val="22"/>
        </w:rPr>
        <w:t xml:space="preserve"> per share for about EUR </w:t>
      </w:r>
      <w:r w:rsidR="00740700">
        <w:rPr>
          <w:rFonts w:ascii="Arial" w:eastAsia="Arial" w:hAnsi="Arial" w:cs="Arial"/>
          <w:sz w:val="22"/>
        </w:rPr>
        <w:t>155</w:t>
      </w:r>
      <w:r w:rsidR="00AE6F26">
        <w:rPr>
          <w:rFonts w:ascii="Arial" w:eastAsia="Arial" w:hAnsi="Arial" w:cs="Arial"/>
          <w:sz w:val="22"/>
        </w:rPr>
        <w:t xml:space="preserve"> million) before the expiry of </w:t>
      </w:r>
      <w:r w:rsidR="00B0487F">
        <w:rPr>
          <w:rFonts w:ascii="Arial" w:eastAsia="Arial" w:hAnsi="Arial" w:cs="Arial"/>
          <w:sz w:val="22"/>
        </w:rPr>
        <w:t xml:space="preserve">the </w:t>
      </w:r>
      <w:r w:rsidR="00B642FE">
        <w:rPr>
          <w:rFonts w:ascii="Arial" w:eastAsia="Arial" w:hAnsi="Arial" w:cs="Arial"/>
          <w:sz w:val="22"/>
        </w:rPr>
        <w:t xml:space="preserve">program </w:t>
      </w:r>
      <w:r w:rsidR="00AE6F26">
        <w:rPr>
          <w:rFonts w:ascii="Arial" w:eastAsia="Arial" w:hAnsi="Arial" w:cs="Arial"/>
          <w:sz w:val="22"/>
        </w:rPr>
        <w:t>that had authorization to acquire up to $200 million of shares. QIAGEN has previously announced plans for a new $100 million share repurchase progra</w:t>
      </w:r>
      <w:r w:rsidR="00AE6F26" w:rsidRPr="00B0487F">
        <w:rPr>
          <w:rFonts w:ascii="Arial" w:eastAsia="Arial" w:hAnsi="Arial" w:cs="Arial"/>
          <w:sz w:val="22"/>
        </w:rPr>
        <w:t>m.</w:t>
      </w:r>
      <w:r w:rsidR="00AE6F26">
        <w:rPr>
          <w:rFonts w:ascii="Arial" w:eastAsia="Arial" w:hAnsi="Arial" w:cs="Arial"/>
          <w:sz w:val="22"/>
        </w:rPr>
        <w:t xml:space="preserve"> </w:t>
      </w:r>
      <w:r w:rsidR="002247F6" w:rsidRPr="002247F6">
        <w:rPr>
          <w:rFonts w:ascii="Arial" w:eastAsia="Arial" w:hAnsi="Arial" w:cs="Arial"/>
          <w:sz w:val="22"/>
        </w:rPr>
        <w:t xml:space="preserve">Further information is available on the QIAGEN </w:t>
      </w:r>
      <w:r>
        <w:rPr>
          <w:rFonts w:ascii="Arial" w:eastAsia="Arial" w:hAnsi="Arial" w:cs="Arial"/>
          <w:sz w:val="22"/>
        </w:rPr>
        <w:t xml:space="preserve">Investor Relations </w:t>
      </w:r>
      <w:r w:rsidR="002247F6" w:rsidRPr="002247F6">
        <w:rPr>
          <w:rFonts w:ascii="Arial" w:eastAsia="Arial" w:hAnsi="Arial" w:cs="Arial"/>
          <w:sz w:val="22"/>
        </w:rPr>
        <w:t>website.</w:t>
      </w:r>
    </w:p>
    <w:p w14:paraId="35C506F4" w14:textId="77777777" w:rsidR="007306DE" w:rsidRPr="00037D2E" w:rsidRDefault="00E14202" w:rsidP="00882349">
      <w:pPr>
        <w:tabs>
          <w:tab w:val="left" w:pos="1276"/>
        </w:tabs>
        <w:spacing w:before="240" w:after="120"/>
        <w:rPr>
          <w:rFonts w:ascii="Arial" w:eastAsia="Arial" w:hAnsi="Arial" w:cs="Arial"/>
          <w:b/>
          <w:sz w:val="24"/>
        </w:rPr>
      </w:pPr>
      <w:bookmarkStart w:id="5" w:name="_Hlk8055081"/>
      <w:bookmarkEnd w:id="4"/>
      <w:r w:rsidRPr="00037D2E">
        <w:rPr>
          <w:rFonts w:ascii="Arial" w:eastAsia="Arial" w:hAnsi="Arial" w:cs="Arial"/>
          <w:b/>
          <w:sz w:val="24"/>
        </w:rPr>
        <w:t>O</w:t>
      </w:r>
      <w:r w:rsidR="00D00097" w:rsidRPr="00037D2E">
        <w:rPr>
          <w:rFonts w:ascii="Arial" w:eastAsia="Arial" w:hAnsi="Arial" w:cs="Arial"/>
          <w:b/>
          <w:sz w:val="24"/>
        </w:rPr>
        <w:t>utlook</w:t>
      </w:r>
    </w:p>
    <w:bookmarkEnd w:id="5"/>
    <w:p w14:paraId="62A89CD3" w14:textId="77777777" w:rsidR="00AD5B19" w:rsidRPr="00446A3F" w:rsidRDefault="001C0528" w:rsidP="002247F6">
      <w:pPr>
        <w:spacing w:before="120" w:after="240"/>
        <w:jc w:val="both"/>
        <w:rPr>
          <w:rFonts w:ascii="Arial" w:eastAsia="Arial" w:hAnsi="Arial" w:cs="Arial"/>
          <w:sz w:val="22"/>
        </w:rPr>
      </w:pPr>
      <w:r w:rsidRPr="00446A3F">
        <w:rPr>
          <w:rFonts w:ascii="Arial" w:eastAsia="Arial" w:hAnsi="Arial" w:cs="Arial"/>
          <w:sz w:val="22"/>
        </w:rPr>
        <w:t>As</w:t>
      </w:r>
      <w:r w:rsidR="0031658F">
        <w:rPr>
          <w:rFonts w:ascii="Arial" w:eastAsia="Arial" w:hAnsi="Arial" w:cs="Arial"/>
          <w:sz w:val="22"/>
        </w:rPr>
        <w:t xml:space="preserve"> announced on July 24, QIAGEN updated its outlook for full-year 2019 based on the intention to restructure its NGS joint venture in China. QIAGEN now expects full-year 2019 net sales growth of approximately 5-6% CER (previously 7-8% CER) and adjusted diluted EPS of approximately $1.42-1.44 CER </w:t>
      </w:r>
      <w:r w:rsidR="0031658F" w:rsidRPr="00D0710B">
        <w:rPr>
          <w:rFonts w:ascii="Arial" w:eastAsia="Arial" w:hAnsi="Arial" w:cs="Arial"/>
          <w:sz w:val="22"/>
        </w:rPr>
        <w:t xml:space="preserve">per share (previously about $1.45-1.47 CER). </w:t>
      </w:r>
      <w:r w:rsidR="00AD5B19" w:rsidRPr="00D0710B">
        <w:rPr>
          <w:rFonts w:ascii="Arial" w:eastAsia="Arial" w:hAnsi="Arial" w:cs="Arial"/>
          <w:sz w:val="22"/>
        </w:rPr>
        <w:t xml:space="preserve">As of July 29, 2019, for the full-year 2019, currency movements against the U.S. dollar are expected to create an adverse impact of about </w:t>
      </w:r>
      <w:r w:rsidR="00D0710B" w:rsidRPr="00D0710B">
        <w:rPr>
          <w:rFonts w:ascii="Arial" w:eastAsia="Arial" w:hAnsi="Arial" w:cs="Arial"/>
          <w:sz w:val="22"/>
        </w:rPr>
        <w:t>three</w:t>
      </w:r>
      <w:r w:rsidR="00AD5B19" w:rsidRPr="002F0FB0">
        <w:rPr>
          <w:rFonts w:ascii="Arial" w:eastAsia="Arial" w:hAnsi="Arial" w:cs="Arial"/>
          <w:sz w:val="22"/>
        </w:rPr>
        <w:t xml:space="preserve"> percentage points </w:t>
      </w:r>
      <w:r w:rsidR="00AD5B19" w:rsidRPr="00D0710B">
        <w:rPr>
          <w:rFonts w:ascii="Arial" w:eastAsia="Arial" w:hAnsi="Arial" w:cs="Arial"/>
          <w:sz w:val="22"/>
        </w:rPr>
        <w:t>on</w:t>
      </w:r>
      <w:r w:rsidR="00AD5B19" w:rsidRPr="00446A3F">
        <w:rPr>
          <w:rFonts w:ascii="Arial" w:eastAsia="Arial" w:hAnsi="Arial" w:cs="Arial"/>
          <w:sz w:val="22"/>
        </w:rPr>
        <w:t xml:space="preserve"> net sales growth at actual rates, and an adverse impact of </w:t>
      </w:r>
      <w:r w:rsidR="00AD5B19" w:rsidRPr="001B5B64">
        <w:rPr>
          <w:rFonts w:ascii="Arial" w:eastAsia="Arial" w:hAnsi="Arial" w:cs="Arial"/>
          <w:sz w:val="22"/>
        </w:rPr>
        <w:t xml:space="preserve">about </w:t>
      </w:r>
      <w:r w:rsidR="00D0710B" w:rsidRPr="002F0FB0">
        <w:rPr>
          <w:rFonts w:ascii="Arial" w:eastAsia="Arial" w:hAnsi="Arial" w:cs="Arial"/>
          <w:sz w:val="22"/>
        </w:rPr>
        <w:t>$</w:t>
      </w:r>
      <w:r w:rsidR="00AD5B19" w:rsidRPr="002F0FB0">
        <w:rPr>
          <w:rFonts w:ascii="Arial" w:eastAsia="Arial" w:hAnsi="Arial" w:cs="Arial"/>
          <w:sz w:val="22"/>
        </w:rPr>
        <w:t>0.0</w:t>
      </w:r>
      <w:r w:rsidR="00454BE4" w:rsidRPr="002F0FB0">
        <w:rPr>
          <w:rFonts w:ascii="Arial" w:eastAsia="Arial" w:hAnsi="Arial" w:cs="Arial"/>
          <w:sz w:val="22"/>
        </w:rPr>
        <w:t>3</w:t>
      </w:r>
      <w:r w:rsidR="00D0710B" w:rsidRPr="002F0FB0">
        <w:rPr>
          <w:rFonts w:ascii="Arial" w:eastAsia="Arial" w:hAnsi="Arial" w:cs="Arial"/>
          <w:sz w:val="22"/>
        </w:rPr>
        <w:t>-</w:t>
      </w:r>
      <w:r w:rsidR="00454BE4" w:rsidRPr="002F0FB0">
        <w:rPr>
          <w:rFonts w:ascii="Arial" w:eastAsia="Arial" w:hAnsi="Arial" w:cs="Arial"/>
          <w:sz w:val="22"/>
        </w:rPr>
        <w:t xml:space="preserve">0.04 </w:t>
      </w:r>
      <w:r w:rsidR="00AD5B19" w:rsidRPr="001B5B64">
        <w:rPr>
          <w:rFonts w:ascii="Arial" w:eastAsia="Arial" w:hAnsi="Arial" w:cs="Arial"/>
          <w:sz w:val="22"/>
        </w:rPr>
        <w:t>per share on adjusted EPS. These expectations do not take into account any future acquisitions.</w:t>
      </w:r>
    </w:p>
    <w:p w14:paraId="799530DA" w14:textId="77777777" w:rsidR="00235296" w:rsidRPr="00AD5B19" w:rsidRDefault="00AD5B19" w:rsidP="002247F6">
      <w:pPr>
        <w:spacing w:before="120" w:after="240"/>
        <w:jc w:val="both"/>
        <w:rPr>
          <w:rFonts w:ascii="Arial" w:eastAsia="Arial" w:hAnsi="Arial" w:cs="Arial"/>
          <w:sz w:val="22"/>
        </w:rPr>
      </w:pPr>
      <w:r w:rsidRPr="00446A3F">
        <w:rPr>
          <w:rFonts w:ascii="Arial" w:eastAsia="Arial" w:hAnsi="Arial" w:cs="Arial"/>
          <w:sz w:val="22"/>
        </w:rPr>
        <w:t xml:space="preserve">For the third quarter of 2019, QIAGEN expects net sales </w:t>
      </w:r>
      <w:r w:rsidR="00624792" w:rsidRPr="00446A3F">
        <w:rPr>
          <w:rFonts w:ascii="Arial" w:eastAsia="Arial" w:hAnsi="Arial" w:cs="Arial"/>
          <w:sz w:val="22"/>
        </w:rPr>
        <w:t xml:space="preserve">to grow </w:t>
      </w:r>
      <w:r w:rsidRPr="00446A3F">
        <w:rPr>
          <w:rFonts w:ascii="Arial" w:eastAsia="Arial" w:hAnsi="Arial" w:cs="Arial"/>
          <w:sz w:val="22"/>
        </w:rPr>
        <w:t>a</w:t>
      </w:r>
      <w:r w:rsidR="00F850BC">
        <w:rPr>
          <w:rFonts w:ascii="Arial" w:eastAsia="Arial" w:hAnsi="Arial" w:cs="Arial"/>
          <w:sz w:val="22"/>
        </w:rPr>
        <w:t>pproximately</w:t>
      </w:r>
      <w:r w:rsidRPr="00446A3F">
        <w:rPr>
          <w:rFonts w:ascii="Arial" w:eastAsia="Arial" w:hAnsi="Arial" w:cs="Arial"/>
          <w:sz w:val="22"/>
        </w:rPr>
        <w:t xml:space="preserve"> </w:t>
      </w:r>
      <w:r w:rsidR="0031658F">
        <w:rPr>
          <w:rFonts w:ascii="Arial" w:eastAsia="Arial" w:hAnsi="Arial" w:cs="Arial"/>
          <w:sz w:val="22"/>
        </w:rPr>
        <w:t>4-5</w:t>
      </w:r>
      <w:r w:rsidRPr="00446A3F">
        <w:rPr>
          <w:rFonts w:ascii="Arial" w:eastAsia="Arial" w:hAnsi="Arial" w:cs="Arial"/>
          <w:sz w:val="22"/>
        </w:rPr>
        <w:t>% CER</w:t>
      </w:r>
      <w:r w:rsidR="0031658F">
        <w:rPr>
          <w:rFonts w:ascii="Arial" w:eastAsia="Arial" w:hAnsi="Arial" w:cs="Arial"/>
          <w:sz w:val="22"/>
        </w:rPr>
        <w:t>. Adjusted diluted EPS is expected to be about $0.35-0.36 CER per share.</w:t>
      </w:r>
      <w:r w:rsidRPr="00446A3F">
        <w:rPr>
          <w:rFonts w:ascii="Arial" w:eastAsia="Arial" w:hAnsi="Arial" w:cs="Arial"/>
          <w:sz w:val="22"/>
        </w:rPr>
        <w:t xml:space="preserve"> As of July 29, 2019, for the third quarter of 2019</w:t>
      </w:r>
      <w:r w:rsidRPr="00D0710B">
        <w:rPr>
          <w:rFonts w:ascii="Arial" w:eastAsia="Arial" w:hAnsi="Arial" w:cs="Arial"/>
          <w:sz w:val="22"/>
        </w:rPr>
        <w:t xml:space="preserve">, currency movements against the U.S. dollar are expected to create an adverse impact of </w:t>
      </w:r>
      <w:r w:rsidRPr="002F0FB0">
        <w:rPr>
          <w:rFonts w:ascii="Arial" w:eastAsia="Arial" w:hAnsi="Arial" w:cs="Arial"/>
          <w:sz w:val="22"/>
        </w:rPr>
        <w:t xml:space="preserve">about </w:t>
      </w:r>
      <w:r w:rsidR="00D0710B" w:rsidRPr="002F0FB0">
        <w:rPr>
          <w:rFonts w:ascii="Arial" w:eastAsia="Arial" w:hAnsi="Arial" w:cs="Arial"/>
          <w:sz w:val="22"/>
        </w:rPr>
        <w:t>two</w:t>
      </w:r>
      <w:r w:rsidRPr="002F0FB0">
        <w:rPr>
          <w:rFonts w:ascii="Arial" w:eastAsia="Arial" w:hAnsi="Arial" w:cs="Arial"/>
          <w:sz w:val="22"/>
        </w:rPr>
        <w:t xml:space="preserve"> percentage points</w:t>
      </w:r>
      <w:r w:rsidRPr="00D0710B">
        <w:rPr>
          <w:rFonts w:ascii="Arial" w:eastAsia="Arial" w:hAnsi="Arial" w:cs="Arial"/>
          <w:sz w:val="22"/>
        </w:rPr>
        <w:t xml:space="preserve"> on net sales growth at actual rates, and an adverse impact of about </w:t>
      </w:r>
      <w:r w:rsidRPr="002F0FB0">
        <w:rPr>
          <w:rFonts w:ascii="Arial" w:eastAsia="Arial" w:hAnsi="Arial" w:cs="Arial"/>
          <w:sz w:val="22"/>
        </w:rPr>
        <w:t>$0.0</w:t>
      </w:r>
      <w:r w:rsidR="00454BE4" w:rsidRPr="002F0FB0">
        <w:rPr>
          <w:rFonts w:ascii="Arial" w:eastAsia="Arial" w:hAnsi="Arial" w:cs="Arial"/>
          <w:sz w:val="22"/>
        </w:rPr>
        <w:t>1</w:t>
      </w:r>
      <w:r w:rsidRPr="002F0FB0">
        <w:rPr>
          <w:rFonts w:ascii="Arial" w:eastAsia="Arial" w:hAnsi="Arial" w:cs="Arial"/>
          <w:sz w:val="22"/>
        </w:rPr>
        <w:t xml:space="preserve"> per share</w:t>
      </w:r>
      <w:r w:rsidRPr="00D0710B">
        <w:rPr>
          <w:rFonts w:ascii="Arial" w:eastAsia="Arial" w:hAnsi="Arial" w:cs="Arial"/>
          <w:sz w:val="22"/>
        </w:rPr>
        <w:t xml:space="preserve"> on adjusted</w:t>
      </w:r>
      <w:r w:rsidRPr="00446A3F">
        <w:rPr>
          <w:rFonts w:ascii="Arial" w:eastAsia="Arial" w:hAnsi="Arial" w:cs="Arial"/>
          <w:sz w:val="22"/>
        </w:rPr>
        <w:t xml:space="preserve"> EPS.</w:t>
      </w:r>
    </w:p>
    <w:p w14:paraId="6B80121B" w14:textId="77777777" w:rsidR="003C5CD1" w:rsidRDefault="003C5CD1" w:rsidP="009448ED">
      <w:pPr>
        <w:tabs>
          <w:tab w:val="left" w:pos="1276"/>
        </w:tabs>
        <w:spacing w:before="240" w:after="120"/>
        <w:rPr>
          <w:rFonts w:ascii="Arial" w:eastAsia="Arial" w:hAnsi="Arial" w:cs="Arial"/>
          <w:b/>
          <w:sz w:val="24"/>
        </w:rPr>
      </w:pPr>
    </w:p>
    <w:p w14:paraId="2B4379D7" w14:textId="77777777" w:rsidR="003C5CD1" w:rsidRDefault="003C5CD1" w:rsidP="009448ED">
      <w:pPr>
        <w:tabs>
          <w:tab w:val="left" w:pos="1276"/>
        </w:tabs>
        <w:spacing w:before="240" w:after="120"/>
        <w:rPr>
          <w:rFonts w:ascii="Arial" w:eastAsia="Arial" w:hAnsi="Arial" w:cs="Arial"/>
          <w:b/>
          <w:sz w:val="24"/>
        </w:rPr>
      </w:pPr>
    </w:p>
    <w:p w14:paraId="56A5F376" w14:textId="77777777" w:rsidR="007306DE" w:rsidRDefault="00D00097" w:rsidP="009448ED">
      <w:pPr>
        <w:tabs>
          <w:tab w:val="left" w:pos="1276"/>
        </w:tabs>
        <w:spacing w:before="240" w:after="120"/>
        <w:rPr>
          <w:rFonts w:ascii="Arial" w:eastAsia="Arial" w:hAnsi="Arial" w:cs="Arial"/>
          <w:b/>
          <w:sz w:val="24"/>
        </w:rPr>
      </w:pPr>
      <w:r>
        <w:rPr>
          <w:rFonts w:ascii="Arial" w:eastAsia="Arial" w:hAnsi="Arial" w:cs="Arial"/>
          <w:b/>
          <w:sz w:val="24"/>
        </w:rPr>
        <w:t>Quarterly results presentation, conference call and webcast details</w:t>
      </w:r>
    </w:p>
    <w:p w14:paraId="3779E536" w14:textId="77777777" w:rsidR="007306DE" w:rsidRPr="00E96E6F" w:rsidRDefault="00D00097" w:rsidP="002B27E6">
      <w:pPr>
        <w:spacing w:before="120" w:after="240"/>
        <w:jc w:val="both"/>
        <w:rPr>
          <w:rFonts w:ascii="Arial" w:eastAsia="Arial" w:hAnsi="Arial" w:cs="Arial"/>
          <w:spacing w:val="-4"/>
          <w:sz w:val="22"/>
        </w:rPr>
      </w:pPr>
      <w:r w:rsidRPr="00E96E6F">
        <w:rPr>
          <w:rFonts w:ascii="Arial" w:eastAsia="Arial" w:hAnsi="Arial" w:cs="Arial"/>
          <w:spacing w:val="-4"/>
          <w:sz w:val="22"/>
        </w:rPr>
        <w:t xml:space="preserve">A presentation with additional information can be downloaded at </w:t>
      </w:r>
      <w:r w:rsidRPr="00E96E6F">
        <w:rPr>
          <w:rFonts w:ascii="Arial" w:eastAsia="Arial" w:hAnsi="Arial" w:cs="Arial"/>
          <w:color w:val="0000FF"/>
          <w:spacing w:val="-4"/>
          <w:sz w:val="22"/>
          <w:u w:val="single" w:color="0000FF"/>
        </w:rPr>
        <w:t>http://www.qiagen.com/de/about-us/investors/corporate-calendar/</w:t>
      </w:r>
      <w:r w:rsidRPr="00E96E6F">
        <w:rPr>
          <w:rFonts w:ascii="Arial" w:eastAsia="Arial" w:hAnsi="Arial" w:cs="Arial"/>
          <w:spacing w:val="-4"/>
          <w:sz w:val="22"/>
        </w:rPr>
        <w:t xml:space="preserve">. A conference call will </w:t>
      </w:r>
      <w:r w:rsidRPr="0031658F">
        <w:rPr>
          <w:rFonts w:ascii="Arial" w:eastAsia="Arial" w:hAnsi="Arial" w:cs="Arial"/>
          <w:spacing w:val="-4"/>
          <w:sz w:val="22"/>
        </w:rPr>
        <w:t xml:space="preserve">be held on </w:t>
      </w:r>
      <w:r w:rsidR="002247F6" w:rsidRPr="00A3212A">
        <w:rPr>
          <w:rFonts w:ascii="Arial" w:eastAsia="Arial" w:hAnsi="Arial" w:cs="Arial"/>
          <w:spacing w:val="-4"/>
          <w:sz w:val="22"/>
        </w:rPr>
        <w:t>Wednesday July 31, 2019,</w:t>
      </w:r>
      <w:r w:rsidR="002247F6" w:rsidRPr="0031658F">
        <w:rPr>
          <w:rFonts w:ascii="Arial" w:eastAsia="Arial" w:hAnsi="Arial" w:cs="Arial"/>
          <w:spacing w:val="-4"/>
          <w:sz w:val="22"/>
        </w:rPr>
        <w:t xml:space="preserve"> </w:t>
      </w:r>
      <w:r w:rsidRPr="0031658F">
        <w:rPr>
          <w:rFonts w:ascii="Arial" w:eastAsia="Arial" w:hAnsi="Arial" w:cs="Arial"/>
          <w:spacing w:val="-4"/>
          <w:sz w:val="22"/>
        </w:rPr>
        <w:t>at 15:00 Central European Time (CET) / 14:00 GMT / 9:00 Eastern Standard Time (EST). A live webcast will be made available at this website, and a replay will also be made available after the event.</w:t>
      </w:r>
    </w:p>
    <w:p w14:paraId="5A5B1F4F" w14:textId="77777777" w:rsidR="007306DE" w:rsidRDefault="00D00097" w:rsidP="002B27E6">
      <w:pPr>
        <w:spacing w:before="240" w:after="120"/>
        <w:rPr>
          <w:rFonts w:ascii="Arial" w:eastAsia="Arial" w:hAnsi="Arial" w:cs="Arial"/>
          <w:b/>
          <w:sz w:val="24"/>
        </w:rPr>
      </w:pPr>
      <w:r>
        <w:rPr>
          <w:rFonts w:ascii="Arial" w:eastAsia="Arial" w:hAnsi="Arial" w:cs="Arial"/>
          <w:b/>
          <w:sz w:val="24"/>
        </w:rPr>
        <w:t>Use of adjusted results</w:t>
      </w:r>
    </w:p>
    <w:p w14:paraId="74CCF99B" w14:textId="77777777" w:rsidR="007306DE" w:rsidRDefault="00D00097" w:rsidP="002B27E6">
      <w:pPr>
        <w:spacing w:before="120" w:after="240"/>
        <w:jc w:val="both"/>
        <w:rPr>
          <w:rFonts w:ascii="Arial" w:eastAsia="Arial" w:hAnsi="Arial" w:cs="Arial"/>
          <w:sz w:val="22"/>
        </w:rPr>
      </w:pPr>
      <w:r>
        <w:rPr>
          <w:rFonts w:ascii="Arial" w:eastAsia="Arial" w:hAnsi="Arial" w:cs="Arial"/>
          <w:sz w:val="22"/>
        </w:rPr>
        <w:t>QIAGEN reports adjusted results, as well as results on a constant exchange rate (CER) basis, and other non-U.S. GAAP figures (generally accepted accounting principles), to provide additional insight into its performance. These results include adjusted gross margin, adjusted operating income, adjusted operating income margin, adjusted net income, adjusted diluted EPS, adjusted tax rates and free cash flow. Adjusted results are non-GAAP financial measures that QIAGEN believes should be considered in addition to reported results prepared in accordance with GAAP, but should not be considered as a substitute. Free cash flow is calculated by deducting capital expenditures for Property, Plant &amp; Equipment from cash flow from operating activities. QIAGEN believes certain items should be excluded from adjusted results when they are outside of ongoing core operations, vary significantly from period to period, or affect the comparability of results with competitors and its own prior periods. Furthermore, QIAGEN uses non-GAAP and constant currency financial measures internally in planning, forecasting and reporting, as well as to measure and compensate employees. QIAGEN also uses adjusted results when comparing current performance to historical operating results, which have consistently been presented on an adjusted basis. Reconciliations are included in the tables accompanying this report.</w:t>
      </w:r>
    </w:p>
    <w:p w14:paraId="76909C54" w14:textId="77777777" w:rsidR="007306DE" w:rsidRDefault="00EB3A26" w:rsidP="002B27E6">
      <w:pPr>
        <w:spacing w:before="240" w:after="120"/>
        <w:rPr>
          <w:rFonts w:ascii="Arial" w:eastAsia="Arial" w:hAnsi="Arial" w:cs="Arial"/>
          <w:b/>
          <w:sz w:val="24"/>
        </w:rPr>
      </w:pPr>
      <w:r>
        <w:rPr>
          <w:rFonts w:ascii="Arial" w:eastAsia="Arial" w:hAnsi="Arial" w:cs="Arial"/>
          <w:b/>
          <w:sz w:val="24"/>
        </w:rPr>
        <w:t>A</w:t>
      </w:r>
      <w:r w:rsidR="00D00097">
        <w:rPr>
          <w:rFonts w:ascii="Arial" w:eastAsia="Arial" w:hAnsi="Arial" w:cs="Arial"/>
          <w:b/>
          <w:sz w:val="24"/>
        </w:rPr>
        <w:t>bout QIAGEN</w:t>
      </w:r>
    </w:p>
    <w:p w14:paraId="24CA2772" w14:textId="77777777" w:rsidR="007306DE" w:rsidRDefault="00D00097" w:rsidP="002B27E6">
      <w:pPr>
        <w:spacing w:before="120" w:after="240"/>
        <w:jc w:val="both"/>
        <w:rPr>
          <w:rFonts w:ascii="Arial" w:eastAsia="Arial" w:hAnsi="Arial" w:cs="Arial"/>
          <w:sz w:val="22"/>
        </w:rPr>
      </w:pPr>
      <w:r>
        <w:rPr>
          <w:rFonts w:ascii="Arial" w:eastAsia="Arial" w:hAnsi="Arial" w:cs="Arial"/>
          <w:sz w:val="22"/>
        </w:rPr>
        <w:t xml:space="preserve">QIAGEN N.V., a Netherlands-based holding company, is the leading global provider of Sample to Insight solutions that enable customers to gain valuable molecular insights from samples containing the building blocks of life. Our sample technologies isolate and process DNA, RNA and proteins from blood, tissue and other materials. Assay technologies make these biomolecules visible and ready for analysis. Bioinformatics software and knowledge bases interpret data to report relevant, actionable insights. </w:t>
      </w:r>
      <w:r w:rsidRPr="00057F3F">
        <w:rPr>
          <w:rFonts w:ascii="Arial" w:eastAsia="Arial" w:hAnsi="Arial" w:cs="Arial"/>
          <w:sz w:val="22"/>
        </w:rPr>
        <w:t xml:space="preserve">Automation solutions tie these together </w:t>
      </w:r>
      <w:r w:rsidRPr="00813776">
        <w:rPr>
          <w:rFonts w:ascii="Arial" w:eastAsia="Arial" w:hAnsi="Arial" w:cs="Arial"/>
          <w:sz w:val="22"/>
        </w:rPr>
        <w:t>in seamless and cost-effective workflows. QIAGEN provides solutions to more than 500,000 customers around the world in Molecular Diagnostics (human healthcare)</w:t>
      </w:r>
      <w:r w:rsidR="002D72C0" w:rsidRPr="00813776">
        <w:rPr>
          <w:rFonts w:ascii="Arial" w:eastAsia="Arial" w:hAnsi="Arial" w:cs="Arial"/>
          <w:sz w:val="22"/>
        </w:rPr>
        <w:t xml:space="preserve"> and Life Sciences (academia, pharma R&amp;D and </w:t>
      </w:r>
      <w:r w:rsidR="00776180" w:rsidRPr="00813776">
        <w:rPr>
          <w:rFonts w:ascii="Arial" w:eastAsia="Arial" w:hAnsi="Arial" w:cs="Arial"/>
          <w:sz w:val="22"/>
        </w:rPr>
        <w:t xml:space="preserve">industrial applications, primarily </w:t>
      </w:r>
      <w:r w:rsidR="002D72C0" w:rsidRPr="00813776">
        <w:rPr>
          <w:rFonts w:ascii="Arial" w:eastAsia="Arial" w:hAnsi="Arial" w:cs="Arial"/>
          <w:sz w:val="22"/>
        </w:rPr>
        <w:t>forensics)</w:t>
      </w:r>
      <w:r w:rsidRPr="00813776">
        <w:rPr>
          <w:rFonts w:ascii="Arial" w:eastAsia="Arial" w:hAnsi="Arial" w:cs="Arial"/>
          <w:sz w:val="22"/>
        </w:rPr>
        <w:t xml:space="preserve">. As of </w:t>
      </w:r>
      <w:r w:rsidR="002247F6" w:rsidRPr="00813776">
        <w:rPr>
          <w:rFonts w:ascii="Arial" w:eastAsia="Arial" w:hAnsi="Arial" w:cs="Arial"/>
          <w:sz w:val="22"/>
        </w:rPr>
        <w:t>June 30</w:t>
      </w:r>
      <w:r w:rsidR="00052054" w:rsidRPr="00813776">
        <w:rPr>
          <w:rFonts w:ascii="Arial" w:eastAsia="Arial" w:hAnsi="Arial" w:cs="Arial"/>
          <w:sz w:val="22"/>
        </w:rPr>
        <w:t>, 2019</w:t>
      </w:r>
      <w:r w:rsidRPr="00813776">
        <w:rPr>
          <w:rFonts w:ascii="Arial" w:eastAsia="Arial" w:hAnsi="Arial" w:cs="Arial"/>
          <w:sz w:val="22"/>
        </w:rPr>
        <w:t xml:space="preserve">, QIAGEN employed approximately </w:t>
      </w:r>
      <w:r w:rsidR="00645D17" w:rsidRPr="00813776">
        <w:rPr>
          <w:rFonts w:ascii="Arial" w:eastAsia="Arial" w:hAnsi="Arial" w:cs="Arial"/>
          <w:color w:val="000000"/>
          <w:sz w:val="22"/>
        </w:rPr>
        <w:t>5,200</w:t>
      </w:r>
      <w:r w:rsidRPr="00813776">
        <w:rPr>
          <w:rFonts w:ascii="Arial" w:eastAsia="Arial" w:hAnsi="Arial" w:cs="Arial"/>
          <w:sz w:val="22"/>
        </w:rPr>
        <w:t xml:space="preserve"> people in over 35 locations worldwide. Further information can be found at </w:t>
      </w:r>
      <w:r w:rsidRPr="00813776">
        <w:rPr>
          <w:rFonts w:ascii="Arial" w:eastAsia="Arial" w:hAnsi="Arial" w:cs="Arial"/>
          <w:color w:val="0000FF"/>
          <w:sz w:val="22"/>
          <w:u w:val="single" w:color="0000FF"/>
        </w:rPr>
        <w:t>http://www.qiagen.com</w:t>
      </w:r>
      <w:r w:rsidRPr="00813776">
        <w:rPr>
          <w:rFonts w:ascii="Arial" w:eastAsia="Arial" w:hAnsi="Arial" w:cs="Arial"/>
          <w:sz w:val="22"/>
        </w:rPr>
        <w:t>.</w:t>
      </w:r>
    </w:p>
    <w:p w14:paraId="7A580DA9" w14:textId="77777777" w:rsidR="002737A7" w:rsidRPr="00292737" w:rsidRDefault="002737A7" w:rsidP="002737A7">
      <w:pPr>
        <w:spacing w:after="240"/>
        <w:jc w:val="both"/>
        <w:rPr>
          <w:rFonts w:ascii="Arial" w:eastAsia="Arial" w:hAnsi="Arial" w:cs="Arial"/>
          <w:i/>
          <w:sz w:val="18"/>
        </w:rPr>
      </w:pPr>
      <w:r w:rsidRPr="00292737">
        <w:rPr>
          <w:rFonts w:ascii="Arial" w:eastAsia="Arial" w:hAnsi="Arial" w:cs="Arial"/>
          <w:i/>
          <w:sz w:val="18"/>
        </w:rPr>
        <w:t xml:space="preserve">Certain statements contained in this press release may be considered forward-looking statements within the meaning of Section 27A of the U.S. Securities Act of 1933, as amended, and Section 21E of the U.S. Securities Exchange Act of 1934, as amended. To the extent that any of the statements contained herein relating to QIAGEN's products, launches, regulatory submissions, collaborations, markets, strategy, taxes or operating results, including without limitation its expected net sales, net sales of particular products (including anticipated sales of its QuantiFERON latent TB Test, its portfolio of next generation sequencing solutions and </w:t>
      </w:r>
      <w:proofErr w:type="spellStart"/>
      <w:r w:rsidRPr="00292737">
        <w:rPr>
          <w:rFonts w:ascii="Arial" w:eastAsia="Arial" w:hAnsi="Arial" w:cs="Arial"/>
          <w:i/>
          <w:sz w:val="18"/>
        </w:rPr>
        <w:t>QIAstat</w:t>
      </w:r>
      <w:proofErr w:type="spellEnd"/>
      <w:r w:rsidRPr="00292737">
        <w:rPr>
          <w:rFonts w:ascii="Arial" w:eastAsia="Arial" w:hAnsi="Arial" w:cs="Arial"/>
          <w:i/>
          <w:sz w:val="18"/>
        </w:rPr>
        <w:t xml:space="preserve">-Dx), adjusted net sales, adjusted diluted earnings per share results, product launches (including anticipated launches of digital PCR products, a new version of its QuantiFERON-TB test, QuantiFERON-TB Access, </w:t>
      </w:r>
      <w:r w:rsidR="00FD6E7B" w:rsidRPr="00292737">
        <w:rPr>
          <w:rFonts w:ascii="Arial" w:eastAsia="Arial" w:hAnsi="Arial" w:cs="Arial"/>
          <w:i/>
          <w:sz w:val="18"/>
        </w:rPr>
        <w:t>the</w:t>
      </w:r>
      <w:r w:rsidRPr="00292737">
        <w:rPr>
          <w:rFonts w:ascii="Arial" w:eastAsia="Arial" w:hAnsi="Arial" w:cs="Arial"/>
          <w:i/>
          <w:sz w:val="18"/>
        </w:rPr>
        <w:t xml:space="preserve"> </w:t>
      </w:r>
      <w:proofErr w:type="spellStart"/>
      <w:r w:rsidRPr="00292737">
        <w:rPr>
          <w:rFonts w:ascii="Arial" w:eastAsia="Arial" w:hAnsi="Arial" w:cs="Arial"/>
          <w:i/>
          <w:sz w:val="18"/>
        </w:rPr>
        <w:t>QIAstat</w:t>
      </w:r>
      <w:proofErr w:type="spellEnd"/>
      <w:r w:rsidRPr="00292737">
        <w:rPr>
          <w:rFonts w:ascii="Arial" w:eastAsia="Arial" w:hAnsi="Arial" w:cs="Arial"/>
          <w:i/>
          <w:sz w:val="18"/>
        </w:rPr>
        <w:t xml:space="preserve">-Dx panel for respiratory conditions and a CE-IVD marked panel for meningitis), placements of </w:t>
      </w:r>
      <w:proofErr w:type="spellStart"/>
      <w:r w:rsidRPr="00292737">
        <w:rPr>
          <w:rFonts w:ascii="Arial" w:eastAsia="Arial" w:hAnsi="Arial" w:cs="Arial"/>
          <w:i/>
          <w:sz w:val="18"/>
        </w:rPr>
        <w:t>QIAsymphony</w:t>
      </w:r>
      <w:proofErr w:type="spellEnd"/>
      <w:r w:rsidRPr="00292737">
        <w:rPr>
          <w:rFonts w:ascii="Arial" w:eastAsia="Arial" w:hAnsi="Arial" w:cs="Arial"/>
          <w:i/>
          <w:sz w:val="18"/>
        </w:rPr>
        <w:t xml:space="preserve"> modular PCR instruments, improvements in operating and financial leverage, currency movements against the U.S. dollar, and plans for investment in its portfolio and share repurchase commitments, are forward-looking, such statements are based on current expectations and assumptions that involve a number of uncertainties and risks. Such uncertainties and risks include, but are not limited to, risks associated with management of growth and international operations (including the effects of currency fluctuations, regulatory processes and dependence on logistics); variability of operating results and allocations between customer classes; the commercial development of markets for our products to customers in academia, pharma, applied testing and molecular diagnostics; changing relationships with customers, suppliers and strategic partners; competition; rapid or unexpected changes in technologies; fluctuations in demand for QIAGEN's products (including fluctuations due to general economic conditions, the level and timing of customers' funding, budgets and other factors); our ability to obtain regulatory approval of our products; difficulties in successfully adapting QIAGEN's products to integrated solutions and producing such products; the ability of QIAGEN to identify and develop new products and to differentiate and protect our products from competitors' products; market acceptance of QIAGEN's new products and the integration of acquired technologies and businesses; and the other factors discussed under the heading “Risk Factors” contained in Item 3 of our most recent Annual Report on Form 20-F. For further information, please refer to the discussions in reports that QIAGEN has filed with, or furnished to, the U.S. Securities and Exchange Commission (SEC).</w:t>
      </w:r>
    </w:p>
    <w:p w14:paraId="1F111704" w14:textId="77777777" w:rsidR="00274EF0" w:rsidRDefault="00274EF0" w:rsidP="002B27E6">
      <w:pPr>
        <w:spacing w:before="360" w:after="120"/>
        <w:rPr>
          <w:rFonts w:ascii="Arial" w:eastAsia="Arial" w:hAnsi="Arial" w:cs="Arial"/>
          <w:b/>
          <w:sz w:val="24"/>
        </w:rPr>
      </w:pPr>
    </w:p>
    <w:p w14:paraId="6DACA96D" w14:textId="77777777" w:rsidR="007306DE" w:rsidRDefault="00D00097" w:rsidP="002B27E6">
      <w:pPr>
        <w:spacing w:before="360" w:after="120"/>
        <w:rPr>
          <w:rFonts w:ascii="Arial" w:eastAsia="Arial" w:hAnsi="Arial" w:cs="Arial"/>
          <w:b/>
          <w:sz w:val="24"/>
        </w:rPr>
      </w:pPr>
      <w:r>
        <w:rPr>
          <w:rFonts w:ascii="Arial" w:eastAsia="Arial" w:hAnsi="Arial" w:cs="Arial"/>
          <w:b/>
          <w:sz w:val="24"/>
        </w:rPr>
        <w:t>Contacts</w:t>
      </w:r>
    </w:p>
    <w:p w14:paraId="13ECA48D" w14:textId="77777777" w:rsidR="007306DE" w:rsidRDefault="00D00097" w:rsidP="002B27E6">
      <w:pPr>
        <w:jc w:val="both"/>
        <w:rPr>
          <w:rFonts w:ascii="Arial" w:eastAsia="Arial" w:hAnsi="Arial" w:cs="Arial"/>
          <w:sz w:val="22"/>
        </w:rPr>
      </w:pPr>
      <w:r>
        <w:rPr>
          <w:rFonts w:ascii="Arial" w:eastAsia="Arial" w:hAnsi="Arial" w:cs="Arial"/>
          <w:sz w:val="22"/>
        </w:rPr>
        <w:t>John Gilardi</w:t>
      </w:r>
    </w:p>
    <w:p w14:paraId="787162B3" w14:textId="77777777" w:rsidR="007306DE" w:rsidRDefault="00D00097" w:rsidP="002B27E6">
      <w:pPr>
        <w:jc w:val="both"/>
        <w:rPr>
          <w:rFonts w:ascii="Arial" w:eastAsia="Arial" w:hAnsi="Arial" w:cs="Arial"/>
          <w:sz w:val="22"/>
        </w:rPr>
      </w:pPr>
      <w:r>
        <w:rPr>
          <w:rFonts w:ascii="Arial" w:eastAsia="Arial" w:hAnsi="Arial" w:cs="Arial"/>
          <w:sz w:val="22"/>
        </w:rPr>
        <w:t>Vice President Corporate Communications and Investor Relations</w:t>
      </w:r>
    </w:p>
    <w:p w14:paraId="30E4770C" w14:textId="77777777" w:rsidR="007306DE" w:rsidRDefault="00D00097" w:rsidP="002B27E6">
      <w:pPr>
        <w:jc w:val="both"/>
        <w:rPr>
          <w:rFonts w:ascii="Arial" w:eastAsia="Arial" w:hAnsi="Arial" w:cs="Arial"/>
          <w:sz w:val="22"/>
        </w:rPr>
      </w:pPr>
      <w:r>
        <w:rPr>
          <w:rFonts w:ascii="Arial" w:eastAsia="Arial" w:hAnsi="Arial" w:cs="Arial"/>
          <w:sz w:val="22"/>
        </w:rPr>
        <w:t>+49 2103 29 11711 and +1 240 686 2222</w:t>
      </w:r>
    </w:p>
    <w:p w14:paraId="47B7D150" w14:textId="77777777" w:rsidR="007306DE" w:rsidRDefault="00292737" w:rsidP="002B27E6">
      <w:pPr>
        <w:jc w:val="both"/>
        <w:rPr>
          <w:rFonts w:ascii="Arial" w:eastAsia="Arial" w:hAnsi="Arial" w:cs="Arial"/>
          <w:sz w:val="22"/>
        </w:rPr>
      </w:pPr>
      <w:r>
        <w:rPr>
          <w:rFonts w:ascii="Arial" w:eastAsia="Arial" w:hAnsi="Arial" w:cs="Arial"/>
          <w:color w:val="0000FF"/>
          <w:sz w:val="22"/>
          <w:u w:val="single" w:color="0000FF"/>
        </w:rPr>
        <w:t>j</w:t>
      </w:r>
      <w:r w:rsidR="00D00097">
        <w:rPr>
          <w:rFonts w:ascii="Arial" w:eastAsia="Arial" w:hAnsi="Arial" w:cs="Arial"/>
          <w:color w:val="0000FF"/>
          <w:sz w:val="22"/>
          <w:u w:val="single" w:color="0000FF"/>
        </w:rPr>
        <w:t>ohn.gilardi@qiagen.com</w:t>
      </w:r>
    </w:p>
    <w:p w14:paraId="71E5CE9D" w14:textId="77777777" w:rsidR="007306DE" w:rsidRDefault="007306DE" w:rsidP="002B27E6">
      <w:pPr>
        <w:jc w:val="both"/>
        <w:rPr>
          <w:rFonts w:ascii="Arial" w:eastAsia="Arial" w:hAnsi="Arial" w:cs="Arial"/>
          <w:sz w:val="22"/>
        </w:rPr>
      </w:pPr>
    </w:p>
    <w:p w14:paraId="18345419" w14:textId="77777777" w:rsidR="007306DE" w:rsidRDefault="00052054" w:rsidP="002B27E6">
      <w:pPr>
        <w:jc w:val="both"/>
        <w:rPr>
          <w:rFonts w:ascii="Arial" w:eastAsia="Arial" w:hAnsi="Arial" w:cs="Arial"/>
          <w:sz w:val="22"/>
        </w:rPr>
      </w:pPr>
      <w:r>
        <w:rPr>
          <w:rFonts w:ascii="Arial" w:eastAsia="Arial" w:hAnsi="Arial" w:cs="Arial"/>
          <w:sz w:val="22"/>
        </w:rPr>
        <w:t>Phoebe Loh</w:t>
      </w:r>
    </w:p>
    <w:p w14:paraId="2A8B0EB0" w14:textId="77777777" w:rsidR="007306DE" w:rsidRDefault="00052054" w:rsidP="002B27E6">
      <w:pPr>
        <w:jc w:val="both"/>
        <w:rPr>
          <w:rFonts w:ascii="Arial" w:eastAsia="Arial" w:hAnsi="Arial" w:cs="Arial"/>
          <w:sz w:val="22"/>
        </w:rPr>
      </w:pPr>
      <w:r>
        <w:rPr>
          <w:rFonts w:ascii="Arial" w:eastAsia="Arial" w:hAnsi="Arial" w:cs="Arial"/>
          <w:sz w:val="22"/>
        </w:rPr>
        <w:t xml:space="preserve">Associate </w:t>
      </w:r>
      <w:r w:rsidR="00D00097">
        <w:rPr>
          <w:rFonts w:ascii="Arial" w:eastAsia="Arial" w:hAnsi="Arial" w:cs="Arial"/>
          <w:sz w:val="22"/>
        </w:rPr>
        <w:t>Director Investor Relations</w:t>
      </w:r>
    </w:p>
    <w:p w14:paraId="33BF33FB" w14:textId="77777777" w:rsidR="007306DE" w:rsidRDefault="00D00097" w:rsidP="002B27E6">
      <w:pPr>
        <w:jc w:val="both"/>
        <w:rPr>
          <w:rFonts w:ascii="Arial" w:eastAsia="Arial" w:hAnsi="Arial" w:cs="Arial"/>
          <w:sz w:val="22"/>
        </w:rPr>
      </w:pPr>
      <w:r>
        <w:rPr>
          <w:rFonts w:ascii="Arial" w:eastAsia="Arial" w:hAnsi="Arial" w:cs="Arial"/>
          <w:sz w:val="22"/>
        </w:rPr>
        <w:t>+49 2103 29 11457</w:t>
      </w:r>
    </w:p>
    <w:p w14:paraId="4939E6F2" w14:textId="77777777" w:rsidR="007306DE" w:rsidRDefault="00292737" w:rsidP="002B27E6">
      <w:pPr>
        <w:jc w:val="both"/>
        <w:rPr>
          <w:rFonts w:ascii="Arial" w:eastAsia="Arial" w:hAnsi="Arial" w:cs="Arial"/>
          <w:sz w:val="22"/>
        </w:rPr>
      </w:pPr>
      <w:r>
        <w:rPr>
          <w:rFonts w:ascii="Arial" w:eastAsia="Arial" w:hAnsi="Arial" w:cs="Arial"/>
          <w:color w:val="0000FF"/>
          <w:sz w:val="22"/>
          <w:u w:val="single" w:color="0000FF"/>
        </w:rPr>
        <w:t>phoebe.loh</w:t>
      </w:r>
      <w:r w:rsidR="00D00097">
        <w:rPr>
          <w:rFonts w:ascii="Arial" w:eastAsia="Arial" w:hAnsi="Arial" w:cs="Arial"/>
          <w:color w:val="0000FF"/>
          <w:sz w:val="22"/>
          <w:u w:val="single" w:color="0000FF"/>
        </w:rPr>
        <w:t>@qiagen.com</w:t>
      </w:r>
    </w:p>
    <w:p w14:paraId="4D5DA5AF" w14:textId="77777777" w:rsidR="007306DE" w:rsidRDefault="007306DE" w:rsidP="002B27E6">
      <w:pPr>
        <w:jc w:val="both"/>
        <w:rPr>
          <w:rFonts w:ascii="Arial" w:eastAsia="Arial" w:hAnsi="Arial" w:cs="Arial"/>
          <w:sz w:val="22"/>
        </w:rPr>
      </w:pPr>
    </w:p>
    <w:p w14:paraId="1CAA0743" w14:textId="77777777" w:rsidR="007306DE" w:rsidRDefault="00D00097" w:rsidP="002B27E6">
      <w:pPr>
        <w:jc w:val="both"/>
        <w:rPr>
          <w:rFonts w:ascii="Arial" w:eastAsia="Arial" w:hAnsi="Arial" w:cs="Arial"/>
          <w:sz w:val="22"/>
        </w:rPr>
      </w:pPr>
      <w:r>
        <w:rPr>
          <w:rFonts w:ascii="Arial" w:eastAsia="Arial" w:hAnsi="Arial" w:cs="Arial"/>
          <w:sz w:val="22"/>
        </w:rPr>
        <w:t>Dr. Thomas Theuringer</w:t>
      </w:r>
    </w:p>
    <w:p w14:paraId="41E56344" w14:textId="77777777" w:rsidR="007306DE" w:rsidRDefault="00D00097" w:rsidP="002B27E6">
      <w:pPr>
        <w:jc w:val="both"/>
        <w:rPr>
          <w:rFonts w:ascii="Arial" w:eastAsia="Arial" w:hAnsi="Arial" w:cs="Arial"/>
          <w:sz w:val="22"/>
        </w:rPr>
      </w:pPr>
      <w:r>
        <w:rPr>
          <w:rFonts w:ascii="Arial" w:eastAsia="Arial" w:hAnsi="Arial" w:cs="Arial"/>
          <w:sz w:val="22"/>
        </w:rPr>
        <w:t>Senior Director Public Relations and Digital Communications</w:t>
      </w:r>
    </w:p>
    <w:p w14:paraId="181DFDF3" w14:textId="77777777" w:rsidR="007306DE" w:rsidRDefault="00D00097" w:rsidP="002B27E6">
      <w:pPr>
        <w:jc w:val="both"/>
        <w:rPr>
          <w:rFonts w:ascii="Arial" w:eastAsia="Arial" w:hAnsi="Arial" w:cs="Arial"/>
          <w:sz w:val="22"/>
        </w:rPr>
      </w:pPr>
      <w:r>
        <w:rPr>
          <w:rFonts w:ascii="Arial" w:eastAsia="Arial" w:hAnsi="Arial" w:cs="Arial"/>
          <w:sz w:val="22"/>
        </w:rPr>
        <w:t>+49 2103 29 11826 and +1 240 686 7425</w:t>
      </w:r>
    </w:p>
    <w:p w14:paraId="51A40960" w14:textId="77777777" w:rsidR="007306DE" w:rsidRDefault="00292737" w:rsidP="002B27E6">
      <w:pPr>
        <w:jc w:val="both"/>
        <w:rPr>
          <w:rFonts w:ascii="Arial" w:eastAsia="Arial" w:hAnsi="Arial" w:cs="Arial"/>
          <w:sz w:val="22"/>
        </w:rPr>
      </w:pPr>
      <w:r>
        <w:rPr>
          <w:rFonts w:ascii="Arial" w:eastAsia="Arial" w:hAnsi="Arial" w:cs="Arial"/>
          <w:color w:val="0000FF"/>
          <w:sz w:val="22"/>
          <w:u w:val="single" w:color="0000FF"/>
        </w:rPr>
        <w:t>t</w:t>
      </w:r>
      <w:r w:rsidR="00D00097">
        <w:rPr>
          <w:rFonts w:ascii="Arial" w:eastAsia="Arial" w:hAnsi="Arial" w:cs="Arial"/>
          <w:color w:val="0000FF"/>
          <w:sz w:val="22"/>
          <w:u w:val="single" w:color="0000FF"/>
        </w:rPr>
        <w:t>homas.theuringer@qiagen.com</w:t>
      </w:r>
    </w:p>
    <w:p w14:paraId="1D088743" w14:textId="77777777" w:rsidR="007306DE" w:rsidRDefault="007306DE" w:rsidP="002B27E6">
      <w:pPr>
        <w:jc w:val="both"/>
        <w:rPr>
          <w:rFonts w:ascii="Arial" w:eastAsia="Arial" w:hAnsi="Arial" w:cs="Arial"/>
          <w:sz w:val="22"/>
        </w:rPr>
      </w:pPr>
    </w:p>
    <w:p w14:paraId="6B39D194" w14:textId="77777777" w:rsidR="00286BDD" w:rsidRPr="00971702" w:rsidRDefault="00286BDD" w:rsidP="00286BDD">
      <w:pPr>
        <w:jc w:val="both"/>
        <w:rPr>
          <w:rFonts w:ascii="Arial" w:eastAsia="Arial" w:hAnsi="Arial" w:cs="Arial"/>
          <w:sz w:val="22"/>
        </w:rPr>
      </w:pPr>
      <w:bookmarkStart w:id="6" w:name="_Hlk14885683"/>
      <w:r w:rsidRPr="00971702">
        <w:rPr>
          <w:rFonts w:ascii="Arial" w:eastAsia="Arial" w:hAnsi="Arial" w:cs="Arial"/>
          <w:sz w:val="22"/>
        </w:rPr>
        <w:t>Robert Reitze</w:t>
      </w:r>
    </w:p>
    <w:p w14:paraId="242A1C78" w14:textId="77777777" w:rsidR="00286BDD" w:rsidRDefault="00286BDD" w:rsidP="00286BDD">
      <w:pPr>
        <w:jc w:val="both"/>
        <w:rPr>
          <w:rFonts w:ascii="Arial" w:eastAsia="Arial" w:hAnsi="Arial" w:cs="Arial"/>
          <w:sz w:val="22"/>
        </w:rPr>
      </w:pPr>
      <w:r>
        <w:rPr>
          <w:rFonts w:ascii="Arial" w:eastAsia="Arial" w:hAnsi="Arial" w:cs="Arial"/>
          <w:sz w:val="22"/>
        </w:rPr>
        <w:t xml:space="preserve">Senior Manager Public Relations </w:t>
      </w:r>
    </w:p>
    <w:p w14:paraId="7E92EB40" w14:textId="77777777" w:rsidR="00286BDD" w:rsidRDefault="00286BDD" w:rsidP="00286BDD">
      <w:pPr>
        <w:jc w:val="both"/>
        <w:rPr>
          <w:rFonts w:ascii="Arial" w:eastAsia="Arial" w:hAnsi="Arial" w:cs="Arial"/>
          <w:sz w:val="22"/>
        </w:rPr>
      </w:pPr>
      <w:r>
        <w:rPr>
          <w:rFonts w:ascii="Arial" w:eastAsia="Arial" w:hAnsi="Arial" w:cs="Arial"/>
          <w:sz w:val="22"/>
        </w:rPr>
        <w:t xml:space="preserve">+49 2103 29 11676 </w:t>
      </w:r>
    </w:p>
    <w:p w14:paraId="6557F746" w14:textId="77777777" w:rsidR="00286BDD" w:rsidRDefault="00286BDD" w:rsidP="00286BDD">
      <w:pPr>
        <w:jc w:val="both"/>
        <w:rPr>
          <w:rFonts w:ascii="Arial" w:eastAsia="Arial" w:hAnsi="Arial" w:cs="Arial"/>
          <w:sz w:val="22"/>
        </w:rPr>
      </w:pPr>
      <w:r>
        <w:rPr>
          <w:rFonts w:ascii="Arial" w:eastAsia="Arial" w:hAnsi="Arial" w:cs="Arial"/>
          <w:color w:val="0000FF"/>
          <w:sz w:val="22"/>
          <w:u w:val="single" w:color="0000FF"/>
        </w:rPr>
        <w:t>robert.reitze@qiagen.com</w:t>
      </w:r>
    </w:p>
    <w:bookmarkEnd w:id="6"/>
    <w:p w14:paraId="7AB63089" w14:textId="77777777" w:rsidR="00286BDD" w:rsidRDefault="00286BDD" w:rsidP="002B27E6">
      <w:pPr>
        <w:jc w:val="both"/>
        <w:rPr>
          <w:rFonts w:ascii="Arial" w:eastAsia="Arial" w:hAnsi="Arial" w:cs="Arial"/>
          <w:sz w:val="22"/>
        </w:rPr>
      </w:pPr>
    </w:p>
    <w:p w14:paraId="3A70FE7E" w14:textId="77777777" w:rsidR="007306DE" w:rsidRDefault="00D00097" w:rsidP="002B27E6">
      <w:pPr>
        <w:jc w:val="both"/>
        <w:rPr>
          <w:rFonts w:ascii="Arial" w:eastAsia="Arial" w:hAnsi="Arial" w:cs="Arial"/>
          <w:sz w:val="22"/>
        </w:rPr>
      </w:pPr>
      <w:r>
        <w:rPr>
          <w:rFonts w:ascii="Arial" w:eastAsia="Arial" w:hAnsi="Arial" w:cs="Arial"/>
          <w:color w:val="0000FF"/>
          <w:sz w:val="22"/>
          <w:u w:val="single" w:color="0000FF"/>
        </w:rPr>
        <w:t>www.twitter.com/qiagen</w:t>
      </w:r>
    </w:p>
    <w:p w14:paraId="1BDFF208" w14:textId="77777777" w:rsidR="007306DE" w:rsidRPr="00286BDD" w:rsidRDefault="00D00097" w:rsidP="002B27E6">
      <w:pPr>
        <w:jc w:val="both"/>
        <w:rPr>
          <w:rFonts w:ascii="Arial" w:eastAsia="Arial" w:hAnsi="Arial" w:cs="Arial"/>
          <w:sz w:val="22"/>
          <w:lang w:val="sv-SE"/>
        </w:rPr>
      </w:pPr>
      <w:r w:rsidRPr="00286BDD">
        <w:rPr>
          <w:rFonts w:ascii="Arial" w:eastAsia="Arial" w:hAnsi="Arial" w:cs="Arial"/>
          <w:color w:val="0000FF"/>
          <w:sz w:val="22"/>
          <w:u w:val="single" w:color="0000FF"/>
          <w:lang w:val="sv-SE"/>
        </w:rPr>
        <w:t>www.facebook.com/QIAGEN</w:t>
      </w:r>
    </w:p>
    <w:p w14:paraId="7954D09B" w14:textId="77777777" w:rsidR="007306DE" w:rsidRPr="00286BDD" w:rsidRDefault="007306DE" w:rsidP="002B27E6">
      <w:pPr>
        <w:jc w:val="both"/>
        <w:rPr>
          <w:rFonts w:ascii="Arial" w:eastAsia="Arial" w:hAnsi="Arial" w:cs="Arial"/>
          <w:sz w:val="22"/>
          <w:lang w:val="sv-SE"/>
        </w:rPr>
      </w:pPr>
    </w:p>
    <w:p w14:paraId="45D3B0E3" w14:textId="77777777" w:rsidR="00AB5B41" w:rsidRPr="00286BDD" w:rsidRDefault="00AB5B41">
      <w:pPr>
        <w:rPr>
          <w:rStyle w:val="Hyperlink"/>
          <w:rFonts w:ascii="Arial" w:eastAsia="Arial" w:hAnsi="Arial" w:cs="Arial"/>
          <w:u w:color="0000FF"/>
          <w:lang w:val="sv-SE"/>
        </w:rPr>
      </w:pPr>
    </w:p>
    <w:p w14:paraId="6535C190" w14:textId="77777777" w:rsidR="007E7656" w:rsidRPr="00286BDD" w:rsidRDefault="007E7656">
      <w:pPr>
        <w:rPr>
          <w:rStyle w:val="Hyperlink"/>
          <w:rFonts w:ascii="Arial" w:eastAsia="Arial" w:hAnsi="Arial" w:cs="Arial"/>
          <w:u w:color="0000FF"/>
          <w:lang w:val="sv-SE"/>
        </w:rPr>
      </w:pPr>
    </w:p>
    <w:p w14:paraId="5A4FADFE" w14:textId="77777777" w:rsidR="007E7656" w:rsidRPr="00286BDD" w:rsidRDefault="007E7656">
      <w:pPr>
        <w:rPr>
          <w:rStyle w:val="Hyperlink"/>
          <w:rFonts w:ascii="Arial" w:eastAsia="Arial" w:hAnsi="Arial" w:cs="Arial"/>
          <w:u w:color="0000FF"/>
          <w:lang w:val="sv-SE"/>
        </w:rPr>
      </w:pPr>
    </w:p>
    <w:p w14:paraId="3DD2CCB4" w14:textId="77777777" w:rsidR="007E7656" w:rsidRPr="00286BDD" w:rsidRDefault="007E7656">
      <w:pPr>
        <w:rPr>
          <w:rStyle w:val="Hyperlink"/>
          <w:rFonts w:ascii="Arial" w:eastAsia="Arial" w:hAnsi="Arial" w:cs="Arial"/>
          <w:u w:color="0000FF"/>
          <w:lang w:val="sv-SE"/>
        </w:rPr>
      </w:pPr>
    </w:p>
    <w:p w14:paraId="5B03F0A7" w14:textId="77777777" w:rsidR="007E7656" w:rsidRPr="00286BDD" w:rsidRDefault="007E7656">
      <w:pPr>
        <w:rPr>
          <w:rStyle w:val="Hyperlink"/>
          <w:rFonts w:ascii="Arial" w:eastAsia="Arial" w:hAnsi="Arial" w:cs="Arial"/>
          <w:u w:color="0000FF"/>
          <w:lang w:val="sv-SE"/>
        </w:rPr>
      </w:pPr>
    </w:p>
    <w:p w14:paraId="413419A6" w14:textId="77777777" w:rsidR="007E7656" w:rsidRPr="00286BDD" w:rsidRDefault="007E7656">
      <w:pPr>
        <w:rPr>
          <w:rStyle w:val="Hyperlink"/>
          <w:rFonts w:ascii="Arial" w:eastAsia="Arial" w:hAnsi="Arial" w:cs="Arial"/>
          <w:u w:color="0000FF"/>
          <w:lang w:val="sv-SE"/>
        </w:rPr>
      </w:pPr>
    </w:p>
    <w:p w14:paraId="06C8CD20" w14:textId="77777777" w:rsidR="007E7656" w:rsidRPr="00286BDD" w:rsidRDefault="007E7656">
      <w:pPr>
        <w:rPr>
          <w:rStyle w:val="Hyperlink"/>
          <w:rFonts w:ascii="Arial" w:eastAsia="Arial" w:hAnsi="Arial" w:cs="Arial"/>
          <w:u w:color="0000FF"/>
          <w:lang w:val="sv-SE"/>
        </w:rPr>
      </w:pPr>
    </w:p>
    <w:p w14:paraId="6071F39A" w14:textId="77777777" w:rsidR="007E7656" w:rsidRPr="00286BDD" w:rsidRDefault="007E7656">
      <w:pPr>
        <w:rPr>
          <w:rStyle w:val="Hyperlink"/>
          <w:rFonts w:ascii="Arial" w:eastAsia="Arial" w:hAnsi="Arial" w:cs="Arial"/>
          <w:u w:color="0000FF"/>
          <w:lang w:val="sv-SE"/>
        </w:rPr>
      </w:pPr>
    </w:p>
    <w:p w14:paraId="0E9B56E1" w14:textId="77777777" w:rsidR="007E7656" w:rsidRPr="00286BDD" w:rsidRDefault="007E7656">
      <w:pPr>
        <w:rPr>
          <w:rStyle w:val="Hyperlink"/>
          <w:rFonts w:ascii="Arial" w:eastAsia="Arial" w:hAnsi="Arial" w:cs="Arial"/>
          <w:u w:color="0000FF"/>
          <w:lang w:val="sv-SE"/>
        </w:rPr>
      </w:pPr>
    </w:p>
    <w:p w14:paraId="7860B9D8" w14:textId="77777777" w:rsidR="007E7656" w:rsidRPr="00286BDD" w:rsidRDefault="007E7656">
      <w:pPr>
        <w:rPr>
          <w:rStyle w:val="Hyperlink"/>
          <w:rFonts w:ascii="Arial" w:eastAsia="Arial" w:hAnsi="Arial" w:cs="Arial"/>
          <w:u w:color="0000FF"/>
          <w:lang w:val="sv-SE"/>
        </w:rPr>
      </w:pPr>
    </w:p>
    <w:p w14:paraId="31C697F1" w14:textId="77777777" w:rsidR="007E7656" w:rsidRPr="00286BDD" w:rsidRDefault="007E7656">
      <w:pPr>
        <w:rPr>
          <w:rStyle w:val="Hyperlink"/>
          <w:rFonts w:ascii="Arial" w:eastAsia="Arial" w:hAnsi="Arial" w:cs="Arial"/>
          <w:u w:color="0000FF"/>
          <w:lang w:val="sv-SE"/>
        </w:rPr>
      </w:pPr>
    </w:p>
    <w:p w14:paraId="2ABFD7C9" w14:textId="77777777" w:rsidR="007E7656" w:rsidRPr="00286BDD" w:rsidRDefault="007E7656">
      <w:pPr>
        <w:rPr>
          <w:rStyle w:val="Hyperlink"/>
          <w:rFonts w:ascii="Arial" w:eastAsia="Arial" w:hAnsi="Arial" w:cs="Arial"/>
          <w:u w:color="0000FF"/>
          <w:lang w:val="sv-SE"/>
        </w:rPr>
      </w:pPr>
    </w:p>
    <w:p w14:paraId="1CC60EB1" w14:textId="77777777" w:rsidR="007E7656" w:rsidRPr="00286BDD" w:rsidRDefault="007E7656">
      <w:pPr>
        <w:rPr>
          <w:rStyle w:val="Hyperlink"/>
          <w:rFonts w:ascii="Arial" w:eastAsia="Arial" w:hAnsi="Arial" w:cs="Arial"/>
          <w:u w:color="0000FF"/>
          <w:lang w:val="sv-SE"/>
        </w:rPr>
      </w:pPr>
    </w:p>
    <w:p w14:paraId="752E5984" w14:textId="77777777" w:rsidR="007E7656" w:rsidRPr="00286BDD" w:rsidRDefault="007E7656">
      <w:pPr>
        <w:rPr>
          <w:rStyle w:val="Hyperlink"/>
          <w:rFonts w:ascii="Arial" w:eastAsia="Arial" w:hAnsi="Arial" w:cs="Arial"/>
          <w:u w:color="0000FF"/>
          <w:lang w:val="sv-SE"/>
        </w:rPr>
      </w:pPr>
    </w:p>
    <w:p w14:paraId="0E2D0628" w14:textId="77777777" w:rsidR="007E7656" w:rsidRPr="00286BDD" w:rsidRDefault="007E7656">
      <w:pPr>
        <w:rPr>
          <w:rStyle w:val="Hyperlink"/>
          <w:rFonts w:ascii="Arial" w:eastAsia="Arial" w:hAnsi="Arial" w:cs="Arial"/>
          <w:u w:color="0000FF"/>
          <w:lang w:val="sv-SE"/>
        </w:rPr>
      </w:pPr>
    </w:p>
    <w:p w14:paraId="7051E0E7" w14:textId="77777777" w:rsidR="007E7656" w:rsidRPr="00286BDD" w:rsidRDefault="007E7656">
      <w:pPr>
        <w:rPr>
          <w:rStyle w:val="Hyperlink"/>
          <w:rFonts w:ascii="Arial" w:eastAsia="Arial" w:hAnsi="Arial" w:cs="Arial"/>
          <w:u w:color="0000FF"/>
          <w:lang w:val="sv-SE"/>
        </w:rPr>
      </w:pPr>
    </w:p>
    <w:p w14:paraId="102DFCDA" w14:textId="77777777" w:rsidR="007E7656" w:rsidRPr="00286BDD" w:rsidRDefault="007E7656">
      <w:pPr>
        <w:rPr>
          <w:rStyle w:val="Hyperlink"/>
          <w:rFonts w:ascii="Arial" w:eastAsia="Arial" w:hAnsi="Arial" w:cs="Arial"/>
          <w:u w:color="0000FF"/>
          <w:lang w:val="sv-SE"/>
        </w:rPr>
      </w:pPr>
    </w:p>
    <w:p w14:paraId="4F49DF48" w14:textId="77777777" w:rsidR="007E7656" w:rsidRPr="00286BDD" w:rsidRDefault="007E7656">
      <w:pPr>
        <w:rPr>
          <w:rStyle w:val="Hyperlink"/>
          <w:rFonts w:ascii="Arial" w:eastAsia="Arial" w:hAnsi="Arial" w:cs="Arial"/>
          <w:u w:color="0000FF"/>
          <w:lang w:val="sv-SE"/>
        </w:rPr>
      </w:pPr>
    </w:p>
    <w:p w14:paraId="6007ADD0" w14:textId="77777777" w:rsidR="007E7656" w:rsidRPr="00286BDD" w:rsidRDefault="007E7656">
      <w:pPr>
        <w:rPr>
          <w:rStyle w:val="Hyperlink"/>
          <w:rFonts w:ascii="Arial" w:eastAsia="Arial" w:hAnsi="Arial" w:cs="Arial"/>
          <w:u w:color="0000FF"/>
          <w:lang w:val="sv-SE"/>
        </w:rPr>
      </w:pPr>
    </w:p>
    <w:p w14:paraId="21A3EA8B" w14:textId="77777777" w:rsidR="007E7656" w:rsidRPr="00286BDD" w:rsidRDefault="007E7656">
      <w:pPr>
        <w:rPr>
          <w:rStyle w:val="Hyperlink"/>
          <w:rFonts w:ascii="Arial" w:eastAsia="Arial" w:hAnsi="Arial" w:cs="Arial"/>
          <w:u w:color="0000FF"/>
          <w:lang w:val="sv-SE"/>
        </w:rPr>
      </w:pPr>
    </w:p>
    <w:p w14:paraId="28699224" w14:textId="77777777" w:rsidR="007E7656" w:rsidRPr="00286BDD" w:rsidRDefault="007E7656">
      <w:pPr>
        <w:rPr>
          <w:rStyle w:val="Hyperlink"/>
          <w:rFonts w:ascii="Arial" w:eastAsia="Arial" w:hAnsi="Arial" w:cs="Arial"/>
          <w:u w:color="0000FF"/>
          <w:lang w:val="sv-SE"/>
        </w:rPr>
      </w:pPr>
    </w:p>
    <w:p w14:paraId="75183908" w14:textId="77777777" w:rsidR="007E7656" w:rsidRPr="00286BDD" w:rsidRDefault="007E7656">
      <w:pPr>
        <w:rPr>
          <w:rStyle w:val="Hyperlink"/>
          <w:rFonts w:ascii="Arial" w:eastAsia="Arial" w:hAnsi="Arial" w:cs="Arial"/>
          <w:u w:color="0000FF"/>
          <w:lang w:val="sv-SE"/>
        </w:rPr>
      </w:pPr>
    </w:p>
    <w:p w14:paraId="3D50CC76" w14:textId="77777777" w:rsidR="007E7656" w:rsidRPr="00286BDD" w:rsidRDefault="007E7656">
      <w:pPr>
        <w:rPr>
          <w:rStyle w:val="Hyperlink"/>
          <w:rFonts w:ascii="Arial" w:eastAsia="Arial" w:hAnsi="Arial" w:cs="Arial"/>
          <w:u w:color="0000FF"/>
          <w:lang w:val="sv-SE"/>
        </w:rPr>
      </w:pPr>
    </w:p>
    <w:p w14:paraId="5FC09BB7" w14:textId="77777777" w:rsidR="007E7656" w:rsidRPr="00286BDD" w:rsidRDefault="007E7656">
      <w:pPr>
        <w:rPr>
          <w:rStyle w:val="Hyperlink"/>
          <w:rFonts w:ascii="Arial" w:eastAsia="Arial" w:hAnsi="Arial" w:cs="Arial"/>
          <w:u w:color="0000FF"/>
          <w:lang w:val="sv-SE"/>
        </w:rPr>
      </w:pPr>
    </w:p>
    <w:p w14:paraId="7B2294F1" w14:textId="77777777" w:rsidR="007E7656" w:rsidRPr="00286BDD" w:rsidRDefault="007E7656">
      <w:pPr>
        <w:rPr>
          <w:rStyle w:val="Hyperlink"/>
          <w:rFonts w:ascii="Arial" w:eastAsia="Arial" w:hAnsi="Arial" w:cs="Arial"/>
          <w:u w:color="0000FF"/>
          <w:lang w:val="sv-SE"/>
        </w:rPr>
      </w:pPr>
    </w:p>
    <w:p w14:paraId="78B8DD1B" w14:textId="77777777" w:rsidR="007E7656" w:rsidRPr="00286BDD" w:rsidRDefault="007E7656">
      <w:pPr>
        <w:rPr>
          <w:rStyle w:val="Hyperlink"/>
          <w:rFonts w:ascii="Arial" w:eastAsia="Arial" w:hAnsi="Arial" w:cs="Arial"/>
          <w:u w:color="0000FF"/>
          <w:lang w:val="sv-SE"/>
        </w:rPr>
      </w:pPr>
    </w:p>
    <w:p w14:paraId="670742E0" w14:textId="77777777" w:rsidR="007E7656" w:rsidRPr="00286BDD" w:rsidRDefault="007E7656">
      <w:pPr>
        <w:rPr>
          <w:rStyle w:val="Hyperlink"/>
          <w:rFonts w:ascii="Arial" w:eastAsia="Arial" w:hAnsi="Arial" w:cs="Arial"/>
          <w:u w:color="0000FF"/>
          <w:lang w:val="sv-SE"/>
        </w:rPr>
      </w:pPr>
    </w:p>
    <w:p w14:paraId="1C9D8523" w14:textId="77777777" w:rsidR="007E7656" w:rsidRPr="00286BDD" w:rsidRDefault="007E7656">
      <w:pPr>
        <w:rPr>
          <w:rStyle w:val="Hyperlink"/>
          <w:rFonts w:ascii="Arial" w:eastAsia="Arial" w:hAnsi="Arial" w:cs="Arial"/>
          <w:u w:color="0000FF"/>
          <w:lang w:val="sv-SE"/>
        </w:rPr>
      </w:pPr>
    </w:p>
    <w:p w14:paraId="6209498F" w14:textId="77777777" w:rsidR="007E7656" w:rsidRPr="00286BDD" w:rsidRDefault="007E7656">
      <w:pPr>
        <w:rPr>
          <w:rStyle w:val="Hyperlink"/>
          <w:rFonts w:ascii="Arial" w:eastAsia="Arial" w:hAnsi="Arial" w:cs="Arial"/>
          <w:u w:color="0000FF"/>
          <w:lang w:val="sv-SE"/>
        </w:rPr>
      </w:pPr>
    </w:p>
    <w:p w14:paraId="1957D57C" w14:textId="77777777" w:rsidR="007E7656" w:rsidRPr="00286BDD" w:rsidRDefault="007E7656">
      <w:pPr>
        <w:rPr>
          <w:rStyle w:val="Hyperlink"/>
          <w:rFonts w:ascii="Arial" w:eastAsia="Arial" w:hAnsi="Arial" w:cs="Arial"/>
          <w:u w:color="0000FF"/>
          <w:lang w:val="sv-SE"/>
        </w:rPr>
      </w:pPr>
    </w:p>
    <w:p w14:paraId="59A5A40D" w14:textId="77777777" w:rsidR="007E7656" w:rsidRPr="00286BDD" w:rsidRDefault="007E7656">
      <w:pPr>
        <w:rPr>
          <w:rStyle w:val="Hyperlink"/>
          <w:rFonts w:ascii="Arial" w:eastAsia="Arial" w:hAnsi="Arial" w:cs="Arial"/>
          <w:u w:color="0000FF"/>
          <w:lang w:val="sv-SE"/>
        </w:rPr>
      </w:pPr>
    </w:p>
    <w:p w14:paraId="429374CB" w14:textId="77777777" w:rsidR="007E7656" w:rsidRPr="00286BDD" w:rsidRDefault="007E7656">
      <w:pPr>
        <w:rPr>
          <w:rStyle w:val="Hyperlink"/>
          <w:rFonts w:ascii="Arial" w:eastAsia="Arial" w:hAnsi="Arial" w:cs="Arial"/>
          <w:u w:color="0000FF"/>
          <w:lang w:val="sv-SE"/>
        </w:rPr>
      </w:pPr>
    </w:p>
    <w:p w14:paraId="2DF46311" w14:textId="77777777" w:rsidR="007E7656" w:rsidRPr="00286BDD" w:rsidRDefault="007E7656">
      <w:pPr>
        <w:rPr>
          <w:rStyle w:val="Hyperlink"/>
          <w:rFonts w:ascii="Arial" w:eastAsia="Arial" w:hAnsi="Arial" w:cs="Arial"/>
          <w:u w:color="0000FF"/>
          <w:lang w:val="sv-SE"/>
        </w:rPr>
      </w:pPr>
    </w:p>
    <w:p w14:paraId="13895C6B" w14:textId="77777777" w:rsidR="007E7656" w:rsidRPr="00286BDD" w:rsidRDefault="007E7656">
      <w:pPr>
        <w:rPr>
          <w:rStyle w:val="Hyperlink"/>
          <w:rFonts w:ascii="Arial" w:eastAsia="Arial" w:hAnsi="Arial" w:cs="Arial"/>
          <w:u w:color="0000FF"/>
          <w:lang w:val="sv-SE"/>
        </w:rPr>
      </w:pPr>
    </w:p>
    <w:p w14:paraId="17AB352A" w14:textId="77777777" w:rsidR="007E7656" w:rsidRPr="00286BDD" w:rsidRDefault="007E7656">
      <w:pPr>
        <w:rPr>
          <w:rStyle w:val="Hyperlink"/>
          <w:rFonts w:ascii="Arial" w:eastAsia="Arial" w:hAnsi="Arial" w:cs="Arial"/>
          <w:u w:color="0000FF"/>
          <w:lang w:val="sv-SE"/>
        </w:rPr>
      </w:pPr>
    </w:p>
    <w:p w14:paraId="1E2339E4" w14:textId="77777777" w:rsidR="007E7656" w:rsidRPr="00286BDD" w:rsidRDefault="007E7656">
      <w:pPr>
        <w:rPr>
          <w:rStyle w:val="Hyperlink"/>
          <w:rFonts w:ascii="Arial" w:eastAsia="Arial" w:hAnsi="Arial" w:cs="Arial"/>
          <w:u w:color="0000FF"/>
          <w:lang w:val="sv-SE"/>
        </w:rPr>
      </w:pPr>
    </w:p>
    <w:p w14:paraId="4870AB0E" w14:textId="77777777" w:rsidR="007E7656" w:rsidRPr="00286BDD" w:rsidRDefault="007E7656">
      <w:pPr>
        <w:rPr>
          <w:rStyle w:val="Hyperlink"/>
          <w:rFonts w:ascii="Arial" w:eastAsia="Arial" w:hAnsi="Arial" w:cs="Arial"/>
          <w:u w:color="0000FF"/>
          <w:lang w:val="sv-SE"/>
        </w:rPr>
      </w:pPr>
    </w:p>
    <w:p w14:paraId="255F2003" w14:textId="77777777" w:rsidR="007E7656" w:rsidRPr="00286BDD" w:rsidRDefault="007E7656" w:rsidP="007E7656">
      <w:pPr>
        <w:spacing w:line="288" w:lineRule="auto"/>
        <w:jc w:val="center"/>
        <w:rPr>
          <w:rFonts w:ascii="Arial" w:eastAsia="Arial" w:hAnsi="Arial" w:cs="Arial"/>
          <w:b/>
          <w:lang w:val="sv-SE"/>
        </w:rPr>
      </w:pPr>
      <w:r w:rsidRPr="00286BDD">
        <w:rPr>
          <w:rFonts w:ascii="Arial" w:eastAsia="Arial" w:hAnsi="Arial" w:cs="Arial"/>
          <w:b/>
          <w:lang w:val="sv-SE"/>
        </w:rPr>
        <w:t>QIAGEN N.V.</w:t>
      </w:r>
    </w:p>
    <w:p w14:paraId="4D5BEA75" w14:textId="77777777" w:rsidR="007E7656" w:rsidRDefault="007E7656" w:rsidP="007E7656">
      <w:pPr>
        <w:spacing w:line="288" w:lineRule="auto"/>
        <w:jc w:val="center"/>
        <w:rPr>
          <w:rFonts w:ascii="Arial" w:eastAsia="Arial" w:hAnsi="Arial" w:cs="Arial"/>
          <w:b/>
        </w:rPr>
      </w:pPr>
      <w:r>
        <w:rPr>
          <w:rFonts w:ascii="Arial" w:eastAsia="Arial" w:hAnsi="Arial" w:cs="Arial"/>
          <w:b/>
        </w:rPr>
        <w:t>CONDENSED CONSOLIDATED STATEMENTS OF INCOME</w:t>
      </w:r>
    </w:p>
    <w:p w14:paraId="5A3E5C66" w14:textId="77777777" w:rsidR="007E7656" w:rsidRDefault="007E7656" w:rsidP="007E7656">
      <w:pPr>
        <w:spacing w:line="288" w:lineRule="auto"/>
        <w:jc w:val="center"/>
        <w:rPr>
          <w:rFonts w:ascii="Arial" w:eastAsia="Arial" w:hAnsi="Arial" w:cs="Arial"/>
          <w:b/>
        </w:rPr>
      </w:pPr>
      <w:r>
        <w:rPr>
          <w:rFonts w:ascii="Arial" w:eastAsia="Arial" w:hAnsi="Arial" w:cs="Arial"/>
          <w:b/>
        </w:rPr>
        <w:t>(unaudited)</w:t>
      </w:r>
    </w:p>
    <w:p w14:paraId="256BA35A" w14:textId="77777777" w:rsidR="007E7656" w:rsidRDefault="007E7656" w:rsidP="007E7656">
      <w:pPr>
        <w:spacing w:after="140"/>
        <w:jc w:val="center"/>
      </w:pPr>
    </w:p>
    <w:tbl>
      <w:tblPr>
        <w:tblW w:w="10260" w:type="dxa"/>
        <w:jc w:val="center"/>
        <w:tblLayout w:type="fixed"/>
        <w:tblCellMar>
          <w:left w:w="10" w:type="dxa"/>
          <w:right w:w="10" w:type="dxa"/>
        </w:tblCellMar>
        <w:tblLook w:val="04A0" w:firstRow="1" w:lastRow="0" w:firstColumn="1" w:lastColumn="0" w:noHBand="0" w:noVBand="1"/>
      </w:tblPr>
      <w:tblGrid>
        <w:gridCol w:w="8080"/>
        <w:gridCol w:w="99"/>
        <w:gridCol w:w="937"/>
        <w:gridCol w:w="64"/>
        <w:gridCol w:w="80"/>
        <w:gridCol w:w="99"/>
        <w:gridCol w:w="837"/>
        <w:gridCol w:w="64"/>
      </w:tblGrid>
      <w:tr w:rsidR="007E7656" w14:paraId="7892C477" w14:textId="77777777" w:rsidTr="007E7656">
        <w:trPr>
          <w:trHeight w:hRule="exact" w:val="80"/>
          <w:jc w:val="center"/>
        </w:trPr>
        <w:tc>
          <w:tcPr>
            <w:tcW w:w="8080" w:type="dxa"/>
            <w:tcMar>
              <w:left w:w="140" w:type="dxa"/>
              <w:right w:w="0" w:type="dxa"/>
            </w:tcMar>
            <w:vAlign w:val="bottom"/>
          </w:tcPr>
          <w:p w14:paraId="2D66758F" w14:textId="77777777" w:rsidR="007E7656" w:rsidRDefault="007E7656" w:rsidP="00312F84">
            <w:pPr>
              <w:keepNext/>
              <w:keepLines/>
            </w:pPr>
          </w:p>
        </w:tc>
        <w:tc>
          <w:tcPr>
            <w:tcW w:w="0" w:type="dxa"/>
            <w:gridSpan w:val="3"/>
            <w:tcMar>
              <w:left w:w="60" w:type="dxa"/>
              <w:right w:w="60" w:type="dxa"/>
            </w:tcMar>
            <w:vAlign w:val="bottom"/>
          </w:tcPr>
          <w:p w14:paraId="4EB8BBD3" w14:textId="77777777" w:rsidR="007E7656" w:rsidRDefault="007E7656" w:rsidP="00312F84">
            <w:pPr>
              <w:keepNext/>
              <w:keepLines/>
            </w:pPr>
          </w:p>
        </w:tc>
        <w:tc>
          <w:tcPr>
            <w:tcW w:w="80" w:type="dxa"/>
            <w:tcMar>
              <w:left w:w="0" w:type="dxa"/>
              <w:right w:w="0" w:type="dxa"/>
            </w:tcMar>
            <w:vAlign w:val="bottom"/>
          </w:tcPr>
          <w:p w14:paraId="200A756E" w14:textId="77777777" w:rsidR="007E7656" w:rsidRDefault="007E7656" w:rsidP="00312F84">
            <w:pPr>
              <w:keepNext/>
              <w:keepLines/>
            </w:pPr>
          </w:p>
        </w:tc>
        <w:tc>
          <w:tcPr>
            <w:tcW w:w="0" w:type="dxa"/>
            <w:gridSpan w:val="3"/>
            <w:tcMar>
              <w:left w:w="60" w:type="dxa"/>
              <w:right w:w="60" w:type="dxa"/>
            </w:tcMar>
            <w:vAlign w:val="bottom"/>
          </w:tcPr>
          <w:p w14:paraId="4C47C664" w14:textId="77777777" w:rsidR="007E7656" w:rsidRDefault="007E7656" w:rsidP="00312F84">
            <w:pPr>
              <w:keepNext/>
              <w:keepLines/>
            </w:pPr>
          </w:p>
        </w:tc>
      </w:tr>
      <w:tr w:rsidR="007E7656" w14:paraId="1AF4A8FF" w14:textId="77777777" w:rsidTr="007E7656">
        <w:trPr>
          <w:trHeight w:hRule="exact" w:val="260"/>
          <w:jc w:val="center"/>
        </w:trPr>
        <w:tc>
          <w:tcPr>
            <w:tcW w:w="8080" w:type="dxa"/>
            <w:tcMar>
              <w:left w:w="140" w:type="dxa"/>
              <w:right w:w="0" w:type="dxa"/>
            </w:tcMar>
            <w:vAlign w:val="bottom"/>
          </w:tcPr>
          <w:p w14:paraId="3187F6C7" w14:textId="77777777" w:rsidR="007E7656" w:rsidRDefault="007E7656" w:rsidP="00312F84">
            <w:pPr>
              <w:keepNext/>
              <w:keepLines/>
              <w:spacing w:before="40" w:after="40"/>
            </w:pPr>
          </w:p>
        </w:tc>
        <w:tc>
          <w:tcPr>
            <w:tcW w:w="0" w:type="dxa"/>
            <w:gridSpan w:val="7"/>
            <w:tcMar>
              <w:left w:w="60" w:type="dxa"/>
              <w:right w:w="60" w:type="dxa"/>
            </w:tcMar>
            <w:vAlign w:val="bottom"/>
          </w:tcPr>
          <w:p w14:paraId="4812F959"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Three months</w:t>
            </w:r>
          </w:p>
        </w:tc>
      </w:tr>
      <w:tr w:rsidR="007E7656" w14:paraId="5976CFCD" w14:textId="77777777" w:rsidTr="007E7656">
        <w:trPr>
          <w:trHeight w:hRule="exact" w:val="260"/>
          <w:jc w:val="center"/>
        </w:trPr>
        <w:tc>
          <w:tcPr>
            <w:tcW w:w="8080" w:type="dxa"/>
            <w:tcMar>
              <w:left w:w="140" w:type="dxa"/>
              <w:right w:w="0" w:type="dxa"/>
            </w:tcMar>
            <w:vAlign w:val="bottom"/>
          </w:tcPr>
          <w:p w14:paraId="3703F410" w14:textId="77777777" w:rsidR="007E7656" w:rsidRDefault="007E7656" w:rsidP="00312F84">
            <w:pPr>
              <w:keepNext/>
              <w:keepLines/>
              <w:spacing w:before="40" w:after="40"/>
            </w:pPr>
          </w:p>
        </w:tc>
        <w:tc>
          <w:tcPr>
            <w:tcW w:w="0" w:type="dxa"/>
            <w:gridSpan w:val="7"/>
            <w:tcMar>
              <w:left w:w="60" w:type="dxa"/>
              <w:right w:w="60" w:type="dxa"/>
            </w:tcMar>
            <w:vAlign w:val="bottom"/>
          </w:tcPr>
          <w:p w14:paraId="2DB6D0D9"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ended June 30,</w:t>
            </w:r>
          </w:p>
        </w:tc>
      </w:tr>
      <w:tr w:rsidR="007E7656" w14:paraId="68118CDC" w14:textId="77777777" w:rsidTr="007E7656">
        <w:trPr>
          <w:trHeight w:hRule="exact" w:val="280"/>
          <w:jc w:val="center"/>
        </w:trPr>
        <w:tc>
          <w:tcPr>
            <w:tcW w:w="8080" w:type="dxa"/>
            <w:tcMar>
              <w:left w:w="60" w:type="dxa"/>
              <w:right w:w="40" w:type="dxa"/>
            </w:tcMar>
            <w:vAlign w:val="bottom"/>
          </w:tcPr>
          <w:p w14:paraId="3E0EC37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 $ thousands, except per share data)</w:t>
            </w:r>
          </w:p>
        </w:tc>
        <w:tc>
          <w:tcPr>
            <w:tcW w:w="0" w:type="dxa"/>
            <w:gridSpan w:val="3"/>
            <w:tcBorders>
              <w:top w:val="single" w:sz="8" w:space="0" w:color="auto"/>
              <w:bottom w:val="single" w:sz="8" w:space="0" w:color="auto"/>
            </w:tcBorders>
            <w:tcMar>
              <w:left w:w="60" w:type="dxa"/>
              <w:right w:w="60" w:type="dxa"/>
            </w:tcMar>
            <w:vAlign w:val="bottom"/>
          </w:tcPr>
          <w:p w14:paraId="576C82F7"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2019</w:t>
            </w:r>
          </w:p>
        </w:tc>
        <w:tc>
          <w:tcPr>
            <w:tcW w:w="80" w:type="dxa"/>
            <w:tcBorders>
              <w:top w:val="single" w:sz="8" w:space="0" w:color="auto"/>
            </w:tcBorders>
            <w:tcMar>
              <w:left w:w="60" w:type="dxa"/>
              <w:right w:w="0" w:type="dxa"/>
            </w:tcMar>
            <w:vAlign w:val="bottom"/>
          </w:tcPr>
          <w:p w14:paraId="78E9316B" w14:textId="77777777" w:rsidR="007E7656" w:rsidRDefault="007E7656" w:rsidP="00312F84">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2519C118"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2018</w:t>
            </w:r>
          </w:p>
        </w:tc>
      </w:tr>
      <w:tr w:rsidR="007E7656" w14:paraId="6EF9C3E7" w14:textId="77777777" w:rsidTr="007E7656">
        <w:trPr>
          <w:trHeight w:hRule="exact" w:val="300"/>
          <w:jc w:val="center"/>
        </w:trPr>
        <w:tc>
          <w:tcPr>
            <w:tcW w:w="8080" w:type="dxa"/>
            <w:tcMar>
              <w:left w:w="60" w:type="dxa"/>
              <w:right w:w="40" w:type="dxa"/>
            </w:tcMar>
            <w:vAlign w:val="bottom"/>
          </w:tcPr>
          <w:p w14:paraId="0455B74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sales</w:t>
            </w:r>
          </w:p>
        </w:tc>
        <w:tc>
          <w:tcPr>
            <w:tcW w:w="1036" w:type="dxa"/>
            <w:gridSpan w:val="2"/>
            <w:tcBorders>
              <w:top w:val="single" w:sz="8" w:space="0" w:color="auto"/>
            </w:tcBorders>
            <w:tcMar>
              <w:left w:w="0" w:type="dxa"/>
              <w:right w:w="0" w:type="dxa"/>
            </w:tcMar>
            <w:vAlign w:val="bottom"/>
          </w:tcPr>
          <w:p w14:paraId="6764F31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381,612</w:t>
            </w:r>
          </w:p>
        </w:tc>
        <w:tc>
          <w:tcPr>
            <w:tcW w:w="64" w:type="dxa"/>
            <w:tcBorders>
              <w:top w:val="single" w:sz="8" w:space="0" w:color="auto"/>
            </w:tcBorders>
            <w:tcMar>
              <w:left w:w="0" w:type="dxa"/>
              <w:right w:w="0" w:type="dxa"/>
            </w:tcMar>
          </w:tcPr>
          <w:p w14:paraId="26CE7A18" w14:textId="77777777" w:rsidR="007E7656" w:rsidRDefault="007E7656" w:rsidP="00312F84"/>
        </w:tc>
        <w:tc>
          <w:tcPr>
            <w:tcW w:w="80" w:type="dxa"/>
            <w:tcMar>
              <w:left w:w="0" w:type="dxa"/>
              <w:right w:w="0" w:type="dxa"/>
            </w:tcMar>
            <w:vAlign w:val="bottom"/>
          </w:tcPr>
          <w:p w14:paraId="5A2EC229" w14:textId="77777777" w:rsidR="007E7656" w:rsidRDefault="007E7656" w:rsidP="00312F84">
            <w:pPr>
              <w:keepNext/>
              <w:keepLines/>
              <w:spacing w:before="40" w:after="40"/>
            </w:pPr>
          </w:p>
        </w:tc>
        <w:tc>
          <w:tcPr>
            <w:tcW w:w="936" w:type="dxa"/>
            <w:gridSpan w:val="2"/>
            <w:tcMar>
              <w:left w:w="0" w:type="dxa"/>
              <w:right w:w="0" w:type="dxa"/>
            </w:tcMar>
            <w:vAlign w:val="bottom"/>
          </w:tcPr>
          <w:p w14:paraId="4EDB77C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377,196</w:t>
            </w:r>
          </w:p>
        </w:tc>
        <w:tc>
          <w:tcPr>
            <w:tcW w:w="64" w:type="dxa"/>
            <w:tcMar>
              <w:left w:w="0" w:type="dxa"/>
              <w:right w:w="0" w:type="dxa"/>
            </w:tcMar>
          </w:tcPr>
          <w:p w14:paraId="548E37A6" w14:textId="77777777" w:rsidR="007E7656" w:rsidRDefault="007E7656" w:rsidP="00312F84"/>
        </w:tc>
      </w:tr>
      <w:tr w:rsidR="007E7656" w14:paraId="14E9A092" w14:textId="77777777" w:rsidTr="007E7656">
        <w:trPr>
          <w:trHeight w:hRule="exact" w:val="300"/>
          <w:jc w:val="center"/>
        </w:trPr>
        <w:tc>
          <w:tcPr>
            <w:tcW w:w="8080" w:type="dxa"/>
            <w:tcMar>
              <w:left w:w="60" w:type="dxa"/>
              <w:right w:w="40" w:type="dxa"/>
            </w:tcMar>
            <w:vAlign w:val="bottom"/>
          </w:tcPr>
          <w:p w14:paraId="7EDD64A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Cost of sales</w:t>
            </w:r>
          </w:p>
        </w:tc>
        <w:tc>
          <w:tcPr>
            <w:tcW w:w="1036" w:type="dxa"/>
            <w:gridSpan w:val="2"/>
            <w:tcBorders>
              <w:bottom w:val="single" w:sz="8" w:space="0" w:color="auto"/>
            </w:tcBorders>
            <w:tcMar>
              <w:left w:w="0" w:type="dxa"/>
              <w:right w:w="0" w:type="dxa"/>
            </w:tcMar>
            <w:vAlign w:val="bottom"/>
          </w:tcPr>
          <w:p w14:paraId="0E6A947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135,697</w:t>
            </w:r>
          </w:p>
        </w:tc>
        <w:tc>
          <w:tcPr>
            <w:tcW w:w="64" w:type="dxa"/>
            <w:tcBorders>
              <w:bottom w:val="single" w:sz="8" w:space="0" w:color="auto"/>
            </w:tcBorders>
            <w:tcMar>
              <w:left w:w="0" w:type="dxa"/>
              <w:right w:w="0" w:type="dxa"/>
            </w:tcMar>
          </w:tcPr>
          <w:p w14:paraId="29CE4537" w14:textId="77777777" w:rsidR="007E7656" w:rsidRDefault="007E7656" w:rsidP="00312F84"/>
        </w:tc>
        <w:tc>
          <w:tcPr>
            <w:tcW w:w="80" w:type="dxa"/>
            <w:tcMar>
              <w:left w:w="0" w:type="dxa"/>
              <w:right w:w="0" w:type="dxa"/>
            </w:tcMar>
            <w:vAlign w:val="bottom"/>
          </w:tcPr>
          <w:p w14:paraId="69421A5B"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27FA0AE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123,440</w:t>
            </w:r>
          </w:p>
        </w:tc>
        <w:tc>
          <w:tcPr>
            <w:tcW w:w="64" w:type="dxa"/>
            <w:tcBorders>
              <w:bottom w:val="single" w:sz="8" w:space="0" w:color="auto"/>
            </w:tcBorders>
            <w:tcMar>
              <w:left w:w="0" w:type="dxa"/>
              <w:right w:w="0" w:type="dxa"/>
            </w:tcMar>
          </w:tcPr>
          <w:p w14:paraId="3E81CEDC" w14:textId="77777777" w:rsidR="007E7656" w:rsidRDefault="007E7656" w:rsidP="00312F84"/>
        </w:tc>
      </w:tr>
      <w:tr w:rsidR="007E7656" w14:paraId="10C5AEAE" w14:textId="77777777" w:rsidTr="007E7656">
        <w:trPr>
          <w:trHeight w:hRule="exact" w:val="300"/>
          <w:jc w:val="center"/>
        </w:trPr>
        <w:tc>
          <w:tcPr>
            <w:tcW w:w="8080" w:type="dxa"/>
            <w:tcMar>
              <w:left w:w="60" w:type="dxa"/>
              <w:right w:w="40" w:type="dxa"/>
            </w:tcMar>
            <w:vAlign w:val="bottom"/>
          </w:tcPr>
          <w:p w14:paraId="61C1C1E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Gross profit</w:t>
            </w:r>
          </w:p>
        </w:tc>
        <w:tc>
          <w:tcPr>
            <w:tcW w:w="1036" w:type="dxa"/>
            <w:gridSpan w:val="2"/>
            <w:tcBorders>
              <w:bottom w:val="single" w:sz="8" w:space="0" w:color="auto"/>
            </w:tcBorders>
            <w:tcMar>
              <w:left w:w="0" w:type="dxa"/>
              <w:right w:w="0" w:type="dxa"/>
            </w:tcMar>
            <w:vAlign w:val="bottom"/>
          </w:tcPr>
          <w:p w14:paraId="6139867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245,915</w:t>
            </w:r>
          </w:p>
        </w:tc>
        <w:tc>
          <w:tcPr>
            <w:tcW w:w="64" w:type="dxa"/>
            <w:tcBorders>
              <w:bottom w:val="single" w:sz="8" w:space="0" w:color="auto"/>
            </w:tcBorders>
            <w:tcMar>
              <w:left w:w="0" w:type="dxa"/>
              <w:right w:w="0" w:type="dxa"/>
            </w:tcMar>
          </w:tcPr>
          <w:p w14:paraId="76E8C6F1" w14:textId="77777777" w:rsidR="007E7656" w:rsidRDefault="007E7656" w:rsidP="00312F84"/>
        </w:tc>
        <w:tc>
          <w:tcPr>
            <w:tcW w:w="80" w:type="dxa"/>
            <w:tcMar>
              <w:left w:w="0" w:type="dxa"/>
              <w:right w:w="0" w:type="dxa"/>
            </w:tcMar>
            <w:vAlign w:val="bottom"/>
          </w:tcPr>
          <w:p w14:paraId="5B24F679"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3410619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253,756</w:t>
            </w:r>
          </w:p>
        </w:tc>
        <w:tc>
          <w:tcPr>
            <w:tcW w:w="64" w:type="dxa"/>
            <w:tcBorders>
              <w:bottom w:val="single" w:sz="8" w:space="0" w:color="auto"/>
            </w:tcBorders>
            <w:tcMar>
              <w:left w:w="0" w:type="dxa"/>
              <w:right w:w="0" w:type="dxa"/>
            </w:tcMar>
          </w:tcPr>
          <w:p w14:paraId="737CAB54" w14:textId="77777777" w:rsidR="007E7656" w:rsidRDefault="007E7656" w:rsidP="00312F84"/>
        </w:tc>
      </w:tr>
      <w:tr w:rsidR="007E7656" w14:paraId="41FC9683" w14:textId="77777777" w:rsidTr="007E7656">
        <w:trPr>
          <w:trHeight w:hRule="exact" w:val="300"/>
          <w:jc w:val="center"/>
        </w:trPr>
        <w:tc>
          <w:tcPr>
            <w:tcW w:w="8080" w:type="dxa"/>
            <w:tcMar>
              <w:left w:w="60" w:type="dxa"/>
              <w:right w:w="40" w:type="dxa"/>
            </w:tcMar>
            <w:vAlign w:val="bottom"/>
          </w:tcPr>
          <w:p w14:paraId="0ACAF1C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Operating expenses:</w:t>
            </w:r>
          </w:p>
        </w:tc>
        <w:tc>
          <w:tcPr>
            <w:tcW w:w="0" w:type="dxa"/>
            <w:gridSpan w:val="3"/>
            <w:tcMar>
              <w:left w:w="0" w:type="dxa"/>
              <w:right w:w="180" w:type="dxa"/>
            </w:tcMar>
            <w:vAlign w:val="bottom"/>
          </w:tcPr>
          <w:p w14:paraId="26A9107E" w14:textId="77777777" w:rsidR="007E7656" w:rsidRDefault="007E7656" w:rsidP="00312F84">
            <w:pPr>
              <w:keepNext/>
              <w:keepLines/>
              <w:spacing w:before="40" w:after="40"/>
            </w:pPr>
          </w:p>
        </w:tc>
        <w:tc>
          <w:tcPr>
            <w:tcW w:w="80" w:type="dxa"/>
            <w:tcMar>
              <w:left w:w="0" w:type="dxa"/>
              <w:right w:w="0" w:type="dxa"/>
            </w:tcMar>
            <w:vAlign w:val="bottom"/>
          </w:tcPr>
          <w:p w14:paraId="3EEA7F06" w14:textId="77777777" w:rsidR="007E7656" w:rsidRDefault="007E7656" w:rsidP="00312F84">
            <w:pPr>
              <w:keepNext/>
              <w:keepLines/>
              <w:spacing w:before="40" w:after="40"/>
            </w:pPr>
          </w:p>
        </w:tc>
        <w:tc>
          <w:tcPr>
            <w:tcW w:w="0" w:type="dxa"/>
            <w:gridSpan w:val="3"/>
            <w:tcMar>
              <w:left w:w="0" w:type="dxa"/>
              <w:right w:w="180" w:type="dxa"/>
            </w:tcMar>
            <w:vAlign w:val="bottom"/>
          </w:tcPr>
          <w:p w14:paraId="4517ED6F" w14:textId="77777777" w:rsidR="007E7656" w:rsidRDefault="007E7656" w:rsidP="00312F84">
            <w:pPr>
              <w:keepNext/>
              <w:keepLines/>
              <w:spacing w:before="40" w:after="40"/>
            </w:pPr>
          </w:p>
        </w:tc>
      </w:tr>
      <w:tr w:rsidR="007E7656" w14:paraId="526328DF" w14:textId="77777777" w:rsidTr="007E7656">
        <w:trPr>
          <w:trHeight w:hRule="exact" w:val="300"/>
          <w:jc w:val="center"/>
        </w:trPr>
        <w:tc>
          <w:tcPr>
            <w:tcW w:w="8080" w:type="dxa"/>
            <w:tcMar>
              <w:left w:w="60" w:type="dxa"/>
              <w:right w:w="40" w:type="dxa"/>
            </w:tcMar>
            <w:vAlign w:val="bottom"/>
          </w:tcPr>
          <w:p w14:paraId="1226FB9B"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Research and development</w:t>
            </w:r>
          </w:p>
        </w:tc>
        <w:tc>
          <w:tcPr>
            <w:tcW w:w="1036" w:type="dxa"/>
            <w:gridSpan w:val="2"/>
            <w:tcMar>
              <w:left w:w="0" w:type="dxa"/>
              <w:right w:w="0" w:type="dxa"/>
            </w:tcMar>
            <w:vAlign w:val="bottom"/>
          </w:tcPr>
          <w:p w14:paraId="7C8F1EE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40,827</w:t>
            </w:r>
          </w:p>
        </w:tc>
        <w:tc>
          <w:tcPr>
            <w:tcW w:w="64" w:type="dxa"/>
            <w:tcMar>
              <w:left w:w="0" w:type="dxa"/>
              <w:right w:w="0" w:type="dxa"/>
            </w:tcMar>
          </w:tcPr>
          <w:p w14:paraId="19A09913" w14:textId="77777777" w:rsidR="007E7656" w:rsidRDefault="007E7656" w:rsidP="00312F84"/>
        </w:tc>
        <w:tc>
          <w:tcPr>
            <w:tcW w:w="80" w:type="dxa"/>
            <w:tcMar>
              <w:left w:w="0" w:type="dxa"/>
              <w:right w:w="0" w:type="dxa"/>
            </w:tcMar>
            <w:vAlign w:val="bottom"/>
          </w:tcPr>
          <w:p w14:paraId="411D20C7" w14:textId="77777777" w:rsidR="007E7656" w:rsidRDefault="007E7656" w:rsidP="00312F84">
            <w:pPr>
              <w:keepNext/>
              <w:keepLines/>
              <w:spacing w:before="40" w:after="40"/>
            </w:pPr>
          </w:p>
        </w:tc>
        <w:tc>
          <w:tcPr>
            <w:tcW w:w="936" w:type="dxa"/>
            <w:gridSpan w:val="2"/>
            <w:tcMar>
              <w:left w:w="0" w:type="dxa"/>
              <w:right w:w="0" w:type="dxa"/>
            </w:tcMar>
            <w:vAlign w:val="bottom"/>
          </w:tcPr>
          <w:p w14:paraId="157F58F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39,633</w:t>
            </w:r>
          </w:p>
        </w:tc>
        <w:tc>
          <w:tcPr>
            <w:tcW w:w="64" w:type="dxa"/>
            <w:tcMar>
              <w:left w:w="0" w:type="dxa"/>
              <w:right w:w="0" w:type="dxa"/>
            </w:tcMar>
          </w:tcPr>
          <w:p w14:paraId="51840FE8" w14:textId="77777777" w:rsidR="007E7656" w:rsidRDefault="007E7656" w:rsidP="00312F84"/>
        </w:tc>
      </w:tr>
      <w:tr w:rsidR="007E7656" w14:paraId="27424693" w14:textId="77777777" w:rsidTr="007E7656">
        <w:trPr>
          <w:trHeight w:hRule="exact" w:val="300"/>
          <w:jc w:val="center"/>
        </w:trPr>
        <w:tc>
          <w:tcPr>
            <w:tcW w:w="8080" w:type="dxa"/>
            <w:tcMar>
              <w:left w:w="60" w:type="dxa"/>
              <w:right w:w="40" w:type="dxa"/>
            </w:tcMar>
            <w:vAlign w:val="bottom"/>
          </w:tcPr>
          <w:p w14:paraId="4123DAF0"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Sales and marketing</w:t>
            </w:r>
          </w:p>
        </w:tc>
        <w:tc>
          <w:tcPr>
            <w:tcW w:w="1036" w:type="dxa"/>
            <w:gridSpan w:val="2"/>
            <w:tcMar>
              <w:left w:w="0" w:type="dxa"/>
              <w:right w:w="0" w:type="dxa"/>
            </w:tcMar>
            <w:vAlign w:val="bottom"/>
          </w:tcPr>
          <w:p w14:paraId="1793008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100,686</w:t>
            </w:r>
          </w:p>
        </w:tc>
        <w:tc>
          <w:tcPr>
            <w:tcW w:w="64" w:type="dxa"/>
            <w:tcMar>
              <w:left w:w="0" w:type="dxa"/>
              <w:right w:w="0" w:type="dxa"/>
            </w:tcMar>
          </w:tcPr>
          <w:p w14:paraId="7D89197B" w14:textId="77777777" w:rsidR="007E7656" w:rsidRDefault="007E7656" w:rsidP="00312F84"/>
        </w:tc>
        <w:tc>
          <w:tcPr>
            <w:tcW w:w="80" w:type="dxa"/>
            <w:tcMar>
              <w:left w:w="0" w:type="dxa"/>
              <w:right w:w="0" w:type="dxa"/>
            </w:tcMar>
            <w:vAlign w:val="bottom"/>
          </w:tcPr>
          <w:p w14:paraId="0FA371FB" w14:textId="77777777" w:rsidR="007E7656" w:rsidRDefault="007E7656" w:rsidP="00312F84">
            <w:pPr>
              <w:keepNext/>
              <w:keepLines/>
              <w:spacing w:before="40" w:after="40"/>
            </w:pPr>
          </w:p>
        </w:tc>
        <w:tc>
          <w:tcPr>
            <w:tcW w:w="936" w:type="dxa"/>
            <w:gridSpan w:val="2"/>
            <w:tcMar>
              <w:left w:w="0" w:type="dxa"/>
              <w:right w:w="0" w:type="dxa"/>
            </w:tcMar>
            <w:vAlign w:val="bottom"/>
          </w:tcPr>
          <w:p w14:paraId="0C586C0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101,853</w:t>
            </w:r>
          </w:p>
        </w:tc>
        <w:tc>
          <w:tcPr>
            <w:tcW w:w="64" w:type="dxa"/>
            <w:tcMar>
              <w:left w:w="0" w:type="dxa"/>
              <w:right w:w="0" w:type="dxa"/>
            </w:tcMar>
          </w:tcPr>
          <w:p w14:paraId="3735D53D" w14:textId="77777777" w:rsidR="007E7656" w:rsidRDefault="007E7656" w:rsidP="00312F84"/>
        </w:tc>
      </w:tr>
      <w:tr w:rsidR="007E7656" w14:paraId="77BCC379" w14:textId="77777777" w:rsidTr="007E7656">
        <w:trPr>
          <w:trHeight w:hRule="exact" w:val="300"/>
          <w:jc w:val="center"/>
        </w:trPr>
        <w:tc>
          <w:tcPr>
            <w:tcW w:w="8080" w:type="dxa"/>
            <w:tcMar>
              <w:left w:w="60" w:type="dxa"/>
              <w:right w:w="40" w:type="dxa"/>
            </w:tcMar>
            <w:vAlign w:val="bottom"/>
          </w:tcPr>
          <w:p w14:paraId="349A3ED5"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General and administrative, restructuring, integration and other, net</w:t>
            </w:r>
          </w:p>
        </w:tc>
        <w:tc>
          <w:tcPr>
            <w:tcW w:w="1036" w:type="dxa"/>
            <w:gridSpan w:val="2"/>
            <w:tcMar>
              <w:left w:w="0" w:type="dxa"/>
              <w:right w:w="0" w:type="dxa"/>
            </w:tcMar>
            <w:vAlign w:val="bottom"/>
          </w:tcPr>
          <w:p w14:paraId="1C694B8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35,539</w:t>
            </w:r>
          </w:p>
        </w:tc>
        <w:tc>
          <w:tcPr>
            <w:tcW w:w="64" w:type="dxa"/>
            <w:tcMar>
              <w:left w:w="0" w:type="dxa"/>
              <w:right w:w="0" w:type="dxa"/>
            </w:tcMar>
          </w:tcPr>
          <w:p w14:paraId="0E82F480" w14:textId="77777777" w:rsidR="007E7656" w:rsidRDefault="007E7656" w:rsidP="00312F84"/>
        </w:tc>
        <w:tc>
          <w:tcPr>
            <w:tcW w:w="80" w:type="dxa"/>
            <w:tcMar>
              <w:left w:w="0" w:type="dxa"/>
              <w:right w:w="0" w:type="dxa"/>
            </w:tcMar>
            <w:vAlign w:val="bottom"/>
          </w:tcPr>
          <w:p w14:paraId="50EA9B68" w14:textId="77777777" w:rsidR="007E7656" w:rsidRDefault="007E7656" w:rsidP="00312F84">
            <w:pPr>
              <w:keepNext/>
              <w:keepLines/>
              <w:spacing w:before="40" w:after="40"/>
            </w:pPr>
          </w:p>
        </w:tc>
        <w:tc>
          <w:tcPr>
            <w:tcW w:w="936" w:type="dxa"/>
            <w:gridSpan w:val="2"/>
            <w:tcMar>
              <w:left w:w="0" w:type="dxa"/>
              <w:right w:w="0" w:type="dxa"/>
            </w:tcMar>
            <w:vAlign w:val="bottom"/>
          </w:tcPr>
          <w:p w14:paraId="5358B48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48,886</w:t>
            </w:r>
          </w:p>
        </w:tc>
        <w:tc>
          <w:tcPr>
            <w:tcW w:w="64" w:type="dxa"/>
            <w:tcMar>
              <w:left w:w="0" w:type="dxa"/>
              <w:right w:w="0" w:type="dxa"/>
            </w:tcMar>
          </w:tcPr>
          <w:p w14:paraId="0D119CE5" w14:textId="77777777" w:rsidR="007E7656" w:rsidRDefault="007E7656" w:rsidP="00312F84"/>
        </w:tc>
      </w:tr>
      <w:tr w:rsidR="007E7656" w14:paraId="6E7AA8ED" w14:textId="77777777" w:rsidTr="007E7656">
        <w:trPr>
          <w:trHeight w:hRule="exact" w:val="300"/>
          <w:jc w:val="center"/>
        </w:trPr>
        <w:tc>
          <w:tcPr>
            <w:tcW w:w="8080" w:type="dxa"/>
            <w:tcMar>
              <w:left w:w="60" w:type="dxa"/>
              <w:right w:w="40" w:type="dxa"/>
            </w:tcMar>
            <w:vAlign w:val="bottom"/>
          </w:tcPr>
          <w:p w14:paraId="1FA3E156"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Acquisition-related intangible amortization</w:t>
            </w:r>
          </w:p>
        </w:tc>
        <w:tc>
          <w:tcPr>
            <w:tcW w:w="1036" w:type="dxa"/>
            <w:gridSpan w:val="2"/>
            <w:tcBorders>
              <w:bottom w:val="single" w:sz="8" w:space="0" w:color="auto"/>
            </w:tcBorders>
            <w:tcMar>
              <w:left w:w="0" w:type="dxa"/>
              <w:right w:w="0" w:type="dxa"/>
            </w:tcMar>
            <w:vAlign w:val="bottom"/>
          </w:tcPr>
          <w:p w14:paraId="6D0854C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8,687</w:t>
            </w:r>
          </w:p>
        </w:tc>
        <w:tc>
          <w:tcPr>
            <w:tcW w:w="64" w:type="dxa"/>
            <w:tcBorders>
              <w:bottom w:val="single" w:sz="8" w:space="0" w:color="auto"/>
            </w:tcBorders>
            <w:tcMar>
              <w:left w:w="0" w:type="dxa"/>
              <w:right w:w="0" w:type="dxa"/>
            </w:tcMar>
          </w:tcPr>
          <w:p w14:paraId="73A8C9B4" w14:textId="77777777" w:rsidR="007E7656" w:rsidRDefault="007E7656" w:rsidP="00312F84"/>
        </w:tc>
        <w:tc>
          <w:tcPr>
            <w:tcW w:w="80" w:type="dxa"/>
            <w:tcMar>
              <w:left w:w="0" w:type="dxa"/>
              <w:right w:w="0" w:type="dxa"/>
            </w:tcMar>
            <w:vAlign w:val="bottom"/>
          </w:tcPr>
          <w:p w14:paraId="2D4EEAD0"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4793011B"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10,051</w:t>
            </w:r>
          </w:p>
        </w:tc>
        <w:tc>
          <w:tcPr>
            <w:tcW w:w="64" w:type="dxa"/>
            <w:tcBorders>
              <w:bottom w:val="single" w:sz="8" w:space="0" w:color="auto"/>
            </w:tcBorders>
            <w:tcMar>
              <w:left w:w="0" w:type="dxa"/>
              <w:right w:w="0" w:type="dxa"/>
            </w:tcMar>
          </w:tcPr>
          <w:p w14:paraId="6D9E56F3" w14:textId="77777777" w:rsidR="007E7656" w:rsidRDefault="007E7656" w:rsidP="00312F84"/>
        </w:tc>
      </w:tr>
      <w:tr w:rsidR="007E7656" w14:paraId="40F7DC77" w14:textId="77777777" w:rsidTr="007E7656">
        <w:trPr>
          <w:trHeight w:hRule="exact" w:val="300"/>
          <w:jc w:val="center"/>
        </w:trPr>
        <w:tc>
          <w:tcPr>
            <w:tcW w:w="8080" w:type="dxa"/>
            <w:tcMar>
              <w:left w:w="60" w:type="dxa"/>
              <w:right w:w="40" w:type="dxa"/>
            </w:tcMar>
            <w:vAlign w:val="bottom"/>
          </w:tcPr>
          <w:p w14:paraId="72AF87A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operating expenses</w:t>
            </w:r>
          </w:p>
        </w:tc>
        <w:tc>
          <w:tcPr>
            <w:tcW w:w="1036" w:type="dxa"/>
            <w:gridSpan w:val="2"/>
            <w:tcBorders>
              <w:bottom w:val="single" w:sz="8" w:space="0" w:color="auto"/>
            </w:tcBorders>
            <w:tcMar>
              <w:left w:w="0" w:type="dxa"/>
              <w:right w:w="0" w:type="dxa"/>
            </w:tcMar>
            <w:vAlign w:val="bottom"/>
          </w:tcPr>
          <w:p w14:paraId="52F3FFB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185,739</w:t>
            </w:r>
          </w:p>
        </w:tc>
        <w:tc>
          <w:tcPr>
            <w:tcW w:w="64" w:type="dxa"/>
            <w:tcBorders>
              <w:bottom w:val="single" w:sz="8" w:space="0" w:color="auto"/>
            </w:tcBorders>
            <w:tcMar>
              <w:left w:w="0" w:type="dxa"/>
              <w:right w:w="0" w:type="dxa"/>
            </w:tcMar>
          </w:tcPr>
          <w:p w14:paraId="75A6C90D" w14:textId="77777777" w:rsidR="007E7656" w:rsidRDefault="007E7656" w:rsidP="00312F84"/>
        </w:tc>
        <w:tc>
          <w:tcPr>
            <w:tcW w:w="80" w:type="dxa"/>
            <w:tcMar>
              <w:left w:w="0" w:type="dxa"/>
              <w:right w:w="0" w:type="dxa"/>
            </w:tcMar>
            <w:vAlign w:val="bottom"/>
          </w:tcPr>
          <w:p w14:paraId="1A7BFE4C"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21D765C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200,423</w:t>
            </w:r>
          </w:p>
        </w:tc>
        <w:tc>
          <w:tcPr>
            <w:tcW w:w="64" w:type="dxa"/>
            <w:tcBorders>
              <w:bottom w:val="single" w:sz="8" w:space="0" w:color="auto"/>
            </w:tcBorders>
            <w:tcMar>
              <w:left w:w="0" w:type="dxa"/>
              <w:right w:w="0" w:type="dxa"/>
            </w:tcMar>
          </w:tcPr>
          <w:p w14:paraId="5F6857A9" w14:textId="77777777" w:rsidR="007E7656" w:rsidRDefault="007E7656" w:rsidP="00312F84"/>
        </w:tc>
      </w:tr>
      <w:tr w:rsidR="007E7656" w14:paraId="103756F0" w14:textId="77777777" w:rsidTr="007E7656">
        <w:trPr>
          <w:trHeight w:hRule="exact" w:val="300"/>
          <w:jc w:val="center"/>
        </w:trPr>
        <w:tc>
          <w:tcPr>
            <w:tcW w:w="8080" w:type="dxa"/>
            <w:tcMar>
              <w:left w:w="60" w:type="dxa"/>
              <w:right w:w="40" w:type="dxa"/>
            </w:tcMar>
            <w:vAlign w:val="bottom"/>
          </w:tcPr>
          <w:p w14:paraId="7FD1948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Income from operations</w:t>
            </w:r>
          </w:p>
        </w:tc>
        <w:tc>
          <w:tcPr>
            <w:tcW w:w="1036" w:type="dxa"/>
            <w:gridSpan w:val="2"/>
            <w:tcBorders>
              <w:bottom w:val="single" w:sz="8" w:space="0" w:color="auto"/>
            </w:tcBorders>
            <w:tcMar>
              <w:left w:w="0" w:type="dxa"/>
              <w:right w:w="0" w:type="dxa"/>
            </w:tcMar>
            <w:vAlign w:val="bottom"/>
          </w:tcPr>
          <w:p w14:paraId="263CBE7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60,176</w:t>
            </w:r>
          </w:p>
        </w:tc>
        <w:tc>
          <w:tcPr>
            <w:tcW w:w="64" w:type="dxa"/>
            <w:tcBorders>
              <w:bottom w:val="single" w:sz="8" w:space="0" w:color="auto"/>
            </w:tcBorders>
            <w:tcMar>
              <w:left w:w="0" w:type="dxa"/>
              <w:right w:w="0" w:type="dxa"/>
            </w:tcMar>
          </w:tcPr>
          <w:p w14:paraId="03639B99" w14:textId="77777777" w:rsidR="007E7656" w:rsidRDefault="007E7656" w:rsidP="00312F84"/>
        </w:tc>
        <w:tc>
          <w:tcPr>
            <w:tcW w:w="80" w:type="dxa"/>
            <w:tcMar>
              <w:left w:w="0" w:type="dxa"/>
              <w:right w:w="0" w:type="dxa"/>
            </w:tcMar>
            <w:vAlign w:val="bottom"/>
          </w:tcPr>
          <w:p w14:paraId="1F54F12F"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18B55F2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53,333</w:t>
            </w:r>
          </w:p>
        </w:tc>
        <w:tc>
          <w:tcPr>
            <w:tcW w:w="64" w:type="dxa"/>
            <w:tcBorders>
              <w:bottom w:val="single" w:sz="8" w:space="0" w:color="auto"/>
            </w:tcBorders>
            <w:tcMar>
              <w:left w:w="0" w:type="dxa"/>
              <w:right w:w="0" w:type="dxa"/>
            </w:tcMar>
          </w:tcPr>
          <w:p w14:paraId="01115004" w14:textId="77777777" w:rsidR="007E7656" w:rsidRDefault="007E7656" w:rsidP="00312F84"/>
        </w:tc>
      </w:tr>
      <w:tr w:rsidR="007E7656" w14:paraId="721028E4" w14:textId="77777777" w:rsidTr="007E7656">
        <w:trPr>
          <w:trHeight w:hRule="exact" w:val="300"/>
          <w:jc w:val="center"/>
        </w:trPr>
        <w:tc>
          <w:tcPr>
            <w:tcW w:w="8080" w:type="dxa"/>
            <w:tcMar>
              <w:left w:w="60" w:type="dxa"/>
              <w:right w:w="40" w:type="dxa"/>
            </w:tcMar>
            <w:vAlign w:val="bottom"/>
          </w:tcPr>
          <w:p w14:paraId="360EF27B"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income (expense):</w:t>
            </w:r>
          </w:p>
        </w:tc>
        <w:tc>
          <w:tcPr>
            <w:tcW w:w="0" w:type="dxa"/>
            <w:gridSpan w:val="3"/>
            <w:tcMar>
              <w:left w:w="0" w:type="dxa"/>
              <w:right w:w="180" w:type="dxa"/>
            </w:tcMar>
            <w:vAlign w:val="bottom"/>
          </w:tcPr>
          <w:p w14:paraId="76792DFD" w14:textId="77777777" w:rsidR="007E7656" w:rsidRDefault="007E7656" w:rsidP="00312F84">
            <w:pPr>
              <w:keepNext/>
              <w:keepLines/>
              <w:spacing w:before="40" w:after="40"/>
            </w:pPr>
          </w:p>
        </w:tc>
        <w:tc>
          <w:tcPr>
            <w:tcW w:w="80" w:type="dxa"/>
            <w:tcMar>
              <w:left w:w="0" w:type="dxa"/>
              <w:right w:w="0" w:type="dxa"/>
            </w:tcMar>
            <w:vAlign w:val="bottom"/>
          </w:tcPr>
          <w:p w14:paraId="21E62837" w14:textId="77777777" w:rsidR="007E7656" w:rsidRDefault="007E7656" w:rsidP="00312F84">
            <w:pPr>
              <w:keepNext/>
              <w:keepLines/>
              <w:spacing w:before="40" w:after="40"/>
            </w:pPr>
          </w:p>
        </w:tc>
        <w:tc>
          <w:tcPr>
            <w:tcW w:w="0" w:type="dxa"/>
            <w:gridSpan w:val="3"/>
            <w:tcMar>
              <w:left w:w="0" w:type="dxa"/>
              <w:right w:w="180" w:type="dxa"/>
            </w:tcMar>
            <w:vAlign w:val="bottom"/>
          </w:tcPr>
          <w:p w14:paraId="15A18FA3" w14:textId="77777777" w:rsidR="007E7656" w:rsidRDefault="007E7656" w:rsidP="00312F84">
            <w:pPr>
              <w:keepNext/>
              <w:keepLines/>
              <w:spacing w:before="40" w:after="40"/>
            </w:pPr>
          </w:p>
        </w:tc>
      </w:tr>
      <w:tr w:rsidR="007E7656" w14:paraId="2630AD71" w14:textId="77777777" w:rsidTr="007E7656">
        <w:trPr>
          <w:trHeight w:hRule="exact" w:val="300"/>
          <w:jc w:val="center"/>
        </w:trPr>
        <w:tc>
          <w:tcPr>
            <w:tcW w:w="8080" w:type="dxa"/>
            <w:tcMar>
              <w:left w:w="60" w:type="dxa"/>
              <w:right w:w="40" w:type="dxa"/>
            </w:tcMar>
            <w:vAlign w:val="bottom"/>
          </w:tcPr>
          <w:p w14:paraId="70FDBA5F"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Interest income</w:t>
            </w:r>
          </w:p>
        </w:tc>
        <w:tc>
          <w:tcPr>
            <w:tcW w:w="1036" w:type="dxa"/>
            <w:gridSpan w:val="2"/>
            <w:tcMar>
              <w:left w:w="0" w:type="dxa"/>
              <w:right w:w="0" w:type="dxa"/>
            </w:tcMar>
            <w:vAlign w:val="bottom"/>
          </w:tcPr>
          <w:p w14:paraId="50E3BEF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5,163</w:t>
            </w:r>
          </w:p>
        </w:tc>
        <w:tc>
          <w:tcPr>
            <w:tcW w:w="64" w:type="dxa"/>
            <w:tcMar>
              <w:left w:w="0" w:type="dxa"/>
              <w:right w:w="0" w:type="dxa"/>
            </w:tcMar>
          </w:tcPr>
          <w:p w14:paraId="4C226F63" w14:textId="77777777" w:rsidR="007E7656" w:rsidRDefault="007E7656" w:rsidP="00312F84"/>
        </w:tc>
        <w:tc>
          <w:tcPr>
            <w:tcW w:w="80" w:type="dxa"/>
            <w:tcMar>
              <w:left w:w="0" w:type="dxa"/>
              <w:right w:w="0" w:type="dxa"/>
            </w:tcMar>
            <w:vAlign w:val="bottom"/>
          </w:tcPr>
          <w:p w14:paraId="6017F863" w14:textId="77777777" w:rsidR="007E7656" w:rsidRDefault="007E7656" w:rsidP="00312F84">
            <w:pPr>
              <w:keepNext/>
              <w:keepLines/>
              <w:spacing w:before="40" w:after="40"/>
            </w:pPr>
          </w:p>
        </w:tc>
        <w:tc>
          <w:tcPr>
            <w:tcW w:w="936" w:type="dxa"/>
            <w:gridSpan w:val="2"/>
            <w:tcMar>
              <w:left w:w="0" w:type="dxa"/>
              <w:right w:w="0" w:type="dxa"/>
            </w:tcMar>
            <w:vAlign w:val="bottom"/>
          </w:tcPr>
          <w:p w14:paraId="12A0DC7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5,104</w:t>
            </w:r>
          </w:p>
        </w:tc>
        <w:tc>
          <w:tcPr>
            <w:tcW w:w="64" w:type="dxa"/>
            <w:tcMar>
              <w:left w:w="0" w:type="dxa"/>
              <w:right w:w="0" w:type="dxa"/>
            </w:tcMar>
          </w:tcPr>
          <w:p w14:paraId="403757D0" w14:textId="77777777" w:rsidR="007E7656" w:rsidRDefault="007E7656" w:rsidP="00312F84"/>
        </w:tc>
      </w:tr>
      <w:tr w:rsidR="007E7656" w14:paraId="3494A77A" w14:textId="77777777" w:rsidTr="007E7656">
        <w:trPr>
          <w:trHeight w:hRule="exact" w:val="300"/>
          <w:jc w:val="center"/>
        </w:trPr>
        <w:tc>
          <w:tcPr>
            <w:tcW w:w="8080" w:type="dxa"/>
            <w:tcMar>
              <w:left w:w="60" w:type="dxa"/>
              <w:right w:w="40" w:type="dxa"/>
            </w:tcMar>
            <w:vAlign w:val="bottom"/>
          </w:tcPr>
          <w:p w14:paraId="347A8A97"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Interest expense</w:t>
            </w:r>
          </w:p>
        </w:tc>
        <w:tc>
          <w:tcPr>
            <w:tcW w:w="1036" w:type="dxa"/>
            <w:gridSpan w:val="2"/>
            <w:tcMar>
              <w:left w:w="0" w:type="dxa"/>
              <w:right w:w="0" w:type="dxa"/>
            </w:tcMar>
            <w:vAlign w:val="bottom"/>
          </w:tcPr>
          <w:p w14:paraId="5C2381B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(18,226</w:t>
            </w:r>
          </w:p>
        </w:tc>
        <w:tc>
          <w:tcPr>
            <w:tcW w:w="64" w:type="dxa"/>
            <w:tcMar>
              <w:left w:w="0" w:type="dxa"/>
              <w:right w:w="0" w:type="dxa"/>
            </w:tcMar>
            <w:vAlign w:val="bottom"/>
          </w:tcPr>
          <w:p w14:paraId="593458E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0" w:type="dxa"/>
            </w:tcMar>
            <w:vAlign w:val="bottom"/>
          </w:tcPr>
          <w:p w14:paraId="484315FE" w14:textId="77777777" w:rsidR="007E7656" w:rsidRDefault="007E7656" w:rsidP="00312F84">
            <w:pPr>
              <w:keepNext/>
              <w:keepLines/>
              <w:spacing w:before="40" w:after="40"/>
            </w:pPr>
          </w:p>
        </w:tc>
        <w:tc>
          <w:tcPr>
            <w:tcW w:w="936" w:type="dxa"/>
            <w:gridSpan w:val="2"/>
            <w:tcMar>
              <w:left w:w="0" w:type="dxa"/>
              <w:right w:w="0" w:type="dxa"/>
            </w:tcMar>
            <w:vAlign w:val="bottom"/>
          </w:tcPr>
          <w:p w14:paraId="50AF921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(15,835</w:t>
            </w:r>
          </w:p>
        </w:tc>
        <w:tc>
          <w:tcPr>
            <w:tcW w:w="64" w:type="dxa"/>
            <w:tcMar>
              <w:left w:w="0" w:type="dxa"/>
              <w:right w:w="0" w:type="dxa"/>
            </w:tcMar>
            <w:vAlign w:val="bottom"/>
          </w:tcPr>
          <w:p w14:paraId="7A83FD2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1070425C" w14:textId="77777777" w:rsidTr="007E7656">
        <w:trPr>
          <w:trHeight w:hRule="exact" w:val="300"/>
          <w:jc w:val="center"/>
        </w:trPr>
        <w:tc>
          <w:tcPr>
            <w:tcW w:w="8080" w:type="dxa"/>
            <w:tcMar>
              <w:left w:w="60" w:type="dxa"/>
              <w:right w:w="40" w:type="dxa"/>
            </w:tcMar>
            <w:vAlign w:val="bottom"/>
          </w:tcPr>
          <w:p w14:paraId="45E9BE2C" w14:textId="77777777" w:rsidR="007E7656" w:rsidRDefault="007E7656" w:rsidP="00312F84">
            <w:pPr>
              <w:keepNext/>
              <w:keepLines/>
              <w:spacing w:before="40" w:after="40"/>
              <w:ind w:left="540"/>
              <w:rPr>
                <w:rFonts w:ascii="Arial" w:eastAsia="Arial" w:hAnsi="Arial" w:cs="Arial"/>
                <w:sz w:val="16"/>
              </w:rPr>
            </w:pPr>
            <w:r>
              <w:rPr>
                <w:rFonts w:ascii="Arial" w:eastAsia="Arial" w:hAnsi="Arial" w:cs="Arial"/>
                <w:color w:val="000000"/>
                <w:sz w:val="16"/>
              </w:rPr>
              <w:t>Other income, net</w:t>
            </w:r>
          </w:p>
        </w:tc>
        <w:tc>
          <w:tcPr>
            <w:tcW w:w="1036" w:type="dxa"/>
            <w:gridSpan w:val="2"/>
            <w:tcBorders>
              <w:bottom w:val="single" w:sz="8" w:space="0" w:color="auto"/>
            </w:tcBorders>
            <w:tcMar>
              <w:left w:w="0" w:type="dxa"/>
              <w:right w:w="0" w:type="dxa"/>
            </w:tcMar>
            <w:vAlign w:val="bottom"/>
          </w:tcPr>
          <w:p w14:paraId="3331896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4,711</w:t>
            </w:r>
          </w:p>
        </w:tc>
        <w:tc>
          <w:tcPr>
            <w:tcW w:w="64" w:type="dxa"/>
            <w:tcBorders>
              <w:bottom w:val="single" w:sz="8" w:space="0" w:color="auto"/>
            </w:tcBorders>
            <w:tcMar>
              <w:left w:w="0" w:type="dxa"/>
              <w:right w:w="0" w:type="dxa"/>
            </w:tcMar>
          </w:tcPr>
          <w:p w14:paraId="0E722CF0" w14:textId="77777777" w:rsidR="007E7656" w:rsidRDefault="007E7656" w:rsidP="00312F84"/>
        </w:tc>
        <w:tc>
          <w:tcPr>
            <w:tcW w:w="80" w:type="dxa"/>
            <w:tcMar>
              <w:left w:w="0" w:type="dxa"/>
              <w:right w:w="0" w:type="dxa"/>
            </w:tcMar>
            <w:vAlign w:val="bottom"/>
          </w:tcPr>
          <w:p w14:paraId="4D329CD9"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29B80A5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3,356</w:t>
            </w:r>
          </w:p>
        </w:tc>
        <w:tc>
          <w:tcPr>
            <w:tcW w:w="64" w:type="dxa"/>
            <w:tcBorders>
              <w:bottom w:val="single" w:sz="8" w:space="0" w:color="auto"/>
            </w:tcBorders>
            <w:tcMar>
              <w:left w:w="0" w:type="dxa"/>
              <w:right w:w="0" w:type="dxa"/>
            </w:tcMar>
          </w:tcPr>
          <w:p w14:paraId="1472BAAD" w14:textId="77777777" w:rsidR="007E7656" w:rsidRDefault="007E7656" w:rsidP="00312F84"/>
        </w:tc>
      </w:tr>
      <w:tr w:rsidR="007E7656" w14:paraId="7B2862EC" w14:textId="77777777" w:rsidTr="007E7656">
        <w:trPr>
          <w:trHeight w:hRule="exact" w:val="300"/>
          <w:jc w:val="center"/>
        </w:trPr>
        <w:tc>
          <w:tcPr>
            <w:tcW w:w="8080" w:type="dxa"/>
            <w:tcMar>
              <w:left w:w="60" w:type="dxa"/>
              <w:right w:w="40" w:type="dxa"/>
            </w:tcMar>
            <w:vAlign w:val="bottom"/>
          </w:tcPr>
          <w:p w14:paraId="3DAE902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other expense</w:t>
            </w:r>
          </w:p>
        </w:tc>
        <w:tc>
          <w:tcPr>
            <w:tcW w:w="1036" w:type="dxa"/>
            <w:gridSpan w:val="2"/>
            <w:tcBorders>
              <w:bottom w:val="single" w:sz="8" w:space="0" w:color="auto"/>
            </w:tcBorders>
            <w:tcMar>
              <w:left w:w="0" w:type="dxa"/>
              <w:right w:w="0" w:type="dxa"/>
            </w:tcMar>
            <w:vAlign w:val="bottom"/>
          </w:tcPr>
          <w:p w14:paraId="6CDCDBA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(8,352</w:t>
            </w:r>
          </w:p>
        </w:tc>
        <w:tc>
          <w:tcPr>
            <w:tcW w:w="64" w:type="dxa"/>
            <w:tcBorders>
              <w:bottom w:val="single" w:sz="8" w:space="0" w:color="auto"/>
            </w:tcBorders>
            <w:tcMar>
              <w:left w:w="0" w:type="dxa"/>
              <w:right w:w="0" w:type="dxa"/>
            </w:tcMar>
            <w:vAlign w:val="bottom"/>
          </w:tcPr>
          <w:p w14:paraId="6FE31A9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0" w:type="dxa"/>
            </w:tcMar>
            <w:vAlign w:val="bottom"/>
          </w:tcPr>
          <w:p w14:paraId="7680D292"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471B2DA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(7,375</w:t>
            </w:r>
          </w:p>
        </w:tc>
        <w:tc>
          <w:tcPr>
            <w:tcW w:w="64" w:type="dxa"/>
            <w:tcBorders>
              <w:bottom w:val="single" w:sz="8" w:space="0" w:color="auto"/>
            </w:tcBorders>
            <w:tcMar>
              <w:left w:w="0" w:type="dxa"/>
              <w:right w:w="0" w:type="dxa"/>
            </w:tcMar>
            <w:vAlign w:val="bottom"/>
          </w:tcPr>
          <w:p w14:paraId="78B2B72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729F7A2C" w14:textId="77777777" w:rsidTr="007E7656">
        <w:trPr>
          <w:trHeight w:hRule="exact" w:val="300"/>
          <w:jc w:val="center"/>
        </w:trPr>
        <w:tc>
          <w:tcPr>
            <w:tcW w:w="8080" w:type="dxa"/>
            <w:tcMar>
              <w:left w:w="60" w:type="dxa"/>
              <w:right w:w="40" w:type="dxa"/>
            </w:tcMar>
            <w:vAlign w:val="bottom"/>
          </w:tcPr>
          <w:p w14:paraId="5767F45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Income before income taxes</w:t>
            </w:r>
          </w:p>
        </w:tc>
        <w:tc>
          <w:tcPr>
            <w:tcW w:w="1036" w:type="dxa"/>
            <w:gridSpan w:val="2"/>
            <w:tcMar>
              <w:left w:w="0" w:type="dxa"/>
              <w:right w:w="0" w:type="dxa"/>
            </w:tcMar>
            <w:vAlign w:val="bottom"/>
          </w:tcPr>
          <w:p w14:paraId="4A158A2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51,824</w:t>
            </w:r>
          </w:p>
        </w:tc>
        <w:tc>
          <w:tcPr>
            <w:tcW w:w="64" w:type="dxa"/>
            <w:tcMar>
              <w:left w:w="0" w:type="dxa"/>
              <w:right w:w="0" w:type="dxa"/>
            </w:tcMar>
          </w:tcPr>
          <w:p w14:paraId="37616D6E" w14:textId="77777777" w:rsidR="007E7656" w:rsidRDefault="007E7656" w:rsidP="00312F84"/>
        </w:tc>
        <w:tc>
          <w:tcPr>
            <w:tcW w:w="80" w:type="dxa"/>
            <w:tcMar>
              <w:left w:w="0" w:type="dxa"/>
              <w:right w:w="0" w:type="dxa"/>
            </w:tcMar>
            <w:vAlign w:val="bottom"/>
          </w:tcPr>
          <w:p w14:paraId="2FAFF372" w14:textId="77777777" w:rsidR="007E7656" w:rsidRDefault="007E7656" w:rsidP="00312F84">
            <w:pPr>
              <w:keepNext/>
              <w:keepLines/>
              <w:spacing w:before="40" w:after="40"/>
            </w:pPr>
          </w:p>
        </w:tc>
        <w:tc>
          <w:tcPr>
            <w:tcW w:w="936" w:type="dxa"/>
            <w:gridSpan w:val="2"/>
            <w:tcMar>
              <w:left w:w="0" w:type="dxa"/>
              <w:right w:w="0" w:type="dxa"/>
            </w:tcMar>
            <w:vAlign w:val="bottom"/>
          </w:tcPr>
          <w:p w14:paraId="0C1B382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45,958</w:t>
            </w:r>
          </w:p>
        </w:tc>
        <w:tc>
          <w:tcPr>
            <w:tcW w:w="64" w:type="dxa"/>
            <w:tcMar>
              <w:left w:w="0" w:type="dxa"/>
              <w:right w:w="0" w:type="dxa"/>
            </w:tcMar>
          </w:tcPr>
          <w:p w14:paraId="0B450A0E" w14:textId="77777777" w:rsidR="007E7656" w:rsidRDefault="007E7656" w:rsidP="00312F84"/>
        </w:tc>
      </w:tr>
      <w:tr w:rsidR="007E7656" w14:paraId="0F5F48CB" w14:textId="77777777" w:rsidTr="007E7656">
        <w:trPr>
          <w:trHeight w:hRule="exact" w:val="300"/>
          <w:jc w:val="center"/>
        </w:trPr>
        <w:tc>
          <w:tcPr>
            <w:tcW w:w="8080" w:type="dxa"/>
            <w:tcMar>
              <w:left w:w="60" w:type="dxa"/>
              <w:right w:w="40" w:type="dxa"/>
            </w:tcMar>
            <w:vAlign w:val="bottom"/>
          </w:tcPr>
          <w:p w14:paraId="6B1EE7F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Income taxes</w:t>
            </w:r>
          </w:p>
        </w:tc>
        <w:tc>
          <w:tcPr>
            <w:tcW w:w="1036" w:type="dxa"/>
            <w:gridSpan w:val="2"/>
            <w:tcBorders>
              <w:bottom w:val="single" w:sz="8" w:space="0" w:color="auto"/>
            </w:tcBorders>
            <w:tcMar>
              <w:left w:w="0" w:type="dxa"/>
              <w:right w:w="0" w:type="dxa"/>
            </w:tcMar>
            <w:vAlign w:val="bottom"/>
          </w:tcPr>
          <w:p w14:paraId="1BB4C91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7,096</w:t>
            </w:r>
          </w:p>
        </w:tc>
        <w:tc>
          <w:tcPr>
            <w:tcW w:w="64" w:type="dxa"/>
            <w:tcBorders>
              <w:bottom w:val="single" w:sz="8" w:space="0" w:color="auto"/>
            </w:tcBorders>
            <w:tcMar>
              <w:left w:w="0" w:type="dxa"/>
              <w:right w:w="0" w:type="dxa"/>
            </w:tcMar>
          </w:tcPr>
          <w:p w14:paraId="019253CB" w14:textId="77777777" w:rsidR="007E7656" w:rsidRDefault="007E7656" w:rsidP="00312F84"/>
        </w:tc>
        <w:tc>
          <w:tcPr>
            <w:tcW w:w="80" w:type="dxa"/>
            <w:tcMar>
              <w:left w:w="0" w:type="dxa"/>
              <w:right w:w="0" w:type="dxa"/>
            </w:tcMar>
            <w:vAlign w:val="bottom"/>
          </w:tcPr>
          <w:p w14:paraId="65A53237" w14:textId="77777777" w:rsidR="007E7656" w:rsidRDefault="007E7656" w:rsidP="00312F84">
            <w:pPr>
              <w:keepNext/>
              <w:keepLines/>
              <w:spacing w:before="40" w:after="40"/>
            </w:pPr>
          </w:p>
        </w:tc>
        <w:tc>
          <w:tcPr>
            <w:tcW w:w="936" w:type="dxa"/>
            <w:gridSpan w:val="2"/>
            <w:tcBorders>
              <w:bottom w:val="single" w:sz="8" w:space="0" w:color="auto"/>
            </w:tcBorders>
            <w:tcMar>
              <w:left w:w="0" w:type="dxa"/>
              <w:right w:w="0" w:type="dxa"/>
            </w:tcMar>
            <w:vAlign w:val="bottom"/>
          </w:tcPr>
          <w:p w14:paraId="0D844CE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9,143</w:t>
            </w:r>
          </w:p>
        </w:tc>
        <w:tc>
          <w:tcPr>
            <w:tcW w:w="64" w:type="dxa"/>
            <w:tcBorders>
              <w:bottom w:val="single" w:sz="8" w:space="0" w:color="auto"/>
            </w:tcBorders>
            <w:tcMar>
              <w:left w:w="0" w:type="dxa"/>
              <w:right w:w="0" w:type="dxa"/>
            </w:tcMar>
          </w:tcPr>
          <w:p w14:paraId="27875F49" w14:textId="77777777" w:rsidR="007E7656" w:rsidRDefault="007E7656" w:rsidP="00312F84"/>
        </w:tc>
      </w:tr>
      <w:tr w:rsidR="007E7656" w14:paraId="74F9FEE9" w14:textId="77777777" w:rsidTr="007E7656">
        <w:trPr>
          <w:trHeight w:hRule="exact" w:val="300"/>
          <w:jc w:val="center"/>
        </w:trPr>
        <w:tc>
          <w:tcPr>
            <w:tcW w:w="8080" w:type="dxa"/>
            <w:tcMar>
              <w:left w:w="60" w:type="dxa"/>
              <w:right w:w="40" w:type="dxa"/>
            </w:tcMar>
            <w:vAlign w:val="bottom"/>
          </w:tcPr>
          <w:p w14:paraId="55783BFB"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income</w:t>
            </w:r>
          </w:p>
        </w:tc>
        <w:tc>
          <w:tcPr>
            <w:tcW w:w="1036" w:type="dxa"/>
            <w:gridSpan w:val="2"/>
            <w:tcBorders>
              <w:top w:val="single" w:sz="8" w:space="0" w:color="auto"/>
              <w:bottom w:val="double" w:sz="4" w:space="0" w:color="auto"/>
            </w:tcBorders>
            <w:tcMar>
              <w:left w:w="0" w:type="dxa"/>
              <w:right w:w="0" w:type="dxa"/>
            </w:tcMar>
            <w:vAlign w:val="bottom"/>
          </w:tcPr>
          <w:p w14:paraId="00A1FAC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44,728</w:t>
            </w:r>
          </w:p>
        </w:tc>
        <w:tc>
          <w:tcPr>
            <w:tcW w:w="64" w:type="dxa"/>
            <w:tcBorders>
              <w:top w:val="single" w:sz="8" w:space="0" w:color="auto"/>
              <w:bottom w:val="double" w:sz="4" w:space="0" w:color="auto"/>
            </w:tcBorders>
            <w:tcMar>
              <w:left w:w="0" w:type="dxa"/>
              <w:right w:w="0" w:type="dxa"/>
            </w:tcMar>
          </w:tcPr>
          <w:p w14:paraId="611E8207" w14:textId="77777777" w:rsidR="007E7656" w:rsidRDefault="007E7656" w:rsidP="00312F84"/>
        </w:tc>
        <w:tc>
          <w:tcPr>
            <w:tcW w:w="80" w:type="dxa"/>
            <w:tcMar>
              <w:left w:w="0" w:type="dxa"/>
              <w:right w:w="0" w:type="dxa"/>
            </w:tcMar>
            <w:vAlign w:val="bottom"/>
          </w:tcPr>
          <w:p w14:paraId="6A6F294C" w14:textId="77777777" w:rsidR="007E7656" w:rsidRDefault="007E7656" w:rsidP="00312F84">
            <w:pPr>
              <w:keepNext/>
              <w:keepLines/>
              <w:spacing w:before="40" w:after="40"/>
            </w:pPr>
          </w:p>
        </w:tc>
        <w:tc>
          <w:tcPr>
            <w:tcW w:w="936" w:type="dxa"/>
            <w:gridSpan w:val="2"/>
            <w:tcBorders>
              <w:top w:val="single" w:sz="8" w:space="0" w:color="auto"/>
              <w:bottom w:val="double" w:sz="4" w:space="0" w:color="auto"/>
            </w:tcBorders>
            <w:tcMar>
              <w:left w:w="0" w:type="dxa"/>
              <w:right w:w="0" w:type="dxa"/>
            </w:tcMar>
            <w:vAlign w:val="bottom"/>
          </w:tcPr>
          <w:p w14:paraId="45903D5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36,815</w:t>
            </w:r>
          </w:p>
        </w:tc>
        <w:tc>
          <w:tcPr>
            <w:tcW w:w="64" w:type="dxa"/>
            <w:tcBorders>
              <w:top w:val="single" w:sz="8" w:space="0" w:color="auto"/>
              <w:bottom w:val="double" w:sz="4" w:space="0" w:color="auto"/>
            </w:tcBorders>
            <w:tcMar>
              <w:left w:w="0" w:type="dxa"/>
              <w:right w:w="0" w:type="dxa"/>
            </w:tcMar>
          </w:tcPr>
          <w:p w14:paraId="498E5905" w14:textId="77777777" w:rsidR="007E7656" w:rsidRDefault="007E7656" w:rsidP="00312F84"/>
        </w:tc>
      </w:tr>
      <w:tr w:rsidR="007E7656" w14:paraId="742C4D6F" w14:textId="77777777" w:rsidTr="007E7656">
        <w:trPr>
          <w:trHeight w:hRule="exact" w:val="300"/>
          <w:jc w:val="center"/>
        </w:trPr>
        <w:tc>
          <w:tcPr>
            <w:tcW w:w="8080" w:type="dxa"/>
            <w:tcMar>
              <w:left w:w="60" w:type="dxa"/>
              <w:right w:w="0" w:type="dxa"/>
            </w:tcMar>
            <w:vAlign w:val="bottom"/>
          </w:tcPr>
          <w:p w14:paraId="35B538A4" w14:textId="77777777" w:rsidR="007E7656" w:rsidRDefault="007E7656" w:rsidP="00312F84">
            <w:pPr>
              <w:keepNext/>
              <w:keepLines/>
              <w:spacing w:before="40" w:after="40"/>
            </w:pPr>
          </w:p>
        </w:tc>
        <w:tc>
          <w:tcPr>
            <w:tcW w:w="0" w:type="dxa"/>
            <w:gridSpan w:val="3"/>
            <w:tcMar>
              <w:left w:w="0" w:type="dxa"/>
              <w:right w:w="180" w:type="dxa"/>
            </w:tcMar>
            <w:vAlign w:val="bottom"/>
          </w:tcPr>
          <w:p w14:paraId="044AB922" w14:textId="77777777" w:rsidR="007E7656" w:rsidRDefault="007E7656" w:rsidP="00312F84">
            <w:pPr>
              <w:keepNext/>
              <w:keepLines/>
              <w:spacing w:before="40" w:after="40"/>
            </w:pPr>
          </w:p>
        </w:tc>
        <w:tc>
          <w:tcPr>
            <w:tcW w:w="80" w:type="dxa"/>
            <w:tcMar>
              <w:left w:w="0" w:type="dxa"/>
              <w:right w:w="0" w:type="dxa"/>
            </w:tcMar>
            <w:vAlign w:val="bottom"/>
          </w:tcPr>
          <w:p w14:paraId="41AD00C1" w14:textId="77777777" w:rsidR="007E7656" w:rsidRDefault="007E7656" w:rsidP="00312F84">
            <w:pPr>
              <w:keepNext/>
              <w:keepLines/>
              <w:spacing w:before="40" w:after="40"/>
            </w:pPr>
          </w:p>
        </w:tc>
        <w:tc>
          <w:tcPr>
            <w:tcW w:w="0" w:type="dxa"/>
            <w:gridSpan w:val="3"/>
            <w:tcMar>
              <w:left w:w="0" w:type="dxa"/>
              <w:right w:w="180" w:type="dxa"/>
            </w:tcMar>
            <w:vAlign w:val="bottom"/>
          </w:tcPr>
          <w:p w14:paraId="2502B6D2" w14:textId="77777777" w:rsidR="007E7656" w:rsidRDefault="007E7656" w:rsidP="00312F84">
            <w:pPr>
              <w:keepNext/>
              <w:keepLines/>
              <w:spacing w:before="40" w:after="40"/>
            </w:pPr>
          </w:p>
        </w:tc>
      </w:tr>
      <w:tr w:rsidR="007E7656" w14:paraId="7E1889AB" w14:textId="77777777" w:rsidTr="00312F84">
        <w:trPr>
          <w:trHeight w:hRule="exact" w:val="300"/>
          <w:jc w:val="center"/>
        </w:trPr>
        <w:tc>
          <w:tcPr>
            <w:tcW w:w="8080" w:type="dxa"/>
            <w:tcMar>
              <w:left w:w="60" w:type="dxa"/>
              <w:right w:w="40" w:type="dxa"/>
            </w:tcMar>
            <w:vAlign w:val="bottom"/>
          </w:tcPr>
          <w:p w14:paraId="62A38F8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Diluted net income per common share</w:t>
            </w:r>
          </w:p>
        </w:tc>
        <w:tc>
          <w:tcPr>
            <w:tcW w:w="99" w:type="dxa"/>
            <w:tcMar>
              <w:left w:w="0" w:type="dxa"/>
              <w:right w:w="0" w:type="dxa"/>
            </w:tcMar>
            <w:vAlign w:val="bottom"/>
          </w:tcPr>
          <w:p w14:paraId="37C6707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937" w:type="dxa"/>
            <w:tcMar>
              <w:left w:w="0" w:type="dxa"/>
              <w:right w:w="0" w:type="dxa"/>
            </w:tcMar>
            <w:vAlign w:val="bottom"/>
          </w:tcPr>
          <w:p w14:paraId="52D6063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0.19</w:t>
            </w:r>
          </w:p>
        </w:tc>
        <w:tc>
          <w:tcPr>
            <w:tcW w:w="64" w:type="dxa"/>
            <w:tcMar>
              <w:left w:w="0" w:type="dxa"/>
              <w:right w:w="0" w:type="dxa"/>
            </w:tcMar>
          </w:tcPr>
          <w:p w14:paraId="77BA06AF" w14:textId="77777777" w:rsidR="007E7656" w:rsidRDefault="007E7656" w:rsidP="00312F84"/>
        </w:tc>
        <w:tc>
          <w:tcPr>
            <w:tcW w:w="80" w:type="dxa"/>
            <w:tcMar>
              <w:left w:w="0" w:type="dxa"/>
              <w:right w:w="0" w:type="dxa"/>
            </w:tcMar>
            <w:vAlign w:val="bottom"/>
          </w:tcPr>
          <w:p w14:paraId="369F4E14" w14:textId="77777777" w:rsidR="007E7656" w:rsidRDefault="007E7656" w:rsidP="00312F84">
            <w:pPr>
              <w:keepNext/>
              <w:keepLines/>
              <w:spacing w:before="40" w:after="40"/>
            </w:pPr>
          </w:p>
        </w:tc>
        <w:tc>
          <w:tcPr>
            <w:tcW w:w="99" w:type="dxa"/>
            <w:tcMar>
              <w:left w:w="0" w:type="dxa"/>
              <w:right w:w="0" w:type="dxa"/>
            </w:tcMar>
            <w:vAlign w:val="bottom"/>
          </w:tcPr>
          <w:p w14:paraId="18831B5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37" w:type="dxa"/>
            <w:tcMar>
              <w:left w:w="0" w:type="dxa"/>
              <w:right w:w="0" w:type="dxa"/>
            </w:tcMar>
            <w:vAlign w:val="bottom"/>
          </w:tcPr>
          <w:p w14:paraId="78BC129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0.16</w:t>
            </w:r>
          </w:p>
        </w:tc>
        <w:tc>
          <w:tcPr>
            <w:tcW w:w="64" w:type="dxa"/>
            <w:tcMar>
              <w:left w:w="0" w:type="dxa"/>
              <w:right w:w="0" w:type="dxa"/>
            </w:tcMar>
          </w:tcPr>
          <w:p w14:paraId="622344F0" w14:textId="77777777" w:rsidR="007E7656" w:rsidRDefault="007E7656" w:rsidP="00312F84"/>
        </w:tc>
      </w:tr>
      <w:tr w:rsidR="007E7656" w14:paraId="09DBF693" w14:textId="77777777" w:rsidTr="00312F84">
        <w:trPr>
          <w:trHeight w:hRule="exact" w:val="300"/>
          <w:jc w:val="center"/>
        </w:trPr>
        <w:tc>
          <w:tcPr>
            <w:tcW w:w="8080" w:type="dxa"/>
            <w:tcMar>
              <w:left w:w="60" w:type="dxa"/>
              <w:right w:w="40" w:type="dxa"/>
            </w:tcMar>
            <w:vAlign w:val="bottom"/>
          </w:tcPr>
          <w:p w14:paraId="0E66673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Diluted net income per common share (adjusted)</w:t>
            </w:r>
          </w:p>
        </w:tc>
        <w:tc>
          <w:tcPr>
            <w:tcW w:w="99" w:type="dxa"/>
            <w:tcMar>
              <w:left w:w="0" w:type="dxa"/>
              <w:right w:w="0" w:type="dxa"/>
            </w:tcMar>
            <w:vAlign w:val="bottom"/>
          </w:tcPr>
          <w:p w14:paraId="0991CF9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937" w:type="dxa"/>
            <w:tcMar>
              <w:left w:w="0" w:type="dxa"/>
              <w:right w:w="0" w:type="dxa"/>
            </w:tcMar>
            <w:vAlign w:val="bottom"/>
          </w:tcPr>
          <w:p w14:paraId="39D5B94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0.33</w:t>
            </w:r>
          </w:p>
        </w:tc>
        <w:tc>
          <w:tcPr>
            <w:tcW w:w="64" w:type="dxa"/>
            <w:tcMar>
              <w:left w:w="0" w:type="dxa"/>
              <w:right w:w="0" w:type="dxa"/>
            </w:tcMar>
          </w:tcPr>
          <w:p w14:paraId="5732E34A" w14:textId="77777777" w:rsidR="007E7656" w:rsidRDefault="007E7656" w:rsidP="00312F84"/>
        </w:tc>
        <w:tc>
          <w:tcPr>
            <w:tcW w:w="80" w:type="dxa"/>
            <w:tcMar>
              <w:left w:w="0" w:type="dxa"/>
              <w:right w:w="0" w:type="dxa"/>
            </w:tcMar>
            <w:vAlign w:val="bottom"/>
          </w:tcPr>
          <w:p w14:paraId="564674AF" w14:textId="77777777" w:rsidR="007E7656" w:rsidRDefault="007E7656" w:rsidP="00312F84">
            <w:pPr>
              <w:keepNext/>
              <w:keepLines/>
              <w:spacing w:before="40" w:after="40"/>
            </w:pPr>
          </w:p>
        </w:tc>
        <w:tc>
          <w:tcPr>
            <w:tcW w:w="99" w:type="dxa"/>
            <w:tcMar>
              <w:left w:w="0" w:type="dxa"/>
              <w:right w:w="0" w:type="dxa"/>
            </w:tcMar>
            <w:vAlign w:val="bottom"/>
          </w:tcPr>
          <w:p w14:paraId="67F73F8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37" w:type="dxa"/>
            <w:tcMar>
              <w:left w:w="0" w:type="dxa"/>
              <w:right w:w="0" w:type="dxa"/>
            </w:tcMar>
            <w:vAlign w:val="bottom"/>
          </w:tcPr>
          <w:p w14:paraId="134C213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0.33</w:t>
            </w:r>
          </w:p>
        </w:tc>
        <w:tc>
          <w:tcPr>
            <w:tcW w:w="64" w:type="dxa"/>
            <w:tcMar>
              <w:left w:w="0" w:type="dxa"/>
              <w:right w:w="0" w:type="dxa"/>
            </w:tcMar>
          </w:tcPr>
          <w:p w14:paraId="6AA2FD4A" w14:textId="77777777" w:rsidR="007E7656" w:rsidRDefault="007E7656" w:rsidP="00312F84"/>
        </w:tc>
      </w:tr>
      <w:tr w:rsidR="007E7656" w14:paraId="48510041" w14:textId="77777777" w:rsidTr="007E7656">
        <w:trPr>
          <w:trHeight w:hRule="exact" w:val="300"/>
          <w:jc w:val="center"/>
        </w:trPr>
        <w:tc>
          <w:tcPr>
            <w:tcW w:w="8080" w:type="dxa"/>
            <w:tcMar>
              <w:left w:w="60" w:type="dxa"/>
              <w:right w:w="0" w:type="dxa"/>
            </w:tcMar>
            <w:vAlign w:val="bottom"/>
          </w:tcPr>
          <w:p w14:paraId="568F0E16" w14:textId="77777777" w:rsidR="007E7656" w:rsidRDefault="007E7656" w:rsidP="00312F84">
            <w:pPr>
              <w:keepNext/>
              <w:keepLines/>
              <w:spacing w:before="40" w:after="40"/>
            </w:pPr>
          </w:p>
        </w:tc>
        <w:tc>
          <w:tcPr>
            <w:tcW w:w="0" w:type="dxa"/>
            <w:gridSpan w:val="3"/>
            <w:tcMar>
              <w:left w:w="0" w:type="dxa"/>
              <w:right w:w="180" w:type="dxa"/>
            </w:tcMar>
            <w:vAlign w:val="bottom"/>
          </w:tcPr>
          <w:p w14:paraId="491C5408" w14:textId="77777777" w:rsidR="007E7656" w:rsidRDefault="007E7656" w:rsidP="00312F84">
            <w:pPr>
              <w:keepNext/>
              <w:keepLines/>
              <w:spacing w:before="40" w:after="40"/>
            </w:pPr>
          </w:p>
        </w:tc>
        <w:tc>
          <w:tcPr>
            <w:tcW w:w="80" w:type="dxa"/>
            <w:tcMar>
              <w:left w:w="0" w:type="dxa"/>
              <w:right w:w="0" w:type="dxa"/>
            </w:tcMar>
            <w:vAlign w:val="bottom"/>
          </w:tcPr>
          <w:p w14:paraId="5ED0A247" w14:textId="77777777" w:rsidR="007E7656" w:rsidRDefault="007E7656" w:rsidP="00312F84">
            <w:pPr>
              <w:keepNext/>
              <w:keepLines/>
              <w:spacing w:before="40" w:after="40"/>
            </w:pPr>
          </w:p>
        </w:tc>
        <w:tc>
          <w:tcPr>
            <w:tcW w:w="0" w:type="dxa"/>
            <w:gridSpan w:val="3"/>
            <w:tcMar>
              <w:left w:w="0" w:type="dxa"/>
              <w:right w:w="180" w:type="dxa"/>
            </w:tcMar>
            <w:vAlign w:val="bottom"/>
          </w:tcPr>
          <w:p w14:paraId="04EE62CD" w14:textId="77777777" w:rsidR="007E7656" w:rsidRDefault="007E7656" w:rsidP="00312F84">
            <w:pPr>
              <w:keepNext/>
              <w:keepLines/>
              <w:spacing w:before="40" w:after="40"/>
            </w:pPr>
          </w:p>
        </w:tc>
      </w:tr>
      <w:tr w:rsidR="007E7656" w14:paraId="6544512E" w14:textId="77777777" w:rsidTr="007E7656">
        <w:trPr>
          <w:trHeight w:hRule="exact" w:val="300"/>
          <w:jc w:val="center"/>
        </w:trPr>
        <w:tc>
          <w:tcPr>
            <w:tcW w:w="8080" w:type="dxa"/>
            <w:tcMar>
              <w:left w:w="60" w:type="dxa"/>
              <w:right w:w="40" w:type="dxa"/>
            </w:tcMar>
            <w:vAlign w:val="bottom"/>
          </w:tcPr>
          <w:p w14:paraId="668396C7" w14:textId="77777777" w:rsidR="007E7656" w:rsidRDefault="007E7656" w:rsidP="00312F84">
            <w:pPr>
              <w:keepLines/>
              <w:spacing w:before="40" w:after="40"/>
              <w:rPr>
                <w:rFonts w:ascii="Arial" w:eastAsia="Arial" w:hAnsi="Arial" w:cs="Arial"/>
                <w:sz w:val="16"/>
              </w:rPr>
            </w:pPr>
            <w:r>
              <w:rPr>
                <w:rFonts w:ascii="Arial" w:eastAsia="Arial" w:hAnsi="Arial" w:cs="Arial"/>
                <w:color w:val="000000"/>
                <w:sz w:val="16"/>
              </w:rPr>
              <w:t>Diluted shares used in computing diluted net income per common share</w:t>
            </w:r>
          </w:p>
        </w:tc>
        <w:tc>
          <w:tcPr>
            <w:tcW w:w="1036" w:type="dxa"/>
            <w:gridSpan w:val="2"/>
            <w:tcMar>
              <w:left w:w="0" w:type="dxa"/>
              <w:right w:w="0" w:type="dxa"/>
            </w:tcMar>
            <w:vAlign w:val="bottom"/>
          </w:tcPr>
          <w:p w14:paraId="613C2FFA" w14:textId="77777777" w:rsidR="007E7656" w:rsidRDefault="007E7656" w:rsidP="00312F84">
            <w:pPr>
              <w:keepLines/>
              <w:spacing w:before="40" w:after="40"/>
              <w:jc w:val="right"/>
              <w:rPr>
                <w:rFonts w:ascii="Arial" w:eastAsia="Arial" w:hAnsi="Arial" w:cs="Arial"/>
                <w:sz w:val="16"/>
              </w:rPr>
            </w:pPr>
            <w:r>
              <w:rPr>
                <w:rFonts w:ascii="Arial" w:eastAsia="Arial" w:hAnsi="Arial" w:cs="Arial"/>
                <w:color w:val="000000"/>
                <w:sz w:val="16"/>
              </w:rPr>
              <w:t>232,712</w:t>
            </w:r>
          </w:p>
        </w:tc>
        <w:tc>
          <w:tcPr>
            <w:tcW w:w="64" w:type="dxa"/>
            <w:tcMar>
              <w:left w:w="0" w:type="dxa"/>
              <w:right w:w="0" w:type="dxa"/>
            </w:tcMar>
          </w:tcPr>
          <w:p w14:paraId="5D0961EF" w14:textId="77777777" w:rsidR="007E7656" w:rsidRDefault="007E7656" w:rsidP="00312F84"/>
        </w:tc>
        <w:tc>
          <w:tcPr>
            <w:tcW w:w="80" w:type="dxa"/>
            <w:tcMar>
              <w:left w:w="0" w:type="dxa"/>
              <w:right w:w="0" w:type="dxa"/>
            </w:tcMar>
            <w:vAlign w:val="bottom"/>
          </w:tcPr>
          <w:p w14:paraId="4BFEFF0A" w14:textId="77777777" w:rsidR="007E7656" w:rsidRDefault="007E7656" w:rsidP="00312F84">
            <w:pPr>
              <w:keepLines/>
              <w:spacing w:before="40" w:after="40"/>
            </w:pPr>
          </w:p>
        </w:tc>
        <w:tc>
          <w:tcPr>
            <w:tcW w:w="936" w:type="dxa"/>
            <w:gridSpan w:val="2"/>
            <w:tcMar>
              <w:left w:w="0" w:type="dxa"/>
              <w:right w:w="0" w:type="dxa"/>
            </w:tcMar>
            <w:vAlign w:val="bottom"/>
          </w:tcPr>
          <w:p w14:paraId="108B0E15" w14:textId="77777777" w:rsidR="007E7656" w:rsidRDefault="007E7656" w:rsidP="00312F84">
            <w:pPr>
              <w:keepLines/>
              <w:spacing w:before="40" w:after="40"/>
              <w:jc w:val="right"/>
              <w:rPr>
                <w:rFonts w:ascii="Arial" w:eastAsia="Arial" w:hAnsi="Arial" w:cs="Arial"/>
                <w:sz w:val="16"/>
              </w:rPr>
            </w:pPr>
            <w:r>
              <w:rPr>
                <w:rFonts w:ascii="Arial" w:eastAsia="Arial" w:hAnsi="Arial" w:cs="Arial"/>
                <w:color w:val="000000"/>
                <w:sz w:val="16"/>
              </w:rPr>
              <w:t>233,784</w:t>
            </w:r>
          </w:p>
        </w:tc>
        <w:tc>
          <w:tcPr>
            <w:tcW w:w="64" w:type="dxa"/>
            <w:tcMar>
              <w:left w:w="0" w:type="dxa"/>
              <w:right w:w="0" w:type="dxa"/>
            </w:tcMar>
          </w:tcPr>
          <w:p w14:paraId="41A8013D" w14:textId="77777777" w:rsidR="007E7656" w:rsidRDefault="007E7656" w:rsidP="00312F84"/>
        </w:tc>
      </w:tr>
    </w:tbl>
    <w:p w14:paraId="08EB519E" w14:textId="77777777" w:rsidR="007E7656" w:rsidRDefault="007E7656" w:rsidP="007E7656">
      <w:pPr>
        <w:spacing w:before="40" w:line="288" w:lineRule="auto"/>
        <w:rPr>
          <w:rFonts w:ascii="Arial" w:eastAsia="Arial" w:hAnsi="Arial" w:cs="Arial"/>
          <w:sz w:val="16"/>
        </w:rPr>
      </w:pPr>
    </w:p>
    <w:p w14:paraId="46A6D032" w14:textId="77777777" w:rsidR="007E7656" w:rsidRDefault="007E7656" w:rsidP="007E7656">
      <w:pPr>
        <w:spacing w:line="288" w:lineRule="auto"/>
        <w:ind w:left="540"/>
        <w:rPr>
          <w:rFonts w:ascii="Arial" w:eastAsia="Arial" w:hAnsi="Arial" w:cs="Arial"/>
          <w:sz w:val="16"/>
        </w:rPr>
      </w:pPr>
    </w:p>
    <w:p w14:paraId="088DF80B" w14:textId="77777777" w:rsidR="007E7656" w:rsidRDefault="007E7656" w:rsidP="007E7656">
      <w:pPr>
        <w:spacing w:line="288" w:lineRule="auto"/>
        <w:rPr>
          <w:rFonts w:ascii="Arial" w:eastAsia="Arial" w:hAnsi="Arial" w:cs="Arial"/>
          <w:sz w:val="16"/>
        </w:rPr>
      </w:pPr>
    </w:p>
    <w:p w14:paraId="4971645C" w14:textId="77777777" w:rsidR="007E7656" w:rsidRDefault="007E7656" w:rsidP="007E7656">
      <w:pPr>
        <w:spacing w:line="288" w:lineRule="auto"/>
        <w:jc w:val="center"/>
        <w:rPr>
          <w:rFonts w:ascii="Arial" w:eastAsia="Arial" w:hAnsi="Arial" w:cs="Arial"/>
          <w:sz w:val="16"/>
        </w:rPr>
      </w:pPr>
    </w:p>
    <w:p w14:paraId="1E23F743" w14:textId="77777777" w:rsidR="00454BE4" w:rsidRDefault="00454BE4">
      <w:pPr>
        <w:rPr>
          <w:rFonts w:ascii="Arial" w:eastAsia="Arial" w:hAnsi="Arial" w:cs="Arial"/>
          <w:b/>
        </w:rPr>
      </w:pPr>
      <w:r>
        <w:rPr>
          <w:rFonts w:ascii="Arial" w:eastAsia="Arial" w:hAnsi="Arial" w:cs="Arial"/>
          <w:b/>
        </w:rPr>
        <w:br w:type="page"/>
      </w:r>
    </w:p>
    <w:p w14:paraId="64D19702" w14:textId="77777777" w:rsidR="00454BE4" w:rsidRDefault="00454BE4" w:rsidP="00454BE4">
      <w:pPr>
        <w:spacing w:line="288" w:lineRule="auto"/>
        <w:jc w:val="center"/>
        <w:rPr>
          <w:rFonts w:ascii="Arial" w:eastAsia="Arial" w:hAnsi="Arial" w:cs="Arial"/>
          <w:b/>
        </w:rPr>
      </w:pPr>
      <w:r>
        <w:rPr>
          <w:rFonts w:ascii="Arial" w:eastAsia="Arial" w:hAnsi="Arial" w:cs="Arial"/>
          <w:b/>
        </w:rPr>
        <w:t>QIAGEN N.V.</w:t>
      </w:r>
    </w:p>
    <w:p w14:paraId="579B277A" w14:textId="77777777" w:rsidR="00454BE4" w:rsidRDefault="00454BE4" w:rsidP="00454BE4">
      <w:pPr>
        <w:spacing w:line="288" w:lineRule="auto"/>
        <w:jc w:val="center"/>
        <w:rPr>
          <w:rFonts w:ascii="Arial" w:eastAsia="Arial" w:hAnsi="Arial" w:cs="Arial"/>
          <w:b/>
        </w:rPr>
      </w:pPr>
      <w:r>
        <w:rPr>
          <w:rFonts w:ascii="Arial" w:eastAsia="Arial" w:hAnsi="Arial" w:cs="Arial"/>
          <w:b/>
        </w:rPr>
        <w:t>CONDENSED CONSOLIDATED STATEMENTS OF INCOME</w:t>
      </w:r>
    </w:p>
    <w:p w14:paraId="764667E8" w14:textId="77777777" w:rsidR="00454BE4" w:rsidRDefault="00454BE4" w:rsidP="00454BE4">
      <w:pPr>
        <w:spacing w:after="140"/>
        <w:jc w:val="center"/>
        <w:rPr>
          <w:rFonts w:ascii="Arial" w:eastAsia="Arial" w:hAnsi="Arial" w:cs="Arial"/>
          <w:b/>
        </w:rPr>
      </w:pPr>
      <w:r>
        <w:rPr>
          <w:rFonts w:ascii="Arial" w:eastAsia="Arial" w:hAnsi="Arial" w:cs="Arial"/>
          <w:b/>
        </w:rPr>
        <w:t>(unaudited)</w:t>
      </w:r>
    </w:p>
    <w:tbl>
      <w:tblPr>
        <w:tblW w:w="10240" w:type="dxa"/>
        <w:jc w:val="center"/>
        <w:tblLayout w:type="fixed"/>
        <w:tblCellMar>
          <w:left w:w="10" w:type="dxa"/>
          <w:right w:w="10" w:type="dxa"/>
        </w:tblCellMar>
        <w:tblLook w:val="04A0" w:firstRow="1" w:lastRow="0" w:firstColumn="1" w:lastColumn="0" w:noHBand="0" w:noVBand="1"/>
      </w:tblPr>
      <w:tblGrid>
        <w:gridCol w:w="7720"/>
        <w:gridCol w:w="99"/>
        <w:gridCol w:w="1017"/>
        <w:gridCol w:w="64"/>
        <w:gridCol w:w="80"/>
        <w:gridCol w:w="99"/>
        <w:gridCol w:w="1097"/>
        <w:gridCol w:w="64"/>
      </w:tblGrid>
      <w:tr w:rsidR="00454BE4" w14:paraId="51E11DC3" w14:textId="77777777" w:rsidTr="00ED6327">
        <w:trPr>
          <w:trHeight w:hRule="exact" w:val="80"/>
          <w:jc w:val="center"/>
        </w:trPr>
        <w:tc>
          <w:tcPr>
            <w:tcW w:w="7720" w:type="dxa"/>
            <w:tcMar>
              <w:left w:w="140" w:type="dxa"/>
              <w:right w:w="0" w:type="dxa"/>
            </w:tcMar>
            <w:vAlign w:val="bottom"/>
          </w:tcPr>
          <w:p w14:paraId="060D2167" w14:textId="77777777" w:rsidR="00454BE4" w:rsidRDefault="00454BE4" w:rsidP="00ED6327">
            <w:pPr>
              <w:keepNext/>
              <w:keepLines/>
            </w:pPr>
          </w:p>
        </w:tc>
        <w:tc>
          <w:tcPr>
            <w:tcW w:w="0" w:type="dxa"/>
            <w:gridSpan w:val="3"/>
            <w:tcMar>
              <w:left w:w="60" w:type="dxa"/>
              <w:right w:w="60" w:type="dxa"/>
            </w:tcMar>
            <w:vAlign w:val="bottom"/>
          </w:tcPr>
          <w:p w14:paraId="40C7121B" w14:textId="77777777" w:rsidR="00454BE4" w:rsidRDefault="00454BE4" w:rsidP="00ED6327">
            <w:pPr>
              <w:keepNext/>
              <w:keepLines/>
            </w:pPr>
          </w:p>
        </w:tc>
        <w:tc>
          <w:tcPr>
            <w:tcW w:w="80" w:type="dxa"/>
            <w:tcMar>
              <w:left w:w="0" w:type="dxa"/>
              <w:right w:w="0" w:type="dxa"/>
            </w:tcMar>
            <w:vAlign w:val="bottom"/>
          </w:tcPr>
          <w:p w14:paraId="300E7DA9" w14:textId="77777777" w:rsidR="00454BE4" w:rsidRDefault="00454BE4" w:rsidP="00ED6327">
            <w:pPr>
              <w:keepNext/>
              <w:keepLines/>
            </w:pPr>
          </w:p>
        </w:tc>
        <w:tc>
          <w:tcPr>
            <w:tcW w:w="0" w:type="dxa"/>
            <w:gridSpan w:val="3"/>
            <w:tcMar>
              <w:left w:w="60" w:type="dxa"/>
              <w:right w:w="60" w:type="dxa"/>
            </w:tcMar>
            <w:vAlign w:val="bottom"/>
          </w:tcPr>
          <w:p w14:paraId="36F78CCB" w14:textId="77777777" w:rsidR="00454BE4" w:rsidRDefault="00454BE4" w:rsidP="00ED6327">
            <w:pPr>
              <w:keepNext/>
              <w:keepLines/>
            </w:pPr>
          </w:p>
        </w:tc>
      </w:tr>
      <w:tr w:rsidR="00454BE4" w14:paraId="603E1930" w14:textId="77777777" w:rsidTr="00ED6327">
        <w:trPr>
          <w:trHeight w:hRule="exact" w:val="260"/>
          <w:jc w:val="center"/>
        </w:trPr>
        <w:tc>
          <w:tcPr>
            <w:tcW w:w="7720" w:type="dxa"/>
            <w:tcMar>
              <w:left w:w="140" w:type="dxa"/>
              <w:right w:w="0" w:type="dxa"/>
            </w:tcMar>
            <w:vAlign w:val="bottom"/>
          </w:tcPr>
          <w:p w14:paraId="443FAFC2" w14:textId="77777777" w:rsidR="00454BE4" w:rsidRDefault="00454BE4" w:rsidP="00ED6327">
            <w:pPr>
              <w:keepNext/>
              <w:keepLines/>
              <w:spacing w:before="40" w:after="40"/>
            </w:pPr>
          </w:p>
        </w:tc>
        <w:tc>
          <w:tcPr>
            <w:tcW w:w="0" w:type="dxa"/>
            <w:gridSpan w:val="7"/>
            <w:tcMar>
              <w:left w:w="60" w:type="dxa"/>
              <w:right w:w="60" w:type="dxa"/>
            </w:tcMar>
            <w:vAlign w:val="bottom"/>
          </w:tcPr>
          <w:p w14:paraId="5A469139" w14:textId="77777777" w:rsidR="00454BE4" w:rsidRDefault="00454BE4" w:rsidP="00ED6327">
            <w:pPr>
              <w:keepNext/>
              <w:keepLines/>
              <w:spacing w:before="40" w:after="40"/>
              <w:jc w:val="center"/>
              <w:rPr>
                <w:rFonts w:ascii="Arial" w:eastAsia="Arial" w:hAnsi="Arial" w:cs="Arial"/>
                <w:sz w:val="16"/>
              </w:rPr>
            </w:pPr>
            <w:r>
              <w:rPr>
                <w:rFonts w:ascii="Arial" w:eastAsia="Arial" w:hAnsi="Arial" w:cs="Arial"/>
                <w:color w:val="000000"/>
                <w:sz w:val="16"/>
              </w:rPr>
              <w:t>Six months</w:t>
            </w:r>
          </w:p>
        </w:tc>
      </w:tr>
      <w:tr w:rsidR="00454BE4" w14:paraId="0BE4E805" w14:textId="77777777" w:rsidTr="00ED6327">
        <w:trPr>
          <w:trHeight w:hRule="exact" w:val="260"/>
          <w:jc w:val="center"/>
        </w:trPr>
        <w:tc>
          <w:tcPr>
            <w:tcW w:w="7720" w:type="dxa"/>
            <w:tcMar>
              <w:left w:w="140" w:type="dxa"/>
              <w:right w:w="0" w:type="dxa"/>
            </w:tcMar>
            <w:vAlign w:val="bottom"/>
          </w:tcPr>
          <w:p w14:paraId="49592C57" w14:textId="77777777" w:rsidR="00454BE4" w:rsidRDefault="00454BE4" w:rsidP="00ED6327">
            <w:pPr>
              <w:keepNext/>
              <w:keepLines/>
              <w:spacing w:before="40" w:after="40"/>
            </w:pPr>
          </w:p>
        </w:tc>
        <w:tc>
          <w:tcPr>
            <w:tcW w:w="0" w:type="dxa"/>
            <w:gridSpan w:val="7"/>
            <w:tcMar>
              <w:left w:w="60" w:type="dxa"/>
              <w:right w:w="60" w:type="dxa"/>
            </w:tcMar>
            <w:vAlign w:val="bottom"/>
          </w:tcPr>
          <w:p w14:paraId="7D06E0A4" w14:textId="77777777" w:rsidR="00454BE4" w:rsidRDefault="00454BE4" w:rsidP="00ED6327">
            <w:pPr>
              <w:keepNext/>
              <w:keepLines/>
              <w:spacing w:before="40" w:after="40"/>
              <w:jc w:val="center"/>
              <w:rPr>
                <w:rFonts w:ascii="Arial" w:eastAsia="Arial" w:hAnsi="Arial" w:cs="Arial"/>
                <w:sz w:val="16"/>
              </w:rPr>
            </w:pPr>
            <w:r>
              <w:rPr>
                <w:rFonts w:ascii="Arial" w:eastAsia="Arial" w:hAnsi="Arial" w:cs="Arial"/>
                <w:color w:val="000000"/>
                <w:sz w:val="16"/>
              </w:rPr>
              <w:t>ended June 30,</w:t>
            </w:r>
          </w:p>
        </w:tc>
      </w:tr>
      <w:tr w:rsidR="00454BE4" w14:paraId="23D32B97" w14:textId="77777777" w:rsidTr="00ED6327">
        <w:trPr>
          <w:trHeight w:hRule="exact" w:val="280"/>
          <w:jc w:val="center"/>
        </w:trPr>
        <w:tc>
          <w:tcPr>
            <w:tcW w:w="7720" w:type="dxa"/>
            <w:tcMar>
              <w:left w:w="60" w:type="dxa"/>
              <w:right w:w="40" w:type="dxa"/>
            </w:tcMar>
            <w:vAlign w:val="bottom"/>
          </w:tcPr>
          <w:p w14:paraId="67A5C5C8"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(In $ thousands, except per share data)</w:t>
            </w:r>
          </w:p>
        </w:tc>
        <w:tc>
          <w:tcPr>
            <w:tcW w:w="0" w:type="dxa"/>
            <w:gridSpan w:val="3"/>
            <w:tcBorders>
              <w:top w:val="single" w:sz="8" w:space="0" w:color="auto"/>
              <w:bottom w:val="single" w:sz="8" w:space="0" w:color="auto"/>
            </w:tcBorders>
            <w:tcMar>
              <w:left w:w="60" w:type="dxa"/>
              <w:right w:w="60" w:type="dxa"/>
            </w:tcMar>
            <w:vAlign w:val="bottom"/>
          </w:tcPr>
          <w:p w14:paraId="5DA16BD0" w14:textId="77777777" w:rsidR="00454BE4" w:rsidRDefault="00454BE4" w:rsidP="00ED6327">
            <w:pPr>
              <w:keepNext/>
              <w:keepLines/>
              <w:spacing w:before="40" w:after="40"/>
              <w:jc w:val="center"/>
              <w:rPr>
                <w:rFonts w:ascii="Arial" w:eastAsia="Arial" w:hAnsi="Arial" w:cs="Arial"/>
                <w:sz w:val="16"/>
              </w:rPr>
            </w:pPr>
            <w:r>
              <w:rPr>
                <w:rFonts w:ascii="Arial" w:eastAsia="Arial" w:hAnsi="Arial" w:cs="Arial"/>
                <w:color w:val="000000"/>
                <w:sz w:val="16"/>
              </w:rPr>
              <w:t>2019</w:t>
            </w:r>
          </w:p>
        </w:tc>
        <w:tc>
          <w:tcPr>
            <w:tcW w:w="80" w:type="dxa"/>
            <w:tcBorders>
              <w:top w:val="single" w:sz="8" w:space="0" w:color="auto"/>
            </w:tcBorders>
            <w:tcMar>
              <w:left w:w="60" w:type="dxa"/>
              <w:right w:w="0" w:type="dxa"/>
            </w:tcMar>
            <w:vAlign w:val="bottom"/>
          </w:tcPr>
          <w:p w14:paraId="14B1E275" w14:textId="77777777" w:rsidR="00454BE4" w:rsidRDefault="00454BE4" w:rsidP="00ED6327">
            <w:pPr>
              <w:keepNext/>
              <w:keepLines/>
              <w:spacing w:before="40" w:after="40"/>
            </w:pPr>
          </w:p>
        </w:tc>
        <w:tc>
          <w:tcPr>
            <w:tcW w:w="0" w:type="dxa"/>
            <w:gridSpan w:val="3"/>
            <w:tcBorders>
              <w:top w:val="single" w:sz="8" w:space="0" w:color="auto"/>
              <w:bottom w:val="single" w:sz="8" w:space="0" w:color="auto"/>
            </w:tcBorders>
            <w:tcMar>
              <w:left w:w="60" w:type="dxa"/>
              <w:right w:w="60" w:type="dxa"/>
            </w:tcMar>
            <w:vAlign w:val="bottom"/>
          </w:tcPr>
          <w:p w14:paraId="07495875" w14:textId="77777777" w:rsidR="00454BE4" w:rsidRDefault="00454BE4" w:rsidP="00ED6327">
            <w:pPr>
              <w:keepNext/>
              <w:keepLines/>
              <w:spacing w:before="40" w:after="40"/>
              <w:jc w:val="center"/>
              <w:rPr>
                <w:rFonts w:ascii="Arial" w:eastAsia="Arial" w:hAnsi="Arial" w:cs="Arial"/>
                <w:sz w:val="16"/>
              </w:rPr>
            </w:pPr>
            <w:r>
              <w:rPr>
                <w:rFonts w:ascii="Arial" w:eastAsia="Arial" w:hAnsi="Arial" w:cs="Arial"/>
                <w:color w:val="000000"/>
                <w:sz w:val="16"/>
              </w:rPr>
              <w:t>2018</w:t>
            </w:r>
          </w:p>
        </w:tc>
      </w:tr>
      <w:tr w:rsidR="00454BE4" w14:paraId="5795F5EC" w14:textId="77777777" w:rsidTr="00ED6327">
        <w:trPr>
          <w:trHeight w:hRule="exact" w:val="300"/>
          <w:jc w:val="center"/>
        </w:trPr>
        <w:tc>
          <w:tcPr>
            <w:tcW w:w="7720" w:type="dxa"/>
            <w:tcMar>
              <w:left w:w="60" w:type="dxa"/>
              <w:right w:w="40" w:type="dxa"/>
            </w:tcMar>
            <w:vAlign w:val="bottom"/>
          </w:tcPr>
          <w:p w14:paraId="773C0456"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Net sales</w:t>
            </w:r>
          </w:p>
        </w:tc>
        <w:tc>
          <w:tcPr>
            <w:tcW w:w="1116" w:type="dxa"/>
            <w:gridSpan w:val="2"/>
            <w:tcMar>
              <w:left w:w="0" w:type="dxa"/>
              <w:right w:w="0" w:type="dxa"/>
            </w:tcMar>
            <w:vAlign w:val="bottom"/>
          </w:tcPr>
          <w:p w14:paraId="547F5831"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730,266</w:t>
            </w:r>
          </w:p>
        </w:tc>
        <w:tc>
          <w:tcPr>
            <w:tcW w:w="64" w:type="dxa"/>
            <w:tcMar>
              <w:left w:w="0" w:type="dxa"/>
              <w:right w:w="0" w:type="dxa"/>
            </w:tcMar>
          </w:tcPr>
          <w:p w14:paraId="346740DE" w14:textId="77777777" w:rsidR="00454BE4" w:rsidRDefault="00454BE4" w:rsidP="00ED6327"/>
        </w:tc>
        <w:tc>
          <w:tcPr>
            <w:tcW w:w="80" w:type="dxa"/>
            <w:tcMar>
              <w:left w:w="0" w:type="dxa"/>
              <w:right w:w="0" w:type="dxa"/>
            </w:tcMar>
            <w:vAlign w:val="bottom"/>
          </w:tcPr>
          <w:p w14:paraId="78306228" w14:textId="77777777" w:rsidR="00454BE4" w:rsidRDefault="00454BE4" w:rsidP="00ED6327">
            <w:pPr>
              <w:keepNext/>
              <w:keepLines/>
              <w:spacing w:before="40" w:after="40"/>
            </w:pPr>
          </w:p>
        </w:tc>
        <w:tc>
          <w:tcPr>
            <w:tcW w:w="1196" w:type="dxa"/>
            <w:gridSpan w:val="2"/>
            <w:tcMar>
              <w:left w:w="0" w:type="dxa"/>
              <w:right w:w="0" w:type="dxa"/>
            </w:tcMar>
            <w:vAlign w:val="bottom"/>
          </w:tcPr>
          <w:p w14:paraId="73328CBE"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720,764</w:t>
            </w:r>
          </w:p>
        </w:tc>
        <w:tc>
          <w:tcPr>
            <w:tcW w:w="64" w:type="dxa"/>
            <w:tcMar>
              <w:left w:w="0" w:type="dxa"/>
              <w:right w:w="0" w:type="dxa"/>
            </w:tcMar>
          </w:tcPr>
          <w:p w14:paraId="754E4ABC" w14:textId="77777777" w:rsidR="00454BE4" w:rsidRDefault="00454BE4" w:rsidP="00ED6327"/>
        </w:tc>
      </w:tr>
      <w:tr w:rsidR="00454BE4" w14:paraId="66B80F48" w14:textId="77777777" w:rsidTr="00ED6327">
        <w:trPr>
          <w:trHeight w:hRule="exact" w:val="300"/>
          <w:jc w:val="center"/>
        </w:trPr>
        <w:tc>
          <w:tcPr>
            <w:tcW w:w="7720" w:type="dxa"/>
            <w:tcMar>
              <w:left w:w="60" w:type="dxa"/>
              <w:right w:w="40" w:type="dxa"/>
            </w:tcMar>
            <w:vAlign w:val="bottom"/>
          </w:tcPr>
          <w:p w14:paraId="2F0840AB"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Cost of sales</w:t>
            </w:r>
          </w:p>
        </w:tc>
        <w:tc>
          <w:tcPr>
            <w:tcW w:w="1116" w:type="dxa"/>
            <w:gridSpan w:val="2"/>
            <w:tcBorders>
              <w:bottom w:val="single" w:sz="8" w:space="0" w:color="auto"/>
            </w:tcBorders>
            <w:tcMar>
              <w:left w:w="0" w:type="dxa"/>
              <w:right w:w="0" w:type="dxa"/>
            </w:tcMar>
            <w:vAlign w:val="bottom"/>
          </w:tcPr>
          <w:p w14:paraId="6AA5A31B"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259,511</w:t>
            </w:r>
          </w:p>
        </w:tc>
        <w:tc>
          <w:tcPr>
            <w:tcW w:w="64" w:type="dxa"/>
            <w:tcBorders>
              <w:bottom w:val="single" w:sz="8" w:space="0" w:color="auto"/>
            </w:tcBorders>
            <w:tcMar>
              <w:left w:w="0" w:type="dxa"/>
              <w:right w:w="0" w:type="dxa"/>
            </w:tcMar>
          </w:tcPr>
          <w:p w14:paraId="6F6F2B7B" w14:textId="77777777" w:rsidR="00454BE4" w:rsidRDefault="00454BE4" w:rsidP="00ED6327"/>
        </w:tc>
        <w:tc>
          <w:tcPr>
            <w:tcW w:w="80" w:type="dxa"/>
            <w:tcMar>
              <w:left w:w="0" w:type="dxa"/>
              <w:right w:w="0" w:type="dxa"/>
            </w:tcMar>
            <w:vAlign w:val="bottom"/>
          </w:tcPr>
          <w:p w14:paraId="16E4045F" w14:textId="77777777" w:rsidR="00454BE4" w:rsidRDefault="00454BE4" w:rsidP="00ED6327">
            <w:pPr>
              <w:keepNext/>
              <w:keepLines/>
              <w:spacing w:before="40" w:after="40"/>
            </w:pPr>
          </w:p>
        </w:tc>
        <w:tc>
          <w:tcPr>
            <w:tcW w:w="1196" w:type="dxa"/>
            <w:gridSpan w:val="2"/>
            <w:tcBorders>
              <w:bottom w:val="single" w:sz="8" w:space="0" w:color="auto"/>
            </w:tcBorders>
            <w:tcMar>
              <w:left w:w="0" w:type="dxa"/>
              <w:right w:w="0" w:type="dxa"/>
            </w:tcMar>
            <w:vAlign w:val="bottom"/>
          </w:tcPr>
          <w:p w14:paraId="44887F90"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241,334</w:t>
            </w:r>
          </w:p>
        </w:tc>
        <w:tc>
          <w:tcPr>
            <w:tcW w:w="64" w:type="dxa"/>
            <w:tcBorders>
              <w:bottom w:val="single" w:sz="8" w:space="0" w:color="auto"/>
            </w:tcBorders>
            <w:tcMar>
              <w:left w:w="0" w:type="dxa"/>
              <w:right w:w="0" w:type="dxa"/>
            </w:tcMar>
          </w:tcPr>
          <w:p w14:paraId="439282FD" w14:textId="77777777" w:rsidR="00454BE4" w:rsidRDefault="00454BE4" w:rsidP="00ED6327"/>
        </w:tc>
      </w:tr>
      <w:tr w:rsidR="00454BE4" w14:paraId="4AAA4E3D" w14:textId="77777777" w:rsidTr="00ED6327">
        <w:trPr>
          <w:trHeight w:hRule="exact" w:val="300"/>
          <w:jc w:val="center"/>
        </w:trPr>
        <w:tc>
          <w:tcPr>
            <w:tcW w:w="7720" w:type="dxa"/>
            <w:tcMar>
              <w:left w:w="60" w:type="dxa"/>
              <w:right w:w="40" w:type="dxa"/>
            </w:tcMar>
            <w:vAlign w:val="bottom"/>
          </w:tcPr>
          <w:p w14:paraId="3E2F2229"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Gross profit</w:t>
            </w:r>
          </w:p>
        </w:tc>
        <w:tc>
          <w:tcPr>
            <w:tcW w:w="1116" w:type="dxa"/>
            <w:gridSpan w:val="2"/>
            <w:tcBorders>
              <w:top w:val="single" w:sz="8" w:space="0" w:color="auto"/>
              <w:bottom w:val="single" w:sz="8" w:space="0" w:color="auto"/>
            </w:tcBorders>
            <w:tcMar>
              <w:left w:w="0" w:type="dxa"/>
              <w:right w:w="0" w:type="dxa"/>
            </w:tcMar>
            <w:vAlign w:val="bottom"/>
          </w:tcPr>
          <w:p w14:paraId="313E530A"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470,755</w:t>
            </w:r>
          </w:p>
        </w:tc>
        <w:tc>
          <w:tcPr>
            <w:tcW w:w="64" w:type="dxa"/>
            <w:tcBorders>
              <w:top w:val="single" w:sz="8" w:space="0" w:color="auto"/>
              <w:bottom w:val="single" w:sz="8" w:space="0" w:color="auto"/>
            </w:tcBorders>
            <w:tcMar>
              <w:left w:w="0" w:type="dxa"/>
              <w:right w:w="0" w:type="dxa"/>
            </w:tcMar>
          </w:tcPr>
          <w:p w14:paraId="3F047FCC" w14:textId="77777777" w:rsidR="00454BE4" w:rsidRDefault="00454BE4" w:rsidP="00ED6327"/>
        </w:tc>
        <w:tc>
          <w:tcPr>
            <w:tcW w:w="80" w:type="dxa"/>
            <w:tcMar>
              <w:left w:w="0" w:type="dxa"/>
              <w:right w:w="0" w:type="dxa"/>
            </w:tcMar>
            <w:vAlign w:val="bottom"/>
          </w:tcPr>
          <w:p w14:paraId="2AA794CB" w14:textId="77777777" w:rsidR="00454BE4" w:rsidRDefault="00454BE4" w:rsidP="00ED6327">
            <w:pPr>
              <w:keepNext/>
              <w:keepLines/>
              <w:spacing w:before="40" w:after="40"/>
            </w:pPr>
          </w:p>
        </w:tc>
        <w:tc>
          <w:tcPr>
            <w:tcW w:w="1196" w:type="dxa"/>
            <w:gridSpan w:val="2"/>
            <w:tcBorders>
              <w:top w:val="single" w:sz="8" w:space="0" w:color="auto"/>
              <w:bottom w:val="single" w:sz="8" w:space="0" w:color="auto"/>
            </w:tcBorders>
            <w:tcMar>
              <w:left w:w="0" w:type="dxa"/>
              <w:right w:w="0" w:type="dxa"/>
            </w:tcMar>
            <w:vAlign w:val="bottom"/>
          </w:tcPr>
          <w:p w14:paraId="7A0407DC"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479,430</w:t>
            </w:r>
          </w:p>
        </w:tc>
        <w:tc>
          <w:tcPr>
            <w:tcW w:w="64" w:type="dxa"/>
            <w:tcBorders>
              <w:top w:val="single" w:sz="8" w:space="0" w:color="auto"/>
              <w:bottom w:val="single" w:sz="8" w:space="0" w:color="auto"/>
            </w:tcBorders>
            <w:tcMar>
              <w:left w:w="0" w:type="dxa"/>
              <w:right w:w="0" w:type="dxa"/>
            </w:tcMar>
          </w:tcPr>
          <w:p w14:paraId="07AE7424" w14:textId="77777777" w:rsidR="00454BE4" w:rsidRDefault="00454BE4" w:rsidP="00ED6327"/>
        </w:tc>
      </w:tr>
      <w:tr w:rsidR="00454BE4" w14:paraId="79AA72AE" w14:textId="77777777" w:rsidTr="00ED6327">
        <w:trPr>
          <w:trHeight w:hRule="exact" w:val="300"/>
          <w:jc w:val="center"/>
        </w:trPr>
        <w:tc>
          <w:tcPr>
            <w:tcW w:w="7720" w:type="dxa"/>
            <w:tcMar>
              <w:left w:w="60" w:type="dxa"/>
              <w:right w:w="40" w:type="dxa"/>
            </w:tcMar>
            <w:vAlign w:val="bottom"/>
          </w:tcPr>
          <w:p w14:paraId="028846BE"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Operating expenses:</w:t>
            </w:r>
          </w:p>
        </w:tc>
        <w:tc>
          <w:tcPr>
            <w:tcW w:w="0" w:type="dxa"/>
            <w:gridSpan w:val="3"/>
            <w:tcMar>
              <w:left w:w="0" w:type="dxa"/>
              <w:right w:w="180" w:type="dxa"/>
            </w:tcMar>
            <w:vAlign w:val="bottom"/>
          </w:tcPr>
          <w:p w14:paraId="410E8C90" w14:textId="77777777" w:rsidR="00454BE4" w:rsidRDefault="00454BE4" w:rsidP="00ED6327">
            <w:pPr>
              <w:keepNext/>
              <w:keepLines/>
              <w:spacing w:before="40" w:after="40"/>
            </w:pPr>
          </w:p>
        </w:tc>
        <w:tc>
          <w:tcPr>
            <w:tcW w:w="80" w:type="dxa"/>
            <w:tcMar>
              <w:left w:w="0" w:type="dxa"/>
              <w:right w:w="0" w:type="dxa"/>
            </w:tcMar>
            <w:vAlign w:val="bottom"/>
          </w:tcPr>
          <w:p w14:paraId="66334A3A" w14:textId="77777777" w:rsidR="00454BE4" w:rsidRDefault="00454BE4" w:rsidP="00ED6327">
            <w:pPr>
              <w:keepNext/>
              <w:keepLines/>
              <w:spacing w:before="40" w:after="40"/>
            </w:pPr>
          </w:p>
        </w:tc>
        <w:tc>
          <w:tcPr>
            <w:tcW w:w="0" w:type="dxa"/>
            <w:gridSpan w:val="3"/>
            <w:tcMar>
              <w:left w:w="0" w:type="dxa"/>
              <w:right w:w="180" w:type="dxa"/>
            </w:tcMar>
            <w:vAlign w:val="bottom"/>
          </w:tcPr>
          <w:p w14:paraId="58B382B6" w14:textId="77777777" w:rsidR="00454BE4" w:rsidRDefault="00454BE4" w:rsidP="00ED6327">
            <w:pPr>
              <w:keepNext/>
              <w:keepLines/>
              <w:spacing w:before="40" w:after="40"/>
            </w:pPr>
          </w:p>
        </w:tc>
      </w:tr>
      <w:tr w:rsidR="00454BE4" w14:paraId="60611220" w14:textId="77777777" w:rsidTr="00ED6327">
        <w:trPr>
          <w:trHeight w:hRule="exact" w:val="300"/>
          <w:jc w:val="center"/>
        </w:trPr>
        <w:tc>
          <w:tcPr>
            <w:tcW w:w="7720" w:type="dxa"/>
            <w:tcMar>
              <w:left w:w="60" w:type="dxa"/>
              <w:right w:w="40" w:type="dxa"/>
            </w:tcMar>
            <w:vAlign w:val="bottom"/>
          </w:tcPr>
          <w:p w14:paraId="1AFE7300"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Research and development</w:t>
            </w:r>
          </w:p>
        </w:tc>
        <w:tc>
          <w:tcPr>
            <w:tcW w:w="1116" w:type="dxa"/>
            <w:gridSpan w:val="2"/>
            <w:tcMar>
              <w:left w:w="0" w:type="dxa"/>
              <w:right w:w="0" w:type="dxa"/>
            </w:tcMar>
            <w:vAlign w:val="bottom"/>
          </w:tcPr>
          <w:p w14:paraId="2E8E8F28"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81,615</w:t>
            </w:r>
          </w:p>
        </w:tc>
        <w:tc>
          <w:tcPr>
            <w:tcW w:w="64" w:type="dxa"/>
            <w:tcMar>
              <w:left w:w="0" w:type="dxa"/>
              <w:right w:w="0" w:type="dxa"/>
            </w:tcMar>
          </w:tcPr>
          <w:p w14:paraId="2E16C84D" w14:textId="77777777" w:rsidR="00454BE4" w:rsidRDefault="00454BE4" w:rsidP="00ED6327"/>
        </w:tc>
        <w:tc>
          <w:tcPr>
            <w:tcW w:w="80" w:type="dxa"/>
            <w:tcMar>
              <w:left w:w="0" w:type="dxa"/>
              <w:right w:w="0" w:type="dxa"/>
            </w:tcMar>
            <w:vAlign w:val="bottom"/>
          </w:tcPr>
          <w:p w14:paraId="3B0EF27D" w14:textId="77777777" w:rsidR="00454BE4" w:rsidRDefault="00454BE4" w:rsidP="00ED6327">
            <w:pPr>
              <w:keepNext/>
              <w:keepLines/>
              <w:spacing w:before="40" w:after="40"/>
            </w:pPr>
          </w:p>
        </w:tc>
        <w:tc>
          <w:tcPr>
            <w:tcW w:w="1196" w:type="dxa"/>
            <w:gridSpan w:val="2"/>
            <w:tcMar>
              <w:left w:w="0" w:type="dxa"/>
              <w:right w:w="0" w:type="dxa"/>
            </w:tcMar>
            <w:vAlign w:val="bottom"/>
          </w:tcPr>
          <w:p w14:paraId="477967F2"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79,154</w:t>
            </w:r>
          </w:p>
        </w:tc>
        <w:tc>
          <w:tcPr>
            <w:tcW w:w="64" w:type="dxa"/>
            <w:tcMar>
              <w:left w:w="0" w:type="dxa"/>
              <w:right w:w="0" w:type="dxa"/>
            </w:tcMar>
          </w:tcPr>
          <w:p w14:paraId="17959425" w14:textId="77777777" w:rsidR="00454BE4" w:rsidRDefault="00454BE4" w:rsidP="00ED6327"/>
        </w:tc>
      </w:tr>
      <w:tr w:rsidR="00454BE4" w14:paraId="4FBCEEF1" w14:textId="77777777" w:rsidTr="00ED6327">
        <w:trPr>
          <w:trHeight w:hRule="exact" w:val="300"/>
          <w:jc w:val="center"/>
        </w:trPr>
        <w:tc>
          <w:tcPr>
            <w:tcW w:w="7720" w:type="dxa"/>
            <w:tcMar>
              <w:left w:w="60" w:type="dxa"/>
              <w:right w:w="40" w:type="dxa"/>
            </w:tcMar>
            <w:vAlign w:val="bottom"/>
          </w:tcPr>
          <w:p w14:paraId="070148CB"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Sales and marketing</w:t>
            </w:r>
          </w:p>
        </w:tc>
        <w:tc>
          <w:tcPr>
            <w:tcW w:w="1116" w:type="dxa"/>
            <w:gridSpan w:val="2"/>
            <w:tcMar>
              <w:left w:w="0" w:type="dxa"/>
              <w:right w:w="0" w:type="dxa"/>
            </w:tcMar>
            <w:vAlign w:val="bottom"/>
          </w:tcPr>
          <w:p w14:paraId="57524E30"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196,572</w:t>
            </w:r>
          </w:p>
        </w:tc>
        <w:tc>
          <w:tcPr>
            <w:tcW w:w="64" w:type="dxa"/>
            <w:tcMar>
              <w:left w:w="0" w:type="dxa"/>
              <w:right w:w="0" w:type="dxa"/>
            </w:tcMar>
          </w:tcPr>
          <w:p w14:paraId="0B8E7B5B" w14:textId="77777777" w:rsidR="00454BE4" w:rsidRDefault="00454BE4" w:rsidP="00ED6327"/>
        </w:tc>
        <w:tc>
          <w:tcPr>
            <w:tcW w:w="80" w:type="dxa"/>
            <w:tcMar>
              <w:left w:w="0" w:type="dxa"/>
              <w:right w:w="0" w:type="dxa"/>
            </w:tcMar>
            <w:vAlign w:val="bottom"/>
          </w:tcPr>
          <w:p w14:paraId="741F0575" w14:textId="77777777" w:rsidR="00454BE4" w:rsidRDefault="00454BE4" w:rsidP="00ED6327">
            <w:pPr>
              <w:keepNext/>
              <w:keepLines/>
              <w:spacing w:before="40" w:after="40"/>
            </w:pPr>
          </w:p>
        </w:tc>
        <w:tc>
          <w:tcPr>
            <w:tcW w:w="1196" w:type="dxa"/>
            <w:gridSpan w:val="2"/>
            <w:tcMar>
              <w:left w:w="0" w:type="dxa"/>
              <w:right w:w="0" w:type="dxa"/>
            </w:tcMar>
            <w:vAlign w:val="bottom"/>
          </w:tcPr>
          <w:p w14:paraId="65214A92"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197,932</w:t>
            </w:r>
          </w:p>
        </w:tc>
        <w:tc>
          <w:tcPr>
            <w:tcW w:w="64" w:type="dxa"/>
            <w:tcMar>
              <w:left w:w="0" w:type="dxa"/>
              <w:right w:w="0" w:type="dxa"/>
            </w:tcMar>
          </w:tcPr>
          <w:p w14:paraId="4936A0A0" w14:textId="77777777" w:rsidR="00454BE4" w:rsidRDefault="00454BE4" w:rsidP="00ED6327"/>
        </w:tc>
      </w:tr>
      <w:tr w:rsidR="00454BE4" w14:paraId="1C6B7806" w14:textId="77777777" w:rsidTr="00ED6327">
        <w:trPr>
          <w:trHeight w:hRule="exact" w:val="300"/>
          <w:jc w:val="center"/>
        </w:trPr>
        <w:tc>
          <w:tcPr>
            <w:tcW w:w="7720" w:type="dxa"/>
            <w:tcMar>
              <w:left w:w="60" w:type="dxa"/>
              <w:right w:w="40" w:type="dxa"/>
            </w:tcMar>
            <w:vAlign w:val="bottom"/>
          </w:tcPr>
          <w:p w14:paraId="1E278512"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General and administrative, restructuring, integration and other, net</w:t>
            </w:r>
          </w:p>
        </w:tc>
        <w:tc>
          <w:tcPr>
            <w:tcW w:w="1116" w:type="dxa"/>
            <w:gridSpan w:val="2"/>
            <w:tcMar>
              <w:left w:w="0" w:type="dxa"/>
              <w:right w:w="0" w:type="dxa"/>
            </w:tcMar>
            <w:vAlign w:val="bottom"/>
          </w:tcPr>
          <w:p w14:paraId="6D28BE21"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73,227</w:t>
            </w:r>
          </w:p>
        </w:tc>
        <w:tc>
          <w:tcPr>
            <w:tcW w:w="64" w:type="dxa"/>
            <w:tcMar>
              <w:left w:w="0" w:type="dxa"/>
              <w:right w:w="0" w:type="dxa"/>
            </w:tcMar>
          </w:tcPr>
          <w:p w14:paraId="4F12F9D7" w14:textId="77777777" w:rsidR="00454BE4" w:rsidRDefault="00454BE4" w:rsidP="00ED6327"/>
        </w:tc>
        <w:tc>
          <w:tcPr>
            <w:tcW w:w="80" w:type="dxa"/>
            <w:tcMar>
              <w:left w:w="0" w:type="dxa"/>
              <w:right w:w="0" w:type="dxa"/>
            </w:tcMar>
            <w:vAlign w:val="bottom"/>
          </w:tcPr>
          <w:p w14:paraId="26077EB4" w14:textId="77777777" w:rsidR="00454BE4" w:rsidRDefault="00454BE4" w:rsidP="00ED6327">
            <w:pPr>
              <w:keepNext/>
              <w:keepLines/>
              <w:spacing w:before="40" w:after="40"/>
            </w:pPr>
          </w:p>
        </w:tc>
        <w:tc>
          <w:tcPr>
            <w:tcW w:w="1196" w:type="dxa"/>
            <w:gridSpan w:val="2"/>
            <w:tcMar>
              <w:left w:w="0" w:type="dxa"/>
              <w:right w:w="0" w:type="dxa"/>
            </w:tcMar>
            <w:vAlign w:val="bottom"/>
          </w:tcPr>
          <w:p w14:paraId="089491D1"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80,838</w:t>
            </w:r>
          </w:p>
        </w:tc>
        <w:tc>
          <w:tcPr>
            <w:tcW w:w="64" w:type="dxa"/>
            <w:tcMar>
              <w:left w:w="0" w:type="dxa"/>
              <w:right w:w="0" w:type="dxa"/>
            </w:tcMar>
          </w:tcPr>
          <w:p w14:paraId="46AAAAE9" w14:textId="77777777" w:rsidR="00454BE4" w:rsidRDefault="00454BE4" w:rsidP="00ED6327"/>
        </w:tc>
      </w:tr>
      <w:tr w:rsidR="00454BE4" w14:paraId="60711B6B" w14:textId="77777777" w:rsidTr="00ED6327">
        <w:trPr>
          <w:trHeight w:hRule="exact" w:val="300"/>
          <w:jc w:val="center"/>
        </w:trPr>
        <w:tc>
          <w:tcPr>
            <w:tcW w:w="7720" w:type="dxa"/>
            <w:tcMar>
              <w:left w:w="60" w:type="dxa"/>
              <w:right w:w="40" w:type="dxa"/>
            </w:tcMar>
            <w:vAlign w:val="bottom"/>
          </w:tcPr>
          <w:p w14:paraId="61E84DAD"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Acquisition-related intangible amortization</w:t>
            </w:r>
          </w:p>
        </w:tc>
        <w:tc>
          <w:tcPr>
            <w:tcW w:w="1116" w:type="dxa"/>
            <w:gridSpan w:val="2"/>
            <w:tcBorders>
              <w:bottom w:val="single" w:sz="8" w:space="0" w:color="auto"/>
            </w:tcBorders>
            <w:tcMar>
              <w:left w:w="0" w:type="dxa"/>
              <w:right w:w="0" w:type="dxa"/>
            </w:tcMar>
            <w:vAlign w:val="bottom"/>
          </w:tcPr>
          <w:p w14:paraId="27F8DB56"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18,013</w:t>
            </w:r>
          </w:p>
        </w:tc>
        <w:tc>
          <w:tcPr>
            <w:tcW w:w="64" w:type="dxa"/>
            <w:tcBorders>
              <w:bottom w:val="single" w:sz="8" w:space="0" w:color="auto"/>
            </w:tcBorders>
            <w:tcMar>
              <w:left w:w="0" w:type="dxa"/>
              <w:right w:w="0" w:type="dxa"/>
            </w:tcMar>
          </w:tcPr>
          <w:p w14:paraId="110344E4" w14:textId="77777777" w:rsidR="00454BE4" w:rsidRDefault="00454BE4" w:rsidP="00ED6327"/>
        </w:tc>
        <w:tc>
          <w:tcPr>
            <w:tcW w:w="80" w:type="dxa"/>
            <w:tcMar>
              <w:left w:w="0" w:type="dxa"/>
              <w:right w:w="0" w:type="dxa"/>
            </w:tcMar>
            <w:vAlign w:val="bottom"/>
          </w:tcPr>
          <w:p w14:paraId="45769FB7" w14:textId="77777777" w:rsidR="00454BE4" w:rsidRDefault="00454BE4" w:rsidP="00ED6327">
            <w:pPr>
              <w:keepNext/>
              <w:keepLines/>
              <w:spacing w:before="40" w:after="40"/>
            </w:pPr>
          </w:p>
        </w:tc>
        <w:tc>
          <w:tcPr>
            <w:tcW w:w="1196" w:type="dxa"/>
            <w:gridSpan w:val="2"/>
            <w:tcBorders>
              <w:bottom w:val="single" w:sz="8" w:space="0" w:color="auto"/>
            </w:tcBorders>
            <w:tcMar>
              <w:left w:w="0" w:type="dxa"/>
              <w:right w:w="0" w:type="dxa"/>
            </w:tcMar>
            <w:vAlign w:val="bottom"/>
          </w:tcPr>
          <w:p w14:paraId="72DA14DB"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20,231</w:t>
            </w:r>
          </w:p>
        </w:tc>
        <w:tc>
          <w:tcPr>
            <w:tcW w:w="64" w:type="dxa"/>
            <w:tcBorders>
              <w:bottom w:val="single" w:sz="8" w:space="0" w:color="auto"/>
            </w:tcBorders>
            <w:tcMar>
              <w:left w:w="0" w:type="dxa"/>
              <w:right w:w="0" w:type="dxa"/>
            </w:tcMar>
          </w:tcPr>
          <w:p w14:paraId="335F0C8C" w14:textId="77777777" w:rsidR="00454BE4" w:rsidRDefault="00454BE4" w:rsidP="00ED6327"/>
        </w:tc>
      </w:tr>
      <w:tr w:rsidR="00454BE4" w14:paraId="76FD6A72" w14:textId="77777777" w:rsidTr="00ED6327">
        <w:trPr>
          <w:trHeight w:hRule="exact" w:val="300"/>
          <w:jc w:val="center"/>
        </w:trPr>
        <w:tc>
          <w:tcPr>
            <w:tcW w:w="7720" w:type="dxa"/>
            <w:tcMar>
              <w:left w:w="60" w:type="dxa"/>
              <w:right w:w="40" w:type="dxa"/>
            </w:tcMar>
            <w:vAlign w:val="bottom"/>
          </w:tcPr>
          <w:p w14:paraId="6E35B96D"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Total operating expenses</w:t>
            </w:r>
          </w:p>
        </w:tc>
        <w:tc>
          <w:tcPr>
            <w:tcW w:w="1116" w:type="dxa"/>
            <w:gridSpan w:val="2"/>
            <w:tcBorders>
              <w:top w:val="single" w:sz="8" w:space="0" w:color="auto"/>
              <w:bottom w:val="single" w:sz="8" w:space="0" w:color="auto"/>
            </w:tcBorders>
            <w:tcMar>
              <w:left w:w="0" w:type="dxa"/>
              <w:right w:w="0" w:type="dxa"/>
            </w:tcMar>
            <w:vAlign w:val="bottom"/>
          </w:tcPr>
          <w:p w14:paraId="1E177779"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369,427</w:t>
            </w:r>
          </w:p>
        </w:tc>
        <w:tc>
          <w:tcPr>
            <w:tcW w:w="64" w:type="dxa"/>
            <w:tcBorders>
              <w:top w:val="single" w:sz="8" w:space="0" w:color="auto"/>
              <w:bottom w:val="single" w:sz="8" w:space="0" w:color="auto"/>
            </w:tcBorders>
            <w:tcMar>
              <w:left w:w="0" w:type="dxa"/>
              <w:right w:w="0" w:type="dxa"/>
            </w:tcMar>
          </w:tcPr>
          <w:p w14:paraId="054F0D97" w14:textId="77777777" w:rsidR="00454BE4" w:rsidRDefault="00454BE4" w:rsidP="00ED6327"/>
        </w:tc>
        <w:tc>
          <w:tcPr>
            <w:tcW w:w="80" w:type="dxa"/>
            <w:tcMar>
              <w:left w:w="0" w:type="dxa"/>
              <w:right w:w="0" w:type="dxa"/>
            </w:tcMar>
            <w:vAlign w:val="bottom"/>
          </w:tcPr>
          <w:p w14:paraId="44C908E9" w14:textId="77777777" w:rsidR="00454BE4" w:rsidRDefault="00454BE4" w:rsidP="00ED6327">
            <w:pPr>
              <w:keepNext/>
              <w:keepLines/>
              <w:spacing w:before="40" w:after="40"/>
            </w:pPr>
          </w:p>
        </w:tc>
        <w:tc>
          <w:tcPr>
            <w:tcW w:w="1196" w:type="dxa"/>
            <w:gridSpan w:val="2"/>
            <w:tcBorders>
              <w:top w:val="single" w:sz="8" w:space="0" w:color="auto"/>
              <w:bottom w:val="single" w:sz="8" w:space="0" w:color="auto"/>
            </w:tcBorders>
            <w:tcMar>
              <w:left w:w="0" w:type="dxa"/>
              <w:right w:w="0" w:type="dxa"/>
            </w:tcMar>
            <w:vAlign w:val="bottom"/>
          </w:tcPr>
          <w:p w14:paraId="6F67AF2E"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378,155</w:t>
            </w:r>
          </w:p>
        </w:tc>
        <w:tc>
          <w:tcPr>
            <w:tcW w:w="64" w:type="dxa"/>
            <w:tcBorders>
              <w:top w:val="single" w:sz="8" w:space="0" w:color="auto"/>
              <w:bottom w:val="single" w:sz="8" w:space="0" w:color="auto"/>
            </w:tcBorders>
            <w:tcMar>
              <w:left w:w="0" w:type="dxa"/>
              <w:right w:w="0" w:type="dxa"/>
            </w:tcMar>
          </w:tcPr>
          <w:p w14:paraId="77B85E0F" w14:textId="77777777" w:rsidR="00454BE4" w:rsidRDefault="00454BE4" w:rsidP="00ED6327"/>
        </w:tc>
      </w:tr>
      <w:tr w:rsidR="00454BE4" w14:paraId="1C569FF1" w14:textId="77777777" w:rsidTr="00ED6327">
        <w:trPr>
          <w:trHeight w:hRule="exact" w:val="300"/>
          <w:jc w:val="center"/>
        </w:trPr>
        <w:tc>
          <w:tcPr>
            <w:tcW w:w="7720" w:type="dxa"/>
            <w:tcMar>
              <w:left w:w="60" w:type="dxa"/>
              <w:right w:w="40" w:type="dxa"/>
            </w:tcMar>
            <w:vAlign w:val="bottom"/>
          </w:tcPr>
          <w:p w14:paraId="72E98123"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Income from operations</w:t>
            </w:r>
          </w:p>
        </w:tc>
        <w:tc>
          <w:tcPr>
            <w:tcW w:w="1116" w:type="dxa"/>
            <w:gridSpan w:val="2"/>
            <w:tcBorders>
              <w:bottom w:val="single" w:sz="8" w:space="0" w:color="auto"/>
            </w:tcBorders>
            <w:tcMar>
              <w:left w:w="0" w:type="dxa"/>
              <w:right w:w="0" w:type="dxa"/>
            </w:tcMar>
            <w:vAlign w:val="bottom"/>
          </w:tcPr>
          <w:p w14:paraId="030C00F2"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101,328</w:t>
            </w:r>
          </w:p>
        </w:tc>
        <w:tc>
          <w:tcPr>
            <w:tcW w:w="64" w:type="dxa"/>
            <w:tcBorders>
              <w:bottom w:val="single" w:sz="8" w:space="0" w:color="auto"/>
            </w:tcBorders>
            <w:tcMar>
              <w:left w:w="0" w:type="dxa"/>
              <w:right w:w="0" w:type="dxa"/>
            </w:tcMar>
          </w:tcPr>
          <w:p w14:paraId="7E8D06AC" w14:textId="77777777" w:rsidR="00454BE4" w:rsidRDefault="00454BE4" w:rsidP="00ED6327"/>
        </w:tc>
        <w:tc>
          <w:tcPr>
            <w:tcW w:w="80" w:type="dxa"/>
            <w:tcMar>
              <w:left w:w="0" w:type="dxa"/>
              <w:right w:w="0" w:type="dxa"/>
            </w:tcMar>
            <w:vAlign w:val="bottom"/>
          </w:tcPr>
          <w:p w14:paraId="0345EEA0" w14:textId="77777777" w:rsidR="00454BE4" w:rsidRDefault="00454BE4" w:rsidP="00ED6327">
            <w:pPr>
              <w:keepNext/>
              <w:keepLines/>
              <w:spacing w:before="40" w:after="40"/>
            </w:pPr>
          </w:p>
        </w:tc>
        <w:tc>
          <w:tcPr>
            <w:tcW w:w="1196" w:type="dxa"/>
            <w:gridSpan w:val="2"/>
            <w:tcBorders>
              <w:bottom w:val="single" w:sz="8" w:space="0" w:color="auto"/>
            </w:tcBorders>
            <w:tcMar>
              <w:left w:w="0" w:type="dxa"/>
              <w:right w:w="0" w:type="dxa"/>
            </w:tcMar>
            <w:vAlign w:val="bottom"/>
          </w:tcPr>
          <w:p w14:paraId="2CE0172A"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101,275</w:t>
            </w:r>
          </w:p>
        </w:tc>
        <w:tc>
          <w:tcPr>
            <w:tcW w:w="64" w:type="dxa"/>
            <w:tcBorders>
              <w:bottom w:val="single" w:sz="8" w:space="0" w:color="auto"/>
            </w:tcBorders>
            <w:tcMar>
              <w:left w:w="0" w:type="dxa"/>
              <w:right w:w="0" w:type="dxa"/>
            </w:tcMar>
          </w:tcPr>
          <w:p w14:paraId="2BE57217" w14:textId="77777777" w:rsidR="00454BE4" w:rsidRDefault="00454BE4" w:rsidP="00ED6327"/>
        </w:tc>
      </w:tr>
      <w:tr w:rsidR="00454BE4" w14:paraId="50C7BA15" w14:textId="77777777" w:rsidTr="00ED6327">
        <w:trPr>
          <w:trHeight w:hRule="exact" w:val="300"/>
          <w:jc w:val="center"/>
        </w:trPr>
        <w:tc>
          <w:tcPr>
            <w:tcW w:w="7720" w:type="dxa"/>
            <w:tcMar>
              <w:left w:w="60" w:type="dxa"/>
              <w:right w:w="40" w:type="dxa"/>
            </w:tcMar>
            <w:vAlign w:val="bottom"/>
          </w:tcPr>
          <w:p w14:paraId="4242B43F"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Other income (expense):</w:t>
            </w:r>
          </w:p>
        </w:tc>
        <w:tc>
          <w:tcPr>
            <w:tcW w:w="0" w:type="dxa"/>
            <w:gridSpan w:val="3"/>
            <w:tcMar>
              <w:left w:w="0" w:type="dxa"/>
              <w:right w:w="180" w:type="dxa"/>
            </w:tcMar>
            <w:vAlign w:val="bottom"/>
          </w:tcPr>
          <w:p w14:paraId="1409AA9C" w14:textId="77777777" w:rsidR="00454BE4" w:rsidRDefault="00454BE4" w:rsidP="00ED6327">
            <w:pPr>
              <w:keepNext/>
              <w:keepLines/>
              <w:spacing w:before="40" w:after="40"/>
            </w:pPr>
          </w:p>
        </w:tc>
        <w:tc>
          <w:tcPr>
            <w:tcW w:w="80" w:type="dxa"/>
            <w:tcMar>
              <w:left w:w="0" w:type="dxa"/>
              <w:right w:w="0" w:type="dxa"/>
            </w:tcMar>
            <w:vAlign w:val="bottom"/>
          </w:tcPr>
          <w:p w14:paraId="51E2CE5B" w14:textId="77777777" w:rsidR="00454BE4" w:rsidRDefault="00454BE4" w:rsidP="00ED6327">
            <w:pPr>
              <w:keepNext/>
              <w:keepLines/>
              <w:spacing w:before="40" w:after="40"/>
            </w:pPr>
          </w:p>
        </w:tc>
        <w:tc>
          <w:tcPr>
            <w:tcW w:w="0" w:type="dxa"/>
            <w:gridSpan w:val="3"/>
            <w:tcMar>
              <w:left w:w="0" w:type="dxa"/>
              <w:right w:w="180" w:type="dxa"/>
            </w:tcMar>
            <w:vAlign w:val="bottom"/>
          </w:tcPr>
          <w:p w14:paraId="05134EEE" w14:textId="77777777" w:rsidR="00454BE4" w:rsidRDefault="00454BE4" w:rsidP="00ED6327">
            <w:pPr>
              <w:keepNext/>
              <w:keepLines/>
              <w:spacing w:before="40" w:after="40"/>
            </w:pPr>
          </w:p>
        </w:tc>
      </w:tr>
      <w:tr w:rsidR="00454BE4" w14:paraId="14771B33" w14:textId="77777777" w:rsidTr="00ED6327">
        <w:trPr>
          <w:trHeight w:hRule="exact" w:val="300"/>
          <w:jc w:val="center"/>
        </w:trPr>
        <w:tc>
          <w:tcPr>
            <w:tcW w:w="7720" w:type="dxa"/>
            <w:tcMar>
              <w:left w:w="60" w:type="dxa"/>
              <w:right w:w="40" w:type="dxa"/>
            </w:tcMar>
            <w:vAlign w:val="bottom"/>
          </w:tcPr>
          <w:p w14:paraId="193A8542"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Interest income</w:t>
            </w:r>
          </w:p>
        </w:tc>
        <w:tc>
          <w:tcPr>
            <w:tcW w:w="1116" w:type="dxa"/>
            <w:gridSpan w:val="2"/>
            <w:tcMar>
              <w:left w:w="0" w:type="dxa"/>
              <w:right w:w="0" w:type="dxa"/>
            </w:tcMar>
            <w:vAlign w:val="bottom"/>
          </w:tcPr>
          <w:p w14:paraId="7516EF58"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13,251</w:t>
            </w:r>
          </w:p>
        </w:tc>
        <w:tc>
          <w:tcPr>
            <w:tcW w:w="64" w:type="dxa"/>
            <w:tcMar>
              <w:left w:w="0" w:type="dxa"/>
              <w:right w:w="0" w:type="dxa"/>
            </w:tcMar>
          </w:tcPr>
          <w:p w14:paraId="0BE8EFEB" w14:textId="77777777" w:rsidR="00454BE4" w:rsidRDefault="00454BE4" w:rsidP="00ED6327"/>
        </w:tc>
        <w:tc>
          <w:tcPr>
            <w:tcW w:w="80" w:type="dxa"/>
            <w:tcMar>
              <w:left w:w="0" w:type="dxa"/>
              <w:right w:w="0" w:type="dxa"/>
            </w:tcMar>
            <w:vAlign w:val="bottom"/>
          </w:tcPr>
          <w:p w14:paraId="0248C20C" w14:textId="77777777" w:rsidR="00454BE4" w:rsidRDefault="00454BE4" w:rsidP="00ED6327">
            <w:pPr>
              <w:keepNext/>
              <w:keepLines/>
              <w:spacing w:before="40" w:after="40"/>
            </w:pPr>
          </w:p>
        </w:tc>
        <w:tc>
          <w:tcPr>
            <w:tcW w:w="1196" w:type="dxa"/>
            <w:gridSpan w:val="2"/>
            <w:tcMar>
              <w:left w:w="0" w:type="dxa"/>
              <w:right w:w="0" w:type="dxa"/>
            </w:tcMar>
            <w:vAlign w:val="bottom"/>
          </w:tcPr>
          <w:p w14:paraId="3C48F843"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9,778</w:t>
            </w:r>
          </w:p>
        </w:tc>
        <w:tc>
          <w:tcPr>
            <w:tcW w:w="64" w:type="dxa"/>
            <w:tcMar>
              <w:left w:w="0" w:type="dxa"/>
              <w:right w:w="0" w:type="dxa"/>
            </w:tcMar>
          </w:tcPr>
          <w:p w14:paraId="5668FB22" w14:textId="77777777" w:rsidR="00454BE4" w:rsidRDefault="00454BE4" w:rsidP="00ED6327"/>
        </w:tc>
      </w:tr>
      <w:tr w:rsidR="00454BE4" w14:paraId="35D46578" w14:textId="77777777" w:rsidTr="00ED6327">
        <w:trPr>
          <w:trHeight w:hRule="exact" w:val="300"/>
          <w:jc w:val="center"/>
        </w:trPr>
        <w:tc>
          <w:tcPr>
            <w:tcW w:w="7720" w:type="dxa"/>
            <w:tcMar>
              <w:left w:w="60" w:type="dxa"/>
              <w:right w:w="40" w:type="dxa"/>
            </w:tcMar>
            <w:vAlign w:val="bottom"/>
          </w:tcPr>
          <w:p w14:paraId="385B30D2"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Interest expense</w:t>
            </w:r>
          </w:p>
        </w:tc>
        <w:tc>
          <w:tcPr>
            <w:tcW w:w="1116" w:type="dxa"/>
            <w:gridSpan w:val="2"/>
            <w:tcMar>
              <w:left w:w="0" w:type="dxa"/>
              <w:right w:w="0" w:type="dxa"/>
            </w:tcMar>
            <w:vAlign w:val="bottom"/>
          </w:tcPr>
          <w:p w14:paraId="1D6CB219"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(38,616</w:t>
            </w:r>
          </w:p>
        </w:tc>
        <w:tc>
          <w:tcPr>
            <w:tcW w:w="64" w:type="dxa"/>
            <w:tcMar>
              <w:left w:w="0" w:type="dxa"/>
              <w:right w:w="0" w:type="dxa"/>
            </w:tcMar>
            <w:vAlign w:val="bottom"/>
          </w:tcPr>
          <w:p w14:paraId="6DF91955"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0" w:type="dxa"/>
            </w:tcMar>
            <w:vAlign w:val="bottom"/>
          </w:tcPr>
          <w:p w14:paraId="084DD130" w14:textId="77777777" w:rsidR="00454BE4" w:rsidRDefault="00454BE4" w:rsidP="00ED6327">
            <w:pPr>
              <w:keepNext/>
              <w:keepLines/>
              <w:spacing w:before="40" w:after="40"/>
            </w:pPr>
          </w:p>
        </w:tc>
        <w:tc>
          <w:tcPr>
            <w:tcW w:w="1196" w:type="dxa"/>
            <w:gridSpan w:val="2"/>
            <w:tcMar>
              <w:left w:w="0" w:type="dxa"/>
              <w:right w:w="0" w:type="dxa"/>
            </w:tcMar>
            <w:vAlign w:val="bottom"/>
          </w:tcPr>
          <w:p w14:paraId="2C5EC2EE"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(30,855</w:t>
            </w:r>
          </w:p>
        </w:tc>
        <w:tc>
          <w:tcPr>
            <w:tcW w:w="64" w:type="dxa"/>
            <w:tcMar>
              <w:left w:w="0" w:type="dxa"/>
              <w:right w:w="0" w:type="dxa"/>
            </w:tcMar>
            <w:vAlign w:val="bottom"/>
          </w:tcPr>
          <w:p w14:paraId="4A68E98B"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r>
      <w:tr w:rsidR="00454BE4" w14:paraId="367CA542" w14:textId="77777777" w:rsidTr="00ED6327">
        <w:trPr>
          <w:trHeight w:hRule="exact" w:val="300"/>
          <w:jc w:val="center"/>
        </w:trPr>
        <w:tc>
          <w:tcPr>
            <w:tcW w:w="7720" w:type="dxa"/>
            <w:tcMar>
              <w:left w:w="60" w:type="dxa"/>
              <w:right w:w="40" w:type="dxa"/>
            </w:tcMar>
            <w:vAlign w:val="bottom"/>
          </w:tcPr>
          <w:p w14:paraId="30457C9E" w14:textId="77777777" w:rsidR="00454BE4" w:rsidRDefault="00454BE4" w:rsidP="00ED6327">
            <w:pPr>
              <w:keepNext/>
              <w:keepLines/>
              <w:spacing w:before="40" w:after="40"/>
              <w:ind w:left="540"/>
              <w:rPr>
                <w:rFonts w:ascii="Arial" w:eastAsia="Arial" w:hAnsi="Arial" w:cs="Arial"/>
                <w:sz w:val="16"/>
              </w:rPr>
            </w:pPr>
            <w:r>
              <w:rPr>
                <w:rFonts w:ascii="Arial" w:eastAsia="Arial" w:hAnsi="Arial" w:cs="Arial"/>
                <w:color w:val="000000"/>
                <w:sz w:val="16"/>
              </w:rPr>
              <w:t>Other income, net</w:t>
            </w:r>
          </w:p>
        </w:tc>
        <w:tc>
          <w:tcPr>
            <w:tcW w:w="1116" w:type="dxa"/>
            <w:gridSpan w:val="2"/>
            <w:tcBorders>
              <w:bottom w:val="single" w:sz="8" w:space="0" w:color="auto"/>
            </w:tcBorders>
            <w:tcMar>
              <w:left w:w="0" w:type="dxa"/>
              <w:right w:w="0" w:type="dxa"/>
            </w:tcMar>
            <w:vAlign w:val="bottom"/>
          </w:tcPr>
          <w:p w14:paraId="74CA92EF"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4,319</w:t>
            </w:r>
          </w:p>
        </w:tc>
        <w:tc>
          <w:tcPr>
            <w:tcW w:w="64" w:type="dxa"/>
            <w:tcBorders>
              <w:bottom w:val="single" w:sz="8" w:space="0" w:color="auto"/>
            </w:tcBorders>
            <w:tcMar>
              <w:left w:w="0" w:type="dxa"/>
              <w:right w:w="0" w:type="dxa"/>
            </w:tcMar>
          </w:tcPr>
          <w:p w14:paraId="1A73DD5A" w14:textId="77777777" w:rsidR="00454BE4" w:rsidRDefault="00454BE4" w:rsidP="00ED6327"/>
        </w:tc>
        <w:tc>
          <w:tcPr>
            <w:tcW w:w="80" w:type="dxa"/>
            <w:tcMar>
              <w:left w:w="0" w:type="dxa"/>
              <w:right w:w="0" w:type="dxa"/>
            </w:tcMar>
            <w:vAlign w:val="bottom"/>
          </w:tcPr>
          <w:p w14:paraId="69FF895A" w14:textId="77777777" w:rsidR="00454BE4" w:rsidRDefault="00454BE4" w:rsidP="00ED6327">
            <w:pPr>
              <w:keepNext/>
              <w:keepLines/>
              <w:spacing w:before="40" w:after="40"/>
            </w:pPr>
          </w:p>
        </w:tc>
        <w:tc>
          <w:tcPr>
            <w:tcW w:w="1196" w:type="dxa"/>
            <w:gridSpan w:val="2"/>
            <w:tcBorders>
              <w:bottom w:val="single" w:sz="8" w:space="0" w:color="auto"/>
            </w:tcBorders>
            <w:tcMar>
              <w:left w:w="0" w:type="dxa"/>
              <w:right w:w="0" w:type="dxa"/>
            </w:tcMar>
            <w:vAlign w:val="bottom"/>
          </w:tcPr>
          <w:p w14:paraId="0B4542BA"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4,903</w:t>
            </w:r>
          </w:p>
        </w:tc>
        <w:tc>
          <w:tcPr>
            <w:tcW w:w="64" w:type="dxa"/>
            <w:tcBorders>
              <w:bottom w:val="single" w:sz="8" w:space="0" w:color="auto"/>
            </w:tcBorders>
            <w:tcMar>
              <w:left w:w="0" w:type="dxa"/>
              <w:right w:w="0" w:type="dxa"/>
            </w:tcMar>
          </w:tcPr>
          <w:p w14:paraId="7B1D84CD" w14:textId="77777777" w:rsidR="00454BE4" w:rsidRDefault="00454BE4" w:rsidP="00ED6327"/>
        </w:tc>
      </w:tr>
      <w:tr w:rsidR="00454BE4" w14:paraId="4FE3DB36" w14:textId="77777777" w:rsidTr="00ED6327">
        <w:trPr>
          <w:trHeight w:hRule="exact" w:val="300"/>
          <w:jc w:val="center"/>
        </w:trPr>
        <w:tc>
          <w:tcPr>
            <w:tcW w:w="7720" w:type="dxa"/>
            <w:tcMar>
              <w:left w:w="60" w:type="dxa"/>
              <w:right w:w="40" w:type="dxa"/>
            </w:tcMar>
            <w:vAlign w:val="bottom"/>
          </w:tcPr>
          <w:p w14:paraId="66DCA752"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Total other expense</w:t>
            </w:r>
          </w:p>
        </w:tc>
        <w:tc>
          <w:tcPr>
            <w:tcW w:w="1116" w:type="dxa"/>
            <w:gridSpan w:val="2"/>
            <w:tcBorders>
              <w:top w:val="single" w:sz="8" w:space="0" w:color="auto"/>
              <w:bottom w:val="single" w:sz="8" w:space="0" w:color="auto"/>
            </w:tcBorders>
            <w:tcMar>
              <w:left w:w="0" w:type="dxa"/>
              <w:right w:w="0" w:type="dxa"/>
            </w:tcMar>
            <w:vAlign w:val="bottom"/>
          </w:tcPr>
          <w:p w14:paraId="3A0BE688"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(21,046</w:t>
            </w:r>
          </w:p>
        </w:tc>
        <w:tc>
          <w:tcPr>
            <w:tcW w:w="64" w:type="dxa"/>
            <w:tcBorders>
              <w:top w:val="single" w:sz="8" w:space="0" w:color="auto"/>
              <w:bottom w:val="single" w:sz="8" w:space="0" w:color="auto"/>
            </w:tcBorders>
            <w:tcMar>
              <w:left w:w="0" w:type="dxa"/>
              <w:right w:w="0" w:type="dxa"/>
            </w:tcMar>
            <w:vAlign w:val="bottom"/>
          </w:tcPr>
          <w:p w14:paraId="7597BEE7"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0" w:type="dxa"/>
            </w:tcMar>
            <w:vAlign w:val="bottom"/>
          </w:tcPr>
          <w:p w14:paraId="59839967" w14:textId="77777777" w:rsidR="00454BE4" w:rsidRDefault="00454BE4" w:rsidP="00ED6327">
            <w:pPr>
              <w:keepNext/>
              <w:keepLines/>
              <w:spacing w:before="40" w:after="40"/>
            </w:pPr>
          </w:p>
        </w:tc>
        <w:tc>
          <w:tcPr>
            <w:tcW w:w="1196" w:type="dxa"/>
            <w:gridSpan w:val="2"/>
            <w:tcBorders>
              <w:top w:val="single" w:sz="8" w:space="0" w:color="auto"/>
              <w:bottom w:val="single" w:sz="8" w:space="0" w:color="auto"/>
            </w:tcBorders>
            <w:tcMar>
              <w:left w:w="0" w:type="dxa"/>
              <w:right w:w="0" w:type="dxa"/>
            </w:tcMar>
            <w:vAlign w:val="bottom"/>
          </w:tcPr>
          <w:p w14:paraId="28A0FD6E"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(16,174</w:t>
            </w:r>
          </w:p>
        </w:tc>
        <w:tc>
          <w:tcPr>
            <w:tcW w:w="64" w:type="dxa"/>
            <w:tcBorders>
              <w:top w:val="single" w:sz="8" w:space="0" w:color="auto"/>
              <w:bottom w:val="single" w:sz="8" w:space="0" w:color="auto"/>
            </w:tcBorders>
            <w:tcMar>
              <w:left w:w="0" w:type="dxa"/>
              <w:right w:w="0" w:type="dxa"/>
            </w:tcMar>
            <w:vAlign w:val="bottom"/>
          </w:tcPr>
          <w:p w14:paraId="432725D9"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r>
      <w:tr w:rsidR="00454BE4" w14:paraId="44C5280B" w14:textId="77777777" w:rsidTr="00ED6327">
        <w:trPr>
          <w:trHeight w:hRule="exact" w:val="300"/>
          <w:jc w:val="center"/>
        </w:trPr>
        <w:tc>
          <w:tcPr>
            <w:tcW w:w="7720" w:type="dxa"/>
            <w:tcMar>
              <w:left w:w="60" w:type="dxa"/>
              <w:right w:w="40" w:type="dxa"/>
            </w:tcMar>
            <w:vAlign w:val="bottom"/>
          </w:tcPr>
          <w:p w14:paraId="735D773D"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Income before income taxes</w:t>
            </w:r>
          </w:p>
        </w:tc>
        <w:tc>
          <w:tcPr>
            <w:tcW w:w="1116" w:type="dxa"/>
            <w:gridSpan w:val="2"/>
            <w:tcMar>
              <w:left w:w="0" w:type="dxa"/>
              <w:right w:w="0" w:type="dxa"/>
            </w:tcMar>
            <w:vAlign w:val="bottom"/>
          </w:tcPr>
          <w:p w14:paraId="63B44A15"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80,282</w:t>
            </w:r>
          </w:p>
        </w:tc>
        <w:tc>
          <w:tcPr>
            <w:tcW w:w="64" w:type="dxa"/>
            <w:tcMar>
              <w:left w:w="0" w:type="dxa"/>
              <w:right w:w="0" w:type="dxa"/>
            </w:tcMar>
          </w:tcPr>
          <w:p w14:paraId="168AE943" w14:textId="77777777" w:rsidR="00454BE4" w:rsidRDefault="00454BE4" w:rsidP="00ED6327"/>
        </w:tc>
        <w:tc>
          <w:tcPr>
            <w:tcW w:w="80" w:type="dxa"/>
            <w:tcMar>
              <w:left w:w="0" w:type="dxa"/>
              <w:right w:w="0" w:type="dxa"/>
            </w:tcMar>
            <w:vAlign w:val="bottom"/>
          </w:tcPr>
          <w:p w14:paraId="6A237CD0" w14:textId="77777777" w:rsidR="00454BE4" w:rsidRDefault="00454BE4" w:rsidP="00ED6327">
            <w:pPr>
              <w:keepNext/>
              <w:keepLines/>
              <w:spacing w:before="40" w:after="40"/>
            </w:pPr>
          </w:p>
        </w:tc>
        <w:tc>
          <w:tcPr>
            <w:tcW w:w="1196" w:type="dxa"/>
            <w:gridSpan w:val="2"/>
            <w:tcMar>
              <w:left w:w="0" w:type="dxa"/>
              <w:right w:w="0" w:type="dxa"/>
            </w:tcMar>
            <w:vAlign w:val="bottom"/>
          </w:tcPr>
          <w:p w14:paraId="6E7830B8"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85,101</w:t>
            </w:r>
          </w:p>
        </w:tc>
        <w:tc>
          <w:tcPr>
            <w:tcW w:w="64" w:type="dxa"/>
            <w:tcMar>
              <w:left w:w="0" w:type="dxa"/>
              <w:right w:w="0" w:type="dxa"/>
            </w:tcMar>
          </w:tcPr>
          <w:p w14:paraId="13F1F809" w14:textId="77777777" w:rsidR="00454BE4" w:rsidRDefault="00454BE4" w:rsidP="00ED6327"/>
        </w:tc>
      </w:tr>
      <w:tr w:rsidR="00454BE4" w14:paraId="335E16E1" w14:textId="77777777" w:rsidTr="00ED6327">
        <w:trPr>
          <w:trHeight w:hRule="exact" w:val="300"/>
          <w:jc w:val="center"/>
        </w:trPr>
        <w:tc>
          <w:tcPr>
            <w:tcW w:w="7720" w:type="dxa"/>
            <w:tcMar>
              <w:left w:w="60" w:type="dxa"/>
              <w:right w:w="40" w:type="dxa"/>
            </w:tcMar>
            <w:vAlign w:val="bottom"/>
          </w:tcPr>
          <w:p w14:paraId="5A9DFF5E"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Income taxes</w:t>
            </w:r>
          </w:p>
        </w:tc>
        <w:tc>
          <w:tcPr>
            <w:tcW w:w="1116" w:type="dxa"/>
            <w:gridSpan w:val="2"/>
            <w:tcBorders>
              <w:bottom w:val="single" w:sz="8" w:space="0" w:color="auto"/>
            </w:tcBorders>
            <w:tcMar>
              <w:left w:w="0" w:type="dxa"/>
              <w:right w:w="0" w:type="dxa"/>
            </w:tcMar>
            <w:vAlign w:val="bottom"/>
          </w:tcPr>
          <w:p w14:paraId="7A5A9D06"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6,034</w:t>
            </w:r>
          </w:p>
        </w:tc>
        <w:tc>
          <w:tcPr>
            <w:tcW w:w="64" w:type="dxa"/>
            <w:tcBorders>
              <w:bottom w:val="single" w:sz="8" w:space="0" w:color="auto"/>
            </w:tcBorders>
            <w:tcMar>
              <w:left w:w="0" w:type="dxa"/>
              <w:right w:w="0" w:type="dxa"/>
            </w:tcMar>
          </w:tcPr>
          <w:p w14:paraId="0146F442" w14:textId="77777777" w:rsidR="00454BE4" w:rsidRDefault="00454BE4" w:rsidP="00ED6327"/>
        </w:tc>
        <w:tc>
          <w:tcPr>
            <w:tcW w:w="80" w:type="dxa"/>
            <w:tcMar>
              <w:left w:w="0" w:type="dxa"/>
              <w:right w:w="0" w:type="dxa"/>
            </w:tcMar>
            <w:vAlign w:val="bottom"/>
          </w:tcPr>
          <w:p w14:paraId="1A152BDF" w14:textId="77777777" w:rsidR="00454BE4" w:rsidRDefault="00454BE4" w:rsidP="00ED6327">
            <w:pPr>
              <w:keepNext/>
              <w:keepLines/>
              <w:spacing w:before="40" w:after="40"/>
            </w:pPr>
          </w:p>
        </w:tc>
        <w:tc>
          <w:tcPr>
            <w:tcW w:w="1196" w:type="dxa"/>
            <w:gridSpan w:val="2"/>
            <w:tcMar>
              <w:left w:w="0" w:type="dxa"/>
              <w:right w:w="0" w:type="dxa"/>
            </w:tcMar>
            <w:vAlign w:val="bottom"/>
          </w:tcPr>
          <w:p w14:paraId="3940BDB7"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15,990</w:t>
            </w:r>
          </w:p>
        </w:tc>
        <w:tc>
          <w:tcPr>
            <w:tcW w:w="64" w:type="dxa"/>
            <w:tcMar>
              <w:left w:w="0" w:type="dxa"/>
              <w:right w:w="0" w:type="dxa"/>
            </w:tcMar>
          </w:tcPr>
          <w:p w14:paraId="03BAE133" w14:textId="77777777" w:rsidR="00454BE4" w:rsidRDefault="00454BE4" w:rsidP="00ED6327"/>
        </w:tc>
      </w:tr>
      <w:tr w:rsidR="00454BE4" w14:paraId="172B1891" w14:textId="77777777" w:rsidTr="00ED6327">
        <w:trPr>
          <w:trHeight w:hRule="exact" w:val="300"/>
          <w:jc w:val="center"/>
        </w:trPr>
        <w:tc>
          <w:tcPr>
            <w:tcW w:w="7720" w:type="dxa"/>
            <w:tcMar>
              <w:left w:w="60" w:type="dxa"/>
              <w:right w:w="40" w:type="dxa"/>
            </w:tcMar>
            <w:vAlign w:val="bottom"/>
          </w:tcPr>
          <w:p w14:paraId="3BA075CD"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Net income</w:t>
            </w:r>
          </w:p>
        </w:tc>
        <w:tc>
          <w:tcPr>
            <w:tcW w:w="1116" w:type="dxa"/>
            <w:gridSpan w:val="2"/>
            <w:tcBorders>
              <w:top w:val="single" w:sz="8" w:space="0" w:color="auto"/>
            </w:tcBorders>
            <w:tcMar>
              <w:left w:w="0" w:type="dxa"/>
              <w:right w:w="0" w:type="dxa"/>
            </w:tcMar>
            <w:vAlign w:val="bottom"/>
          </w:tcPr>
          <w:p w14:paraId="15D41EEE"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74,248</w:t>
            </w:r>
          </w:p>
        </w:tc>
        <w:tc>
          <w:tcPr>
            <w:tcW w:w="64" w:type="dxa"/>
            <w:tcBorders>
              <w:top w:val="single" w:sz="8" w:space="0" w:color="auto"/>
            </w:tcBorders>
            <w:tcMar>
              <w:left w:w="0" w:type="dxa"/>
              <w:right w:w="0" w:type="dxa"/>
            </w:tcMar>
          </w:tcPr>
          <w:p w14:paraId="05B341B1" w14:textId="77777777" w:rsidR="00454BE4" w:rsidRDefault="00454BE4" w:rsidP="00ED6327"/>
        </w:tc>
        <w:tc>
          <w:tcPr>
            <w:tcW w:w="80" w:type="dxa"/>
            <w:tcMar>
              <w:left w:w="0" w:type="dxa"/>
              <w:right w:w="0" w:type="dxa"/>
            </w:tcMar>
            <w:vAlign w:val="bottom"/>
          </w:tcPr>
          <w:p w14:paraId="48EBE3BD" w14:textId="77777777" w:rsidR="00454BE4" w:rsidRDefault="00454BE4" w:rsidP="00ED6327">
            <w:pPr>
              <w:keepNext/>
              <w:keepLines/>
              <w:spacing w:before="40" w:after="40"/>
            </w:pPr>
          </w:p>
        </w:tc>
        <w:tc>
          <w:tcPr>
            <w:tcW w:w="1196" w:type="dxa"/>
            <w:gridSpan w:val="2"/>
            <w:tcBorders>
              <w:top w:val="single" w:sz="8" w:space="0" w:color="auto"/>
              <w:bottom w:val="double" w:sz="4" w:space="0" w:color="auto"/>
            </w:tcBorders>
            <w:tcMar>
              <w:left w:w="0" w:type="dxa"/>
              <w:right w:w="0" w:type="dxa"/>
            </w:tcMar>
            <w:vAlign w:val="bottom"/>
          </w:tcPr>
          <w:p w14:paraId="1C8CAB98"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69,111</w:t>
            </w:r>
          </w:p>
        </w:tc>
        <w:tc>
          <w:tcPr>
            <w:tcW w:w="64" w:type="dxa"/>
            <w:tcBorders>
              <w:top w:val="single" w:sz="8" w:space="0" w:color="auto"/>
              <w:bottom w:val="double" w:sz="4" w:space="0" w:color="auto"/>
            </w:tcBorders>
            <w:tcMar>
              <w:left w:w="0" w:type="dxa"/>
              <w:right w:w="0" w:type="dxa"/>
            </w:tcMar>
          </w:tcPr>
          <w:p w14:paraId="5B9FA934" w14:textId="77777777" w:rsidR="00454BE4" w:rsidRDefault="00454BE4" w:rsidP="00ED6327"/>
        </w:tc>
      </w:tr>
      <w:tr w:rsidR="00454BE4" w14:paraId="70D17FF4" w14:textId="77777777" w:rsidTr="00ED6327">
        <w:trPr>
          <w:trHeight w:hRule="exact" w:val="300"/>
          <w:jc w:val="center"/>
        </w:trPr>
        <w:tc>
          <w:tcPr>
            <w:tcW w:w="7720" w:type="dxa"/>
            <w:tcMar>
              <w:left w:w="60" w:type="dxa"/>
              <w:right w:w="0" w:type="dxa"/>
            </w:tcMar>
            <w:vAlign w:val="bottom"/>
          </w:tcPr>
          <w:p w14:paraId="6B5A42FF" w14:textId="77777777" w:rsidR="00454BE4" w:rsidRDefault="00454BE4" w:rsidP="00ED6327">
            <w:pPr>
              <w:keepNext/>
              <w:keepLines/>
              <w:spacing w:before="40" w:after="40"/>
            </w:pPr>
          </w:p>
        </w:tc>
        <w:tc>
          <w:tcPr>
            <w:tcW w:w="0" w:type="dxa"/>
            <w:gridSpan w:val="3"/>
            <w:tcBorders>
              <w:top w:val="double" w:sz="4" w:space="0" w:color="auto"/>
            </w:tcBorders>
            <w:tcMar>
              <w:left w:w="0" w:type="dxa"/>
              <w:right w:w="140" w:type="dxa"/>
            </w:tcMar>
            <w:vAlign w:val="bottom"/>
          </w:tcPr>
          <w:p w14:paraId="00C9260E" w14:textId="77777777" w:rsidR="00454BE4" w:rsidRDefault="00454BE4" w:rsidP="00ED6327">
            <w:pPr>
              <w:keepNext/>
              <w:keepLines/>
              <w:spacing w:before="40"/>
            </w:pPr>
          </w:p>
        </w:tc>
        <w:tc>
          <w:tcPr>
            <w:tcW w:w="80" w:type="dxa"/>
            <w:tcMar>
              <w:left w:w="0" w:type="dxa"/>
              <w:right w:w="0" w:type="dxa"/>
            </w:tcMar>
            <w:vAlign w:val="bottom"/>
          </w:tcPr>
          <w:p w14:paraId="3FC58C7A" w14:textId="77777777" w:rsidR="00454BE4" w:rsidRDefault="00454BE4" w:rsidP="00ED6327">
            <w:pPr>
              <w:keepNext/>
              <w:keepLines/>
              <w:spacing w:before="40" w:after="40"/>
            </w:pPr>
          </w:p>
        </w:tc>
        <w:tc>
          <w:tcPr>
            <w:tcW w:w="0" w:type="dxa"/>
            <w:gridSpan w:val="3"/>
            <w:tcMar>
              <w:left w:w="0" w:type="dxa"/>
              <w:right w:w="180" w:type="dxa"/>
            </w:tcMar>
            <w:vAlign w:val="bottom"/>
          </w:tcPr>
          <w:p w14:paraId="18AAF04D" w14:textId="77777777" w:rsidR="00454BE4" w:rsidRDefault="00454BE4" w:rsidP="00ED6327">
            <w:pPr>
              <w:keepNext/>
              <w:keepLines/>
              <w:spacing w:before="40" w:after="40"/>
            </w:pPr>
          </w:p>
        </w:tc>
      </w:tr>
      <w:tr w:rsidR="00454BE4" w14:paraId="2BC1D7FC" w14:textId="77777777" w:rsidTr="00ED6327">
        <w:trPr>
          <w:trHeight w:hRule="exact" w:val="300"/>
          <w:jc w:val="center"/>
        </w:trPr>
        <w:tc>
          <w:tcPr>
            <w:tcW w:w="7720" w:type="dxa"/>
            <w:tcMar>
              <w:left w:w="60" w:type="dxa"/>
              <w:right w:w="40" w:type="dxa"/>
            </w:tcMar>
            <w:vAlign w:val="bottom"/>
          </w:tcPr>
          <w:p w14:paraId="3026A682"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Diluted net income per common share</w:t>
            </w:r>
          </w:p>
        </w:tc>
        <w:tc>
          <w:tcPr>
            <w:tcW w:w="99" w:type="dxa"/>
            <w:tcMar>
              <w:left w:w="0" w:type="dxa"/>
              <w:right w:w="0" w:type="dxa"/>
            </w:tcMar>
            <w:vAlign w:val="bottom"/>
          </w:tcPr>
          <w:p w14:paraId="55CE8E3C"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c>
          <w:tcPr>
            <w:tcW w:w="1017" w:type="dxa"/>
            <w:tcMar>
              <w:left w:w="0" w:type="dxa"/>
              <w:right w:w="0" w:type="dxa"/>
            </w:tcMar>
            <w:vAlign w:val="bottom"/>
          </w:tcPr>
          <w:p w14:paraId="703378CC"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0.32</w:t>
            </w:r>
          </w:p>
        </w:tc>
        <w:tc>
          <w:tcPr>
            <w:tcW w:w="64" w:type="dxa"/>
            <w:tcMar>
              <w:left w:w="0" w:type="dxa"/>
              <w:right w:w="0" w:type="dxa"/>
            </w:tcMar>
          </w:tcPr>
          <w:p w14:paraId="01AE249F" w14:textId="77777777" w:rsidR="00454BE4" w:rsidRDefault="00454BE4" w:rsidP="00ED6327"/>
        </w:tc>
        <w:tc>
          <w:tcPr>
            <w:tcW w:w="80" w:type="dxa"/>
            <w:tcMar>
              <w:left w:w="0" w:type="dxa"/>
              <w:right w:w="0" w:type="dxa"/>
            </w:tcMar>
            <w:vAlign w:val="bottom"/>
          </w:tcPr>
          <w:p w14:paraId="10BF9AA4" w14:textId="77777777" w:rsidR="00454BE4" w:rsidRDefault="00454BE4" w:rsidP="00ED6327">
            <w:pPr>
              <w:keepNext/>
              <w:keepLines/>
              <w:spacing w:before="40" w:after="40"/>
            </w:pPr>
          </w:p>
        </w:tc>
        <w:tc>
          <w:tcPr>
            <w:tcW w:w="99" w:type="dxa"/>
            <w:tcMar>
              <w:left w:w="0" w:type="dxa"/>
              <w:right w:w="0" w:type="dxa"/>
            </w:tcMar>
            <w:vAlign w:val="bottom"/>
          </w:tcPr>
          <w:p w14:paraId="219C45DF"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c>
          <w:tcPr>
            <w:tcW w:w="1097" w:type="dxa"/>
            <w:tcMar>
              <w:left w:w="0" w:type="dxa"/>
              <w:right w:w="0" w:type="dxa"/>
            </w:tcMar>
            <w:vAlign w:val="bottom"/>
          </w:tcPr>
          <w:p w14:paraId="033140A6"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0.30</w:t>
            </w:r>
          </w:p>
        </w:tc>
        <w:tc>
          <w:tcPr>
            <w:tcW w:w="64" w:type="dxa"/>
            <w:tcMar>
              <w:left w:w="0" w:type="dxa"/>
              <w:right w:w="0" w:type="dxa"/>
            </w:tcMar>
          </w:tcPr>
          <w:p w14:paraId="1389E278" w14:textId="77777777" w:rsidR="00454BE4" w:rsidRDefault="00454BE4" w:rsidP="00ED6327"/>
        </w:tc>
      </w:tr>
      <w:tr w:rsidR="00454BE4" w14:paraId="2C4A9060" w14:textId="77777777" w:rsidTr="00ED6327">
        <w:trPr>
          <w:trHeight w:hRule="exact" w:val="300"/>
          <w:jc w:val="center"/>
        </w:trPr>
        <w:tc>
          <w:tcPr>
            <w:tcW w:w="7720" w:type="dxa"/>
            <w:tcMar>
              <w:left w:w="60" w:type="dxa"/>
              <w:right w:w="40" w:type="dxa"/>
            </w:tcMar>
            <w:vAlign w:val="bottom"/>
          </w:tcPr>
          <w:p w14:paraId="4687A67A"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Diluted net income per common share (adjusted)</w:t>
            </w:r>
          </w:p>
        </w:tc>
        <w:tc>
          <w:tcPr>
            <w:tcW w:w="99" w:type="dxa"/>
            <w:tcMar>
              <w:left w:w="0" w:type="dxa"/>
              <w:right w:w="0" w:type="dxa"/>
            </w:tcMar>
            <w:vAlign w:val="bottom"/>
          </w:tcPr>
          <w:p w14:paraId="5D0A7E8B"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c>
          <w:tcPr>
            <w:tcW w:w="1017" w:type="dxa"/>
            <w:tcMar>
              <w:left w:w="0" w:type="dxa"/>
              <w:right w:w="0" w:type="dxa"/>
            </w:tcMar>
            <w:vAlign w:val="bottom"/>
          </w:tcPr>
          <w:p w14:paraId="76A58DBC"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0.60</w:t>
            </w:r>
          </w:p>
        </w:tc>
        <w:tc>
          <w:tcPr>
            <w:tcW w:w="64" w:type="dxa"/>
            <w:tcMar>
              <w:left w:w="0" w:type="dxa"/>
              <w:right w:w="0" w:type="dxa"/>
            </w:tcMar>
          </w:tcPr>
          <w:p w14:paraId="483B4D13" w14:textId="77777777" w:rsidR="00454BE4" w:rsidRDefault="00454BE4" w:rsidP="00ED6327"/>
        </w:tc>
        <w:tc>
          <w:tcPr>
            <w:tcW w:w="80" w:type="dxa"/>
            <w:tcMar>
              <w:left w:w="0" w:type="dxa"/>
              <w:right w:w="0" w:type="dxa"/>
            </w:tcMar>
            <w:vAlign w:val="bottom"/>
          </w:tcPr>
          <w:p w14:paraId="26089B69" w14:textId="77777777" w:rsidR="00454BE4" w:rsidRDefault="00454BE4" w:rsidP="00ED6327">
            <w:pPr>
              <w:keepNext/>
              <w:keepLines/>
              <w:spacing w:before="40" w:after="40"/>
            </w:pPr>
          </w:p>
        </w:tc>
        <w:tc>
          <w:tcPr>
            <w:tcW w:w="99" w:type="dxa"/>
            <w:tcMar>
              <w:left w:w="0" w:type="dxa"/>
              <w:right w:w="0" w:type="dxa"/>
            </w:tcMar>
            <w:vAlign w:val="bottom"/>
          </w:tcPr>
          <w:p w14:paraId="333EC5E4" w14:textId="77777777" w:rsidR="00454BE4" w:rsidRDefault="00454BE4" w:rsidP="00ED6327">
            <w:pPr>
              <w:keepNext/>
              <w:keepLines/>
              <w:spacing w:before="40" w:after="40"/>
              <w:rPr>
                <w:rFonts w:ascii="Arial" w:eastAsia="Arial" w:hAnsi="Arial" w:cs="Arial"/>
                <w:sz w:val="16"/>
              </w:rPr>
            </w:pPr>
            <w:r>
              <w:rPr>
                <w:rFonts w:ascii="Arial" w:eastAsia="Arial" w:hAnsi="Arial" w:cs="Arial"/>
                <w:color w:val="000000"/>
                <w:sz w:val="16"/>
              </w:rPr>
              <w:t>$</w:t>
            </w:r>
          </w:p>
        </w:tc>
        <w:tc>
          <w:tcPr>
            <w:tcW w:w="1097" w:type="dxa"/>
            <w:tcMar>
              <w:left w:w="0" w:type="dxa"/>
              <w:right w:w="0" w:type="dxa"/>
            </w:tcMar>
            <w:vAlign w:val="bottom"/>
          </w:tcPr>
          <w:p w14:paraId="0A3A7EE4" w14:textId="77777777" w:rsidR="00454BE4" w:rsidRDefault="00454BE4" w:rsidP="00ED6327">
            <w:pPr>
              <w:keepNext/>
              <w:keepLines/>
              <w:spacing w:before="40" w:after="40"/>
              <w:jc w:val="right"/>
              <w:rPr>
                <w:rFonts w:ascii="Arial" w:eastAsia="Arial" w:hAnsi="Arial" w:cs="Arial"/>
                <w:sz w:val="16"/>
              </w:rPr>
            </w:pPr>
            <w:r>
              <w:rPr>
                <w:rFonts w:ascii="Arial" w:eastAsia="Arial" w:hAnsi="Arial" w:cs="Arial"/>
                <w:color w:val="000000"/>
                <w:sz w:val="16"/>
              </w:rPr>
              <w:t>0.59</w:t>
            </w:r>
          </w:p>
        </w:tc>
        <w:tc>
          <w:tcPr>
            <w:tcW w:w="64" w:type="dxa"/>
            <w:tcMar>
              <w:left w:w="0" w:type="dxa"/>
              <w:right w:w="0" w:type="dxa"/>
            </w:tcMar>
          </w:tcPr>
          <w:p w14:paraId="0122BA1D" w14:textId="77777777" w:rsidR="00454BE4" w:rsidRDefault="00454BE4" w:rsidP="00ED6327"/>
        </w:tc>
      </w:tr>
      <w:tr w:rsidR="00454BE4" w14:paraId="4C362CE1" w14:textId="77777777" w:rsidTr="00ED6327">
        <w:trPr>
          <w:trHeight w:hRule="exact" w:val="300"/>
          <w:jc w:val="center"/>
        </w:trPr>
        <w:tc>
          <w:tcPr>
            <w:tcW w:w="7720" w:type="dxa"/>
            <w:tcMar>
              <w:left w:w="60" w:type="dxa"/>
              <w:right w:w="0" w:type="dxa"/>
            </w:tcMar>
            <w:vAlign w:val="bottom"/>
          </w:tcPr>
          <w:p w14:paraId="4391824D" w14:textId="77777777" w:rsidR="00454BE4" w:rsidRDefault="00454BE4" w:rsidP="00ED6327">
            <w:pPr>
              <w:keepNext/>
              <w:keepLines/>
              <w:spacing w:before="40" w:after="40"/>
            </w:pPr>
          </w:p>
        </w:tc>
        <w:tc>
          <w:tcPr>
            <w:tcW w:w="0" w:type="dxa"/>
            <w:gridSpan w:val="3"/>
            <w:tcMar>
              <w:left w:w="0" w:type="dxa"/>
              <w:right w:w="180" w:type="dxa"/>
            </w:tcMar>
            <w:vAlign w:val="bottom"/>
          </w:tcPr>
          <w:p w14:paraId="404097A1" w14:textId="77777777" w:rsidR="00454BE4" w:rsidRDefault="00454BE4" w:rsidP="00ED6327">
            <w:pPr>
              <w:keepNext/>
              <w:keepLines/>
              <w:spacing w:before="40" w:after="40"/>
            </w:pPr>
          </w:p>
        </w:tc>
        <w:tc>
          <w:tcPr>
            <w:tcW w:w="80" w:type="dxa"/>
            <w:tcMar>
              <w:left w:w="0" w:type="dxa"/>
              <w:right w:w="0" w:type="dxa"/>
            </w:tcMar>
            <w:vAlign w:val="bottom"/>
          </w:tcPr>
          <w:p w14:paraId="0905E0F2" w14:textId="77777777" w:rsidR="00454BE4" w:rsidRDefault="00454BE4" w:rsidP="00ED6327">
            <w:pPr>
              <w:keepNext/>
              <w:keepLines/>
              <w:spacing w:before="40" w:after="40"/>
            </w:pPr>
          </w:p>
        </w:tc>
        <w:tc>
          <w:tcPr>
            <w:tcW w:w="0" w:type="dxa"/>
            <w:gridSpan w:val="3"/>
            <w:tcMar>
              <w:left w:w="0" w:type="dxa"/>
              <w:right w:w="180" w:type="dxa"/>
            </w:tcMar>
            <w:vAlign w:val="bottom"/>
          </w:tcPr>
          <w:p w14:paraId="41935524" w14:textId="77777777" w:rsidR="00454BE4" w:rsidRDefault="00454BE4" w:rsidP="00ED6327">
            <w:pPr>
              <w:keepNext/>
              <w:keepLines/>
              <w:spacing w:before="40" w:after="40"/>
            </w:pPr>
          </w:p>
        </w:tc>
      </w:tr>
      <w:tr w:rsidR="00454BE4" w14:paraId="20522C88" w14:textId="77777777" w:rsidTr="00ED6327">
        <w:trPr>
          <w:trHeight w:hRule="exact" w:val="300"/>
          <w:jc w:val="center"/>
        </w:trPr>
        <w:tc>
          <w:tcPr>
            <w:tcW w:w="7720" w:type="dxa"/>
            <w:tcMar>
              <w:left w:w="60" w:type="dxa"/>
              <w:right w:w="40" w:type="dxa"/>
            </w:tcMar>
            <w:vAlign w:val="bottom"/>
          </w:tcPr>
          <w:p w14:paraId="556495AB" w14:textId="77777777" w:rsidR="00454BE4" w:rsidRDefault="00454BE4" w:rsidP="00ED6327">
            <w:pPr>
              <w:keepLines/>
              <w:spacing w:before="40" w:after="40"/>
              <w:rPr>
                <w:rFonts w:ascii="Arial" w:eastAsia="Arial" w:hAnsi="Arial" w:cs="Arial"/>
                <w:sz w:val="16"/>
              </w:rPr>
            </w:pPr>
            <w:r>
              <w:rPr>
                <w:rFonts w:ascii="Arial" w:eastAsia="Arial" w:hAnsi="Arial" w:cs="Arial"/>
                <w:color w:val="000000"/>
                <w:sz w:val="16"/>
              </w:rPr>
              <w:t>Diluted shares used in computing diluted net income per common share</w:t>
            </w:r>
          </w:p>
        </w:tc>
        <w:tc>
          <w:tcPr>
            <w:tcW w:w="1116" w:type="dxa"/>
            <w:gridSpan w:val="2"/>
            <w:tcMar>
              <w:left w:w="0" w:type="dxa"/>
              <w:right w:w="0" w:type="dxa"/>
            </w:tcMar>
            <w:vAlign w:val="bottom"/>
          </w:tcPr>
          <w:p w14:paraId="0ECEAA79" w14:textId="77777777" w:rsidR="00454BE4" w:rsidRDefault="00454BE4" w:rsidP="00ED6327">
            <w:pPr>
              <w:keepLines/>
              <w:spacing w:before="40" w:after="40"/>
              <w:jc w:val="right"/>
              <w:rPr>
                <w:rFonts w:ascii="Arial" w:eastAsia="Arial" w:hAnsi="Arial" w:cs="Arial"/>
                <w:sz w:val="16"/>
              </w:rPr>
            </w:pPr>
            <w:r>
              <w:rPr>
                <w:rFonts w:ascii="Arial" w:eastAsia="Arial" w:hAnsi="Arial" w:cs="Arial"/>
                <w:color w:val="000000"/>
                <w:sz w:val="16"/>
              </w:rPr>
              <w:t>233,160</w:t>
            </w:r>
          </w:p>
        </w:tc>
        <w:tc>
          <w:tcPr>
            <w:tcW w:w="64" w:type="dxa"/>
            <w:tcMar>
              <w:left w:w="0" w:type="dxa"/>
              <w:right w:w="0" w:type="dxa"/>
            </w:tcMar>
          </w:tcPr>
          <w:p w14:paraId="296EA645" w14:textId="77777777" w:rsidR="00454BE4" w:rsidRDefault="00454BE4" w:rsidP="00ED6327"/>
        </w:tc>
        <w:tc>
          <w:tcPr>
            <w:tcW w:w="80" w:type="dxa"/>
            <w:tcMar>
              <w:left w:w="0" w:type="dxa"/>
              <w:right w:w="0" w:type="dxa"/>
            </w:tcMar>
            <w:vAlign w:val="bottom"/>
          </w:tcPr>
          <w:p w14:paraId="14ED7564" w14:textId="77777777" w:rsidR="00454BE4" w:rsidRDefault="00454BE4" w:rsidP="00ED6327">
            <w:pPr>
              <w:keepLines/>
              <w:spacing w:before="40" w:after="40"/>
            </w:pPr>
          </w:p>
        </w:tc>
        <w:tc>
          <w:tcPr>
            <w:tcW w:w="1196" w:type="dxa"/>
            <w:gridSpan w:val="2"/>
            <w:tcMar>
              <w:left w:w="0" w:type="dxa"/>
              <w:right w:w="0" w:type="dxa"/>
            </w:tcMar>
            <w:vAlign w:val="bottom"/>
          </w:tcPr>
          <w:p w14:paraId="74BD4C60" w14:textId="77777777" w:rsidR="00454BE4" w:rsidRDefault="00454BE4" w:rsidP="00ED6327">
            <w:pPr>
              <w:keepLines/>
              <w:spacing w:before="40" w:after="40"/>
              <w:jc w:val="right"/>
              <w:rPr>
                <w:rFonts w:ascii="Arial" w:eastAsia="Arial" w:hAnsi="Arial" w:cs="Arial"/>
                <w:sz w:val="16"/>
              </w:rPr>
            </w:pPr>
            <w:r>
              <w:rPr>
                <w:rFonts w:ascii="Arial" w:eastAsia="Arial" w:hAnsi="Arial" w:cs="Arial"/>
                <w:color w:val="000000"/>
                <w:sz w:val="16"/>
              </w:rPr>
              <w:t>233,158</w:t>
            </w:r>
          </w:p>
        </w:tc>
        <w:tc>
          <w:tcPr>
            <w:tcW w:w="64" w:type="dxa"/>
            <w:tcMar>
              <w:left w:w="0" w:type="dxa"/>
              <w:right w:w="0" w:type="dxa"/>
            </w:tcMar>
          </w:tcPr>
          <w:p w14:paraId="1D27F0EB" w14:textId="77777777" w:rsidR="00454BE4" w:rsidRDefault="00454BE4" w:rsidP="00ED6327"/>
        </w:tc>
      </w:tr>
    </w:tbl>
    <w:p w14:paraId="0B8329FD" w14:textId="77777777" w:rsidR="00454BE4" w:rsidRDefault="00454BE4" w:rsidP="00454BE4">
      <w:pPr>
        <w:spacing w:before="60" w:line="288" w:lineRule="auto"/>
        <w:jc w:val="center"/>
      </w:pPr>
    </w:p>
    <w:p w14:paraId="41EE7473" w14:textId="77777777" w:rsidR="00454BE4" w:rsidRDefault="00454BE4" w:rsidP="00454BE4">
      <w:pPr>
        <w:spacing w:line="288" w:lineRule="auto"/>
        <w:jc w:val="center"/>
        <w:rPr>
          <w:rFonts w:ascii="Arial" w:eastAsia="Arial" w:hAnsi="Arial" w:cs="Arial"/>
          <w:b/>
        </w:rPr>
      </w:pPr>
    </w:p>
    <w:p w14:paraId="73F639B0" w14:textId="77777777" w:rsidR="00454BE4" w:rsidRDefault="00454BE4" w:rsidP="00454BE4">
      <w:pPr>
        <w:spacing w:line="288" w:lineRule="auto"/>
        <w:jc w:val="center"/>
        <w:rPr>
          <w:rFonts w:ascii="Arial" w:eastAsia="Arial" w:hAnsi="Arial" w:cs="Arial"/>
          <w:b/>
        </w:rPr>
      </w:pPr>
    </w:p>
    <w:p w14:paraId="481013F1" w14:textId="77777777" w:rsidR="00454BE4" w:rsidRDefault="00454BE4" w:rsidP="00454BE4">
      <w:pPr>
        <w:spacing w:line="288" w:lineRule="auto"/>
        <w:jc w:val="center"/>
        <w:rPr>
          <w:rFonts w:ascii="Arial" w:eastAsia="Arial" w:hAnsi="Arial" w:cs="Arial"/>
          <w:b/>
        </w:rPr>
      </w:pPr>
    </w:p>
    <w:p w14:paraId="2BD9D9E5" w14:textId="77777777" w:rsidR="007E7656" w:rsidRDefault="007E7656" w:rsidP="007E7656">
      <w:pPr>
        <w:spacing w:line="288" w:lineRule="auto"/>
        <w:jc w:val="center"/>
        <w:rPr>
          <w:rFonts w:ascii="Arial" w:eastAsia="Arial" w:hAnsi="Arial" w:cs="Arial"/>
          <w:sz w:val="16"/>
        </w:rPr>
      </w:pPr>
    </w:p>
    <w:p w14:paraId="5F88FBC2" w14:textId="77777777" w:rsidR="007E7656" w:rsidRDefault="007E7656" w:rsidP="007E7656">
      <w:pPr>
        <w:pageBreakBefore/>
        <w:spacing w:line="288" w:lineRule="auto"/>
        <w:jc w:val="center"/>
        <w:rPr>
          <w:rFonts w:ascii="Arial" w:eastAsia="Arial" w:hAnsi="Arial" w:cs="Arial"/>
          <w:b/>
        </w:rPr>
      </w:pPr>
      <w:r>
        <w:rPr>
          <w:rFonts w:ascii="Arial" w:eastAsia="Arial" w:hAnsi="Arial" w:cs="Arial"/>
          <w:b/>
        </w:rPr>
        <w:t>QIAGEN N.V.</w:t>
      </w:r>
    </w:p>
    <w:p w14:paraId="252F2BF4" w14:textId="77777777" w:rsidR="007E7656" w:rsidRDefault="007E7656" w:rsidP="007E7656">
      <w:pPr>
        <w:spacing w:line="288" w:lineRule="auto"/>
        <w:jc w:val="center"/>
        <w:rPr>
          <w:rFonts w:ascii="Arial" w:eastAsia="Arial" w:hAnsi="Arial" w:cs="Arial"/>
          <w:b/>
        </w:rPr>
      </w:pPr>
      <w:r>
        <w:rPr>
          <w:rFonts w:ascii="Arial" w:eastAsia="Arial" w:hAnsi="Arial" w:cs="Arial"/>
          <w:b/>
        </w:rPr>
        <w:t>RECONCILIATION OF REPORTED TO ADJUSTED FIGURES</w:t>
      </w:r>
    </w:p>
    <w:p w14:paraId="1DB5E764" w14:textId="77777777" w:rsidR="007E7656" w:rsidRDefault="007E7656" w:rsidP="007E7656">
      <w:pPr>
        <w:spacing w:line="288" w:lineRule="auto"/>
        <w:jc w:val="center"/>
        <w:rPr>
          <w:rFonts w:ascii="Arial" w:eastAsia="Arial" w:hAnsi="Arial" w:cs="Arial"/>
          <w:b/>
        </w:rPr>
      </w:pPr>
      <w:r>
        <w:rPr>
          <w:rFonts w:ascii="Arial" w:eastAsia="Arial" w:hAnsi="Arial" w:cs="Arial"/>
          <w:b/>
        </w:rPr>
        <w:t>(unaudited)</w:t>
      </w:r>
    </w:p>
    <w:p w14:paraId="667AA032" w14:textId="77777777" w:rsidR="007E7656" w:rsidRDefault="007E7656" w:rsidP="007E7656">
      <w:pPr>
        <w:spacing w:line="288" w:lineRule="auto"/>
        <w:rPr>
          <w:rFonts w:ascii="Arial" w:eastAsia="Arial" w:hAnsi="Arial" w:cs="Arial"/>
          <w:sz w:val="16"/>
        </w:rPr>
      </w:pPr>
    </w:p>
    <w:p w14:paraId="09609933" w14:textId="77777777" w:rsidR="007E7656" w:rsidRDefault="007E7656" w:rsidP="007E7656">
      <w:pPr>
        <w:spacing w:before="180" w:line="288" w:lineRule="auto"/>
        <w:jc w:val="center"/>
        <w:rPr>
          <w:rFonts w:ascii="Arial" w:eastAsia="Arial" w:hAnsi="Arial" w:cs="Arial"/>
          <w:sz w:val="16"/>
        </w:rPr>
      </w:pPr>
      <w:r>
        <w:rPr>
          <w:rFonts w:ascii="Arial" w:eastAsia="Arial" w:hAnsi="Arial" w:cs="Arial"/>
          <w:sz w:val="16"/>
        </w:rPr>
        <w:t>Three months ended June 30, 2019</w:t>
      </w:r>
    </w:p>
    <w:p w14:paraId="59E1F6BE" w14:textId="77777777" w:rsidR="007E7656" w:rsidRDefault="007E7656" w:rsidP="007E7656">
      <w:pPr>
        <w:spacing w:line="288" w:lineRule="auto"/>
        <w:jc w:val="center"/>
        <w:rPr>
          <w:rFonts w:ascii="Arial" w:eastAsia="Arial" w:hAnsi="Arial" w:cs="Arial"/>
          <w:sz w:val="16"/>
        </w:rPr>
      </w:pPr>
      <w:r>
        <w:rPr>
          <w:rFonts w:ascii="Arial" w:eastAsia="Arial" w:hAnsi="Arial" w:cs="Arial"/>
          <w:sz w:val="16"/>
        </w:rPr>
        <w:t>(In $ millions, except EPS data)</w:t>
      </w:r>
    </w:p>
    <w:p w14:paraId="4CC3C039" w14:textId="77777777" w:rsidR="007E7656" w:rsidRDefault="007E7656" w:rsidP="007E7656">
      <w:pPr>
        <w:spacing w:after="140"/>
        <w:rPr>
          <w:rFonts w:ascii="Arial" w:eastAsia="Arial" w:hAnsi="Arial" w:cs="Arial"/>
          <w:sz w:val="16"/>
        </w:rPr>
      </w:pPr>
    </w:p>
    <w:tbl>
      <w:tblPr>
        <w:tblW w:w="10260" w:type="dxa"/>
        <w:tblLayout w:type="fixed"/>
        <w:tblCellMar>
          <w:left w:w="10" w:type="dxa"/>
          <w:right w:w="10" w:type="dxa"/>
        </w:tblCellMar>
        <w:tblLook w:val="04A0" w:firstRow="1" w:lastRow="0" w:firstColumn="1" w:lastColumn="0" w:noHBand="0" w:noVBand="1"/>
      </w:tblPr>
      <w:tblGrid>
        <w:gridCol w:w="3280"/>
        <w:gridCol w:w="80"/>
        <w:gridCol w:w="783"/>
        <w:gridCol w:w="57"/>
        <w:gridCol w:w="80"/>
        <w:gridCol w:w="783"/>
        <w:gridCol w:w="57"/>
        <w:gridCol w:w="80"/>
        <w:gridCol w:w="783"/>
        <w:gridCol w:w="57"/>
        <w:gridCol w:w="80"/>
        <w:gridCol w:w="783"/>
        <w:gridCol w:w="57"/>
        <w:gridCol w:w="80"/>
        <w:gridCol w:w="783"/>
        <w:gridCol w:w="57"/>
        <w:gridCol w:w="80"/>
        <w:gridCol w:w="640"/>
        <w:gridCol w:w="100"/>
        <w:gridCol w:w="783"/>
        <w:gridCol w:w="57"/>
        <w:gridCol w:w="80"/>
        <w:gridCol w:w="88"/>
        <w:gridCol w:w="495"/>
        <w:gridCol w:w="57"/>
      </w:tblGrid>
      <w:tr w:rsidR="007E7656" w14:paraId="55D31156" w14:textId="77777777" w:rsidTr="007E7656">
        <w:trPr>
          <w:trHeight w:hRule="exact" w:val="400"/>
        </w:trPr>
        <w:tc>
          <w:tcPr>
            <w:tcW w:w="3280" w:type="dxa"/>
            <w:tcMar>
              <w:left w:w="60" w:type="dxa"/>
              <w:right w:w="0" w:type="dxa"/>
            </w:tcMar>
            <w:vAlign w:val="bottom"/>
          </w:tcPr>
          <w:p w14:paraId="0CB22573" w14:textId="77777777" w:rsidR="007E7656" w:rsidRDefault="007E7656" w:rsidP="00312F84">
            <w:pPr>
              <w:keepNext/>
              <w:keepLines/>
              <w:spacing w:before="40" w:after="40"/>
            </w:pPr>
          </w:p>
        </w:tc>
        <w:tc>
          <w:tcPr>
            <w:tcW w:w="80" w:type="dxa"/>
            <w:tcMar>
              <w:left w:w="60" w:type="dxa"/>
              <w:right w:w="0" w:type="dxa"/>
            </w:tcMar>
            <w:vAlign w:val="bottom"/>
          </w:tcPr>
          <w:p w14:paraId="29535EFB"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E6F917B"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Net</w:t>
            </w:r>
            <w:r>
              <w:rPr>
                <w:rFonts w:ascii="Arial" w:eastAsia="Arial" w:hAnsi="Arial" w:cs="Arial"/>
                <w:color w:val="000000"/>
                <w:sz w:val="14"/>
              </w:rPr>
              <w:br/>
              <w:t>Sales</w:t>
            </w:r>
          </w:p>
        </w:tc>
        <w:tc>
          <w:tcPr>
            <w:tcW w:w="80" w:type="dxa"/>
            <w:tcMar>
              <w:left w:w="60" w:type="dxa"/>
              <w:right w:w="0" w:type="dxa"/>
            </w:tcMar>
            <w:vAlign w:val="bottom"/>
          </w:tcPr>
          <w:p w14:paraId="192D14C5"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182916C"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Gross</w:t>
            </w:r>
            <w:r>
              <w:rPr>
                <w:rFonts w:ascii="Arial" w:eastAsia="Arial" w:hAnsi="Arial" w:cs="Arial"/>
                <w:color w:val="000000"/>
                <w:sz w:val="14"/>
              </w:rPr>
              <w:br/>
              <w:t>Profit</w:t>
            </w:r>
          </w:p>
        </w:tc>
        <w:tc>
          <w:tcPr>
            <w:tcW w:w="80" w:type="dxa"/>
            <w:tcMar>
              <w:left w:w="60" w:type="dxa"/>
              <w:right w:w="0" w:type="dxa"/>
            </w:tcMar>
            <w:vAlign w:val="bottom"/>
          </w:tcPr>
          <w:p w14:paraId="3911BD7E"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89F5BEB"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Operating</w:t>
            </w:r>
            <w:r>
              <w:rPr>
                <w:rFonts w:ascii="Arial" w:eastAsia="Arial" w:hAnsi="Arial" w:cs="Arial"/>
                <w:color w:val="000000"/>
                <w:sz w:val="14"/>
              </w:rPr>
              <w:br/>
              <w:t>Income</w:t>
            </w:r>
          </w:p>
        </w:tc>
        <w:tc>
          <w:tcPr>
            <w:tcW w:w="80" w:type="dxa"/>
            <w:tcMar>
              <w:left w:w="60" w:type="dxa"/>
              <w:right w:w="0" w:type="dxa"/>
            </w:tcMar>
            <w:vAlign w:val="bottom"/>
          </w:tcPr>
          <w:p w14:paraId="14963BB6"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627D79F9"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Pre-tax</w:t>
            </w:r>
            <w:r>
              <w:rPr>
                <w:rFonts w:ascii="Arial" w:eastAsia="Arial" w:hAnsi="Arial" w:cs="Arial"/>
                <w:color w:val="000000"/>
                <w:sz w:val="14"/>
              </w:rPr>
              <w:br/>
              <w:t>Income</w:t>
            </w:r>
          </w:p>
        </w:tc>
        <w:tc>
          <w:tcPr>
            <w:tcW w:w="80" w:type="dxa"/>
            <w:tcMar>
              <w:left w:w="60" w:type="dxa"/>
              <w:right w:w="0" w:type="dxa"/>
            </w:tcMar>
            <w:vAlign w:val="bottom"/>
          </w:tcPr>
          <w:p w14:paraId="02BD42E4"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31BBDADA"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Income</w:t>
            </w:r>
            <w:r>
              <w:rPr>
                <w:rFonts w:ascii="Arial" w:eastAsia="Arial" w:hAnsi="Arial" w:cs="Arial"/>
                <w:color w:val="000000"/>
                <w:sz w:val="14"/>
              </w:rPr>
              <w:br/>
              <w:t>Tax</w:t>
            </w:r>
          </w:p>
        </w:tc>
        <w:tc>
          <w:tcPr>
            <w:tcW w:w="80" w:type="dxa"/>
            <w:tcMar>
              <w:left w:w="60" w:type="dxa"/>
              <w:right w:w="0" w:type="dxa"/>
            </w:tcMar>
            <w:vAlign w:val="bottom"/>
          </w:tcPr>
          <w:p w14:paraId="0EC7B59E"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1E8F1F67"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Tax Rate</w:t>
            </w:r>
          </w:p>
        </w:tc>
        <w:tc>
          <w:tcPr>
            <w:tcW w:w="100" w:type="dxa"/>
            <w:tcMar>
              <w:left w:w="0" w:type="dxa"/>
              <w:right w:w="0" w:type="dxa"/>
            </w:tcMar>
            <w:vAlign w:val="bottom"/>
          </w:tcPr>
          <w:p w14:paraId="73B48450"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6F44DF5B"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Net</w:t>
            </w:r>
            <w:r>
              <w:rPr>
                <w:rFonts w:ascii="Arial" w:eastAsia="Arial" w:hAnsi="Arial" w:cs="Arial"/>
                <w:color w:val="000000"/>
                <w:sz w:val="14"/>
              </w:rPr>
              <w:br/>
              <w:t>Income</w:t>
            </w:r>
          </w:p>
        </w:tc>
        <w:tc>
          <w:tcPr>
            <w:tcW w:w="80" w:type="dxa"/>
            <w:tcMar>
              <w:left w:w="60" w:type="dxa"/>
              <w:right w:w="0" w:type="dxa"/>
            </w:tcMar>
            <w:vAlign w:val="bottom"/>
          </w:tcPr>
          <w:p w14:paraId="40398E49" w14:textId="77777777" w:rsidR="007E7656" w:rsidRDefault="007E7656" w:rsidP="00312F84">
            <w:pPr>
              <w:keepNext/>
              <w:keepLines/>
              <w:spacing w:before="40" w:after="40"/>
            </w:pPr>
          </w:p>
        </w:tc>
        <w:tc>
          <w:tcPr>
            <w:tcW w:w="0" w:type="dxa"/>
            <w:gridSpan w:val="3"/>
            <w:tcBorders>
              <w:bottom w:val="single" w:sz="8" w:space="0" w:color="auto"/>
            </w:tcBorders>
            <w:tcMar>
              <w:left w:w="60" w:type="dxa"/>
              <w:right w:w="60" w:type="dxa"/>
            </w:tcMar>
            <w:vAlign w:val="bottom"/>
          </w:tcPr>
          <w:p w14:paraId="7B145378"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Diluted</w:t>
            </w:r>
            <w:r>
              <w:rPr>
                <w:rFonts w:ascii="Arial" w:eastAsia="Arial" w:hAnsi="Arial" w:cs="Arial"/>
                <w:color w:val="000000"/>
                <w:sz w:val="14"/>
              </w:rPr>
              <w:br/>
              <w:t>EPS*</w:t>
            </w:r>
          </w:p>
        </w:tc>
      </w:tr>
      <w:tr w:rsidR="007E7656" w14:paraId="65BBF283" w14:textId="77777777" w:rsidTr="00312F84">
        <w:trPr>
          <w:trHeight w:hRule="exact" w:val="260"/>
        </w:trPr>
        <w:tc>
          <w:tcPr>
            <w:tcW w:w="3280" w:type="dxa"/>
            <w:tcMar>
              <w:left w:w="60" w:type="dxa"/>
              <w:right w:w="40" w:type="dxa"/>
            </w:tcMar>
            <w:vAlign w:val="bottom"/>
          </w:tcPr>
          <w:p w14:paraId="1D4CFC11"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Reported results</w:t>
            </w:r>
          </w:p>
        </w:tc>
        <w:tc>
          <w:tcPr>
            <w:tcW w:w="80" w:type="dxa"/>
            <w:tcMar>
              <w:left w:w="60" w:type="dxa"/>
              <w:right w:w="0" w:type="dxa"/>
            </w:tcMar>
            <w:vAlign w:val="bottom"/>
          </w:tcPr>
          <w:p w14:paraId="2D6EDA44" w14:textId="77777777" w:rsidR="007E7656" w:rsidRDefault="007E7656" w:rsidP="00312F84">
            <w:pPr>
              <w:keepNext/>
              <w:keepLines/>
              <w:spacing w:before="40" w:after="40"/>
            </w:pPr>
          </w:p>
        </w:tc>
        <w:tc>
          <w:tcPr>
            <w:tcW w:w="783" w:type="dxa"/>
            <w:tcMar>
              <w:left w:w="0" w:type="dxa"/>
              <w:right w:w="0" w:type="dxa"/>
            </w:tcMar>
            <w:vAlign w:val="bottom"/>
          </w:tcPr>
          <w:p w14:paraId="10B81E20"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381.6</w:t>
            </w:r>
          </w:p>
        </w:tc>
        <w:tc>
          <w:tcPr>
            <w:tcW w:w="57" w:type="dxa"/>
            <w:tcMar>
              <w:left w:w="0" w:type="dxa"/>
              <w:right w:w="0" w:type="dxa"/>
            </w:tcMar>
          </w:tcPr>
          <w:p w14:paraId="026866AE" w14:textId="77777777" w:rsidR="007E7656" w:rsidRDefault="007E7656" w:rsidP="00312F84"/>
        </w:tc>
        <w:tc>
          <w:tcPr>
            <w:tcW w:w="80" w:type="dxa"/>
            <w:tcMar>
              <w:left w:w="0" w:type="dxa"/>
              <w:right w:w="60" w:type="dxa"/>
            </w:tcMar>
            <w:vAlign w:val="bottom"/>
          </w:tcPr>
          <w:p w14:paraId="7A37C566" w14:textId="77777777" w:rsidR="007E7656" w:rsidRDefault="007E7656" w:rsidP="00312F84">
            <w:pPr>
              <w:keepNext/>
              <w:keepLines/>
              <w:spacing w:before="40" w:after="40"/>
            </w:pPr>
          </w:p>
        </w:tc>
        <w:tc>
          <w:tcPr>
            <w:tcW w:w="783" w:type="dxa"/>
            <w:tcMar>
              <w:left w:w="0" w:type="dxa"/>
              <w:right w:w="0" w:type="dxa"/>
            </w:tcMar>
            <w:vAlign w:val="bottom"/>
          </w:tcPr>
          <w:p w14:paraId="489CCFFE"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245.9</w:t>
            </w:r>
          </w:p>
        </w:tc>
        <w:tc>
          <w:tcPr>
            <w:tcW w:w="57" w:type="dxa"/>
            <w:tcMar>
              <w:left w:w="0" w:type="dxa"/>
              <w:right w:w="0" w:type="dxa"/>
            </w:tcMar>
          </w:tcPr>
          <w:p w14:paraId="42E43072" w14:textId="77777777" w:rsidR="007E7656" w:rsidRDefault="007E7656" w:rsidP="00312F84"/>
        </w:tc>
        <w:tc>
          <w:tcPr>
            <w:tcW w:w="80" w:type="dxa"/>
            <w:tcMar>
              <w:left w:w="0" w:type="dxa"/>
              <w:right w:w="60" w:type="dxa"/>
            </w:tcMar>
            <w:vAlign w:val="bottom"/>
          </w:tcPr>
          <w:p w14:paraId="472351D7" w14:textId="77777777" w:rsidR="007E7656" w:rsidRDefault="007E7656" w:rsidP="00312F84">
            <w:pPr>
              <w:keepNext/>
              <w:keepLines/>
              <w:spacing w:before="40" w:after="40"/>
            </w:pPr>
          </w:p>
        </w:tc>
        <w:tc>
          <w:tcPr>
            <w:tcW w:w="783" w:type="dxa"/>
            <w:tcMar>
              <w:left w:w="0" w:type="dxa"/>
              <w:right w:w="0" w:type="dxa"/>
            </w:tcMar>
            <w:vAlign w:val="bottom"/>
          </w:tcPr>
          <w:p w14:paraId="31078970"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60.2</w:t>
            </w:r>
          </w:p>
        </w:tc>
        <w:tc>
          <w:tcPr>
            <w:tcW w:w="57" w:type="dxa"/>
            <w:tcMar>
              <w:left w:w="0" w:type="dxa"/>
              <w:right w:w="0" w:type="dxa"/>
            </w:tcMar>
          </w:tcPr>
          <w:p w14:paraId="0930497C" w14:textId="77777777" w:rsidR="007E7656" w:rsidRDefault="007E7656" w:rsidP="00312F84"/>
        </w:tc>
        <w:tc>
          <w:tcPr>
            <w:tcW w:w="80" w:type="dxa"/>
            <w:tcMar>
              <w:left w:w="0" w:type="dxa"/>
              <w:right w:w="60" w:type="dxa"/>
            </w:tcMar>
            <w:vAlign w:val="bottom"/>
          </w:tcPr>
          <w:p w14:paraId="1C7FCB94" w14:textId="77777777" w:rsidR="007E7656" w:rsidRDefault="007E7656" w:rsidP="00312F84">
            <w:pPr>
              <w:keepNext/>
              <w:keepLines/>
              <w:spacing w:before="40" w:after="40"/>
            </w:pPr>
          </w:p>
        </w:tc>
        <w:tc>
          <w:tcPr>
            <w:tcW w:w="783" w:type="dxa"/>
            <w:tcMar>
              <w:left w:w="0" w:type="dxa"/>
              <w:right w:w="0" w:type="dxa"/>
            </w:tcMar>
            <w:vAlign w:val="bottom"/>
          </w:tcPr>
          <w:p w14:paraId="6DB1A2B6"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51.8</w:t>
            </w:r>
          </w:p>
        </w:tc>
        <w:tc>
          <w:tcPr>
            <w:tcW w:w="57" w:type="dxa"/>
            <w:tcMar>
              <w:left w:w="0" w:type="dxa"/>
              <w:right w:w="0" w:type="dxa"/>
            </w:tcMar>
          </w:tcPr>
          <w:p w14:paraId="52BC17ED" w14:textId="77777777" w:rsidR="007E7656" w:rsidRDefault="007E7656" w:rsidP="00312F84"/>
        </w:tc>
        <w:tc>
          <w:tcPr>
            <w:tcW w:w="80" w:type="dxa"/>
            <w:tcMar>
              <w:left w:w="0" w:type="dxa"/>
              <w:right w:w="60" w:type="dxa"/>
            </w:tcMar>
            <w:vAlign w:val="bottom"/>
          </w:tcPr>
          <w:p w14:paraId="14EECA06" w14:textId="77777777" w:rsidR="007E7656" w:rsidRDefault="007E7656" w:rsidP="00312F84">
            <w:pPr>
              <w:keepNext/>
              <w:keepLines/>
              <w:spacing w:before="40" w:after="40"/>
            </w:pPr>
          </w:p>
        </w:tc>
        <w:tc>
          <w:tcPr>
            <w:tcW w:w="783" w:type="dxa"/>
            <w:tcMar>
              <w:left w:w="0" w:type="dxa"/>
              <w:right w:w="0" w:type="dxa"/>
            </w:tcMar>
            <w:vAlign w:val="bottom"/>
          </w:tcPr>
          <w:p w14:paraId="27C90360"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(7.1</w:t>
            </w:r>
          </w:p>
        </w:tc>
        <w:tc>
          <w:tcPr>
            <w:tcW w:w="57" w:type="dxa"/>
            <w:tcMar>
              <w:left w:w="0" w:type="dxa"/>
              <w:right w:w="0" w:type="dxa"/>
            </w:tcMar>
            <w:vAlign w:val="bottom"/>
          </w:tcPr>
          <w:p w14:paraId="65934061"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5D19C684" w14:textId="77777777" w:rsidR="007E7656" w:rsidRDefault="007E7656" w:rsidP="00312F84">
            <w:pPr>
              <w:keepNext/>
              <w:keepLines/>
              <w:spacing w:before="40" w:after="40"/>
            </w:pPr>
          </w:p>
        </w:tc>
        <w:tc>
          <w:tcPr>
            <w:tcW w:w="640" w:type="dxa"/>
            <w:tcBorders>
              <w:top w:val="single" w:sz="8" w:space="0" w:color="auto"/>
            </w:tcBorders>
            <w:tcMar>
              <w:left w:w="60" w:type="dxa"/>
              <w:right w:w="60" w:type="dxa"/>
            </w:tcMar>
            <w:vAlign w:val="bottom"/>
          </w:tcPr>
          <w:p w14:paraId="40E1AAC4" w14:textId="77777777" w:rsidR="007E7656" w:rsidRDefault="007E7656" w:rsidP="00312F84">
            <w:pPr>
              <w:keepNext/>
              <w:keepLines/>
              <w:spacing w:before="40" w:after="40"/>
              <w:jc w:val="center"/>
              <w:rPr>
                <w:rFonts w:ascii="Arial" w:eastAsia="Arial" w:hAnsi="Arial" w:cs="Arial"/>
                <w:b/>
                <w:sz w:val="14"/>
              </w:rPr>
            </w:pPr>
            <w:r>
              <w:rPr>
                <w:rFonts w:ascii="Arial" w:eastAsia="Arial" w:hAnsi="Arial" w:cs="Arial"/>
                <w:b/>
                <w:color w:val="000000"/>
                <w:sz w:val="14"/>
              </w:rPr>
              <w:t>14%</w:t>
            </w:r>
          </w:p>
        </w:tc>
        <w:tc>
          <w:tcPr>
            <w:tcW w:w="100" w:type="dxa"/>
            <w:tcMar>
              <w:left w:w="0" w:type="dxa"/>
              <w:right w:w="60" w:type="dxa"/>
            </w:tcMar>
            <w:vAlign w:val="bottom"/>
          </w:tcPr>
          <w:p w14:paraId="2C6101DD" w14:textId="77777777" w:rsidR="007E7656" w:rsidRDefault="007E7656" w:rsidP="00312F84">
            <w:pPr>
              <w:keepNext/>
              <w:keepLines/>
              <w:spacing w:before="40" w:after="40"/>
            </w:pPr>
          </w:p>
        </w:tc>
        <w:tc>
          <w:tcPr>
            <w:tcW w:w="783" w:type="dxa"/>
            <w:tcMar>
              <w:left w:w="0" w:type="dxa"/>
              <w:right w:w="0" w:type="dxa"/>
            </w:tcMar>
            <w:vAlign w:val="bottom"/>
          </w:tcPr>
          <w:p w14:paraId="20913AE7"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44.7</w:t>
            </w:r>
          </w:p>
        </w:tc>
        <w:tc>
          <w:tcPr>
            <w:tcW w:w="57" w:type="dxa"/>
            <w:tcMar>
              <w:left w:w="0" w:type="dxa"/>
              <w:right w:w="0" w:type="dxa"/>
            </w:tcMar>
          </w:tcPr>
          <w:p w14:paraId="7E8D6B8F" w14:textId="77777777" w:rsidR="007E7656" w:rsidRDefault="007E7656" w:rsidP="00312F84"/>
        </w:tc>
        <w:tc>
          <w:tcPr>
            <w:tcW w:w="80" w:type="dxa"/>
            <w:tcMar>
              <w:left w:w="0" w:type="dxa"/>
              <w:right w:w="60" w:type="dxa"/>
            </w:tcMar>
            <w:vAlign w:val="bottom"/>
          </w:tcPr>
          <w:p w14:paraId="12643D45" w14:textId="77777777" w:rsidR="007E7656" w:rsidRDefault="007E7656" w:rsidP="00312F84">
            <w:pPr>
              <w:keepNext/>
              <w:keepLines/>
              <w:spacing w:before="40" w:after="40"/>
            </w:pPr>
          </w:p>
        </w:tc>
        <w:tc>
          <w:tcPr>
            <w:tcW w:w="88" w:type="dxa"/>
            <w:tcBorders>
              <w:top w:val="single" w:sz="8" w:space="0" w:color="auto"/>
            </w:tcBorders>
            <w:tcMar>
              <w:left w:w="0" w:type="dxa"/>
              <w:right w:w="0" w:type="dxa"/>
            </w:tcMar>
            <w:vAlign w:val="bottom"/>
          </w:tcPr>
          <w:p w14:paraId="2A8F3E55"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495" w:type="dxa"/>
            <w:tcBorders>
              <w:top w:val="single" w:sz="8" w:space="0" w:color="auto"/>
            </w:tcBorders>
            <w:tcMar>
              <w:left w:w="0" w:type="dxa"/>
              <w:right w:w="0" w:type="dxa"/>
            </w:tcMar>
            <w:vAlign w:val="bottom"/>
          </w:tcPr>
          <w:p w14:paraId="54571A8B"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0.19</w:t>
            </w:r>
          </w:p>
        </w:tc>
        <w:tc>
          <w:tcPr>
            <w:tcW w:w="57" w:type="dxa"/>
            <w:tcBorders>
              <w:top w:val="single" w:sz="8" w:space="0" w:color="auto"/>
            </w:tcBorders>
            <w:tcMar>
              <w:left w:w="0" w:type="dxa"/>
              <w:right w:w="0" w:type="dxa"/>
            </w:tcMar>
          </w:tcPr>
          <w:p w14:paraId="2CA23444" w14:textId="77777777" w:rsidR="007E7656" w:rsidRDefault="007E7656" w:rsidP="00312F84"/>
        </w:tc>
      </w:tr>
      <w:tr w:rsidR="007E7656" w14:paraId="7CF44DE0" w14:textId="77777777" w:rsidTr="007E7656">
        <w:trPr>
          <w:trHeight w:hRule="exact" w:val="260"/>
        </w:trPr>
        <w:tc>
          <w:tcPr>
            <w:tcW w:w="3280" w:type="dxa"/>
            <w:tcMar>
              <w:left w:w="60" w:type="dxa"/>
              <w:right w:w="40" w:type="dxa"/>
            </w:tcMar>
            <w:vAlign w:val="bottom"/>
          </w:tcPr>
          <w:p w14:paraId="7653755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Adjustments:</w:t>
            </w:r>
          </w:p>
        </w:tc>
        <w:tc>
          <w:tcPr>
            <w:tcW w:w="80" w:type="dxa"/>
            <w:tcMar>
              <w:left w:w="60" w:type="dxa"/>
              <w:right w:w="0" w:type="dxa"/>
            </w:tcMar>
            <w:vAlign w:val="bottom"/>
          </w:tcPr>
          <w:p w14:paraId="7AC86336" w14:textId="77777777" w:rsidR="007E7656" w:rsidRDefault="007E7656" w:rsidP="00312F84">
            <w:pPr>
              <w:keepNext/>
              <w:keepLines/>
              <w:spacing w:before="40" w:after="40"/>
            </w:pPr>
          </w:p>
        </w:tc>
        <w:tc>
          <w:tcPr>
            <w:tcW w:w="783" w:type="dxa"/>
            <w:gridSpan w:val="2"/>
            <w:tcMar>
              <w:left w:w="60" w:type="dxa"/>
              <w:right w:w="0" w:type="dxa"/>
            </w:tcMar>
            <w:vAlign w:val="bottom"/>
          </w:tcPr>
          <w:p w14:paraId="74931735" w14:textId="77777777" w:rsidR="007E7656" w:rsidRDefault="007E7656" w:rsidP="00312F84">
            <w:pPr>
              <w:keepNext/>
              <w:keepLines/>
              <w:spacing w:before="40" w:after="40"/>
            </w:pPr>
          </w:p>
        </w:tc>
        <w:tc>
          <w:tcPr>
            <w:tcW w:w="80" w:type="dxa"/>
            <w:tcMar>
              <w:left w:w="60" w:type="dxa"/>
              <w:right w:w="0" w:type="dxa"/>
            </w:tcMar>
            <w:vAlign w:val="bottom"/>
          </w:tcPr>
          <w:p w14:paraId="49EE518D" w14:textId="77777777" w:rsidR="007E7656" w:rsidRDefault="007E7656" w:rsidP="00312F84">
            <w:pPr>
              <w:keepNext/>
              <w:keepLines/>
              <w:spacing w:before="40" w:after="40"/>
            </w:pPr>
          </w:p>
        </w:tc>
        <w:tc>
          <w:tcPr>
            <w:tcW w:w="783" w:type="dxa"/>
            <w:gridSpan w:val="2"/>
            <w:tcMar>
              <w:left w:w="60" w:type="dxa"/>
              <w:right w:w="0" w:type="dxa"/>
            </w:tcMar>
            <w:vAlign w:val="bottom"/>
          </w:tcPr>
          <w:p w14:paraId="56BB6D75" w14:textId="77777777" w:rsidR="007E7656" w:rsidRDefault="007E7656" w:rsidP="00312F84">
            <w:pPr>
              <w:keepNext/>
              <w:keepLines/>
              <w:spacing w:before="40" w:after="40"/>
            </w:pPr>
          </w:p>
        </w:tc>
        <w:tc>
          <w:tcPr>
            <w:tcW w:w="80" w:type="dxa"/>
            <w:tcMar>
              <w:left w:w="60" w:type="dxa"/>
              <w:right w:w="0" w:type="dxa"/>
            </w:tcMar>
            <w:vAlign w:val="bottom"/>
          </w:tcPr>
          <w:p w14:paraId="6F62F62C" w14:textId="77777777" w:rsidR="007E7656" w:rsidRDefault="007E7656" w:rsidP="00312F84">
            <w:pPr>
              <w:keepNext/>
              <w:keepLines/>
              <w:spacing w:before="40" w:after="40"/>
            </w:pPr>
          </w:p>
        </w:tc>
        <w:tc>
          <w:tcPr>
            <w:tcW w:w="783" w:type="dxa"/>
            <w:gridSpan w:val="2"/>
            <w:tcMar>
              <w:left w:w="60" w:type="dxa"/>
              <w:right w:w="0" w:type="dxa"/>
            </w:tcMar>
            <w:vAlign w:val="bottom"/>
          </w:tcPr>
          <w:p w14:paraId="428AD990" w14:textId="77777777" w:rsidR="007E7656" w:rsidRDefault="007E7656" w:rsidP="00312F84">
            <w:pPr>
              <w:keepNext/>
              <w:keepLines/>
              <w:spacing w:before="40" w:after="40"/>
            </w:pPr>
          </w:p>
        </w:tc>
        <w:tc>
          <w:tcPr>
            <w:tcW w:w="80" w:type="dxa"/>
            <w:tcMar>
              <w:left w:w="60" w:type="dxa"/>
              <w:right w:w="0" w:type="dxa"/>
            </w:tcMar>
            <w:vAlign w:val="bottom"/>
          </w:tcPr>
          <w:p w14:paraId="63C95296" w14:textId="77777777" w:rsidR="007E7656" w:rsidRDefault="007E7656" w:rsidP="00312F84">
            <w:pPr>
              <w:keepNext/>
              <w:keepLines/>
              <w:spacing w:before="40" w:after="40"/>
            </w:pPr>
          </w:p>
        </w:tc>
        <w:tc>
          <w:tcPr>
            <w:tcW w:w="783" w:type="dxa"/>
            <w:gridSpan w:val="2"/>
            <w:tcMar>
              <w:left w:w="60" w:type="dxa"/>
              <w:right w:w="0" w:type="dxa"/>
            </w:tcMar>
            <w:vAlign w:val="bottom"/>
          </w:tcPr>
          <w:p w14:paraId="3D722633" w14:textId="77777777" w:rsidR="007E7656" w:rsidRDefault="007E7656" w:rsidP="00312F84">
            <w:pPr>
              <w:keepNext/>
              <w:keepLines/>
              <w:spacing w:before="40" w:after="40"/>
            </w:pPr>
          </w:p>
        </w:tc>
        <w:tc>
          <w:tcPr>
            <w:tcW w:w="80" w:type="dxa"/>
            <w:tcMar>
              <w:left w:w="60" w:type="dxa"/>
              <w:right w:w="0" w:type="dxa"/>
            </w:tcMar>
            <w:vAlign w:val="bottom"/>
          </w:tcPr>
          <w:p w14:paraId="5F3046F8" w14:textId="77777777" w:rsidR="007E7656" w:rsidRDefault="007E7656" w:rsidP="00312F84">
            <w:pPr>
              <w:keepNext/>
              <w:keepLines/>
              <w:spacing w:before="40" w:after="40"/>
            </w:pPr>
          </w:p>
        </w:tc>
        <w:tc>
          <w:tcPr>
            <w:tcW w:w="783" w:type="dxa"/>
            <w:gridSpan w:val="2"/>
            <w:tcMar>
              <w:left w:w="60" w:type="dxa"/>
              <w:right w:w="0" w:type="dxa"/>
            </w:tcMar>
            <w:vAlign w:val="bottom"/>
          </w:tcPr>
          <w:p w14:paraId="5A1F8D21" w14:textId="77777777" w:rsidR="007E7656" w:rsidRDefault="007E7656" w:rsidP="00312F84">
            <w:pPr>
              <w:keepNext/>
              <w:keepLines/>
              <w:spacing w:before="40" w:after="40"/>
            </w:pPr>
          </w:p>
        </w:tc>
        <w:tc>
          <w:tcPr>
            <w:tcW w:w="80" w:type="dxa"/>
            <w:tcMar>
              <w:left w:w="60" w:type="dxa"/>
              <w:right w:w="0" w:type="dxa"/>
            </w:tcMar>
            <w:vAlign w:val="bottom"/>
          </w:tcPr>
          <w:p w14:paraId="0776208E" w14:textId="77777777" w:rsidR="007E7656" w:rsidRDefault="007E7656" w:rsidP="00312F84">
            <w:pPr>
              <w:keepNext/>
              <w:keepLines/>
              <w:spacing w:before="40" w:after="40"/>
            </w:pPr>
          </w:p>
        </w:tc>
        <w:tc>
          <w:tcPr>
            <w:tcW w:w="640" w:type="dxa"/>
            <w:tcMar>
              <w:left w:w="60" w:type="dxa"/>
              <w:right w:w="60" w:type="dxa"/>
            </w:tcMar>
            <w:vAlign w:val="bottom"/>
          </w:tcPr>
          <w:p w14:paraId="59CB9AD6" w14:textId="77777777" w:rsidR="007E7656" w:rsidRDefault="007E7656" w:rsidP="00312F84">
            <w:pPr>
              <w:keepNext/>
              <w:keepLines/>
              <w:spacing w:before="40" w:after="40"/>
            </w:pPr>
          </w:p>
        </w:tc>
        <w:tc>
          <w:tcPr>
            <w:tcW w:w="100" w:type="dxa"/>
            <w:tcMar>
              <w:left w:w="60" w:type="dxa"/>
              <w:right w:w="0" w:type="dxa"/>
            </w:tcMar>
            <w:vAlign w:val="bottom"/>
          </w:tcPr>
          <w:p w14:paraId="72FFE6DF" w14:textId="77777777" w:rsidR="007E7656" w:rsidRDefault="007E7656" w:rsidP="00312F84">
            <w:pPr>
              <w:keepNext/>
              <w:keepLines/>
              <w:spacing w:before="40" w:after="40"/>
            </w:pPr>
          </w:p>
        </w:tc>
        <w:tc>
          <w:tcPr>
            <w:tcW w:w="783" w:type="dxa"/>
            <w:gridSpan w:val="2"/>
            <w:tcMar>
              <w:left w:w="60" w:type="dxa"/>
              <w:right w:w="0" w:type="dxa"/>
            </w:tcMar>
            <w:vAlign w:val="bottom"/>
          </w:tcPr>
          <w:p w14:paraId="5E48DEC3" w14:textId="77777777" w:rsidR="007E7656" w:rsidRDefault="007E7656" w:rsidP="00312F84">
            <w:pPr>
              <w:keepNext/>
              <w:keepLines/>
              <w:spacing w:before="40" w:after="40"/>
            </w:pPr>
          </w:p>
        </w:tc>
        <w:tc>
          <w:tcPr>
            <w:tcW w:w="80" w:type="dxa"/>
            <w:tcMar>
              <w:left w:w="60" w:type="dxa"/>
              <w:right w:w="0" w:type="dxa"/>
            </w:tcMar>
            <w:vAlign w:val="bottom"/>
          </w:tcPr>
          <w:p w14:paraId="2C96D275" w14:textId="77777777" w:rsidR="007E7656" w:rsidRDefault="007E7656" w:rsidP="00312F84">
            <w:pPr>
              <w:keepNext/>
              <w:keepLines/>
              <w:spacing w:before="40" w:after="40"/>
            </w:pPr>
          </w:p>
        </w:tc>
        <w:tc>
          <w:tcPr>
            <w:tcW w:w="0" w:type="dxa"/>
            <w:gridSpan w:val="3"/>
            <w:tcMar>
              <w:left w:w="60" w:type="dxa"/>
              <w:right w:w="0" w:type="dxa"/>
            </w:tcMar>
            <w:vAlign w:val="bottom"/>
          </w:tcPr>
          <w:p w14:paraId="31149065" w14:textId="77777777" w:rsidR="007E7656" w:rsidRDefault="007E7656" w:rsidP="00312F84">
            <w:pPr>
              <w:keepNext/>
              <w:keepLines/>
              <w:spacing w:before="40" w:after="40"/>
            </w:pPr>
          </w:p>
        </w:tc>
      </w:tr>
      <w:tr w:rsidR="007E7656" w14:paraId="7C9FE165" w14:textId="77777777" w:rsidTr="007E7656">
        <w:trPr>
          <w:trHeight w:hRule="exact" w:val="400"/>
        </w:trPr>
        <w:tc>
          <w:tcPr>
            <w:tcW w:w="3280" w:type="dxa"/>
            <w:tcMar>
              <w:left w:w="300" w:type="dxa"/>
              <w:right w:w="40" w:type="dxa"/>
            </w:tcMar>
            <w:vAlign w:val="bottom"/>
          </w:tcPr>
          <w:p w14:paraId="435C8CC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Business integration, acquisition and restructuring related items (including litigation)</w:t>
            </w:r>
          </w:p>
        </w:tc>
        <w:tc>
          <w:tcPr>
            <w:tcW w:w="80" w:type="dxa"/>
            <w:tcMar>
              <w:left w:w="0" w:type="dxa"/>
              <w:right w:w="0" w:type="dxa"/>
            </w:tcMar>
            <w:vAlign w:val="bottom"/>
          </w:tcPr>
          <w:p w14:paraId="50907DB0" w14:textId="77777777" w:rsidR="007E7656" w:rsidRDefault="007E7656" w:rsidP="00312F84">
            <w:pPr>
              <w:keepNext/>
              <w:keepLines/>
              <w:spacing w:before="40" w:after="40"/>
            </w:pPr>
          </w:p>
        </w:tc>
        <w:tc>
          <w:tcPr>
            <w:tcW w:w="783" w:type="dxa"/>
            <w:tcMar>
              <w:left w:w="0" w:type="dxa"/>
              <w:right w:w="0" w:type="dxa"/>
            </w:tcMar>
            <w:vAlign w:val="bottom"/>
          </w:tcPr>
          <w:p w14:paraId="52329DE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7AE0A65E" w14:textId="77777777" w:rsidR="007E7656" w:rsidRDefault="007E7656" w:rsidP="00312F84"/>
        </w:tc>
        <w:tc>
          <w:tcPr>
            <w:tcW w:w="80" w:type="dxa"/>
            <w:tcMar>
              <w:left w:w="0" w:type="dxa"/>
              <w:right w:w="60" w:type="dxa"/>
            </w:tcMar>
            <w:vAlign w:val="bottom"/>
          </w:tcPr>
          <w:p w14:paraId="175B633B" w14:textId="77777777" w:rsidR="007E7656" w:rsidRDefault="007E7656" w:rsidP="00312F84">
            <w:pPr>
              <w:keepNext/>
              <w:keepLines/>
              <w:spacing w:before="40" w:after="40"/>
            </w:pPr>
          </w:p>
        </w:tc>
        <w:tc>
          <w:tcPr>
            <w:tcW w:w="783" w:type="dxa"/>
            <w:tcMar>
              <w:left w:w="0" w:type="dxa"/>
              <w:right w:w="0" w:type="dxa"/>
            </w:tcMar>
            <w:vAlign w:val="bottom"/>
          </w:tcPr>
          <w:p w14:paraId="27FA844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4.5</w:t>
            </w:r>
          </w:p>
        </w:tc>
        <w:tc>
          <w:tcPr>
            <w:tcW w:w="57" w:type="dxa"/>
            <w:tcMar>
              <w:left w:w="0" w:type="dxa"/>
              <w:right w:w="0" w:type="dxa"/>
            </w:tcMar>
          </w:tcPr>
          <w:p w14:paraId="50B2952D" w14:textId="77777777" w:rsidR="007E7656" w:rsidRDefault="007E7656" w:rsidP="00312F84"/>
        </w:tc>
        <w:tc>
          <w:tcPr>
            <w:tcW w:w="80" w:type="dxa"/>
            <w:tcMar>
              <w:left w:w="0" w:type="dxa"/>
              <w:right w:w="60" w:type="dxa"/>
            </w:tcMar>
            <w:vAlign w:val="bottom"/>
          </w:tcPr>
          <w:p w14:paraId="6E11CE50" w14:textId="77777777" w:rsidR="007E7656" w:rsidRDefault="007E7656" w:rsidP="00312F84">
            <w:pPr>
              <w:keepNext/>
              <w:keepLines/>
              <w:spacing w:before="40" w:after="40"/>
            </w:pPr>
          </w:p>
        </w:tc>
        <w:tc>
          <w:tcPr>
            <w:tcW w:w="783" w:type="dxa"/>
            <w:tcMar>
              <w:left w:w="0" w:type="dxa"/>
              <w:right w:w="0" w:type="dxa"/>
            </w:tcMar>
            <w:vAlign w:val="bottom"/>
          </w:tcPr>
          <w:p w14:paraId="3C24D3A4"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10.5</w:t>
            </w:r>
          </w:p>
        </w:tc>
        <w:tc>
          <w:tcPr>
            <w:tcW w:w="57" w:type="dxa"/>
            <w:tcMar>
              <w:left w:w="0" w:type="dxa"/>
              <w:right w:w="0" w:type="dxa"/>
            </w:tcMar>
          </w:tcPr>
          <w:p w14:paraId="6BD808BA" w14:textId="77777777" w:rsidR="007E7656" w:rsidRDefault="007E7656" w:rsidP="00312F84"/>
        </w:tc>
        <w:tc>
          <w:tcPr>
            <w:tcW w:w="80" w:type="dxa"/>
            <w:tcMar>
              <w:left w:w="0" w:type="dxa"/>
              <w:right w:w="60" w:type="dxa"/>
            </w:tcMar>
            <w:vAlign w:val="bottom"/>
          </w:tcPr>
          <w:p w14:paraId="59D3B2B7" w14:textId="77777777" w:rsidR="007E7656" w:rsidRDefault="007E7656" w:rsidP="00312F84">
            <w:pPr>
              <w:keepNext/>
              <w:keepLines/>
              <w:spacing w:before="40" w:after="40"/>
            </w:pPr>
          </w:p>
        </w:tc>
        <w:tc>
          <w:tcPr>
            <w:tcW w:w="783" w:type="dxa"/>
            <w:tcMar>
              <w:left w:w="0" w:type="dxa"/>
              <w:right w:w="0" w:type="dxa"/>
            </w:tcMar>
            <w:vAlign w:val="bottom"/>
          </w:tcPr>
          <w:p w14:paraId="297C0D1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10.5</w:t>
            </w:r>
          </w:p>
        </w:tc>
        <w:tc>
          <w:tcPr>
            <w:tcW w:w="57" w:type="dxa"/>
            <w:tcMar>
              <w:left w:w="0" w:type="dxa"/>
              <w:right w:w="0" w:type="dxa"/>
            </w:tcMar>
          </w:tcPr>
          <w:p w14:paraId="170F19CD" w14:textId="77777777" w:rsidR="007E7656" w:rsidRDefault="007E7656" w:rsidP="00312F84"/>
        </w:tc>
        <w:tc>
          <w:tcPr>
            <w:tcW w:w="80" w:type="dxa"/>
            <w:tcMar>
              <w:left w:w="0" w:type="dxa"/>
              <w:right w:w="60" w:type="dxa"/>
            </w:tcMar>
            <w:vAlign w:val="bottom"/>
          </w:tcPr>
          <w:p w14:paraId="395D9D46" w14:textId="77777777" w:rsidR="007E7656" w:rsidRDefault="007E7656" w:rsidP="00312F84">
            <w:pPr>
              <w:keepNext/>
              <w:keepLines/>
              <w:spacing w:before="40" w:after="40"/>
            </w:pPr>
          </w:p>
        </w:tc>
        <w:tc>
          <w:tcPr>
            <w:tcW w:w="783" w:type="dxa"/>
            <w:tcMar>
              <w:left w:w="0" w:type="dxa"/>
              <w:right w:w="0" w:type="dxa"/>
            </w:tcMar>
            <w:vAlign w:val="bottom"/>
          </w:tcPr>
          <w:p w14:paraId="57674B1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(2.9</w:t>
            </w:r>
          </w:p>
        </w:tc>
        <w:tc>
          <w:tcPr>
            <w:tcW w:w="57" w:type="dxa"/>
            <w:tcMar>
              <w:left w:w="0" w:type="dxa"/>
              <w:right w:w="0" w:type="dxa"/>
            </w:tcMar>
            <w:vAlign w:val="bottom"/>
          </w:tcPr>
          <w:p w14:paraId="30B78D57"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0CB604FF" w14:textId="77777777" w:rsidR="007E7656" w:rsidRDefault="007E7656" w:rsidP="00312F84">
            <w:pPr>
              <w:keepNext/>
              <w:keepLines/>
              <w:spacing w:before="40" w:after="40"/>
            </w:pPr>
          </w:p>
        </w:tc>
        <w:tc>
          <w:tcPr>
            <w:tcW w:w="640" w:type="dxa"/>
            <w:tcMar>
              <w:left w:w="60" w:type="dxa"/>
              <w:right w:w="60" w:type="dxa"/>
            </w:tcMar>
            <w:vAlign w:val="bottom"/>
          </w:tcPr>
          <w:p w14:paraId="3DEA5B91" w14:textId="77777777" w:rsidR="007E7656" w:rsidRDefault="007E7656" w:rsidP="00312F84">
            <w:pPr>
              <w:keepNext/>
              <w:keepLines/>
              <w:spacing w:before="40" w:after="40"/>
            </w:pPr>
          </w:p>
        </w:tc>
        <w:tc>
          <w:tcPr>
            <w:tcW w:w="100" w:type="dxa"/>
            <w:tcMar>
              <w:left w:w="60" w:type="dxa"/>
              <w:right w:w="0" w:type="dxa"/>
            </w:tcMar>
            <w:vAlign w:val="bottom"/>
          </w:tcPr>
          <w:p w14:paraId="62C7949A" w14:textId="77777777" w:rsidR="007E7656" w:rsidRDefault="007E7656" w:rsidP="00312F84">
            <w:pPr>
              <w:keepNext/>
              <w:keepLines/>
              <w:spacing w:before="40" w:after="40"/>
            </w:pPr>
          </w:p>
        </w:tc>
        <w:tc>
          <w:tcPr>
            <w:tcW w:w="783" w:type="dxa"/>
            <w:tcMar>
              <w:left w:w="0" w:type="dxa"/>
              <w:right w:w="0" w:type="dxa"/>
            </w:tcMar>
            <w:vAlign w:val="bottom"/>
          </w:tcPr>
          <w:p w14:paraId="1D9CCA5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7.6</w:t>
            </w:r>
          </w:p>
        </w:tc>
        <w:tc>
          <w:tcPr>
            <w:tcW w:w="57" w:type="dxa"/>
            <w:tcMar>
              <w:left w:w="0" w:type="dxa"/>
              <w:right w:w="0" w:type="dxa"/>
            </w:tcMar>
          </w:tcPr>
          <w:p w14:paraId="230C1346" w14:textId="77777777" w:rsidR="007E7656" w:rsidRDefault="007E7656" w:rsidP="00312F84"/>
        </w:tc>
        <w:tc>
          <w:tcPr>
            <w:tcW w:w="80" w:type="dxa"/>
            <w:tcMar>
              <w:left w:w="0" w:type="dxa"/>
              <w:right w:w="60" w:type="dxa"/>
            </w:tcMar>
            <w:vAlign w:val="bottom"/>
          </w:tcPr>
          <w:p w14:paraId="214C34D4" w14:textId="77777777" w:rsidR="007E7656" w:rsidRDefault="007E7656" w:rsidP="00312F84">
            <w:pPr>
              <w:keepNext/>
              <w:keepLines/>
              <w:spacing w:before="40" w:after="40"/>
            </w:pPr>
          </w:p>
        </w:tc>
        <w:tc>
          <w:tcPr>
            <w:tcW w:w="583" w:type="dxa"/>
            <w:gridSpan w:val="2"/>
            <w:tcMar>
              <w:left w:w="0" w:type="dxa"/>
              <w:right w:w="0" w:type="dxa"/>
            </w:tcMar>
            <w:vAlign w:val="bottom"/>
          </w:tcPr>
          <w:p w14:paraId="03937F0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0.03</w:t>
            </w:r>
          </w:p>
        </w:tc>
        <w:tc>
          <w:tcPr>
            <w:tcW w:w="57" w:type="dxa"/>
            <w:tcMar>
              <w:left w:w="0" w:type="dxa"/>
              <w:right w:w="0" w:type="dxa"/>
            </w:tcMar>
          </w:tcPr>
          <w:p w14:paraId="4C7D43D3" w14:textId="77777777" w:rsidR="007E7656" w:rsidRDefault="007E7656" w:rsidP="00312F84"/>
        </w:tc>
      </w:tr>
      <w:tr w:rsidR="007E7656" w14:paraId="765BD0FB" w14:textId="77777777" w:rsidTr="007E7656">
        <w:trPr>
          <w:trHeight w:hRule="exact" w:val="260"/>
        </w:trPr>
        <w:tc>
          <w:tcPr>
            <w:tcW w:w="3280" w:type="dxa"/>
            <w:tcMar>
              <w:left w:w="300" w:type="dxa"/>
              <w:right w:w="40" w:type="dxa"/>
            </w:tcMar>
            <w:vAlign w:val="bottom"/>
          </w:tcPr>
          <w:p w14:paraId="1C96E78A"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Purchased intangibles amortization</w:t>
            </w:r>
          </w:p>
        </w:tc>
        <w:tc>
          <w:tcPr>
            <w:tcW w:w="80" w:type="dxa"/>
            <w:tcMar>
              <w:left w:w="0" w:type="dxa"/>
              <w:right w:w="0" w:type="dxa"/>
            </w:tcMar>
            <w:vAlign w:val="bottom"/>
          </w:tcPr>
          <w:p w14:paraId="643D58BF" w14:textId="77777777" w:rsidR="007E7656" w:rsidRDefault="007E7656" w:rsidP="00312F84">
            <w:pPr>
              <w:keepNext/>
              <w:keepLines/>
              <w:spacing w:before="40" w:after="40"/>
            </w:pPr>
          </w:p>
        </w:tc>
        <w:tc>
          <w:tcPr>
            <w:tcW w:w="783" w:type="dxa"/>
            <w:tcMar>
              <w:left w:w="0" w:type="dxa"/>
              <w:right w:w="0" w:type="dxa"/>
            </w:tcMar>
            <w:vAlign w:val="bottom"/>
          </w:tcPr>
          <w:p w14:paraId="20827965"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4877E1A5" w14:textId="77777777" w:rsidR="007E7656" w:rsidRDefault="007E7656" w:rsidP="00312F84"/>
        </w:tc>
        <w:tc>
          <w:tcPr>
            <w:tcW w:w="80" w:type="dxa"/>
            <w:tcMar>
              <w:left w:w="0" w:type="dxa"/>
              <w:right w:w="60" w:type="dxa"/>
            </w:tcMar>
            <w:vAlign w:val="bottom"/>
          </w:tcPr>
          <w:p w14:paraId="3A185B7F" w14:textId="77777777" w:rsidR="007E7656" w:rsidRDefault="007E7656" w:rsidP="00312F84">
            <w:pPr>
              <w:keepNext/>
              <w:keepLines/>
              <w:spacing w:before="40" w:after="40"/>
            </w:pPr>
          </w:p>
        </w:tc>
        <w:tc>
          <w:tcPr>
            <w:tcW w:w="783" w:type="dxa"/>
            <w:tcMar>
              <w:left w:w="0" w:type="dxa"/>
              <w:right w:w="0" w:type="dxa"/>
            </w:tcMar>
            <w:vAlign w:val="bottom"/>
          </w:tcPr>
          <w:p w14:paraId="537AE7D5"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19.7</w:t>
            </w:r>
          </w:p>
        </w:tc>
        <w:tc>
          <w:tcPr>
            <w:tcW w:w="57" w:type="dxa"/>
            <w:tcMar>
              <w:left w:w="0" w:type="dxa"/>
              <w:right w:w="0" w:type="dxa"/>
            </w:tcMar>
          </w:tcPr>
          <w:p w14:paraId="2D1CC845" w14:textId="77777777" w:rsidR="007E7656" w:rsidRDefault="007E7656" w:rsidP="00312F84"/>
        </w:tc>
        <w:tc>
          <w:tcPr>
            <w:tcW w:w="80" w:type="dxa"/>
            <w:tcMar>
              <w:left w:w="0" w:type="dxa"/>
              <w:right w:w="60" w:type="dxa"/>
            </w:tcMar>
            <w:vAlign w:val="bottom"/>
          </w:tcPr>
          <w:p w14:paraId="443BDC81" w14:textId="77777777" w:rsidR="007E7656" w:rsidRDefault="007E7656" w:rsidP="00312F84">
            <w:pPr>
              <w:keepNext/>
              <w:keepLines/>
              <w:spacing w:before="40" w:after="40"/>
            </w:pPr>
          </w:p>
        </w:tc>
        <w:tc>
          <w:tcPr>
            <w:tcW w:w="783" w:type="dxa"/>
            <w:tcMar>
              <w:left w:w="0" w:type="dxa"/>
              <w:right w:w="0" w:type="dxa"/>
            </w:tcMar>
            <w:vAlign w:val="bottom"/>
          </w:tcPr>
          <w:p w14:paraId="478707B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28.4</w:t>
            </w:r>
          </w:p>
        </w:tc>
        <w:tc>
          <w:tcPr>
            <w:tcW w:w="57" w:type="dxa"/>
            <w:tcMar>
              <w:left w:w="0" w:type="dxa"/>
              <w:right w:w="0" w:type="dxa"/>
            </w:tcMar>
          </w:tcPr>
          <w:p w14:paraId="2240FDC9" w14:textId="77777777" w:rsidR="007E7656" w:rsidRDefault="007E7656" w:rsidP="00312F84"/>
        </w:tc>
        <w:tc>
          <w:tcPr>
            <w:tcW w:w="80" w:type="dxa"/>
            <w:tcMar>
              <w:left w:w="0" w:type="dxa"/>
              <w:right w:w="60" w:type="dxa"/>
            </w:tcMar>
            <w:vAlign w:val="bottom"/>
          </w:tcPr>
          <w:p w14:paraId="3254C1DE" w14:textId="77777777" w:rsidR="007E7656" w:rsidRDefault="007E7656" w:rsidP="00312F84">
            <w:pPr>
              <w:keepNext/>
              <w:keepLines/>
              <w:spacing w:before="40" w:after="40"/>
            </w:pPr>
          </w:p>
        </w:tc>
        <w:tc>
          <w:tcPr>
            <w:tcW w:w="783" w:type="dxa"/>
            <w:tcMar>
              <w:left w:w="0" w:type="dxa"/>
              <w:right w:w="0" w:type="dxa"/>
            </w:tcMar>
            <w:vAlign w:val="bottom"/>
          </w:tcPr>
          <w:p w14:paraId="789E1DD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28.4</w:t>
            </w:r>
          </w:p>
        </w:tc>
        <w:tc>
          <w:tcPr>
            <w:tcW w:w="57" w:type="dxa"/>
            <w:tcMar>
              <w:left w:w="0" w:type="dxa"/>
              <w:right w:w="0" w:type="dxa"/>
            </w:tcMar>
          </w:tcPr>
          <w:p w14:paraId="64EAAF4B" w14:textId="77777777" w:rsidR="007E7656" w:rsidRDefault="007E7656" w:rsidP="00312F84"/>
        </w:tc>
        <w:tc>
          <w:tcPr>
            <w:tcW w:w="80" w:type="dxa"/>
            <w:tcMar>
              <w:left w:w="0" w:type="dxa"/>
              <w:right w:w="60" w:type="dxa"/>
            </w:tcMar>
            <w:vAlign w:val="bottom"/>
          </w:tcPr>
          <w:p w14:paraId="1A53BE78" w14:textId="77777777" w:rsidR="007E7656" w:rsidRDefault="007E7656" w:rsidP="00312F84">
            <w:pPr>
              <w:keepNext/>
              <w:keepLines/>
              <w:spacing w:before="40" w:after="40"/>
            </w:pPr>
          </w:p>
        </w:tc>
        <w:tc>
          <w:tcPr>
            <w:tcW w:w="783" w:type="dxa"/>
            <w:tcMar>
              <w:left w:w="0" w:type="dxa"/>
              <w:right w:w="0" w:type="dxa"/>
            </w:tcMar>
            <w:vAlign w:val="bottom"/>
          </w:tcPr>
          <w:p w14:paraId="19BEBC7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(7.3</w:t>
            </w:r>
          </w:p>
        </w:tc>
        <w:tc>
          <w:tcPr>
            <w:tcW w:w="57" w:type="dxa"/>
            <w:tcMar>
              <w:left w:w="0" w:type="dxa"/>
              <w:right w:w="0" w:type="dxa"/>
            </w:tcMar>
            <w:vAlign w:val="bottom"/>
          </w:tcPr>
          <w:p w14:paraId="4551D868"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6FE7F52E" w14:textId="77777777" w:rsidR="007E7656" w:rsidRDefault="007E7656" w:rsidP="00312F84">
            <w:pPr>
              <w:keepNext/>
              <w:keepLines/>
              <w:spacing w:before="40" w:after="40"/>
            </w:pPr>
          </w:p>
        </w:tc>
        <w:tc>
          <w:tcPr>
            <w:tcW w:w="640" w:type="dxa"/>
            <w:tcMar>
              <w:left w:w="60" w:type="dxa"/>
              <w:right w:w="60" w:type="dxa"/>
            </w:tcMar>
            <w:vAlign w:val="bottom"/>
          </w:tcPr>
          <w:p w14:paraId="30B5D907" w14:textId="77777777" w:rsidR="007E7656" w:rsidRDefault="007E7656" w:rsidP="00312F84">
            <w:pPr>
              <w:keepNext/>
              <w:keepLines/>
              <w:spacing w:before="40" w:after="40"/>
            </w:pPr>
          </w:p>
        </w:tc>
        <w:tc>
          <w:tcPr>
            <w:tcW w:w="100" w:type="dxa"/>
            <w:tcMar>
              <w:left w:w="0" w:type="dxa"/>
              <w:right w:w="60" w:type="dxa"/>
            </w:tcMar>
            <w:vAlign w:val="bottom"/>
          </w:tcPr>
          <w:p w14:paraId="4B53AA00" w14:textId="77777777" w:rsidR="007E7656" w:rsidRDefault="007E7656" w:rsidP="00312F84">
            <w:pPr>
              <w:keepNext/>
              <w:keepLines/>
              <w:spacing w:before="40" w:after="40"/>
            </w:pPr>
          </w:p>
        </w:tc>
        <w:tc>
          <w:tcPr>
            <w:tcW w:w="783" w:type="dxa"/>
            <w:tcMar>
              <w:left w:w="0" w:type="dxa"/>
              <w:right w:w="0" w:type="dxa"/>
            </w:tcMar>
            <w:vAlign w:val="bottom"/>
          </w:tcPr>
          <w:p w14:paraId="63AD8E4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21.2</w:t>
            </w:r>
          </w:p>
        </w:tc>
        <w:tc>
          <w:tcPr>
            <w:tcW w:w="57" w:type="dxa"/>
            <w:tcMar>
              <w:left w:w="0" w:type="dxa"/>
              <w:right w:w="0" w:type="dxa"/>
            </w:tcMar>
          </w:tcPr>
          <w:p w14:paraId="14381030" w14:textId="77777777" w:rsidR="007E7656" w:rsidRDefault="007E7656" w:rsidP="00312F84"/>
        </w:tc>
        <w:tc>
          <w:tcPr>
            <w:tcW w:w="80" w:type="dxa"/>
            <w:tcMar>
              <w:left w:w="0" w:type="dxa"/>
              <w:right w:w="60" w:type="dxa"/>
            </w:tcMar>
            <w:vAlign w:val="bottom"/>
          </w:tcPr>
          <w:p w14:paraId="45D1C579" w14:textId="77777777" w:rsidR="007E7656" w:rsidRDefault="007E7656" w:rsidP="00312F84">
            <w:pPr>
              <w:keepNext/>
              <w:keepLines/>
              <w:spacing w:before="40" w:after="40"/>
            </w:pPr>
          </w:p>
        </w:tc>
        <w:tc>
          <w:tcPr>
            <w:tcW w:w="583" w:type="dxa"/>
            <w:gridSpan w:val="2"/>
            <w:tcMar>
              <w:left w:w="0" w:type="dxa"/>
              <w:right w:w="0" w:type="dxa"/>
            </w:tcMar>
            <w:vAlign w:val="bottom"/>
          </w:tcPr>
          <w:p w14:paraId="1B918A1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0.09</w:t>
            </w:r>
          </w:p>
        </w:tc>
        <w:tc>
          <w:tcPr>
            <w:tcW w:w="57" w:type="dxa"/>
            <w:tcMar>
              <w:left w:w="0" w:type="dxa"/>
              <w:right w:w="0" w:type="dxa"/>
            </w:tcMar>
          </w:tcPr>
          <w:p w14:paraId="396BC470" w14:textId="77777777" w:rsidR="007E7656" w:rsidRDefault="007E7656" w:rsidP="00312F84"/>
        </w:tc>
      </w:tr>
      <w:tr w:rsidR="007E7656" w14:paraId="16C7A16C" w14:textId="77777777" w:rsidTr="007E7656">
        <w:trPr>
          <w:trHeight w:hRule="exact" w:val="260"/>
        </w:trPr>
        <w:tc>
          <w:tcPr>
            <w:tcW w:w="3280" w:type="dxa"/>
            <w:tcMar>
              <w:left w:w="300" w:type="dxa"/>
              <w:right w:w="40" w:type="dxa"/>
            </w:tcMar>
            <w:vAlign w:val="bottom"/>
          </w:tcPr>
          <w:p w14:paraId="3B6D1449"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Non-cash interest expense charges</w:t>
            </w:r>
          </w:p>
        </w:tc>
        <w:tc>
          <w:tcPr>
            <w:tcW w:w="80" w:type="dxa"/>
            <w:tcMar>
              <w:left w:w="0" w:type="dxa"/>
              <w:right w:w="0" w:type="dxa"/>
            </w:tcMar>
            <w:vAlign w:val="bottom"/>
          </w:tcPr>
          <w:p w14:paraId="62B00BF6" w14:textId="77777777" w:rsidR="007E7656" w:rsidRDefault="007E7656" w:rsidP="00312F84">
            <w:pPr>
              <w:keepNext/>
              <w:keepLines/>
              <w:spacing w:before="40" w:after="40"/>
            </w:pPr>
          </w:p>
        </w:tc>
        <w:tc>
          <w:tcPr>
            <w:tcW w:w="783" w:type="dxa"/>
            <w:tcMar>
              <w:left w:w="0" w:type="dxa"/>
              <w:right w:w="0" w:type="dxa"/>
            </w:tcMar>
            <w:vAlign w:val="bottom"/>
          </w:tcPr>
          <w:p w14:paraId="16C7B53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0680829C" w14:textId="77777777" w:rsidR="007E7656" w:rsidRDefault="007E7656" w:rsidP="00312F84"/>
        </w:tc>
        <w:tc>
          <w:tcPr>
            <w:tcW w:w="80" w:type="dxa"/>
            <w:tcMar>
              <w:left w:w="0" w:type="dxa"/>
              <w:right w:w="60" w:type="dxa"/>
            </w:tcMar>
            <w:vAlign w:val="bottom"/>
          </w:tcPr>
          <w:p w14:paraId="0B1F5CE9" w14:textId="77777777" w:rsidR="007E7656" w:rsidRDefault="007E7656" w:rsidP="00312F84">
            <w:pPr>
              <w:keepNext/>
              <w:keepLines/>
              <w:spacing w:before="40" w:after="40"/>
            </w:pPr>
          </w:p>
        </w:tc>
        <w:tc>
          <w:tcPr>
            <w:tcW w:w="783" w:type="dxa"/>
            <w:tcMar>
              <w:left w:w="0" w:type="dxa"/>
              <w:right w:w="0" w:type="dxa"/>
            </w:tcMar>
            <w:vAlign w:val="bottom"/>
          </w:tcPr>
          <w:p w14:paraId="4D3C200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16A4732C" w14:textId="77777777" w:rsidR="007E7656" w:rsidRDefault="007E7656" w:rsidP="00312F84"/>
        </w:tc>
        <w:tc>
          <w:tcPr>
            <w:tcW w:w="80" w:type="dxa"/>
            <w:tcMar>
              <w:left w:w="0" w:type="dxa"/>
              <w:right w:w="60" w:type="dxa"/>
            </w:tcMar>
            <w:vAlign w:val="bottom"/>
          </w:tcPr>
          <w:p w14:paraId="3DE32A4A" w14:textId="77777777" w:rsidR="007E7656" w:rsidRDefault="007E7656" w:rsidP="00312F84">
            <w:pPr>
              <w:keepNext/>
              <w:keepLines/>
              <w:spacing w:before="40" w:after="40"/>
            </w:pPr>
          </w:p>
        </w:tc>
        <w:tc>
          <w:tcPr>
            <w:tcW w:w="783" w:type="dxa"/>
            <w:tcMar>
              <w:left w:w="0" w:type="dxa"/>
              <w:right w:w="0" w:type="dxa"/>
            </w:tcMar>
            <w:vAlign w:val="bottom"/>
          </w:tcPr>
          <w:p w14:paraId="4EDA216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2140B2C1" w14:textId="77777777" w:rsidR="007E7656" w:rsidRDefault="007E7656" w:rsidP="00312F84"/>
        </w:tc>
        <w:tc>
          <w:tcPr>
            <w:tcW w:w="80" w:type="dxa"/>
            <w:tcMar>
              <w:left w:w="0" w:type="dxa"/>
              <w:right w:w="60" w:type="dxa"/>
            </w:tcMar>
            <w:vAlign w:val="bottom"/>
          </w:tcPr>
          <w:p w14:paraId="4A166862" w14:textId="77777777" w:rsidR="007E7656" w:rsidRDefault="007E7656" w:rsidP="00312F84">
            <w:pPr>
              <w:keepNext/>
              <w:keepLines/>
              <w:spacing w:before="40" w:after="40"/>
            </w:pPr>
          </w:p>
        </w:tc>
        <w:tc>
          <w:tcPr>
            <w:tcW w:w="783" w:type="dxa"/>
            <w:tcMar>
              <w:left w:w="0" w:type="dxa"/>
              <w:right w:w="0" w:type="dxa"/>
            </w:tcMar>
            <w:vAlign w:val="bottom"/>
          </w:tcPr>
          <w:p w14:paraId="58AF626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9.3</w:t>
            </w:r>
          </w:p>
        </w:tc>
        <w:tc>
          <w:tcPr>
            <w:tcW w:w="57" w:type="dxa"/>
            <w:tcMar>
              <w:left w:w="0" w:type="dxa"/>
              <w:right w:w="0" w:type="dxa"/>
            </w:tcMar>
          </w:tcPr>
          <w:p w14:paraId="5B5DD07E" w14:textId="77777777" w:rsidR="007E7656" w:rsidRDefault="007E7656" w:rsidP="00312F84"/>
        </w:tc>
        <w:tc>
          <w:tcPr>
            <w:tcW w:w="80" w:type="dxa"/>
            <w:tcMar>
              <w:left w:w="0" w:type="dxa"/>
              <w:right w:w="60" w:type="dxa"/>
            </w:tcMar>
            <w:vAlign w:val="bottom"/>
          </w:tcPr>
          <w:p w14:paraId="391466E3" w14:textId="77777777" w:rsidR="007E7656" w:rsidRDefault="007E7656" w:rsidP="00312F84">
            <w:pPr>
              <w:keepNext/>
              <w:keepLines/>
              <w:spacing w:before="40" w:after="40"/>
            </w:pPr>
          </w:p>
        </w:tc>
        <w:tc>
          <w:tcPr>
            <w:tcW w:w="783" w:type="dxa"/>
            <w:tcMar>
              <w:left w:w="0" w:type="dxa"/>
              <w:right w:w="0" w:type="dxa"/>
            </w:tcMar>
            <w:vAlign w:val="bottom"/>
          </w:tcPr>
          <w:p w14:paraId="5EBBE8A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69D86458" w14:textId="77777777" w:rsidR="007E7656" w:rsidRDefault="007E7656" w:rsidP="00312F84"/>
        </w:tc>
        <w:tc>
          <w:tcPr>
            <w:tcW w:w="80" w:type="dxa"/>
            <w:tcMar>
              <w:left w:w="0" w:type="dxa"/>
              <w:right w:w="60" w:type="dxa"/>
            </w:tcMar>
            <w:vAlign w:val="bottom"/>
          </w:tcPr>
          <w:p w14:paraId="2D8E677A" w14:textId="77777777" w:rsidR="007E7656" w:rsidRDefault="007E7656" w:rsidP="00312F84">
            <w:pPr>
              <w:keepNext/>
              <w:keepLines/>
              <w:spacing w:before="40" w:after="40"/>
            </w:pPr>
          </w:p>
        </w:tc>
        <w:tc>
          <w:tcPr>
            <w:tcW w:w="640" w:type="dxa"/>
            <w:tcMar>
              <w:left w:w="60" w:type="dxa"/>
              <w:right w:w="60" w:type="dxa"/>
            </w:tcMar>
            <w:vAlign w:val="bottom"/>
          </w:tcPr>
          <w:p w14:paraId="4B246F30" w14:textId="77777777" w:rsidR="007E7656" w:rsidRDefault="007E7656" w:rsidP="00312F84">
            <w:pPr>
              <w:keepNext/>
              <w:keepLines/>
              <w:spacing w:before="40" w:after="40"/>
            </w:pPr>
          </w:p>
        </w:tc>
        <w:tc>
          <w:tcPr>
            <w:tcW w:w="100" w:type="dxa"/>
            <w:tcMar>
              <w:left w:w="60" w:type="dxa"/>
              <w:right w:w="0" w:type="dxa"/>
            </w:tcMar>
            <w:vAlign w:val="bottom"/>
          </w:tcPr>
          <w:p w14:paraId="4FCA634C" w14:textId="77777777" w:rsidR="007E7656" w:rsidRDefault="007E7656" w:rsidP="00312F84">
            <w:pPr>
              <w:keepNext/>
              <w:keepLines/>
              <w:spacing w:before="40" w:after="40"/>
            </w:pPr>
          </w:p>
        </w:tc>
        <w:tc>
          <w:tcPr>
            <w:tcW w:w="783" w:type="dxa"/>
            <w:tcMar>
              <w:left w:w="0" w:type="dxa"/>
              <w:right w:w="0" w:type="dxa"/>
            </w:tcMar>
            <w:vAlign w:val="bottom"/>
          </w:tcPr>
          <w:p w14:paraId="225032C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9.3</w:t>
            </w:r>
          </w:p>
        </w:tc>
        <w:tc>
          <w:tcPr>
            <w:tcW w:w="57" w:type="dxa"/>
            <w:tcMar>
              <w:left w:w="0" w:type="dxa"/>
              <w:right w:w="0" w:type="dxa"/>
            </w:tcMar>
          </w:tcPr>
          <w:p w14:paraId="79B9B44B" w14:textId="77777777" w:rsidR="007E7656" w:rsidRDefault="007E7656" w:rsidP="00312F84"/>
        </w:tc>
        <w:tc>
          <w:tcPr>
            <w:tcW w:w="80" w:type="dxa"/>
            <w:tcMar>
              <w:left w:w="0" w:type="dxa"/>
              <w:right w:w="60" w:type="dxa"/>
            </w:tcMar>
            <w:vAlign w:val="bottom"/>
          </w:tcPr>
          <w:p w14:paraId="64468892" w14:textId="77777777" w:rsidR="007E7656" w:rsidRDefault="007E7656" w:rsidP="00312F84">
            <w:pPr>
              <w:keepNext/>
              <w:keepLines/>
              <w:spacing w:before="40" w:after="40"/>
            </w:pPr>
          </w:p>
        </w:tc>
        <w:tc>
          <w:tcPr>
            <w:tcW w:w="583" w:type="dxa"/>
            <w:gridSpan w:val="2"/>
            <w:tcMar>
              <w:left w:w="0" w:type="dxa"/>
              <w:right w:w="0" w:type="dxa"/>
            </w:tcMar>
            <w:vAlign w:val="bottom"/>
          </w:tcPr>
          <w:p w14:paraId="00F2357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0.04</w:t>
            </w:r>
          </w:p>
        </w:tc>
        <w:tc>
          <w:tcPr>
            <w:tcW w:w="57" w:type="dxa"/>
            <w:tcMar>
              <w:left w:w="0" w:type="dxa"/>
              <w:right w:w="0" w:type="dxa"/>
            </w:tcMar>
          </w:tcPr>
          <w:p w14:paraId="66F9C356" w14:textId="77777777" w:rsidR="007E7656" w:rsidRDefault="007E7656" w:rsidP="00312F84"/>
        </w:tc>
      </w:tr>
      <w:tr w:rsidR="007E7656" w14:paraId="55172FAE" w14:textId="77777777" w:rsidTr="007E7656">
        <w:trPr>
          <w:trHeight w:hRule="exact" w:val="240"/>
        </w:trPr>
        <w:tc>
          <w:tcPr>
            <w:tcW w:w="3280" w:type="dxa"/>
            <w:tcMar>
              <w:left w:w="300" w:type="dxa"/>
              <w:right w:w="40" w:type="dxa"/>
            </w:tcMar>
            <w:vAlign w:val="bottom"/>
          </w:tcPr>
          <w:p w14:paraId="03886FC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Other special income and expense items</w:t>
            </w:r>
          </w:p>
        </w:tc>
        <w:tc>
          <w:tcPr>
            <w:tcW w:w="80" w:type="dxa"/>
            <w:tcMar>
              <w:left w:w="0" w:type="dxa"/>
              <w:right w:w="0" w:type="dxa"/>
            </w:tcMar>
            <w:vAlign w:val="bottom"/>
          </w:tcPr>
          <w:p w14:paraId="2433BF1E"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7037955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bottom w:val="single" w:sz="8" w:space="0" w:color="auto"/>
            </w:tcBorders>
            <w:tcMar>
              <w:left w:w="0" w:type="dxa"/>
              <w:right w:w="0" w:type="dxa"/>
            </w:tcMar>
          </w:tcPr>
          <w:p w14:paraId="1F6A558D" w14:textId="77777777" w:rsidR="007E7656" w:rsidRDefault="007E7656" w:rsidP="00312F84"/>
        </w:tc>
        <w:tc>
          <w:tcPr>
            <w:tcW w:w="80" w:type="dxa"/>
            <w:tcMar>
              <w:left w:w="0" w:type="dxa"/>
              <w:right w:w="60" w:type="dxa"/>
            </w:tcMar>
            <w:vAlign w:val="bottom"/>
          </w:tcPr>
          <w:p w14:paraId="4D60B566"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121BE63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bottom w:val="single" w:sz="8" w:space="0" w:color="auto"/>
            </w:tcBorders>
            <w:tcMar>
              <w:left w:w="0" w:type="dxa"/>
              <w:right w:w="0" w:type="dxa"/>
            </w:tcMar>
          </w:tcPr>
          <w:p w14:paraId="535BB5DA" w14:textId="77777777" w:rsidR="007E7656" w:rsidRDefault="007E7656" w:rsidP="00312F84"/>
        </w:tc>
        <w:tc>
          <w:tcPr>
            <w:tcW w:w="80" w:type="dxa"/>
            <w:tcMar>
              <w:left w:w="0" w:type="dxa"/>
              <w:right w:w="60" w:type="dxa"/>
            </w:tcMar>
            <w:vAlign w:val="bottom"/>
          </w:tcPr>
          <w:p w14:paraId="005C5F4A"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72C04D5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bottom w:val="single" w:sz="8" w:space="0" w:color="auto"/>
            </w:tcBorders>
            <w:tcMar>
              <w:left w:w="0" w:type="dxa"/>
              <w:right w:w="0" w:type="dxa"/>
            </w:tcMar>
          </w:tcPr>
          <w:p w14:paraId="56649418" w14:textId="77777777" w:rsidR="007E7656" w:rsidRDefault="007E7656" w:rsidP="00312F84"/>
        </w:tc>
        <w:tc>
          <w:tcPr>
            <w:tcW w:w="80" w:type="dxa"/>
            <w:tcMar>
              <w:left w:w="0" w:type="dxa"/>
              <w:right w:w="60" w:type="dxa"/>
            </w:tcMar>
            <w:vAlign w:val="bottom"/>
          </w:tcPr>
          <w:p w14:paraId="6B92447E"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655A859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(3.8</w:t>
            </w:r>
          </w:p>
        </w:tc>
        <w:tc>
          <w:tcPr>
            <w:tcW w:w="57" w:type="dxa"/>
            <w:tcBorders>
              <w:bottom w:val="single" w:sz="8" w:space="0" w:color="auto"/>
            </w:tcBorders>
            <w:tcMar>
              <w:left w:w="0" w:type="dxa"/>
              <w:right w:w="0" w:type="dxa"/>
            </w:tcMar>
            <w:vAlign w:val="bottom"/>
          </w:tcPr>
          <w:p w14:paraId="5CC2E5D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BF74A1C"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18E2DD14"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(1.6</w:t>
            </w:r>
          </w:p>
        </w:tc>
        <w:tc>
          <w:tcPr>
            <w:tcW w:w="57" w:type="dxa"/>
            <w:tcBorders>
              <w:bottom w:val="single" w:sz="8" w:space="0" w:color="auto"/>
            </w:tcBorders>
            <w:tcMar>
              <w:left w:w="0" w:type="dxa"/>
              <w:right w:w="0" w:type="dxa"/>
            </w:tcMar>
            <w:vAlign w:val="bottom"/>
          </w:tcPr>
          <w:p w14:paraId="524817FD"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2CD28F1" w14:textId="77777777" w:rsidR="007E7656" w:rsidRDefault="007E7656" w:rsidP="00312F84">
            <w:pPr>
              <w:keepNext/>
              <w:keepLines/>
              <w:spacing w:before="40" w:after="40"/>
            </w:pPr>
          </w:p>
        </w:tc>
        <w:tc>
          <w:tcPr>
            <w:tcW w:w="640" w:type="dxa"/>
            <w:tcMar>
              <w:left w:w="60" w:type="dxa"/>
              <w:right w:w="60" w:type="dxa"/>
            </w:tcMar>
            <w:vAlign w:val="bottom"/>
          </w:tcPr>
          <w:p w14:paraId="03A86BD6" w14:textId="77777777" w:rsidR="007E7656" w:rsidRDefault="007E7656" w:rsidP="00312F84">
            <w:pPr>
              <w:keepNext/>
              <w:keepLines/>
              <w:spacing w:before="40" w:after="40"/>
            </w:pPr>
          </w:p>
        </w:tc>
        <w:tc>
          <w:tcPr>
            <w:tcW w:w="100" w:type="dxa"/>
            <w:tcMar>
              <w:left w:w="0" w:type="dxa"/>
              <w:right w:w="60" w:type="dxa"/>
            </w:tcMar>
            <w:vAlign w:val="bottom"/>
          </w:tcPr>
          <w:p w14:paraId="6F3DB2C0"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2CFF70EE"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(5.4</w:t>
            </w:r>
          </w:p>
        </w:tc>
        <w:tc>
          <w:tcPr>
            <w:tcW w:w="57" w:type="dxa"/>
            <w:tcBorders>
              <w:bottom w:val="single" w:sz="8" w:space="0" w:color="auto"/>
            </w:tcBorders>
            <w:tcMar>
              <w:left w:w="0" w:type="dxa"/>
              <w:right w:w="0" w:type="dxa"/>
            </w:tcMar>
            <w:vAlign w:val="bottom"/>
          </w:tcPr>
          <w:p w14:paraId="5E9C13A1"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24A9F808" w14:textId="77777777" w:rsidR="007E7656" w:rsidRDefault="007E7656" w:rsidP="00312F84">
            <w:pPr>
              <w:keepNext/>
              <w:keepLines/>
              <w:spacing w:before="40" w:after="40"/>
            </w:pPr>
          </w:p>
        </w:tc>
        <w:tc>
          <w:tcPr>
            <w:tcW w:w="583" w:type="dxa"/>
            <w:gridSpan w:val="2"/>
            <w:tcBorders>
              <w:bottom w:val="single" w:sz="8" w:space="0" w:color="auto"/>
            </w:tcBorders>
            <w:tcMar>
              <w:left w:w="0" w:type="dxa"/>
              <w:right w:w="0" w:type="dxa"/>
            </w:tcMar>
            <w:vAlign w:val="bottom"/>
          </w:tcPr>
          <w:p w14:paraId="279D1E0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(0.02</w:t>
            </w:r>
          </w:p>
        </w:tc>
        <w:tc>
          <w:tcPr>
            <w:tcW w:w="57" w:type="dxa"/>
            <w:tcBorders>
              <w:bottom w:val="single" w:sz="8" w:space="0" w:color="auto"/>
            </w:tcBorders>
            <w:tcMar>
              <w:left w:w="0" w:type="dxa"/>
              <w:right w:w="0" w:type="dxa"/>
            </w:tcMar>
            <w:vAlign w:val="bottom"/>
          </w:tcPr>
          <w:p w14:paraId="5194D0B2"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r>
      <w:tr w:rsidR="007E7656" w14:paraId="60E37FE5" w14:textId="77777777" w:rsidTr="007E7656">
        <w:trPr>
          <w:trHeight w:hRule="exact" w:val="260"/>
        </w:trPr>
        <w:tc>
          <w:tcPr>
            <w:tcW w:w="3280" w:type="dxa"/>
            <w:tcMar>
              <w:left w:w="300" w:type="dxa"/>
              <w:right w:w="40" w:type="dxa"/>
            </w:tcMar>
            <w:vAlign w:val="bottom"/>
          </w:tcPr>
          <w:p w14:paraId="758CF914"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Total adjustments</w:t>
            </w:r>
          </w:p>
        </w:tc>
        <w:tc>
          <w:tcPr>
            <w:tcW w:w="80" w:type="dxa"/>
            <w:tcMar>
              <w:left w:w="0" w:type="dxa"/>
              <w:right w:w="0" w:type="dxa"/>
            </w:tcMar>
            <w:vAlign w:val="bottom"/>
          </w:tcPr>
          <w:p w14:paraId="3C3C706C"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75B1B852"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top w:val="single" w:sz="8" w:space="0" w:color="auto"/>
            </w:tcBorders>
            <w:tcMar>
              <w:left w:w="0" w:type="dxa"/>
              <w:right w:w="0" w:type="dxa"/>
            </w:tcMar>
          </w:tcPr>
          <w:p w14:paraId="3DF920DE" w14:textId="77777777" w:rsidR="007E7656" w:rsidRDefault="007E7656" w:rsidP="00312F84"/>
        </w:tc>
        <w:tc>
          <w:tcPr>
            <w:tcW w:w="80" w:type="dxa"/>
            <w:tcMar>
              <w:left w:w="0" w:type="dxa"/>
              <w:right w:w="60" w:type="dxa"/>
            </w:tcMar>
            <w:vAlign w:val="bottom"/>
          </w:tcPr>
          <w:p w14:paraId="196EC0E3"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48EA8EF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24.3</w:t>
            </w:r>
          </w:p>
        </w:tc>
        <w:tc>
          <w:tcPr>
            <w:tcW w:w="57" w:type="dxa"/>
            <w:tcBorders>
              <w:top w:val="single" w:sz="8" w:space="0" w:color="auto"/>
            </w:tcBorders>
            <w:tcMar>
              <w:left w:w="0" w:type="dxa"/>
              <w:right w:w="0" w:type="dxa"/>
            </w:tcMar>
          </w:tcPr>
          <w:p w14:paraId="697AA284" w14:textId="77777777" w:rsidR="007E7656" w:rsidRDefault="007E7656" w:rsidP="00312F84"/>
        </w:tc>
        <w:tc>
          <w:tcPr>
            <w:tcW w:w="80" w:type="dxa"/>
            <w:tcMar>
              <w:left w:w="0" w:type="dxa"/>
              <w:right w:w="60" w:type="dxa"/>
            </w:tcMar>
            <w:vAlign w:val="bottom"/>
          </w:tcPr>
          <w:p w14:paraId="20B9A288"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0C9D098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38.9</w:t>
            </w:r>
          </w:p>
        </w:tc>
        <w:tc>
          <w:tcPr>
            <w:tcW w:w="57" w:type="dxa"/>
            <w:tcBorders>
              <w:top w:val="single" w:sz="8" w:space="0" w:color="auto"/>
            </w:tcBorders>
            <w:tcMar>
              <w:left w:w="0" w:type="dxa"/>
              <w:right w:w="0" w:type="dxa"/>
            </w:tcMar>
          </w:tcPr>
          <w:p w14:paraId="7F8477BB" w14:textId="77777777" w:rsidR="007E7656" w:rsidRDefault="007E7656" w:rsidP="00312F84"/>
        </w:tc>
        <w:tc>
          <w:tcPr>
            <w:tcW w:w="80" w:type="dxa"/>
            <w:tcMar>
              <w:left w:w="0" w:type="dxa"/>
              <w:right w:w="60" w:type="dxa"/>
            </w:tcMar>
            <w:vAlign w:val="bottom"/>
          </w:tcPr>
          <w:p w14:paraId="17F23766"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4243FE4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44.4</w:t>
            </w:r>
          </w:p>
        </w:tc>
        <w:tc>
          <w:tcPr>
            <w:tcW w:w="57" w:type="dxa"/>
            <w:tcBorders>
              <w:top w:val="single" w:sz="8" w:space="0" w:color="auto"/>
            </w:tcBorders>
            <w:tcMar>
              <w:left w:w="0" w:type="dxa"/>
              <w:right w:w="0" w:type="dxa"/>
            </w:tcMar>
          </w:tcPr>
          <w:p w14:paraId="457EA270" w14:textId="77777777" w:rsidR="007E7656" w:rsidRDefault="007E7656" w:rsidP="00312F84"/>
        </w:tc>
        <w:tc>
          <w:tcPr>
            <w:tcW w:w="80" w:type="dxa"/>
            <w:tcMar>
              <w:left w:w="0" w:type="dxa"/>
              <w:right w:w="60" w:type="dxa"/>
            </w:tcMar>
            <w:vAlign w:val="bottom"/>
          </w:tcPr>
          <w:p w14:paraId="262A88D1"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48CF838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(11.7</w:t>
            </w:r>
          </w:p>
        </w:tc>
        <w:tc>
          <w:tcPr>
            <w:tcW w:w="57" w:type="dxa"/>
            <w:tcBorders>
              <w:top w:val="single" w:sz="8" w:space="0" w:color="auto"/>
            </w:tcBorders>
            <w:tcMar>
              <w:left w:w="0" w:type="dxa"/>
              <w:right w:w="0" w:type="dxa"/>
            </w:tcMar>
            <w:vAlign w:val="bottom"/>
          </w:tcPr>
          <w:p w14:paraId="5BF4D3F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5A73837D" w14:textId="77777777" w:rsidR="007E7656" w:rsidRDefault="007E7656" w:rsidP="00312F84">
            <w:pPr>
              <w:keepNext/>
              <w:keepLines/>
              <w:spacing w:before="40" w:after="40"/>
            </w:pPr>
          </w:p>
        </w:tc>
        <w:tc>
          <w:tcPr>
            <w:tcW w:w="640" w:type="dxa"/>
            <w:tcMar>
              <w:left w:w="60" w:type="dxa"/>
              <w:right w:w="60" w:type="dxa"/>
            </w:tcMar>
            <w:vAlign w:val="bottom"/>
          </w:tcPr>
          <w:p w14:paraId="1C88426E" w14:textId="77777777" w:rsidR="007E7656" w:rsidRDefault="007E7656" w:rsidP="00312F84">
            <w:pPr>
              <w:keepNext/>
              <w:keepLines/>
              <w:spacing w:before="40" w:after="40"/>
            </w:pPr>
          </w:p>
        </w:tc>
        <w:tc>
          <w:tcPr>
            <w:tcW w:w="100" w:type="dxa"/>
            <w:tcMar>
              <w:left w:w="0" w:type="dxa"/>
              <w:right w:w="60" w:type="dxa"/>
            </w:tcMar>
            <w:vAlign w:val="bottom"/>
          </w:tcPr>
          <w:p w14:paraId="32693EA4"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0A94FAC4"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32.7</w:t>
            </w:r>
          </w:p>
        </w:tc>
        <w:tc>
          <w:tcPr>
            <w:tcW w:w="57" w:type="dxa"/>
            <w:tcBorders>
              <w:top w:val="single" w:sz="8" w:space="0" w:color="auto"/>
            </w:tcBorders>
            <w:tcMar>
              <w:left w:w="0" w:type="dxa"/>
              <w:right w:w="0" w:type="dxa"/>
            </w:tcMar>
          </w:tcPr>
          <w:p w14:paraId="1064D4DF" w14:textId="77777777" w:rsidR="007E7656" w:rsidRDefault="007E7656" w:rsidP="00312F84"/>
        </w:tc>
        <w:tc>
          <w:tcPr>
            <w:tcW w:w="80" w:type="dxa"/>
            <w:tcMar>
              <w:left w:w="0" w:type="dxa"/>
              <w:right w:w="60" w:type="dxa"/>
            </w:tcMar>
            <w:vAlign w:val="bottom"/>
          </w:tcPr>
          <w:p w14:paraId="0747342D" w14:textId="77777777" w:rsidR="007E7656" w:rsidRDefault="007E7656" w:rsidP="00312F84">
            <w:pPr>
              <w:keepNext/>
              <w:keepLines/>
              <w:spacing w:before="40" w:after="40"/>
            </w:pPr>
          </w:p>
        </w:tc>
        <w:tc>
          <w:tcPr>
            <w:tcW w:w="583" w:type="dxa"/>
            <w:gridSpan w:val="2"/>
            <w:tcMar>
              <w:left w:w="0" w:type="dxa"/>
              <w:right w:w="0" w:type="dxa"/>
            </w:tcMar>
            <w:vAlign w:val="bottom"/>
          </w:tcPr>
          <w:p w14:paraId="51A9488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0.14</w:t>
            </w:r>
          </w:p>
        </w:tc>
        <w:tc>
          <w:tcPr>
            <w:tcW w:w="57" w:type="dxa"/>
            <w:tcMar>
              <w:left w:w="0" w:type="dxa"/>
              <w:right w:w="0" w:type="dxa"/>
            </w:tcMar>
          </w:tcPr>
          <w:p w14:paraId="66518836" w14:textId="77777777" w:rsidR="007E7656" w:rsidRDefault="007E7656" w:rsidP="00312F84"/>
        </w:tc>
      </w:tr>
      <w:tr w:rsidR="007E7656" w14:paraId="2D5818FF" w14:textId="77777777" w:rsidTr="00312F84">
        <w:trPr>
          <w:trHeight w:hRule="exact" w:val="260"/>
        </w:trPr>
        <w:tc>
          <w:tcPr>
            <w:tcW w:w="3280" w:type="dxa"/>
            <w:tcMar>
              <w:left w:w="60" w:type="dxa"/>
              <w:right w:w="40" w:type="dxa"/>
            </w:tcMar>
            <w:vAlign w:val="bottom"/>
          </w:tcPr>
          <w:p w14:paraId="12AE4CD6"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Adjusted results</w:t>
            </w:r>
          </w:p>
        </w:tc>
        <w:tc>
          <w:tcPr>
            <w:tcW w:w="80" w:type="dxa"/>
            <w:tcMar>
              <w:left w:w="60" w:type="dxa"/>
              <w:right w:w="0" w:type="dxa"/>
            </w:tcMar>
            <w:vAlign w:val="bottom"/>
          </w:tcPr>
          <w:p w14:paraId="43C65CA6"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2BDD1AE8"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381.6</w:t>
            </w:r>
          </w:p>
        </w:tc>
        <w:tc>
          <w:tcPr>
            <w:tcW w:w="57" w:type="dxa"/>
            <w:tcBorders>
              <w:top w:val="single" w:sz="8" w:space="0" w:color="auto"/>
              <w:bottom w:val="double" w:sz="4" w:space="0" w:color="auto"/>
            </w:tcBorders>
            <w:tcMar>
              <w:left w:w="0" w:type="dxa"/>
              <w:right w:w="0" w:type="dxa"/>
            </w:tcMar>
          </w:tcPr>
          <w:p w14:paraId="5C5DFE83" w14:textId="77777777" w:rsidR="007E7656" w:rsidRDefault="007E7656" w:rsidP="00312F84"/>
        </w:tc>
        <w:tc>
          <w:tcPr>
            <w:tcW w:w="80" w:type="dxa"/>
            <w:tcMar>
              <w:left w:w="0" w:type="dxa"/>
              <w:right w:w="60" w:type="dxa"/>
            </w:tcMar>
            <w:vAlign w:val="bottom"/>
          </w:tcPr>
          <w:p w14:paraId="1CF9C554"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3513E3E9"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270.2</w:t>
            </w:r>
          </w:p>
        </w:tc>
        <w:tc>
          <w:tcPr>
            <w:tcW w:w="57" w:type="dxa"/>
            <w:tcBorders>
              <w:top w:val="single" w:sz="8" w:space="0" w:color="auto"/>
              <w:bottom w:val="double" w:sz="4" w:space="0" w:color="auto"/>
            </w:tcBorders>
            <w:tcMar>
              <w:left w:w="0" w:type="dxa"/>
              <w:right w:w="0" w:type="dxa"/>
            </w:tcMar>
          </w:tcPr>
          <w:p w14:paraId="571B248E" w14:textId="77777777" w:rsidR="007E7656" w:rsidRDefault="007E7656" w:rsidP="00312F84"/>
        </w:tc>
        <w:tc>
          <w:tcPr>
            <w:tcW w:w="80" w:type="dxa"/>
            <w:tcMar>
              <w:left w:w="0" w:type="dxa"/>
              <w:right w:w="60" w:type="dxa"/>
            </w:tcMar>
            <w:vAlign w:val="bottom"/>
          </w:tcPr>
          <w:p w14:paraId="47563D4B"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527A3AB1"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99.1</w:t>
            </w:r>
          </w:p>
        </w:tc>
        <w:tc>
          <w:tcPr>
            <w:tcW w:w="57" w:type="dxa"/>
            <w:tcBorders>
              <w:top w:val="single" w:sz="8" w:space="0" w:color="auto"/>
              <w:bottom w:val="double" w:sz="4" w:space="0" w:color="auto"/>
            </w:tcBorders>
            <w:tcMar>
              <w:left w:w="0" w:type="dxa"/>
              <w:right w:w="0" w:type="dxa"/>
            </w:tcMar>
          </w:tcPr>
          <w:p w14:paraId="362A66FA" w14:textId="77777777" w:rsidR="007E7656" w:rsidRDefault="007E7656" w:rsidP="00312F84"/>
        </w:tc>
        <w:tc>
          <w:tcPr>
            <w:tcW w:w="80" w:type="dxa"/>
            <w:tcMar>
              <w:left w:w="0" w:type="dxa"/>
              <w:right w:w="60" w:type="dxa"/>
            </w:tcMar>
            <w:vAlign w:val="bottom"/>
          </w:tcPr>
          <w:p w14:paraId="13BD5406"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614D1D6E"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96.2</w:t>
            </w:r>
          </w:p>
        </w:tc>
        <w:tc>
          <w:tcPr>
            <w:tcW w:w="57" w:type="dxa"/>
            <w:tcBorders>
              <w:top w:val="single" w:sz="8" w:space="0" w:color="auto"/>
              <w:bottom w:val="double" w:sz="4" w:space="0" w:color="auto"/>
            </w:tcBorders>
            <w:tcMar>
              <w:left w:w="0" w:type="dxa"/>
              <w:right w:w="0" w:type="dxa"/>
            </w:tcMar>
          </w:tcPr>
          <w:p w14:paraId="666EE817" w14:textId="77777777" w:rsidR="007E7656" w:rsidRDefault="007E7656" w:rsidP="00312F84"/>
        </w:tc>
        <w:tc>
          <w:tcPr>
            <w:tcW w:w="80" w:type="dxa"/>
            <w:tcMar>
              <w:left w:w="0" w:type="dxa"/>
              <w:right w:w="60" w:type="dxa"/>
            </w:tcMar>
            <w:vAlign w:val="bottom"/>
          </w:tcPr>
          <w:p w14:paraId="47CAA01C"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436D1F46"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(18.8</w:t>
            </w:r>
          </w:p>
        </w:tc>
        <w:tc>
          <w:tcPr>
            <w:tcW w:w="57" w:type="dxa"/>
            <w:tcBorders>
              <w:top w:val="single" w:sz="8" w:space="0" w:color="auto"/>
              <w:bottom w:val="double" w:sz="4" w:space="0" w:color="auto"/>
            </w:tcBorders>
            <w:tcMar>
              <w:left w:w="0" w:type="dxa"/>
              <w:right w:w="0" w:type="dxa"/>
            </w:tcMar>
            <w:vAlign w:val="bottom"/>
          </w:tcPr>
          <w:p w14:paraId="4C5596BF"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0A8500D2" w14:textId="77777777" w:rsidR="007E7656" w:rsidRDefault="007E7656" w:rsidP="00312F84">
            <w:pPr>
              <w:keepLines/>
              <w:spacing w:before="40" w:after="40"/>
            </w:pPr>
          </w:p>
        </w:tc>
        <w:tc>
          <w:tcPr>
            <w:tcW w:w="640" w:type="dxa"/>
            <w:tcBorders>
              <w:top w:val="single" w:sz="8" w:space="0" w:color="auto"/>
              <w:bottom w:val="double" w:sz="4" w:space="0" w:color="auto"/>
            </w:tcBorders>
            <w:tcMar>
              <w:left w:w="60" w:type="dxa"/>
              <w:right w:w="60" w:type="dxa"/>
            </w:tcMar>
            <w:vAlign w:val="bottom"/>
          </w:tcPr>
          <w:p w14:paraId="2B7D2D31" w14:textId="77777777" w:rsidR="007E7656" w:rsidRDefault="007E7656" w:rsidP="00312F84">
            <w:pPr>
              <w:keepLines/>
              <w:spacing w:before="40" w:after="40"/>
              <w:jc w:val="center"/>
              <w:rPr>
                <w:rFonts w:ascii="Arial" w:eastAsia="Arial" w:hAnsi="Arial" w:cs="Arial"/>
                <w:b/>
                <w:sz w:val="14"/>
              </w:rPr>
            </w:pPr>
            <w:r>
              <w:rPr>
                <w:rFonts w:ascii="Arial" w:eastAsia="Arial" w:hAnsi="Arial" w:cs="Arial"/>
                <w:b/>
                <w:color w:val="000000"/>
                <w:sz w:val="14"/>
              </w:rPr>
              <w:t>20%</w:t>
            </w:r>
          </w:p>
        </w:tc>
        <w:tc>
          <w:tcPr>
            <w:tcW w:w="100" w:type="dxa"/>
            <w:tcMar>
              <w:left w:w="0" w:type="dxa"/>
              <w:right w:w="60" w:type="dxa"/>
            </w:tcMar>
            <w:vAlign w:val="bottom"/>
          </w:tcPr>
          <w:p w14:paraId="7C3B6D6A"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0EE179B1"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77.4</w:t>
            </w:r>
          </w:p>
        </w:tc>
        <w:tc>
          <w:tcPr>
            <w:tcW w:w="57" w:type="dxa"/>
            <w:tcBorders>
              <w:top w:val="single" w:sz="8" w:space="0" w:color="auto"/>
              <w:bottom w:val="double" w:sz="4" w:space="0" w:color="auto"/>
            </w:tcBorders>
            <w:tcMar>
              <w:left w:w="0" w:type="dxa"/>
              <w:right w:w="0" w:type="dxa"/>
            </w:tcMar>
          </w:tcPr>
          <w:p w14:paraId="7B062A47" w14:textId="77777777" w:rsidR="007E7656" w:rsidRDefault="007E7656" w:rsidP="00312F84"/>
        </w:tc>
        <w:tc>
          <w:tcPr>
            <w:tcW w:w="80" w:type="dxa"/>
            <w:tcMar>
              <w:left w:w="0" w:type="dxa"/>
              <w:right w:w="60" w:type="dxa"/>
            </w:tcMar>
            <w:vAlign w:val="bottom"/>
          </w:tcPr>
          <w:p w14:paraId="3690E1BA" w14:textId="77777777" w:rsidR="007E7656" w:rsidRDefault="007E7656" w:rsidP="00312F84">
            <w:pPr>
              <w:keepLines/>
              <w:spacing w:before="40" w:after="40"/>
            </w:pPr>
          </w:p>
        </w:tc>
        <w:tc>
          <w:tcPr>
            <w:tcW w:w="88" w:type="dxa"/>
            <w:tcBorders>
              <w:top w:val="single" w:sz="8" w:space="0" w:color="auto"/>
              <w:bottom w:val="double" w:sz="4" w:space="0" w:color="auto"/>
            </w:tcBorders>
            <w:tcMar>
              <w:left w:w="0" w:type="dxa"/>
              <w:right w:w="0" w:type="dxa"/>
            </w:tcMar>
            <w:vAlign w:val="bottom"/>
          </w:tcPr>
          <w:p w14:paraId="6F3060D4"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495" w:type="dxa"/>
            <w:tcBorders>
              <w:top w:val="single" w:sz="8" w:space="0" w:color="auto"/>
              <w:bottom w:val="double" w:sz="4" w:space="0" w:color="auto"/>
            </w:tcBorders>
            <w:tcMar>
              <w:left w:w="0" w:type="dxa"/>
              <w:right w:w="0" w:type="dxa"/>
            </w:tcMar>
            <w:vAlign w:val="bottom"/>
          </w:tcPr>
          <w:p w14:paraId="2DFF9110"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0.33</w:t>
            </w:r>
          </w:p>
        </w:tc>
        <w:tc>
          <w:tcPr>
            <w:tcW w:w="57" w:type="dxa"/>
            <w:tcBorders>
              <w:top w:val="single" w:sz="8" w:space="0" w:color="auto"/>
              <w:bottom w:val="double" w:sz="4" w:space="0" w:color="auto"/>
            </w:tcBorders>
            <w:tcMar>
              <w:left w:w="0" w:type="dxa"/>
              <w:right w:w="0" w:type="dxa"/>
            </w:tcMar>
          </w:tcPr>
          <w:p w14:paraId="406CE9F4" w14:textId="77777777" w:rsidR="007E7656" w:rsidRDefault="007E7656" w:rsidP="00312F84"/>
        </w:tc>
      </w:tr>
    </w:tbl>
    <w:p w14:paraId="27C3C2EF" w14:textId="77777777" w:rsidR="007E7656" w:rsidRDefault="007E7656" w:rsidP="007E7656">
      <w:pPr>
        <w:spacing w:before="40" w:line="288" w:lineRule="auto"/>
        <w:rPr>
          <w:rFonts w:ascii="Arial" w:eastAsia="Arial" w:hAnsi="Arial" w:cs="Arial"/>
          <w:sz w:val="16"/>
        </w:rPr>
      </w:pPr>
    </w:p>
    <w:p w14:paraId="1C1A0B91" w14:textId="77777777" w:rsidR="007E7656" w:rsidRDefault="007E7656" w:rsidP="007E7656">
      <w:pPr>
        <w:spacing w:line="288" w:lineRule="auto"/>
        <w:rPr>
          <w:rFonts w:ascii="Arial" w:eastAsia="Arial" w:hAnsi="Arial" w:cs="Arial"/>
          <w:sz w:val="16"/>
        </w:rPr>
      </w:pPr>
      <w:r>
        <w:rPr>
          <w:rFonts w:ascii="Arial" w:eastAsia="Arial" w:hAnsi="Arial" w:cs="Arial"/>
          <w:sz w:val="16"/>
        </w:rPr>
        <w:t>* Using 232.7 M diluted shares</w:t>
      </w:r>
    </w:p>
    <w:p w14:paraId="2E3A6AC1" w14:textId="77777777" w:rsidR="007E7656" w:rsidRDefault="007E7656" w:rsidP="007E7656">
      <w:pPr>
        <w:spacing w:before="180" w:line="288" w:lineRule="auto"/>
        <w:jc w:val="center"/>
        <w:rPr>
          <w:rFonts w:ascii="Arial" w:eastAsia="Arial" w:hAnsi="Arial" w:cs="Arial"/>
          <w:sz w:val="16"/>
        </w:rPr>
      </w:pPr>
    </w:p>
    <w:p w14:paraId="121E46FB" w14:textId="77777777" w:rsidR="007E7656" w:rsidRDefault="007E7656" w:rsidP="007E7656">
      <w:pPr>
        <w:spacing w:before="180" w:line="288" w:lineRule="auto"/>
        <w:jc w:val="center"/>
        <w:rPr>
          <w:rFonts w:ascii="Arial" w:eastAsia="Arial" w:hAnsi="Arial" w:cs="Arial"/>
          <w:sz w:val="16"/>
        </w:rPr>
      </w:pPr>
      <w:r>
        <w:rPr>
          <w:rFonts w:ascii="Arial" w:eastAsia="Arial" w:hAnsi="Arial" w:cs="Arial"/>
          <w:sz w:val="16"/>
        </w:rPr>
        <w:t>Three months ended June 30, 2018</w:t>
      </w:r>
    </w:p>
    <w:p w14:paraId="2E95CEFF" w14:textId="77777777" w:rsidR="007E7656" w:rsidRDefault="007E7656" w:rsidP="007E7656">
      <w:pPr>
        <w:spacing w:line="288" w:lineRule="auto"/>
        <w:jc w:val="center"/>
        <w:rPr>
          <w:rFonts w:ascii="Arial" w:eastAsia="Arial" w:hAnsi="Arial" w:cs="Arial"/>
          <w:sz w:val="16"/>
        </w:rPr>
      </w:pPr>
      <w:r>
        <w:rPr>
          <w:rFonts w:ascii="Arial" w:eastAsia="Arial" w:hAnsi="Arial" w:cs="Arial"/>
          <w:sz w:val="16"/>
        </w:rPr>
        <w:t>(In $ millions, except EPS data)</w:t>
      </w:r>
    </w:p>
    <w:p w14:paraId="4432CEE0" w14:textId="77777777" w:rsidR="007E7656" w:rsidRDefault="007E7656" w:rsidP="007E7656">
      <w:pPr>
        <w:spacing w:after="140"/>
        <w:rPr>
          <w:rFonts w:ascii="Arial" w:eastAsia="Arial" w:hAnsi="Arial" w:cs="Arial"/>
          <w:sz w:val="16"/>
        </w:rPr>
      </w:pPr>
    </w:p>
    <w:tbl>
      <w:tblPr>
        <w:tblW w:w="10260" w:type="dxa"/>
        <w:tblLayout w:type="fixed"/>
        <w:tblCellMar>
          <w:left w:w="10" w:type="dxa"/>
          <w:right w:w="10" w:type="dxa"/>
        </w:tblCellMar>
        <w:tblLook w:val="04A0" w:firstRow="1" w:lastRow="0" w:firstColumn="1" w:lastColumn="0" w:noHBand="0" w:noVBand="1"/>
      </w:tblPr>
      <w:tblGrid>
        <w:gridCol w:w="3300"/>
        <w:gridCol w:w="80"/>
        <w:gridCol w:w="783"/>
        <w:gridCol w:w="57"/>
        <w:gridCol w:w="80"/>
        <w:gridCol w:w="783"/>
        <w:gridCol w:w="57"/>
        <w:gridCol w:w="80"/>
        <w:gridCol w:w="783"/>
        <w:gridCol w:w="57"/>
        <w:gridCol w:w="80"/>
        <w:gridCol w:w="783"/>
        <w:gridCol w:w="57"/>
        <w:gridCol w:w="80"/>
        <w:gridCol w:w="783"/>
        <w:gridCol w:w="57"/>
        <w:gridCol w:w="80"/>
        <w:gridCol w:w="640"/>
        <w:gridCol w:w="80"/>
        <w:gridCol w:w="783"/>
        <w:gridCol w:w="57"/>
        <w:gridCol w:w="80"/>
        <w:gridCol w:w="88"/>
        <w:gridCol w:w="495"/>
        <w:gridCol w:w="57"/>
      </w:tblGrid>
      <w:tr w:rsidR="007E7656" w14:paraId="109ECE32" w14:textId="77777777" w:rsidTr="007E7656">
        <w:trPr>
          <w:trHeight w:hRule="exact" w:val="400"/>
        </w:trPr>
        <w:tc>
          <w:tcPr>
            <w:tcW w:w="3300" w:type="dxa"/>
            <w:tcMar>
              <w:left w:w="60" w:type="dxa"/>
              <w:right w:w="0" w:type="dxa"/>
            </w:tcMar>
            <w:vAlign w:val="bottom"/>
          </w:tcPr>
          <w:p w14:paraId="6C3730BA" w14:textId="77777777" w:rsidR="007E7656" w:rsidRDefault="007E7656" w:rsidP="00312F84">
            <w:pPr>
              <w:keepNext/>
              <w:keepLines/>
              <w:spacing w:before="40" w:after="40"/>
            </w:pPr>
          </w:p>
        </w:tc>
        <w:tc>
          <w:tcPr>
            <w:tcW w:w="80" w:type="dxa"/>
            <w:tcMar>
              <w:left w:w="60" w:type="dxa"/>
              <w:right w:w="0" w:type="dxa"/>
            </w:tcMar>
            <w:vAlign w:val="bottom"/>
          </w:tcPr>
          <w:p w14:paraId="1C55491B"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0EE25C44"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Net</w:t>
            </w:r>
            <w:r>
              <w:rPr>
                <w:rFonts w:ascii="Arial" w:eastAsia="Arial" w:hAnsi="Arial" w:cs="Arial"/>
                <w:color w:val="000000"/>
                <w:sz w:val="14"/>
              </w:rPr>
              <w:br/>
              <w:t>Sales</w:t>
            </w:r>
          </w:p>
        </w:tc>
        <w:tc>
          <w:tcPr>
            <w:tcW w:w="80" w:type="dxa"/>
            <w:tcMar>
              <w:left w:w="60" w:type="dxa"/>
              <w:right w:w="0" w:type="dxa"/>
            </w:tcMar>
            <w:vAlign w:val="bottom"/>
          </w:tcPr>
          <w:p w14:paraId="1CFA4CCF"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49616C34"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Gross</w:t>
            </w:r>
            <w:r>
              <w:rPr>
                <w:rFonts w:ascii="Arial" w:eastAsia="Arial" w:hAnsi="Arial" w:cs="Arial"/>
                <w:color w:val="000000"/>
                <w:sz w:val="14"/>
              </w:rPr>
              <w:br/>
              <w:t>Profit</w:t>
            </w:r>
          </w:p>
        </w:tc>
        <w:tc>
          <w:tcPr>
            <w:tcW w:w="80" w:type="dxa"/>
            <w:tcMar>
              <w:left w:w="60" w:type="dxa"/>
              <w:right w:w="0" w:type="dxa"/>
            </w:tcMar>
            <w:vAlign w:val="bottom"/>
          </w:tcPr>
          <w:p w14:paraId="3980D9E9"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1F34A360"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Operating</w:t>
            </w:r>
            <w:r>
              <w:rPr>
                <w:rFonts w:ascii="Arial" w:eastAsia="Arial" w:hAnsi="Arial" w:cs="Arial"/>
                <w:color w:val="000000"/>
                <w:sz w:val="14"/>
              </w:rPr>
              <w:br/>
              <w:t>Income</w:t>
            </w:r>
          </w:p>
        </w:tc>
        <w:tc>
          <w:tcPr>
            <w:tcW w:w="80" w:type="dxa"/>
            <w:tcMar>
              <w:left w:w="60" w:type="dxa"/>
              <w:right w:w="0" w:type="dxa"/>
            </w:tcMar>
            <w:vAlign w:val="bottom"/>
          </w:tcPr>
          <w:p w14:paraId="416C6AA6"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74434CC"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Pre-tax</w:t>
            </w:r>
            <w:r>
              <w:rPr>
                <w:rFonts w:ascii="Arial" w:eastAsia="Arial" w:hAnsi="Arial" w:cs="Arial"/>
                <w:color w:val="000000"/>
                <w:sz w:val="14"/>
              </w:rPr>
              <w:br/>
              <w:t>Income</w:t>
            </w:r>
          </w:p>
        </w:tc>
        <w:tc>
          <w:tcPr>
            <w:tcW w:w="80" w:type="dxa"/>
            <w:tcMar>
              <w:left w:w="60" w:type="dxa"/>
              <w:right w:w="0" w:type="dxa"/>
            </w:tcMar>
            <w:vAlign w:val="bottom"/>
          </w:tcPr>
          <w:p w14:paraId="0EAA75CA"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3C758DA4"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Income</w:t>
            </w:r>
            <w:r>
              <w:rPr>
                <w:rFonts w:ascii="Arial" w:eastAsia="Arial" w:hAnsi="Arial" w:cs="Arial"/>
                <w:color w:val="000000"/>
                <w:sz w:val="14"/>
              </w:rPr>
              <w:br/>
              <w:t>Tax</w:t>
            </w:r>
          </w:p>
        </w:tc>
        <w:tc>
          <w:tcPr>
            <w:tcW w:w="80" w:type="dxa"/>
            <w:tcMar>
              <w:left w:w="60" w:type="dxa"/>
              <w:right w:w="0" w:type="dxa"/>
            </w:tcMar>
            <w:vAlign w:val="bottom"/>
          </w:tcPr>
          <w:p w14:paraId="04C79C75"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78C9D9BD"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Tax Rate</w:t>
            </w:r>
          </w:p>
        </w:tc>
        <w:tc>
          <w:tcPr>
            <w:tcW w:w="80" w:type="dxa"/>
            <w:tcMar>
              <w:left w:w="0" w:type="dxa"/>
              <w:right w:w="0" w:type="dxa"/>
            </w:tcMar>
            <w:vAlign w:val="bottom"/>
          </w:tcPr>
          <w:p w14:paraId="72B3326D"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FA268B8"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Net</w:t>
            </w:r>
            <w:r>
              <w:rPr>
                <w:rFonts w:ascii="Arial" w:eastAsia="Arial" w:hAnsi="Arial" w:cs="Arial"/>
                <w:color w:val="000000"/>
                <w:sz w:val="14"/>
              </w:rPr>
              <w:br/>
              <w:t>Income</w:t>
            </w:r>
          </w:p>
        </w:tc>
        <w:tc>
          <w:tcPr>
            <w:tcW w:w="80" w:type="dxa"/>
            <w:tcMar>
              <w:left w:w="60" w:type="dxa"/>
              <w:right w:w="0" w:type="dxa"/>
            </w:tcMar>
            <w:vAlign w:val="bottom"/>
          </w:tcPr>
          <w:p w14:paraId="7498550D" w14:textId="77777777" w:rsidR="007E7656" w:rsidRDefault="007E7656" w:rsidP="00312F84">
            <w:pPr>
              <w:keepNext/>
              <w:keepLines/>
              <w:spacing w:before="40" w:after="40"/>
            </w:pPr>
          </w:p>
        </w:tc>
        <w:tc>
          <w:tcPr>
            <w:tcW w:w="0" w:type="dxa"/>
            <w:gridSpan w:val="3"/>
            <w:tcBorders>
              <w:bottom w:val="single" w:sz="8" w:space="0" w:color="auto"/>
            </w:tcBorders>
            <w:tcMar>
              <w:left w:w="60" w:type="dxa"/>
              <w:right w:w="60" w:type="dxa"/>
            </w:tcMar>
            <w:vAlign w:val="bottom"/>
          </w:tcPr>
          <w:p w14:paraId="1303B761"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Diluted</w:t>
            </w:r>
            <w:r>
              <w:rPr>
                <w:rFonts w:ascii="Arial" w:eastAsia="Arial" w:hAnsi="Arial" w:cs="Arial"/>
                <w:color w:val="000000"/>
                <w:sz w:val="14"/>
              </w:rPr>
              <w:br/>
              <w:t>EPS</w:t>
            </w:r>
          </w:p>
        </w:tc>
      </w:tr>
      <w:tr w:rsidR="007E7656" w14:paraId="40BBAA44" w14:textId="77777777" w:rsidTr="00312F84">
        <w:trPr>
          <w:trHeight w:hRule="exact" w:val="260"/>
        </w:trPr>
        <w:tc>
          <w:tcPr>
            <w:tcW w:w="3300" w:type="dxa"/>
            <w:tcMar>
              <w:left w:w="60" w:type="dxa"/>
              <w:right w:w="40" w:type="dxa"/>
            </w:tcMar>
            <w:vAlign w:val="bottom"/>
          </w:tcPr>
          <w:p w14:paraId="3759125B"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Reported results</w:t>
            </w:r>
          </w:p>
        </w:tc>
        <w:tc>
          <w:tcPr>
            <w:tcW w:w="80" w:type="dxa"/>
            <w:tcMar>
              <w:left w:w="60" w:type="dxa"/>
              <w:right w:w="0" w:type="dxa"/>
            </w:tcMar>
            <w:vAlign w:val="bottom"/>
          </w:tcPr>
          <w:p w14:paraId="6F21FDC1" w14:textId="77777777" w:rsidR="007E7656" w:rsidRDefault="007E7656" w:rsidP="00312F84">
            <w:pPr>
              <w:keepNext/>
              <w:keepLines/>
              <w:spacing w:before="40" w:after="40"/>
            </w:pPr>
          </w:p>
        </w:tc>
        <w:tc>
          <w:tcPr>
            <w:tcW w:w="783" w:type="dxa"/>
            <w:tcMar>
              <w:left w:w="0" w:type="dxa"/>
              <w:right w:w="0" w:type="dxa"/>
            </w:tcMar>
            <w:vAlign w:val="bottom"/>
          </w:tcPr>
          <w:p w14:paraId="0610C702"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377.2</w:t>
            </w:r>
          </w:p>
        </w:tc>
        <w:tc>
          <w:tcPr>
            <w:tcW w:w="57" w:type="dxa"/>
            <w:tcMar>
              <w:left w:w="0" w:type="dxa"/>
              <w:right w:w="0" w:type="dxa"/>
            </w:tcMar>
          </w:tcPr>
          <w:p w14:paraId="4CAF4ECC" w14:textId="77777777" w:rsidR="007E7656" w:rsidRDefault="007E7656" w:rsidP="00312F84"/>
        </w:tc>
        <w:tc>
          <w:tcPr>
            <w:tcW w:w="80" w:type="dxa"/>
            <w:tcMar>
              <w:left w:w="0" w:type="dxa"/>
              <w:right w:w="60" w:type="dxa"/>
            </w:tcMar>
            <w:vAlign w:val="bottom"/>
          </w:tcPr>
          <w:p w14:paraId="7C6ED55A" w14:textId="77777777" w:rsidR="007E7656" w:rsidRDefault="007E7656" w:rsidP="00312F84">
            <w:pPr>
              <w:keepNext/>
              <w:keepLines/>
              <w:spacing w:before="40" w:after="40"/>
            </w:pPr>
          </w:p>
        </w:tc>
        <w:tc>
          <w:tcPr>
            <w:tcW w:w="783" w:type="dxa"/>
            <w:tcMar>
              <w:left w:w="0" w:type="dxa"/>
              <w:right w:w="0" w:type="dxa"/>
            </w:tcMar>
            <w:vAlign w:val="bottom"/>
          </w:tcPr>
          <w:p w14:paraId="42FBD774"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253.8</w:t>
            </w:r>
          </w:p>
        </w:tc>
        <w:tc>
          <w:tcPr>
            <w:tcW w:w="57" w:type="dxa"/>
            <w:tcMar>
              <w:left w:w="0" w:type="dxa"/>
              <w:right w:w="0" w:type="dxa"/>
            </w:tcMar>
          </w:tcPr>
          <w:p w14:paraId="52855D6C" w14:textId="77777777" w:rsidR="007E7656" w:rsidRDefault="007E7656" w:rsidP="00312F84"/>
        </w:tc>
        <w:tc>
          <w:tcPr>
            <w:tcW w:w="80" w:type="dxa"/>
            <w:tcMar>
              <w:left w:w="0" w:type="dxa"/>
              <w:right w:w="60" w:type="dxa"/>
            </w:tcMar>
            <w:vAlign w:val="bottom"/>
          </w:tcPr>
          <w:p w14:paraId="615DE1BB" w14:textId="77777777" w:rsidR="007E7656" w:rsidRDefault="007E7656" w:rsidP="00312F84">
            <w:pPr>
              <w:keepNext/>
              <w:keepLines/>
              <w:spacing w:before="40" w:after="40"/>
            </w:pPr>
          </w:p>
        </w:tc>
        <w:tc>
          <w:tcPr>
            <w:tcW w:w="783" w:type="dxa"/>
            <w:tcMar>
              <w:left w:w="0" w:type="dxa"/>
              <w:right w:w="0" w:type="dxa"/>
            </w:tcMar>
            <w:vAlign w:val="bottom"/>
          </w:tcPr>
          <w:p w14:paraId="69A9B98B"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53.3</w:t>
            </w:r>
          </w:p>
        </w:tc>
        <w:tc>
          <w:tcPr>
            <w:tcW w:w="57" w:type="dxa"/>
            <w:tcMar>
              <w:left w:w="0" w:type="dxa"/>
              <w:right w:w="0" w:type="dxa"/>
            </w:tcMar>
          </w:tcPr>
          <w:p w14:paraId="2F3FF7F1" w14:textId="77777777" w:rsidR="007E7656" w:rsidRDefault="007E7656" w:rsidP="00312F84"/>
        </w:tc>
        <w:tc>
          <w:tcPr>
            <w:tcW w:w="80" w:type="dxa"/>
            <w:tcMar>
              <w:left w:w="0" w:type="dxa"/>
              <w:right w:w="60" w:type="dxa"/>
            </w:tcMar>
            <w:vAlign w:val="bottom"/>
          </w:tcPr>
          <w:p w14:paraId="4417A859" w14:textId="77777777" w:rsidR="007E7656" w:rsidRDefault="007E7656" w:rsidP="00312F84">
            <w:pPr>
              <w:keepNext/>
              <w:keepLines/>
              <w:spacing w:before="40" w:after="40"/>
            </w:pPr>
          </w:p>
        </w:tc>
        <w:tc>
          <w:tcPr>
            <w:tcW w:w="783" w:type="dxa"/>
            <w:tcMar>
              <w:left w:w="0" w:type="dxa"/>
              <w:right w:w="0" w:type="dxa"/>
            </w:tcMar>
            <w:vAlign w:val="bottom"/>
          </w:tcPr>
          <w:p w14:paraId="5AA24954"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46.0</w:t>
            </w:r>
          </w:p>
        </w:tc>
        <w:tc>
          <w:tcPr>
            <w:tcW w:w="57" w:type="dxa"/>
            <w:tcMar>
              <w:left w:w="0" w:type="dxa"/>
              <w:right w:w="0" w:type="dxa"/>
            </w:tcMar>
          </w:tcPr>
          <w:p w14:paraId="1EE4040B" w14:textId="77777777" w:rsidR="007E7656" w:rsidRDefault="007E7656" w:rsidP="00312F84"/>
        </w:tc>
        <w:tc>
          <w:tcPr>
            <w:tcW w:w="80" w:type="dxa"/>
            <w:tcMar>
              <w:left w:w="0" w:type="dxa"/>
              <w:right w:w="60" w:type="dxa"/>
            </w:tcMar>
            <w:vAlign w:val="bottom"/>
          </w:tcPr>
          <w:p w14:paraId="2C7BDC62" w14:textId="77777777" w:rsidR="007E7656" w:rsidRDefault="007E7656" w:rsidP="00312F84">
            <w:pPr>
              <w:keepNext/>
              <w:keepLines/>
              <w:spacing w:before="40" w:after="40"/>
            </w:pPr>
          </w:p>
        </w:tc>
        <w:tc>
          <w:tcPr>
            <w:tcW w:w="783" w:type="dxa"/>
            <w:tcMar>
              <w:left w:w="0" w:type="dxa"/>
              <w:right w:w="0" w:type="dxa"/>
            </w:tcMar>
            <w:vAlign w:val="bottom"/>
          </w:tcPr>
          <w:p w14:paraId="26C272E5"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(9.1</w:t>
            </w:r>
          </w:p>
        </w:tc>
        <w:tc>
          <w:tcPr>
            <w:tcW w:w="57" w:type="dxa"/>
            <w:tcMar>
              <w:left w:w="0" w:type="dxa"/>
              <w:right w:w="0" w:type="dxa"/>
            </w:tcMar>
            <w:vAlign w:val="bottom"/>
          </w:tcPr>
          <w:p w14:paraId="0CBE8620"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042C1F51" w14:textId="77777777" w:rsidR="007E7656" w:rsidRDefault="007E7656" w:rsidP="00312F84">
            <w:pPr>
              <w:keepNext/>
              <w:keepLines/>
              <w:spacing w:before="40" w:after="40"/>
            </w:pPr>
          </w:p>
        </w:tc>
        <w:tc>
          <w:tcPr>
            <w:tcW w:w="640" w:type="dxa"/>
            <w:tcBorders>
              <w:top w:val="single" w:sz="8" w:space="0" w:color="auto"/>
            </w:tcBorders>
            <w:tcMar>
              <w:left w:w="60" w:type="dxa"/>
              <w:right w:w="60" w:type="dxa"/>
            </w:tcMar>
            <w:vAlign w:val="bottom"/>
          </w:tcPr>
          <w:p w14:paraId="2BBA27EA" w14:textId="77777777" w:rsidR="007E7656" w:rsidRDefault="007E7656" w:rsidP="00312F84">
            <w:pPr>
              <w:keepNext/>
              <w:keepLines/>
              <w:spacing w:before="40" w:after="40"/>
              <w:jc w:val="center"/>
              <w:rPr>
                <w:rFonts w:ascii="Arial" w:eastAsia="Arial" w:hAnsi="Arial" w:cs="Arial"/>
                <w:b/>
                <w:sz w:val="14"/>
              </w:rPr>
            </w:pPr>
            <w:r>
              <w:rPr>
                <w:rFonts w:ascii="Arial" w:eastAsia="Arial" w:hAnsi="Arial" w:cs="Arial"/>
                <w:b/>
                <w:color w:val="000000"/>
                <w:sz w:val="14"/>
              </w:rPr>
              <w:t>20%</w:t>
            </w:r>
          </w:p>
        </w:tc>
        <w:tc>
          <w:tcPr>
            <w:tcW w:w="80" w:type="dxa"/>
            <w:tcMar>
              <w:left w:w="0" w:type="dxa"/>
              <w:right w:w="60" w:type="dxa"/>
            </w:tcMar>
            <w:vAlign w:val="bottom"/>
          </w:tcPr>
          <w:p w14:paraId="1F9A0C68" w14:textId="77777777" w:rsidR="007E7656" w:rsidRDefault="007E7656" w:rsidP="00312F84">
            <w:pPr>
              <w:keepNext/>
              <w:keepLines/>
              <w:spacing w:before="40" w:after="40"/>
            </w:pPr>
          </w:p>
        </w:tc>
        <w:tc>
          <w:tcPr>
            <w:tcW w:w="783" w:type="dxa"/>
            <w:tcMar>
              <w:left w:w="0" w:type="dxa"/>
              <w:right w:w="0" w:type="dxa"/>
            </w:tcMar>
            <w:vAlign w:val="bottom"/>
          </w:tcPr>
          <w:p w14:paraId="73DAC7CC"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36.8</w:t>
            </w:r>
          </w:p>
        </w:tc>
        <w:tc>
          <w:tcPr>
            <w:tcW w:w="57" w:type="dxa"/>
            <w:tcMar>
              <w:left w:w="0" w:type="dxa"/>
              <w:right w:w="0" w:type="dxa"/>
            </w:tcMar>
          </w:tcPr>
          <w:p w14:paraId="2B2FCB08" w14:textId="77777777" w:rsidR="007E7656" w:rsidRDefault="007E7656" w:rsidP="00312F84"/>
        </w:tc>
        <w:tc>
          <w:tcPr>
            <w:tcW w:w="80" w:type="dxa"/>
            <w:tcMar>
              <w:left w:w="0" w:type="dxa"/>
              <w:right w:w="60" w:type="dxa"/>
            </w:tcMar>
            <w:vAlign w:val="bottom"/>
          </w:tcPr>
          <w:p w14:paraId="638CB75D" w14:textId="77777777" w:rsidR="007E7656" w:rsidRDefault="007E7656" w:rsidP="00312F84">
            <w:pPr>
              <w:keepNext/>
              <w:keepLines/>
              <w:spacing w:before="40" w:after="40"/>
            </w:pPr>
          </w:p>
        </w:tc>
        <w:tc>
          <w:tcPr>
            <w:tcW w:w="88" w:type="dxa"/>
            <w:tcMar>
              <w:left w:w="0" w:type="dxa"/>
              <w:right w:w="0" w:type="dxa"/>
            </w:tcMar>
            <w:vAlign w:val="bottom"/>
          </w:tcPr>
          <w:p w14:paraId="2863533D"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495" w:type="dxa"/>
            <w:tcMar>
              <w:left w:w="0" w:type="dxa"/>
              <w:right w:w="0" w:type="dxa"/>
            </w:tcMar>
            <w:vAlign w:val="bottom"/>
          </w:tcPr>
          <w:p w14:paraId="057D0695"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0.16</w:t>
            </w:r>
          </w:p>
        </w:tc>
        <w:tc>
          <w:tcPr>
            <w:tcW w:w="57" w:type="dxa"/>
            <w:tcMar>
              <w:left w:w="0" w:type="dxa"/>
              <w:right w:w="0" w:type="dxa"/>
            </w:tcMar>
          </w:tcPr>
          <w:p w14:paraId="2872372E" w14:textId="77777777" w:rsidR="007E7656" w:rsidRDefault="007E7656" w:rsidP="00312F84"/>
        </w:tc>
      </w:tr>
      <w:tr w:rsidR="007E7656" w14:paraId="7D287A79" w14:textId="77777777" w:rsidTr="007E7656">
        <w:trPr>
          <w:trHeight w:hRule="exact" w:val="260"/>
        </w:trPr>
        <w:tc>
          <w:tcPr>
            <w:tcW w:w="3300" w:type="dxa"/>
            <w:tcMar>
              <w:left w:w="60" w:type="dxa"/>
              <w:right w:w="40" w:type="dxa"/>
            </w:tcMar>
            <w:vAlign w:val="bottom"/>
          </w:tcPr>
          <w:p w14:paraId="7A7FC246"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Adjustments:</w:t>
            </w:r>
          </w:p>
        </w:tc>
        <w:tc>
          <w:tcPr>
            <w:tcW w:w="80" w:type="dxa"/>
            <w:tcMar>
              <w:left w:w="60" w:type="dxa"/>
              <w:right w:w="0" w:type="dxa"/>
            </w:tcMar>
            <w:vAlign w:val="bottom"/>
          </w:tcPr>
          <w:p w14:paraId="124CF3E4" w14:textId="77777777" w:rsidR="007E7656" w:rsidRDefault="007E7656" w:rsidP="00312F84">
            <w:pPr>
              <w:keepNext/>
              <w:keepLines/>
              <w:spacing w:before="40" w:after="40"/>
            </w:pPr>
          </w:p>
        </w:tc>
        <w:tc>
          <w:tcPr>
            <w:tcW w:w="783" w:type="dxa"/>
            <w:gridSpan w:val="2"/>
            <w:tcMar>
              <w:left w:w="60" w:type="dxa"/>
              <w:right w:w="0" w:type="dxa"/>
            </w:tcMar>
            <w:vAlign w:val="bottom"/>
          </w:tcPr>
          <w:p w14:paraId="2D351A11" w14:textId="77777777" w:rsidR="007E7656" w:rsidRDefault="007E7656" w:rsidP="00312F84">
            <w:pPr>
              <w:keepNext/>
              <w:keepLines/>
              <w:spacing w:before="40" w:after="40"/>
            </w:pPr>
          </w:p>
        </w:tc>
        <w:tc>
          <w:tcPr>
            <w:tcW w:w="80" w:type="dxa"/>
            <w:tcMar>
              <w:left w:w="60" w:type="dxa"/>
              <w:right w:w="0" w:type="dxa"/>
            </w:tcMar>
            <w:vAlign w:val="bottom"/>
          </w:tcPr>
          <w:p w14:paraId="6935C668" w14:textId="77777777" w:rsidR="007E7656" w:rsidRDefault="007E7656" w:rsidP="00312F84">
            <w:pPr>
              <w:keepNext/>
              <w:keepLines/>
              <w:spacing w:before="40" w:after="40"/>
            </w:pPr>
          </w:p>
        </w:tc>
        <w:tc>
          <w:tcPr>
            <w:tcW w:w="783" w:type="dxa"/>
            <w:gridSpan w:val="2"/>
            <w:tcMar>
              <w:left w:w="60" w:type="dxa"/>
              <w:right w:w="0" w:type="dxa"/>
            </w:tcMar>
            <w:vAlign w:val="bottom"/>
          </w:tcPr>
          <w:p w14:paraId="4F096184" w14:textId="77777777" w:rsidR="007E7656" w:rsidRDefault="007E7656" w:rsidP="00312F84">
            <w:pPr>
              <w:keepNext/>
              <w:keepLines/>
              <w:spacing w:before="40" w:after="40"/>
            </w:pPr>
          </w:p>
        </w:tc>
        <w:tc>
          <w:tcPr>
            <w:tcW w:w="80" w:type="dxa"/>
            <w:tcMar>
              <w:left w:w="60" w:type="dxa"/>
              <w:right w:w="0" w:type="dxa"/>
            </w:tcMar>
            <w:vAlign w:val="bottom"/>
          </w:tcPr>
          <w:p w14:paraId="35EEE7B6" w14:textId="77777777" w:rsidR="007E7656" w:rsidRDefault="007E7656" w:rsidP="00312F84">
            <w:pPr>
              <w:keepNext/>
              <w:keepLines/>
              <w:spacing w:before="40" w:after="40"/>
            </w:pPr>
          </w:p>
        </w:tc>
        <w:tc>
          <w:tcPr>
            <w:tcW w:w="783" w:type="dxa"/>
            <w:gridSpan w:val="2"/>
            <w:tcMar>
              <w:left w:w="60" w:type="dxa"/>
              <w:right w:w="0" w:type="dxa"/>
            </w:tcMar>
            <w:vAlign w:val="bottom"/>
          </w:tcPr>
          <w:p w14:paraId="293BF408" w14:textId="77777777" w:rsidR="007E7656" w:rsidRDefault="007E7656" w:rsidP="00312F84">
            <w:pPr>
              <w:keepNext/>
              <w:keepLines/>
              <w:spacing w:before="40" w:after="40"/>
            </w:pPr>
          </w:p>
        </w:tc>
        <w:tc>
          <w:tcPr>
            <w:tcW w:w="80" w:type="dxa"/>
            <w:tcMar>
              <w:left w:w="60" w:type="dxa"/>
              <w:right w:w="0" w:type="dxa"/>
            </w:tcMar>
            <w:vAlign w:val="bottom"/>
          </w:tcPr>
          <w:p w14:paraId="7C0D923F" w14:textId="77777777" w:rsidR="007E7656" w:rsidRDefault="007E7656" w:rsidP="00312F84">
            <w:pPr>
              <w:keepNext/>
              <w:keepLines/>
              <w:spacing w:before="40" w:after="40"/>
            </w:pPr>
          </w:p>
        </w:tc>
        <w:tc>
          <w:tcPr>
            <w:tcW w:w="783" w:type="dxa"/>
            <w:gridSpan w:val="2"/>
            <w:tcMar>
              <w:left w:w="60" w:type="dxa"/>
              <w:right w:w="0" w:type="dxa"/>
            </w:tcMar>
            <w:vAlign w:val="bottom"/>
          </w:tcPr>
          <w:p w14:paraId="2FB075B2" w14:textId="77777777" w:rsidR="007E7656" w:rsidRDefault="007E7656" w:rsidP="00312F84">
            <w:pPr>
              <w:keepNext/>
              <w:keepLines/>
              <w:spacing w:before="40" w:after="40"/>
            </w:pPr>
          </w:p>
        </w:tc>
        <w:tc>
          <w:tcPr>
            <w:tcW w:w="80" w:type="dxa"/>
            <w:tcMar>
              <w:left w:w="60" w:type="dxa"/>
              <w:right w:w="0" w:type="dxa"/>
            </w:tcMar>
            <w:vAlign w:val="bottom"/>
          </w:tcPr>
          <w:p w14:paraId="1F9FFC6A" w14:textId="77777777" w:rsidR="007E7656" w:rsidRDefault="007E7656" w:rsidP="00312F84">
            <w:pPr>
              <w:keepNext/>
              <w:keepLines/>
              <w:spacing w:before="40" w:after="40"/>
            </w:pPr>
          </w:p>
        </w:tc>
        <w:tc>
          <w:tcPr>
            <w:tcW w:w="783" w:type="dxa"/>
            <w:gridSpan w:val="2"/>
            <w:tcMar>
              <w:left w:w="60" w:type="dxa"/>
              <w:right w:w="0" w:type="dxa"/>
            </w:tcMar>
            <w:vAlign w:val="bottom"/>
          </w:tcPr>
          <w:p w14:paraId="57A344AD" w14:textId="77777777" w:rsidR="007E7656" w:rsidRDefault="007E7656" w:rsidP="00312F84">
            <w:pPr>
              <w:keepNext/>
              <w:keepLines/>
              <w:spacing w:before="40" w:after="40"/>
            </w:pPr>
          </w:p>
        </w:tc>
        <w:tc>
          <w:tcPr>
            <w:tcW w:w="80" w:type="dxa"/>
            <w:tcMar>
              <w:left w:w="60" w:type="dxa"/>
              <w:right w:w="0" w:type="dxa"/>
            </w:tcMar>
            <w:vAlign w:val="bottom"/>
          </w:tcPr>
          <w:p w14:paraId="2D8E7658" w14:textId="77777777" w:rsidR="007E7656" w:rsidRDefault="007E7656" w:rsidP="00312F84">
            <w:pPr>
              <w:keepNext/>
              <w:keepLines/>
              <w:spacing w:before="40" w:after="40"/>
            </w:pPr>
          </w:p>
        </w:tc>
        <w:tc>
          <w:tcPr>
            <w:tcW w:w="640" w:type="dxa"/>
            <w:tcMar>
              <w:left w:w="60" w:type="dxa"/>
              <w:right w:w="60" w:type="dxa"/>
            </w:tcMar>
            <w:vAlign w:val="bottom"/>
          </w:tcPr>
          <w:p w14:paraId="4D5ECB1C" w14:textId="77777777" w:rsidR="007E7656" w:rsidRDefault="007E7656" w:rsidP="00312F84">
            <w:pPr>
              <w:keepNext/>
              <w:keepLines/>
              <w:spacing w:before="40" w:after="40"/>
            </w:pPr>
          </w:p>
        </w:tc>
        <w:tc>
          <w:tcPr>
            <w:tcW w:w="80" w:type="dxa"/>
            <w:tcMar>
              <w:left w:w="60" w:type="dxa"/>
              <w:right w:w="0" w:type="dxa"/>
            </w:tcMar>
            <w:vAlign w:val="bottom"/>
          </w:tcPr>
          <w:p w14:paraId="48A2D367" w14:textId="77777777" w:rsidR="007E7656" w:rsidRDefault="007E7656" w:rsidP="00312F84">
            <w:pPr>
              <w:keepNext/>
              <w:keepLines/>
              <w:spacing w:before="40" w:after="40"/>
            </w:pPr>
          </w:p>
        </w:tc>
        <w:tc>
          <w:tcPr>
            <w:tcW w:w="783" w:type="dxa"/>
            <w:gridSpan w:val="2"/>
            <w:tcMar>
              <w:left w:w="60" w:type="dxa"/>
              <w:right w:w="0" w:type="dxa"/>
            </w:tcMar>
            <w:vAlign w:val="bottom"/>
          </w:tcPr>
          <w:p w14:paraId="2994F547" w14:textId="77777777" w:rsidR="007E7656" w:rsidRDefault="007E7656" w:rsidP="00312F84">
            <w:pPr>
              <w:keepNext/>
              <w:keepLines/>
              <w:spacing w:before="40" w:after="40"/>
            </w:pPr>
          </w:p>
        </w:tc>
        <w:tc>
          <w:tcPr>
            <w:tcW w:w="80" w:type="dxa"/>
            <w:tcMar>
              <w:left w:w="60" w:type="dxa"/>
              <w:right w:w="0" w:type="dxa"/>
            </w:tcMar>
            <w:vAlign w:val="bottom"/>
          </w:tcPr>
          <w:p w14:paraId="52927CFC" w14:textId="77777777" w:rsidR="007E7656" w:rsidRDefault="007E7656" w:rsidP="00312F84">
            <w:pPr>
              <w:keepNext/>
              <w:keepLines/>
              <w:spacing w:before="40" w:after="40"/>
            </w:pPr>
          </w:p>
        </w:tc>
        <w:tc>
          <w:tcPr>
            <w:tcW w:w="0" w:type="dxa"/>
            <w:gridSpan w:val="3"/>
            <w:tcMar>
              <w:left w:w="60" w:type="dxa"/>
              <w:right w:w="0" w:type="dxa"/>
            </w:tcMar>
            <w:vAlign w:val="bottom"/>
          </w:tcPr>
          <w:p w14:paraId="58D1A15E" w14:textId="77777777" w:rsidR="007E7656" w:rsidRDefault="007E7656" w:rsidP="00312F84">
            <w:pPr>
              <w:keepNext/>
              <w:keepLines/>
              <w:spacing w:before="40" w:after="40"/>
            </w:pPr>
          </w:p>
        </w:tc>
      </w:tr>
      <w:tr w:rsidR="007E7656" w14:paraId="4036C4DA" w14:textId="77777777" w:rsidTr="007E7656">
        <w:trPr>
          <w:trHeight w:hRule="exact" w:val="400"/>
        </w:trPr>
        <w:tc>
          <w:tcPr>
            <w:tcW w:w="3300" w:type="dxa"/>
            <w:tcMar>
              <w:left w:w="300" w:type="dxa"/>
              <w:right w:w="40" w:type="dxa"/>
            </w:tcMar>
            <w:vAlign w:val="bottom"/>
          </w:tcPr>
          <w:p w14:paraId="14EF604E"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Business integration, acquisition and restructuring related items (including litigation)</w:t>
            </w:r>
          </w:p>
        </w:tc>
        <w:tc>
          <w:tcPr>
            <w:tcW w:w="80" w:type="dxa"/>
            <w:tcMar>
              <w:left w:w="0" w:type="dxa"/>
              <w:right w:w="0" w:type="dxa"/>
            </w:tcMar>
            <w:vAlign w:val="bottom"/>
          </w:tcPr>
          <w:p w14:paraId="3E4E5CFD" w14:textId="77777777" w:rsidR="007E7656" w:rsidRDefault="007E7656" w:rsidP="00312F84">
            <w:pPr>
              <w:keepNext/>
              <w:keepLines/>
              <w:spacing w:before="40" w:after="40"/>
            </w:pPr>
          </w:p>
        </w:tc>
        <w:tc>
          <w:tcPr>
            <w:tcW w:w="783" w:type="dxa"/>
            <w:tcMar>
              <w:left w:w="0" w:type="dxa"/>
              <w:right w:w="0" w:type="dxa"/>
            </w:tcMar>
            <w:vAlign w:val="bottom"/>
          </w:tcPr>
          <w:p w14:paraId="5F5228C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6DF35672" w14:textId="77777777" w:rsidR="007E7656" w:rsidRDefault="007E7656" w:rsidP="00312F84"/>
        </w:tc>
        <w:tc>
          <w:tcPr>
            <w:tcW w:w="80" w:type="dxa"/>
            <w:tcMar>
              <w:left w:w="0" w:type="dxa"/>
              <w:right w:w="60" w:type="dxa"/>
            </w:tcMar>
            <w:vAlign w:val="bottom"/>
          </w:tcPr>
          <w:p w14:paraId="2B4852CB" w14:textId="77777777" w:rsidR="007E7656" w:rsidRDefault="007E7656" w:rsidP="00312F84">
            <w:pPr>
              <w:keepNext/>
              <w:keepLines/>
              <w:spacing w:before="40" w:after="40"/>
            </w:pPr>
          </w:p>
        </w:tc>
        <w:tc>
          <w:tcPr>
            <w:tcW w:w="783" w:type="dxa"/>
            <w:tcMar>
              <w:left w:w="0" w:type="dxa"/>
              <w:right w:w="0" w:type="dxa"/>
            </w:tcMar>
            <w:vAlign w:val="bottom"/>
          </w:tcPr>
          <w:p w14:paraId="109D077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0.4</w:t>
            </w:r>
          </w:p>
        </w:tc>
        <w:tc>
          <w:tcPr>
            <w:tcW w:w="57" w:type="dxa"/>
            <w:tcMar>
              <w:left w:w="0" w:type="dxa"/>
              <w:right w:w="0" w:type="dxa"/>
            </w:tcMar>
          </w:tcPr>
          <w:p w14:paraId="73354D21" w14:textId="77777777" w:rsidR="007E7656" w:rsidRDefault="007E7656" w:rsidP="00312F84"/>
        </w:tc>
        <w:tc>
          <w:tcPr>
            <w:tcW w:w="80" w:type="dxa"/>
            <w:tcMar>
              <w:left w:w="0" w:type="dxa"/>
              <w:right w:w="60" w:type="dxa"/>
            </w:tcMar>
            <w:vAlign w:val="bottom"/>
          </w:tcPr>
          <w:p w14:paraId="5EDCDB74" w14:textId="77777777" w:rsidR="007E7656" w:rsidRDefault="007E7656" w:rsidP="00312F84">
            <w:pPr>
              <w:keepNext/>
              <w:keepLines/>
              <w:spacing w:before="40" w:after="40"/>
            </w:pPr>
          </w:p>
        </w:tc>
        <w:tc>
          <w:tcPr>
            <w:tcW w:w="783" w:type="dxa"/>
            <w:tcMar>
              <w:left w:w="0" w:type="dxa"/>
              <w:right w:w="0" w:type="dxa"/>
            </w:tcMar>
            <w:vAlign w:val="bottom"/>
          </w:tcPr>
          <w:p w14:paraId="59DBE3B4"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21.9</w:t>
            </w:r>
          </w:p>
        </w:tc>
        <w:tc>
          <w:tcPr>
            <w:tcW w:w="57" w:type="dxa"/>
            <w:tcMar>
              <w:left w:w="0" w:type="dxa"/>
              <w:right w:w="0" w:type="dxa"/>
            </w:tcMar>
          </w:tcPr>
          <w:p w14:paraId="63BB662D" w14:textId="77777777" w:rsidR="007E7656" w:rsidRDefault="007E7656" w:rsidP="00312F84"/>
        </w:tc>
        <w:tc>
          <w:tcPr>
            <w:tcW w:w="80" w:type="dxa"/>
            <w:tcMar>
              <w:left w:w="0" w:type="dxa"/>
              <w:right w:w="60" w:type="dxa"/>
            </w:tcMar>
            <w:vAlign w:val="bottom"/>
          </w:tcPr>
          <w:p w14:paraId="274BBADE" w14:textId="77777777" w:rsidR="007E7656" w:rsidRDefault="007E7656" w:rsidP="00312F84">
            <w:pPr>
              <w:keepNext/>
              <w:keepLines/>
              <w:spacing w:before="40" w:after="40"/>
            </w:pPr>
          </w:p>
        </w:tc>
        <w:tc>
          <w:tcPr>
            <w:tcW w:w="783" w:type="dxa"/>
            <w:tcMar>
              <w:left w:w="0" w:type="dxa"/>
              <w:right w:w="0" w:type="dxa"/>
            </w:tcMar>
            <w:vAlign w:val="bottom"/>
          </w:tcPr>
          <w:p w14:paraId="1F4CAD6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21.9</w:t>
            </w:r>
          </w:p>
        </w:tc>
        <w:tc>
          <w:tcPr>
            <w:tcW w:w="57" w:type="dxa"/>
            <w:tcMar>
              <w:left w:w="0" w:type="dxa"/>
              <w:right w:w="0" w:type="dxa"/>
            </w:tcMar>
          </w:tcPr>
          <w:p w14:paraId="5BA5A262" w14:textId="77777777" w:rsidR="007E7656" w:rsidRDefault="007E7656" w:rsidP="00312F84"/>
        </w:tc>
        <w:tc>
          <w:tcPr>
            <w:tcW w:w="80" w:type="dxa"/>
            <w:tcMar>
              <w:left w:w="0" w:type="dxa"/>
              <w:right w:w="60" w:type="dxa"/>
            </w:tcMar>
            <w:vAlign w:val="bottom"/>
          </w:tcPr>
          <w:p w14:paraId="7C53727F" w14:textId="77777777" w:rsidR="007E7656" w:rsidRDefault="007E7656" w:rsidP="00312F84">
            <w:pPr>
              <w:keepNext/>
              <w:keepLines/>
              <w:spacing w:before="40" w:after="40"/>
            </w:pPr>
          </w:p>
        </w:tc>
        <w:tc>
          <w:tcPr>
            <w:tcW w:w="783" w:type="dxa"/>
            <w:tcMar>
              <w:left w:w="0" w:type="dxa"/>
              <w:right w:w="0" w:type="dxa"/>
            </w:tcMar>
            <w:vAlign w:val="bottom"/>
          </w:tcPr>
          <w:p w14:paraId="285C7DB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(5.7</w:t>
            </w:r>
          </w:p>
        </w:tc>
        <w:tc>
          <w:tcPr>
            <w:tcW w:w="57" w:type="dxa"/>
            <w:tcMar>
              <w:left w:w="0" w:type="dxa"/>
              <w:right w:w="0" w:type="dxa"/>
            </w:tcMar>
            <w:vAlign w:val="bottom"/>
          </w:tcPr>
          <w:p w14:paraId="7F5031B1"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28F4D6F" w14:textId="77777777" w:rsidR="007E7656" w:rsidRDefault="007E7656" w:rsidP="00312F84">
            <w:pPr>
              <w:keepNext/>
              <w:keepLines/>
              <w:spacing w:before="40" w:after="40"/>
            </w:pPr>
          </w:p>
        </w:tc>
        <w:tc>
          <w:tcPr>
            <w:tcW w:w="640" w:type="dxa"/>
            <w:tcMar>
              <w:left w:w="60" w:type="dxa"/>
              <w:right w:w="60" w:type="dxa"/>
            </w:tcMar>
            <w:vAlign w:val="bottom"/>
          </w:tcPr>
          <w:p w14:paraId="0E9A782A" w14:textId="77777777" w:rsidR="007E7656" w:rsidRDefault="007E7656" w:rsidP="00312F84">
            <w:pPr>
              <w:keepNext/>
              <w:keepLines/>
              <w:spacing w:before="40" w:after="40"/>
            </w:pPr>
          </w:p>
        </w:tc>
        <w:tc>
          <w:tcPr>
            <w:tcW w:w="80" w:type="dxa"/>
            <w:tcMar>
              <w:left w:w="0" w:type="dxa"/>
              <w:right w:w="60" w:type="dxa"/>
            </w:tcMar>
            <w:vAlign w:val="bottom"/>
          </w:tcPr>
          <w:p w14:paraId="570098C1" w14:textId="77777777" w:rsidR="007E7656" w:rsidRDefault="007E7656" w:rsidP="00312F84">
            <w:pPr>
              <w:keepNext/>
              <w:keepLines/>
              <w:spacing w:before="40" w:after="40"/>
            </w:pPr>
          </w:p>
        </w:tc>
        <w:tc>
          <w:tcPr>
            <w:tcW w:w="783" w:type="dxa"/>
            <w:tcMar>
              <w:left w:w="0" w:type="dxa"/>
              <w:right w:w="0" w:type="dxa"/>
            </w:tcMar>
            <w:vAlign w:val="bottom"/>
          </w:tcPr>
          <w:p w14:paraId="4CF1187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16.2</w:t>
            </w:r>
          </w:p>
        </w:tc>
        <w:tc>
          <w:tcPr>
            <w:tcW w:w="57" w:type="dxa"/>
            <w:tcMar>
              <w:left w:w="0" w:type="dxa"/>
              <w:right w:w="0" w:type="dxa"/>
            </w:tcMar>
          </w:tcPr>
          <w:p w14:paraId="5844DD88" w14:textId="77777777" w:rsidR="007E7656" w:rsidRDefault="007E7656" w:rsidP="00312F84"/>
        </w:tc>
        <w:tc>
          <w:tcPr>
            <w:tcW w:w="80" w:type="dxa"/>
            <w:tcMar>
              <w:left w:w="0" w:type="dxa"/>
              <w:right w:w="60" w:type="dxa"/>
            </w:tcMar>
            <w:vAlign w:val="bottom"/>
          </w:tcPr>
          <w:p w14:paraId="64F382BF" w14:textId="77777777" w:rsidR="007E7656" w:rsidRDefault="007E7656" w:rsidP="00312F84">
            <w:pPr>
              <w:keepNext/>
              <w:keepLines/>
              <w:spacing w:before="40" w:after="40"/>
            </w:pPr>
          </w:p>
        </w:tc>
        <w:tc>
          <w:tcPr>
            <w:tcW w:w="583" w:type="dxa"/>
            <w:gridSpan w:val="2"/>
            <w:tcMar>
              <w:left w:w="0" w:type="dxa"/>
              <w:right w:w="0" w:type="dxa"/>
            </w:tcMar>
            <w:vAlign w:val="bottom"/>
          </w:tcPr>
          <w:p w14:paraId="6CEBB925"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0.07</w:t>
            </w:r>
          </w:p>
        </w:tc>
        <w:tc>
          <w:tcPr>
            <w:tcW w:w="57" w:type="dxa"/>
            <w:tcMar>
              <w:left w:w="0" w:type="dxa"/>
              <w:right w:w="0" w:type="dxa"/>
            </w:tcMar>
          </w:tcPr>
          <w:p w14:paraId="2A2A9F87" w14:textId="77777777" w:rsidR="007E7656" w:rsidRDefault="007E7656" w:rsidP="00312F84"/>
        </w:tc>
      </w:tr>
      <w:tr w:rsidR="007E7656" w14:paraId="50E62631" w14:textId="77777777" w:rsidTr="007E7656">
        <w:trPr>
          <w:trHeight w:hRule="exact" w:val="260"/>
        </w:trPr>
        <w:tc>
          <w:tcPr>
            <w:tcW w:w="3300" w:type="dxa"/>
            <w:tcMar>
              <w:left w:w="300" w:type="dxa"/>
              <w:right w:w="40" w:type="dxa"/>
            </w:tcMar>
            <w:vAlign w:val="bottom"/>
          </w:tcPr>
          <w:p w14:paraId="102AABA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Purchased intangibles amortization</w:t>
            </w:r>
          </w:p>
        </w:tc>
        <w:tc>
          <w:tcPr>
            <w:tcW w:w="80" w:type="dxa"/>
            <w:tcMar>
              <w:left w:w="0" w:type="dxa"/>
              <w:right w:w="0" w:type="dxa"/>
            </w:tcMar>
            <w:vAlign w:val="bottom"/>
          </w:tcPr>
          <w:p w14:paraId="5006D717" w14:textId="77777777" w:rsidR="007E7656" w:rsidRDefault="007E7656" w:rsidP="00312F84">
            <w:pPr>
              <w:keepNext/>
              <w:keepLines/>
              <w:spacing w:before="40" w:after="40"/>
            </w:pPr>
          </w:p>
        </w:tc>
        <w:tc>
          <w:tcPr>
            <w:tcW w:w="783" w:type="dxa"/>
            <w:gridSpan w:val="2"/>
            <w:tcMar>
              <w:left w:w="0" w:type="dxa"/>
              <w:right w:w="60" w:type="dxa"/>
            </w:tcMar>
            <w:vAlign w:val="bottom"/>
          </w:tcPr>
          <w:p w14:paraId="31766F83"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27A0CC7C" w14:textId="77777777" w:rsidR="007E7656" w:rsidRDefault="007E7656" w:rsidP="00312F84">
            <w:pPr>
              <w:keepNext/>
              <w:keepLines/>
              <w:spacing w:before="40" w:after="40"/>
            </w:pPr>
          </w:p>
        </w:tc>
        <w:tc>
          <w:tcPr>
            <w:tcW w:w="783" w:type="dxa"/>
            <w:tcMar>
              <w:left w:w="0" w:type="dxa"/>
              <w:right w:w="0" w:type="dxa"/>
            </w:tcMar>
            <w:vAlign w:val="bottom"/>
          </w:tcPr>
          <w:p w14:paraId="5ED166FE"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15.7</w:t>
            </w:r>
          </w:p>
        </w:tc>
        <w:tc>
          <w:tcPr>
            <w:tcW w:w="57" w:type="dxa"/>
            <w:tcMar>
              <w:left w:w="0" w:type="dxa"/>
              <w:right w:w="0" w:type="dxa"/>
            </w:tcMar>
          </w:tcPr>
          <w:p w14:paraId="22691616" w14:textId="77777777" w:rsidR="007E7656" w:rsidRDefault="007E7656" w:rsidP="00312F84"/>
        </w:tc>
        <w:tc>
          <w:tcPr>
            <w:tcW w:w="80" w:type="dxa"/>
            <w:tcMar>
              <w:left w:w="0" w:type="dxa"/>
              <w:right w:w="60" w:type="dxa"/>
            </w:tcMar>
            <w:vAlign w:val="bottom"/>
          </w:tcPr>
          <w:p w14:paraId="34810E7A" w14:textId="77777777" w:rsidR="007E7656" w:rsidRDefault="007E7656" w:rsidP="00312F84">
            <w:pPr>
              <w:keepNext/>
              <w:keepLines/>
              <w:spacing w:before="40" w:after="40"/>
            </w:pPr>
          </w:p>
        </w:tc>
        <w:tc>
          <w:tcPr>
            <w:tcW w:w="783" w:type="dxa"/>
            <w:tcMar>
              <w:left w:w="0" w:type="dxa"/>
              <w:right w:w="0" w:type="dxa"/>
            </w:tcMar>
            <w:vAlign w:val="bottom"/>
          </w:tcPr>
          <w:p w14:paraId="561538E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25.8</w:t>
            </w:r>
          </w:p>
        </w:tc>
        <w:tc>
          <w:tcPr>
            <w:tcW w:w="57" w:type="dxa"/>
            <w:tcMar>
              <w:left w:w="0" w:type="dxa"/>
              <w:right w:w="0" w:type="dxa"/>
            </w:tcMar>
          </w:tcPr>
          <w:p w14:paraId="07350D47" w14:textId="77777777" w:rsidR="007E7656" w:rsidRDefault="007E7656" w:rsidP="00312F84"/>
        </w:tc>
        <w:tc>
          <w:tcPr>
            <w:tcW w:w="80" w:type="dxa"/>
            <w:tcMar>
              <w:left w:w="0" w:type="dxa"/>
              <w:right w:w="60" w:type="dxa"/>
            </w:tcMar>
            <w:vAlign w:val="bottom"/>
          </w:tcPr>
          <w:p w14:paraId="194B0CF9" w14:textId="77777777" w:rsidR="007E7656" w:rsidRDefault="007E7656" w:rsidP="00312F84">
            <w:pPr>
              <w:keepNext/>
              <w:keepLines/>
              <w:spacing w:before="40" w:after="40"/>
            </w:pPr>
          </w:p>
        </w:tc>
        <w:tc>
          <w:tcPr>
            <w:tcW w:w="783" w:type="dxa"/>
            <w:tcMar>
              <w:left w:w="0" w:type="dxa"/>
              <w:right w:w="0" w:type="dxa"/>
            </w:tcMar>
            <w:vAlign w:val="bottom"/>
          </w:tcPr>
          <w:p w14:paraId="6F3D7E6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25.8</w:t>
            </w:r>
          </w:p>
        </w:tc>
        <w:tc>
          <w:tcPr>
            <w:tcW w:w="57" w:type="dxa"/>
            <w:tcMar>
              <w:left w:w="0" w:type="dxa"/>
              <w:right w:w="0" w:type="dxa"/>
            </w:tcMar>
          </w:tcPr>
          <w:p w14:paraId="252810DD" w14:textId="77777777" w:rsidR="007E7656" w:rsidRDefault="007E7656" w:rsidP="00312F84"/>
        </w:tc>
        <w:tc>
          <w:tcPr>
            <w:tcW w:w="80" w:type="dxa"/>
            <w:tcMar>
              <w:left w:w="0" w:type="dxa"/>
              <w:right w:w="60" w:type="dxa"/>
            </w:tcMar>
            <w:vAlign w:val="bottom"/>
          </w:tcPr>
          <w:p w14:paraId="0D1BAC1B" w14:textId="77777777" w:rsidR="007E7656" w:rsidRDefault="007E7656" w:rsidP="00312F84">
            <w:pPr>
              <w:keepNext/>
              <w:keepLines/>
              <w:spacing w:before="40" w:after="40"/>
            </w:pPr>
          </w:p>
        </w:tc>
        <w:tc>
          <w:tcPr>
            <w:tcW w:w="783" w:type="dxa"/>
            <w:tcMar>
              <w:left w:w="0" w:type="dxa"/>
              <w:right w:w="0" w:type="dxa"/>
            </w:tcMar>
            <w:vAlign w:val="bottom"/>
          </w:tcPr>
          <w:p w14:paraId="79A635A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(6.6</w:t>
            </w:r>
          </w:p>
        </w:tc>
        <w:tc>
          <w:tcPr>
            <w:tcW w:w="57" w:type="dxa"/>
            <w:tcMar>
              <w:left w:w="0" w:type="dxa"/>
              <w:right w:w="0" w:type="dxa"/>
            </w:tcMar>
            <w:vAlign w:val="bottom"/>
          </w:tcPr>
          <w:p w14:paraId="78659AE3"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6CF3F877" w14:textId="77777777" w:rsidR="007E7656" w:rsidRDefault="007E7656" w:rsidP="00312F84">
            <w:pPr>
              <w:keepNext/>
              <w:keepLines/>
              <w:spacing w:before="40" w:after="40"/>
            </w:pPr>
          </w:p>
        </w:tc>
        <w:tc>
          <w:tcPr>
            <w:tcW w:w="640" w:type="dxa"/>
            <w:tcMar>
              <w:left w:w="60" w:type="dxa"/>
              <w:right w:w="60" w:type="dxa"/>
            </w:tcMar>
            <w:vAlign w:val="bottom"/>
          </w:tcPr>
          <w:p w14:paraId="668FCCC3" w14:textId="77777777" w:rsidR="007E7656" w:rsidRDefault="007E7656" w:rsidP="00312F84">
            <w:pPr>
              <w:keepNext/>
              <w:keepLines/>
              <w:spacing w:before="40" w:after="40"/>
            </w:pPr>
          </w:p>
        </w:tc>
        <w:tc>
          <w:tcPr>
            <w:tcW w:w="80" w:type="dxa"/>
            <w:tcMar>
              <w:left w:w="60" w:type="dxa"/>
              <w:right w:w="0" w:type="dxa"/>
            </w:tcMar>
            <w:vAlign w:val="bottom"/>
          </w:tcPr>
          <w:p w14:paraId="35AF4575" w14:textId="77777777" w:rsidR="007E7656" w:rsidRDefault="007E7656" w:rsidP="00312F84">
            <w:pPr>
              <w:keepNext/>
              <w:keepLines/>
              <w:spacing w:before="40" w:after="40"/>
            </w:pPr>
          </w:p>
        </w:tc>
        <w:tc>
          <w:tcPr>
            <w:tcW w:w="783" w:type="dxa"/>
            <w:tcMar>
              <w:left w:w="0" w:type="dxa"/>
              <w:right w:w="0" w:type="dxa"/>
            </w:tcMar>
            <w:vAlign w:val="bottom"/>
          </w:tcPr>
          <w:p w14:paraId="20087392"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19.1</w:t>
            </w:r>
          </w:p>
        </w:tc>
        <w:tc>
          <w:tcPr>
            <w:tcW w:w="57" w:type="dxa"/>
            <w:tcMar>
              <w:left w:w="0" w:type="dxa"/>
              <w:right w:w="0" w:type="dxa"/>
            </w:tcMar>
          </w:tcPr>
          <w:p w14:paraId="7F466840" w14:textId="77777777" w:rsidR="007E7656" w:rsidRDefault="007E7656" w:rsidP="00312F84"/>
        </w:tc>
        <w:tc>
          <w:tcPr>
            <w:tcW w:w="80" w:type="dxa"/>
            <w:tcMar>
              <w:left w:w="0" w:type="dxa"/>
              <w:right w:w="60" w:type="dxa"/>
            </w:tcMar>
            <w:vAlign w:val="bottom"/>
          </w:tcPr>
          <w:p w14:paraId="4B1A52A4" w14:textId="77777777" w:rsidR="007E7656" w:rsidRDefault="007E7656" w:rsidP="00312F84">
            <w:pPr>
              <w:keepNext/>
              <w:keepLines/>
              <w:spacing w:before="40" w:after="40"/>
            </w:pPr>
          </w:p>
        </w:tc>
        <w:tc>
          <w:tcPr>
            <w:tcW w:w="583" w:type="dxa"/>
            <w:gridSpan w:val="2"/>
            <w:tcMar>
              <w:left w:w="0" w:type="dxa"/>
              <w:right w:w="0" w:type="dxa"/>
            </w:tcMar>
            <w:vAlign w:val="bottom"/>
          </w:tcPr>
          <w:p w14:paraId="4BE12CE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0.08</w:t>
            </w:r>
          </w:p>
        </w:tc>
        <w:tc>
          <w:tcPr>
            <w:tcW w:w="57" w:type="dxa"/>
            <w:tcMar>
              <w:left w:w="0" w:type="dxa"/>
              <w:right w:w="0" w:type="dxa"/>
            </w:tcMar>
          </w:tcPr>
          <w:p w14:paraId="188567A7" w14:textId="77777777" w:rsidR="007E7656" w:rsidRDefault="007E7656" w:rsidP="00312F84"/>
        </w:tc>
      </w:tr>
      <w:tr w:rsidR="007E7656" w14:paraId="5ABAA42F" w14:textId="77777777" w:rsidTr="007E7656">
        <w:trPr>
          <w:trHeight w:hRule="exact" w:val="260"/>
        </w:trPr>
        <w:tc>
          <w:tcPr>
            <w:tcW w:w="3300" w:type="dxa"/>
            <w:tcMar>
              <w:left w:w="300" w:type="dxa"/>
              <w:right w:w="40" w:type="dxa"/>
            </w:tcMar>
            <w:vAlign w:val="bottom"/>
          </w:tcPr>
          <w:p w14:paraId="28540C4E"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Non-cash interest expense charges</w:t>
            </w:r>
          </w:p>
        </w:tc>
        <w:tc>
          <w:tcPr>
            <w:tcW w:w="80" w:type="dxa"/>
            <w:tcMar>
              <w:left w:w="0" w:type="dxa"/>
              <w:right w:w="0" w:type="dxa"/>
            </w:tcMar>
            <w:vAlign w:val="bottom"/>
          </w:tcPr>
          <w:p w14:paraId="3B68D265" w14:textId="77777777" w:rsidR="007E7656" w:rsidRDefault="007E7656" w:rsidP="00312F84">
            <w:pPr>
              <w:keepNext/>
              <w:keepLines/>
              <w:spacing w:before="40" w:after="40"/>
            </w:pPr>
          </w:p>
        </w:tc>
        <w:tc>
          <w:tcPr>
            <w:tcW w:w="783" w:type="dxa"/>
            <w:gridSpan w:val="2"/>
            <w:tcMar>
              <w:left w:w="0" w:type="dxa"/>
              <w:right w:w="60" w:type="dxa"/>
            </w:tcMar>
            <w:vAlign w:val="bottom"/>
          </w:tcPr>
          <w:p w14:paraId="3F5C402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51164C12" w14:textId="77777777" w:rsidR="007E7656" w:rsidRDefault="007E7656" w:rsidP="00312F84">
            <w:pPr>
              <w:keepNext/>
              <w:keepLines/>
              <w:spacing w:before="40" w:after="40"/>
            </w:pPr>
          </w:p>
        </w:tc>
        <w:tc>
          <w:tcPr>
            <w:tcW w:w="783" w:type="dxa"/>
            <w:gridSpan w:val="2"/>
            <w:tcMar>
              <w:left w:w="0" w:type="dxa"/>
              <w:right w:w="60" w:type="dxa"/>
            </w:tcMar>
            <w:vAlign w:val="bottom"/>
          </w:tcPr>
          <w:p w14:paraId="5F712CF2"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13D63B06" w14:textId="77777777" w:rsidR="007E7656" w:rsidRDefault="007E7656" w:rsidP="00312F84">
            <w:pPr>
              <w:keepNext/>
              <w:keepLines/>
              <w:spacing w:before="40" w:after="40"/>
            </w:pPr>
          </w:p>
        </w:tc>
        <w:tc>
          <w:tcPr>
            <w:tcW w:w="783" w:type="dxa"/>
            <w:gridSpan w:val="2"/>
            <w:tcMar>
              <w:left w:w="0" w:type="dxa"/>
              <w:right w:w="60" w:type="dxa"/>
            </w:tcMar>
            <w:vAlign w:val="bottom"/>
          </w:tcPr>
          <w:p w14:paraId="1CA3195E"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810E9DD" w14:textId="77777777" w:rsidR="007E7656" w:rsidRDefault="007E7656" w:rsidP="00312F84">
            <w:pPr>
              <w:keepNext/>
              <w:keepLines/>
              <w:spacing w:before="40" w:after="40"/>
            </w:pPr>
          </w:p>
        </w:tc>
        <w:tc>
          <w:tcPr>
            <w:tcW w:w="783" w:type="dxa"/>
            <w:tcMar>
              <w:left w:w="0" w:type="dxa"/>
              <w:right w:w="0" w:type="dxa"/>
            </w:tcMar>
            <w:vAlign w:val="bottom"/>
          </w:tcPr>
          <w:p w14:paraId="7BE89E65"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8.3</w:t>
            </w:r>
          </w:p>
        </w:tc>
        <w:tc>
          <w:tcPr>
            <w:tcW w:w="57" w:type="dxa"/>
            <w:tcMar>
              <w:left w:w="0" w:type="dxa"/>
              <w:right w:w="0" w:type="dxa"/>
            </w:tcMar>
          </w:tcPr>
          <w:p w14:paraId="2611841A" w14:textId="77777777" w:rsidR="007E7656" w:rsidRDefault="007E7656" w:rsidP="00312F84"/>
        </w:tc>
        <w:tc>
          <w:tcPr>
            <w:tcW w:w="80" w:type="dxa"/>
            <w:tcMar>
              <w:left w:w="0" w:type="dxa"/>
              <w:right w:w="60" w:type="dxa"/>
            </w:tcMar>
            <w:vAlign w:val="bottom"/>
          </w:tcPr>
          <w:p w14:paraId="09059338" w14:textId="77777777" w:rsidR="007E7656" w:rsidRDefault="007E7656" w:rsidP="00312F84">
            <w:pPr>
              <w:keepNext/>
              <w:keepLines/>
              <w:spacing w:before="40" w:after="40"/>
            </w:pPr>
          </w:p>
        </w:tc>
        <w:tc>
          <w:tcPr>
            <w:tcW w:w="783" w:type="dxa"/>
            <w:tcMar>
              <w:left w:w="0" w:type="dxa"/>
              <w:right w:w="0" w:type="dxa"/>
            </w:tcMar>
            <w:vAlign w:val="bottom"/>
          </w:tcPr>
          <w:p w14:paraId="35ED808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73692CFC" w14:textId="77777777" w:rsidR="007E7656" w:rsidRDefault="007E7656" w:rsidP="00312F84"/>
        </w:tc>
        <w:tc>
          <w:tcPr>
            <w:tcW w:w="80" w:type="dxa"/>
            <w:tcMar>
              <w:left w:w="0" w:type="dxa"/>
              <w:right w:w="60" w:type="dxa"/>
            </w:tcMar>
            <w:vAlign w:val="bottom"/>
          </w:tcPr>
          <w:p w14:paraId="24EFAD3E" w14:textId="77777777" w:rsidR="007E7656" w:rsidRDefault="007E7656" w:rsidP="00312F84">
            <w:pPr>
              <w:keepNext/>
              <w:keepLines/>
              <w:spacing w:before="40" w:after="40"/>
            </w:pPr>
          </w:p>
        </w:tc>
        <w:tc>
          <w:tcPr>
            <w:tcW w:w="640" w:type="dxa"/>
            <w:tcMar>
              <w:left w:w="60" w:type="dxa"/>
              <w:right w:w="60" w:type="dxa"/>
            </w:tcMar>
            <w:vAlign w:val="bottom"/>
          </w:tcPr>
          <w:p w14:paraId="19D5FA5E" w14:textId="77777777" w:rsidR="007E7656" w:rsidRDefault="007E7656" w:rsidP="00312F84">
            <w:pPr>
              <w:keepNext/>
              <w:keepLines/>
              <w:spacing w:before="40" w:after="40"/>
            </w:pPr>
          </w:p>
        </w:tc>
        <w:tc>
          <w:tcPr>
            <w:tcW w:w="80" w:type="dxa"/>
            <w:tcMar>
              <w:left w:w="60" w:type="dxa"/>
              <w:right w:w="0" w:type="dxa"/>
            </w:tcMar>
            <w:vAlign w:val="bottom"/>
          </w:tcPr>
          <w:p w14:paraId="40F2AFA1" w14:textId="77777777" w:rsidR="007E7656" w:rsidRDefault="007E7656" w:rsidP="00312F84">
            <w:pPr>
              <w:keepNext/>
              <w:keepLines/>
              <w:spacing w:before="40" w:after="40"/>
            </w:pPr>
          </w:p>
        </w:tc>
        <w:tc>
          <w:tcPr>
            <w:tcW w:w="783" w:type="dxa"/>
            <w:tcMar>
              <w:left w:w="0" w:type="dxa"/>
              <w:right w:w="0" w:type="dxa"/>
            </w:tcMar>
            <w:vAlign w:val="bottom"/>
          </w:tcPr>
          <w:p w14:paraId="39489844"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8.3</w:t>
            </w:r>
          </w:p>
        </w:tc>
        <w:tc>
          <w:tcPr>
            <w:tcW w:w="57" w:type="dxa"/>
            <w:tcMar>
              <w:left w:w="0" w:type="dxa"/>
              <w:right w:w="0" w:type="dxa"/>
            </w:tcMar>
          </w:tcPr>
          <w:p w14:paraId="31064E4F" w14:textId="77777777" w:rsidR="007E7656" w:rsidRDefault="007E7656" w:rsidP="00312F84"/>
        </w:tc>
        <w:tc>
          <w:tcPr>
            <w:tcW w:w="80" w:type="dxa"/>
            <w:tcMar>
              <w:left w:w="0" w:type="dxa"/>
              <w:right w:w="60" w:type="dxa"/>
            </w:tcMar>
            <w:vAlign w:val="bottom"/>
          </w:tcPr>
          <w:p w14:paraId="59F6EBDD" w14:textId="77777777" w:rsidR="007E7656" w:rsidRDefault="007E7656" w:rsidP="00312F84">
            <w:pPr>
              <w:keepNext/>
              <w:keepLines/>
              <w:spacing w:before="40" w:after="40"/>
            </w:pPr>
          </w:p>
        </w:tc>
        <w:tc>
          <w:tcPr>
            <w:tcW w:w="583" w:type="dxa"/>
            <w:gridSpan w:val="2"/>
            <w:tcMar>
              <w:left w:w="0" w:type="dxa"/>
              <w:right w:w="0" w:type="dxa"/>
            </w:tcMar>
            <w:vAlign w:val="bottom"/>
          </w:tcPr>
          <w:p w14:paraId="70C35BD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0.04</w:t>
            </w:r>
          </w:p>
        </w:tc>
        <w:tc>
          <w:tcPr>
            <w:tcW w:w="57" w:type="dxa"/>
            <w:tcMar>
              <w:left w:w="0" w:type="dxa"/>
              <w:right w:w="0" w:type="dxa"/>
            </w:tcMar>
          </w:tcPr>
          <w:p w14:paraId="11A75027" w14:textId="77777777" w:rsidR="007E7656" w:rsidRDefault="007E7656" w:rsidP="00312F84"/>
        </w:tc>
      </w:tr>
      <w:tr w:rsidR="007E7656" w14:paraId="397DC166" w14:textId="77777777" w:rsidTr="007E7656">
        <w:trPr>
          <w:trHeight w:hRule="exact" w:val="260"/>
        </w:trPr>
        <w:tc>
          <w:tcPr>
            <w:tcW w:w="3300" w:type="dxa"/>
            <w:tcMar>
              <w:left w:w="300" w:type="dxa"/>
              <w:right w:w="40" w:type="dxa"/>
            </w:tcMar>
            <w:vAlign w:val="bottom"/>
          </w:tcPr>
          <w:p w14:paraId="45398BDF"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Other special income and expense items</w:t>
            </w:r>
          </w:p>
        </w:tc>
        <w:tc>
          <w:tcPr>
            <w:tcW w:w="80" w:type="dxa"/>
            <w:tcMar>
              <w:left w:w="0" w:type="dxa"/>
              <w:right w:w="0" w:type="dxa"/>
            </w:tcMar>
            <w:vAlign w:val="bottom"/>
          </w:tcPr>
          <w:p w14:paraId="4BB7B9F6"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6265E4F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7A0CAB78"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531B041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E78DCF7"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0DC1DE2E"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61753425"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685E5A7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(5.6</w:t>
            </w:r>
          </w:p>
        </w:tc>
        <w:tc>
          <w:tcPr>
            <w:tcW w:w="57" w:type="dxa"/>
            <w:tcBorders>
              <w:bottom w:val="single" w:sz="8" w:space="0" w:color="auto"/>
            </w:tcBorders>
            <w:tcMar>
              <w:left w:w="0" w:type="dxa"/>
              <w:right w:w="0" w:type="dxa"/>
            </w:tcMar>
            <w:vAlign w:val="bottom"/>
          </w:tcPr>
          <w:p w14:paraId="06C06337"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1DAAF75F"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42E0A87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2.3</w:t>
            </w:r>
          </w:p>
        </w:tc>
        <w:tc>
          <w:tcPr>
            <w:tcW w:w="57" w:type="dxa"/>
            <w:tcBorders>
              <w:bottom w:val="single" w:sz="8" w:space="0" w:color="auto"/>
            </w:tcBorders>
            <w:tcMar>
              <w:left w:w="0" w:type="dxa"/>
              <w:right w:w="0" w:type="dxa"/>
            </w:tcMar>
          </w:tcPr>
          <w:p w14:paraId="3FAAC1FB" w14:textId="77777777" w:rsidR="007E7656" w:rsidRDefault="007E7656" w:rsidP="00312F84"/>
        </w:tc>
        <w:tc>
          <w:tcPr>
            <w:tcW w:w="80" w:type="dxa"/>
            <w:tcMar>
              <w:left w:w="0" w:type="dxa"/>
              <w:right w:w="60" w:type="dxa"/>
            </w:tcMar>
            <w:vAlign w:val="bottom"/>
          </w:tcPr>
          <w:p w14:paraId="14E0863D" w14:textId="77777777" w:rsidR="007E7656" w:rsidRDefault="007E7656" w:rsidP="00312F84">
            <w:pPr>
              <w:keepNext/>
              <w:keepLines/>
              <w:spacing w:before="40" w:after="40"/>
            </w:pPr>
          </w:p>
        </w:tc>
        <w:tc>
          <w:tcPr>
            <w:tcW w:w="640" w:type="dxa"/>
            <w:tcMar>
              <w:left w:w="60" w:type="dxa"/>
              <w:right w:w="60" w:type="dxa"/>
            </w:tcMar>
            <w:vAlign w:val="bottom"/>
          </w:tcPr>
          <w:p w14:paraId="048A93A7" w14:textId="77777777" w:rsidR="007E7656" w:rsidRDefault="007E7656" w:rsidP="00312F84">
            <w:pPr>
              <w:keepNext/>
              <w:keepLines/>
              <w:spacing w:before="40" w:after="40"/>
            </w:pPr>
          </w:p>
        </w:tc>
        <w:tc>
          <w:tcPr>
            <w:tcW w:w="80" w:type="dxa"/>
            <w:tcMar>
              <w:left w:w="60" w:type="dxa"/>
              <w:right w:w="0" w:type="dxa"/>
            </w:tcMar>
            <w:vAlign w:val="bottom"/>
          </w:tcPr>
          <w:p w14:paraId="534F17B4"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1C4D2A6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(3.3</w:t>
            </w:r>
          </w:p>
        </w:tc>
        <w:tc>
          <w:tcPr>
            <w:tcW w:w="57" w:type="dxa"/>
            <w:tcBorders>
              <w:bottom w:val="single" w:sz="8" w:space="0" w:color="auto"/>
            </w:tcBorders>
            <w:tcMar>
              <w:left w:w="0" w:type="dxa"/>
              <w:right w:w="0" w:type="dxa"/>
            </w:tcMar>
            <w:vAlign w:val="bottom"/>
          </w:tcPr>
          <w:p w14:paraId="5760C5B3"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68D4FC6" w14:textId="77777777" w:rsidR="007E7656" w:rsidRDefault="007E7656" w:rsidP="00312F84">
            <w:pPr>
              <w:keepNext/>
              <w:keepLines/>
              <w:spacing w:before="40" w:after="40"/>
            </w:pPr>
          </w:p>
        </w:tc>
        <w:tc>
          <w:tcPr>
            <w:tcW w:w="583" w:type="dxa"/>
            <w:gridSpan w:val="2"/>
            <w:tcBorders>
              <w:bottom w:val="single" w:sz="8" w:space="0" w:color="auto"/>
            </w:tcBorders>
            <w:tcMar>
              <w:left w:w="0" w:type="dxa"/>
              <w:right w:w="0" w:type="dxa"/>
            </w:tcMar>
            <w:vAlign w:val="bottom"/>
          </w:tcPr>
          <w:p w14:paraId="663A406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(0.02</w:t>
            </w:r>
          </w:p>
        </w:tc>
        <w:tc>
          <w:tcPr>
            <w:tcW w:w="57" w:type="dxa"/>
            <w:tcBorders>
              <w:bottom w:val="single" w:sz="8" w:space="0" w:color="auto"/>
            </w:tcBorders>
            <w:tcMar>
              <w:left w:w="0" w:type="dxa"/>
              <w:right w:w="0" w:type="dxa"/>
            </w:tcMar>
            <w:vAlign w:val="bottom"/>
          </w:tcPr>
          <w:p w14:paraId="63C5E20C"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r>
      <w:tr w:rsidR="007E7656" w14:paraId="5ADB2C03" w14:textId="77777777" w:rsidTr="007E7656">
        <w:trPr>
          <w:trHeight w:hRule="exact" w:val="260"/>
        </w:trPr>
        <w:tc>
          <w:tcPr>
            <w:tcW w:w="3300" w:type="dxa"/>
            <w:tcMar>
              <w:left w:w="300" w:type="dxa"/>
              <w:right w:w="40" w:type="dxa"/>
            </w:tcMar>
            <w:vAlign w:val="bottom"/>
          </w:tcPr>
          <w:p w14:paraId="28713422"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Total adjustments</w:t>
            </w:r>
          </w:p>
        </w:tc>
        <w:tc>
          <w:tcPr>
            <w:tcW w:w="80" w:type="dxa"/>
            <w:tcMar>
              <w:left w:w="0" w:type="dxa"/>
              <w:right w:w="0" w:type="dxa"/>
            </w:tcMar>
            <w:vAlign w:val="bottom"/>
          </w:tcPr>
          <w:p w14:paraId="19E9BA2C"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3697D7D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top w:val="single" w:sz="8" w:space="0" w:color="auto"/>
              <w:bottom w:val="single" w:sz="8" w:space="0" w:color="auto"/>
            </w:tcBorders>
            <w:tcMar>
              <w:left w:w="0" w:type="dxa"/>
              <w:right w:w="0" w:type="dxa"/>
            </w:tcMar>
          </w:tcPr>
          <w:p w14:paraId="7A40333C" w14:textId="77777777" w:rsidR="007E7656" w:rsidRDefault="007E7656" w:rsidP="00312F84"/>
        </w:tc>
        <w:tc>
          <w:tcPr>
            <w:tcW w:w="80" w:type="dxa"/>
            <w:tcMar>
              <w:left w:w="0" w:type="dxa"/>
              <w:right w:w="60" w:type="dxa"/>
            </w:tcMar>
            <w:vAlign w:val="bottom"/>
          </w:tcPr>
          <w:p w14:paraId="0BFA86BA"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250F3FD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16.1</w:t>
            </w:r>
          </w:p>
        </w:tc>
        <w:tc>
          <w:tcPr>
            <w:tcW w:w="57" w:type="dxa"/>
            <w:tcBorders>
              <w:top w:val="single" w:sz="8" w:space="0" w:color="auto"/>
              <w:bottom w:val="single" w:sz="8" w:space="0" w:color="auto"/>
            </w:tcBorders>
            <w:tcMar>
              <w:left w:w="0" w:type="dxa"/>
              <w:right w:w="0" w:type="dxa"/>
            </w:tcMar>
          </w:tcPr>
          <w:p w14:paraId="55113D19" w14:textId="77777777" w:rsidR="007E7656" w:rsidRDefault="007E7656" w:rsidP="00312F84"/>
        </w:tc>
        <w:tc>
          <w:tcPr>
            <w:tcW w:w="80" w:type="dxa"/>
            <w:tcMar>
              <w:left w:w="0" w:type="dxa"/>
              <w:right w:w="60" w:type="dxa"/>
            </w:tcMar>
            <w:vAlign w:val="bottom"/>
          </w:tcPr>
          <w:p w14:paraId="1161DD0C"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7269DD9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47.7</w:t>
            </w:r>
          </w:p>
        </w:tc>
        <w:tc>
          <w:tcPr>
            <w:tcW w:w="57" w:type="dxa"/>
            <w:tcBorders>
              <w:top w:val="single" w:sz="8" w:space="0" w:color="auto"/>
              <w:bottom w:val="single" w:sz="8" w:space="0" w:color="auto"/>
            </w:tcBorders>
            <w:tcMar>
              <w:left w:w="0" w:type="dxa"/>
              <w:right w:w="0" w:type="dxa"/>
            </w:tcMar>
          </w:tcPr>
          <w:p w14:paraId="6266C797" w14:textId="77777777" w:rsidR="007E7656" w:rsidRDefault="007E7656" w:rsidP="00312F84"/>
        </w:tc>
        <w:tc>
          <w:tcPr>
            <w:tcW w:w="80" w:type="dxa"/>
            <w:tcMar>
              <w:left w:w="0" w:type="dxa"/>
              <w:right w:w="60" w:type="dxa"/>
            </w:tcMar>
            <w:vAlign w:val="bottom"/>
          </w:tcPr>
          <w:p w14:paraId="1C03CEB0"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591CFFD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50.3</w:t>
            </w:r>
          </w:p>
        </w:tc>
        <w:tc>
          <w:tcPr>
            <w:tcW w:w="57" w:type="dxa"/>
            <w:tcBorders>
              <w:top w:val="single" w:sz="8" w:space="0" w:color="auto"/>
              <w:bottom w:val="single" w:sz="8" w:space="0" w:color="auto"/>
            </w:tcBorders>
            <w:tcMar>
              <w:left w:w="0" w:type="dxa"/>
              <w:right w:w="0" w:type="dxa"/>
            </w:tcMar>
          </w:tcPr>
          <w:p w14:paraId="488ED283" w14:textId="77777777" w:rsidR="007E7656" w:rsidRDefault="007E7656" w:rsidP="00312F84"/>
        </w:tc>
        <w:tc>
          <w:tcPr>
            <w:tcW w:w="80" w:type="dxa"/>
            <w:tcMar>
              <w:left w:w="0" w:type="dxa"/>
              <w:right w:w="60" w:type="dxa"/>
            </w:tcMar>
            <w:vAlign w:val="bottom"/>
          </w:tcPr>
          <w:p w14:paraId="2A2EC069"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5E98474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(10.0</w:t>
            </w:r>
          </w:p>
        </w:tc>
        <w:tc>
          <w:tcPr>
            <w:tcW w:w="57" w:type="dxa"/>
            <w:tcBorders>
              <w:top w:val="single" w:sz="8" w:space="0" w:color="auto"/>
              <w:bottom w:val="single" w:sz="8" w:space="0" w:color="auto"/>
            </w:tcBorders>
            <w:tcMar>
              <w:left w:w="0" w:type="dxa"/>
              <w:right w:w="0" w:type="dxa"/>
            </w:tcMar>
            <w:vAlign w:val="bottom"/>
          </w:tcPr>
          <w:p w14:paraId="12F40F92"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806092A"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5A9A61C7" w14:textId="77777777" w:rsidR="007E7656" w:rsidRDefault="007E7656" w:rsidP="00312F84">
            <w:pPr>
              <w:keepNext/>
              <w:keepLines/>
              <w:spacing w:before="40" w:after="40"/>
            </w:pPr>
          </w:p>
        </w:tc>
        <w:tc>
          <w:tcPr>
            <w:tcW w:w="80" w:type="dxa"/>
            <w:tcMar>
              <w:left w:w="0" w:type="dxa"/>
              <w:right w:w="60" w:type="dxa"/>
            </w:tcMar>
            <w:vAlign w:val="bottom"/>
          </w:tcPr>
          <w:p w14:paraId="6FA6011B"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4E8565A3"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40.4</w:t>
            </w:r>
          </w:p>
        </w:tc>
        <w:tc>
          <w:tcPr>
            <w:tcW w:w="57" w:type="dxa"/>
            <w:tcBorders>
              <w:top w:val="single" w:sz="8" w:space="0" w:color="auto"/>
              <w:bottom w:val="single" w:sz="8" w:space="0" w:color="auto"/>
            </w:tcBorders>
            <w:tcMar>
              <w:left w:w="0" w:type="dxa"/>
              <w:right w:w="0" w:type="dxa"/>
            </w:tcMar>
          </w:tcPr>
          <w:p w14:paraId="6E990FBB" w14:textId="77777777" w:rsidR="007E7656" w:rsidRDefault="007E7656" w:rsidP="00312F84"/>
        </w:tc>
        <w:tc>
          <w:tcPr>
            <w:tcW w:w="80" w:type="dxa"/>
            <w:tcMar>
              <w:left w:w="0" w:type="dxa"/>
              <w:right w:w="60" w:type="dxa"/>
            </w:tcMar>
            <w:vAlign w:val="bottom"/>
          </w:tcPr>
          <w:p w14:paraId="00FD59E5" w14:textId="77777777" w:rsidR="007E7656" w:rsidRDefault="007E7656" w:rsidP="00312F84">
            <w:pPr>
              <w:keepNext/>
              <w:keepLines/>
              <w:spacing w:before="40" w:after="40"/>
            </w:pPr>
          </w:p>
        </w:tc>
        <w:tc>
          <w:tcPr>
            <w:tcW w:w="583" w:type="dxa"/>
            <w:gridSpan w:val="2"/>
            <w:tcBorders>
              <w:bottom w:val="single" w:sz="8" w:space="0" w:color="auto"/>
            </w:tcBorders>
            <w:tcMar>
              <w:left w:w="0" w:type="dxa"/>
              <w:right w:w="0" w:type="dxa"/>
            </w:tcMar>
            <w:vAlign w:val="bottom"/>
          </w:tcPr>
          <w:p w14:paraId="126E5B7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0.17</w:t>
            </w:r>
          </w:p>
        </w:tc>
        <w:tc>
          <w:tcPr>
            <w:tcW w:w="57" w:type="dxa"/>
            <w:tcBorders>
              <w:bottom w:val="single" w:sz="8" w:space="0" w:color="auto"/>
            </w:tcBorders>
            <w:tcMar>
              <w:left w:w="0" w:type="dxa"/>
              <w:right w:w="0" w:type="dxa"/>
            </w:tcMar>
          </w:tcPr>
          <w:p w14:paraId="2EB7C3B1" w14:textId="77777777" w:rsidR="007E7656" w:rsidRDefault="007E7656" w:rsidP="00312F84"/>
        </w:tc>
      </w:tr>
      <w:tr w:rsidR="007E7656" w14:paraId="78D27489" w14:textId="77777777" w:rsidTr="00312F84">
        <w:trPr>
          <w:trHeight w:hRule="exact" w:val="260"/>
        </w:trPr>
        <w:tc>
          <w:tcPr>
            <w:tcW w:w="3300" w:type="dxa"/>
            <w:tcMar>
              <w:left w:w="60" w:type="dxa"/>
              <w:right w:w="40" w:type="dxa"/>
            </w:tcMar>
            <w:vAlign w:val="bottom"/>
          </w:tcPr>
          <w:p w14:paraId="253454F5"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Adjusted results</w:t>
            </w:r>
          </w:p>
        </w:tc>
        <w:tc>
          <w:tcPr>
            <w:tcW w:w="80" w:type="dxa"/>
            <w:tcMar>
              <w:left w:w="60" w:type="dxa"/>
              <w:right w:w="0" w:type="dxa"/>
            </w:tcMar>
            <w:vAlign w:val="bottom"/>
          </w:tcPr>
          <w:p w14:paraId="63ABFF56"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586F7942"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377.2</w:t>
            </w:r>
          </w:p>
        </w:tc>
        <w:tc>
          <w:tcPr>
            <w:tcW w:w="57" w:type="dxa"/>
            <w:tcBorders>
              <w:bottom w:val="double" w:sz="4" w:space="0" w:color="auto"/>
            </w:tcBorders>
            <w:tcMar>
              <w:left w:w="0" w:type="dxa"/>
              <w:right w:w="0" w:type="dxa"/>
            </w:tcMar>
          </w:tcPr>
          <w:p w14:paraId="478BABD9" w14:textId="77777777" w:rsidR="007E7656" w:rsidRDefault="007E7656" w:rsidP="00312F84"/>
        </w:tc>
        <w:tc>
          <w:tcPr>
            <w:tcW w:w="80" w:type="dxa"/>
            <w:tcMar>
              <w:left w:w="0" w:type="dxa"/>
              <w:right w:w="60" w:type="dxa"/>
            </w:tcMar>
            <w:vAlign w:val="bottom"/>
          </w:tcPr>
          <w:p w14:paraId="544C79A0"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14E2C825"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269.9</w:t>
            </w:r>
          </w:p>
        </w:tc>
        <w:tc>
          <w:tcPr>
            <w:tcW w:w="57" w:type="dxa"/>
            <w:tcBorders>
              <w:bottom w:val="double" w:sz="4" w:space="0" w:color="auto"/>
            </w:tcBorders>
            <w:tcMar>
              <w:left w:w="0" w:type="dxa"/>
              <w:right w:w="0" w:type="dxa"/>
            </w:tcMar>
          </w:tcPr>
          <w:p w14:paraId="5B24DED3" w14:textId="77777777" w:rsidR="007E7656" w:rsidRDefault="007E7656" w:rsidP="00312F84"/>
        </w:tc>
        <w:tc>
          <w:tcPr>
            <w:tcW w:w="80" w:type="dxa"/>
            <w:tcMar>
              <w:left w:w="0" w:type="dxa"/>
              <w:right w:w="60" w:type="dxa"/>
            </w:tcMar>
            <w:vAlign w:val="bottom"/>
          </w:tcPr>
          <w:p w14:paraId="30852503"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7EE9AE31"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101.0</w:t>
            </w:r>
          </w:p>
        </w:tc>
        <w:tc>
          <w:tcPr>
            <w:tcW w:w="57" w:type="dxa"/>
            <w:tcBorders>
              <w:bottom w:val="double" w:sz="4" w:space="0" w:color="auto"/>
            </w:tcBorders>
            <w:tcMar>
              <w:left w:w="0" w:type="dxa"/>
              <w:right w:w="0" w:type="dxa"/>
            </w:tcMar>
          </w:tcPr>
          <w:p w14:paraId="65CC804A" w14:textId="77777777" w:rsidR="007E7656" w:rsidRDefault="007E7656" w:rsidP="00312F84"/>
        </w:tc>
        <w:tc>
          <w:tcPr>
            <w:tcW w:w="80" w:type="dxa"/>
            <w:tcMar>
              <w:left w:w="0" w:type="dxa"/>
              <w:right w:w="60" w:type="dxa"/>
            </w:tcMar>
            <w:vAlign w:val="bottom"/>
          </w:tcPr>
          <w:p w14:paraId="716285B3"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6BB016AA"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96.3</w:t>
            </w:r>
          </w:p>
        </w:tc>
        <w:tc>
          <w:tcPr>
            <w:tcW w:w="57" w:type="dxa"/>
            <w:tcBorders>
              <w:bottom w:val="double" w:sz="4" w:space="0" w:color="auto"/>
            </w:tcBorders>
            <w:tcMar>
              <w:left w:w="0" w:type="dxa"/>
              <w:right w:w="0" w:type="dxa"/>
            </w:tcMar>
          </w:tcPr>
          <w:p w14:paraId="5D6274A9" w14:textId="77777777" w:rsidR="007E7656" w:rsidRDefault="007E7656" w:rsidP="00312F84"/>
        </w:tc>
        <w:tc>
          <w:tcPr>
            <w:tcW w:w="80" w:type="dxa"/>
            <w:tcMar>
              <w:left w:w="0" w:type="dxa"/>
              <w:right w:w="60" w:type="dxa"/>
            </w:tcMar>
            <w:vAlign w:val="bottom"/>
          </w:tcPr>
          <w:p w14:paraId="25226FCE"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352807B4"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(19.1</w:t>
            </w:r>
          </w:p>
        </w:tc>
        <w:tc>
          <w:tcPr>
            <w:tcW w:w="57" w:type="dxa"/>
            <w:tcBorders>
              <w:bottom w:val="double" w:sz="4" w:space="0" w:color="auto"/>
            </w:tcBorders>
            <w:tcMar>
              <w:left w:w="0" w:type="dxa"/>
              <w:right w:w="0" w:type="dxa"/>
            </w:tcMar>
            <w:vAlign w:val="bottom"/>
          </w:tcPr>
          <w:p w14:paraId="5BBC645F"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65638480" w14:textId="77777777" w:rsidR="007E7656" w:rsidRDefault="007E7656" w:rsidP="00312F84">
            <w:pPr>
              <w:keepLines/>
              <w:spacing w:before="40" w:after="40"/>
            </w:pPr>
          </w:p>
        </w:tc>
        <w:tc>
          <w:tcPr>
            <w:tcW w:w="640" w:type="dxa"/>
            <w:tcBorders>
              <w:bottom w:val="double" w:sz="4" w:space="0" w:color="auto"/>
            </w:tcBorders>
            <w:tcMar>
              <w:left w:w="60" w:type="dxa"/>
              <w:right w:w="60" w:type="dxa"/>
            </w:tcMar>
            <w:vAlign w:val="bottom"/>
          </w:tcPr>
          <w:p w14:paraId="35DF033C" w14:textId="77777777" w:rsidR="007E7656" w:rsidRDefault="007E7656" w:rsidP="00312F84">
            <w:pPr>
              <w:keepLines/>
              <w:spacing w:before="40" w:after="40"/>
              <w:jc w:val="center"/>
              <w:rPr>
                <w:rFonts w:ascii="Arial" w:eastAsia="Arial" w:hAnsi="Arial" w:cs="Arial"/>
                <w:b/>
                <w:sz w:val="14"/>
              </w:rPr>
            </w:pPr>
            <w:r>
              <w:rPr>
                <w:rFonts w:ascii="Arial" w:eastAsia="Arial" w:hAnsi="Arial" w:cs="Arial"/>
                <w:b/>
                <w:color w:val="000000"/>
                <w:sz w:val="14"/>
              </w:rPr>
              <w:t>20%</w:t>
            </w:r>
          </w:p>
        </w:tc>
        <w:tc>
          <w:tcPr>
            <w:tcW w:w="80" w:type="dxa"/>
            <w:tcMar>
              <w:left w:w="0" w:type="dxa"/>
              <w:right w:w="60" w:type="dxa"/>
            </w:tcMar>
            <w:vAlign w:val="bottom"/>
          </w:tcPr>
          <w:p w14:paraId="478BDB61"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5B6BF61F"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77.2</w:t>
            </w:r>
          </w:p>
        </w:tc>
        <w:tc>
          <w:tcPr>
            <w:tcW w:w="57" w:type="dxa"/>
            <w:tcBorders>
              <w:bottom w:val="double" w:sz="4" w:space="0" w:color="auto"/>
            </w:tcBorders>
            <w:tcMar>
              <w:left w:w="0" w:type="dxa"/>
              <w:right w:w="0" w:type="dxa"/>
            </w:tcMar>
          </w:tcPr>
          <w:p w14:paraId="57CDF3F4" w14:textId="77777777" w:rsidR="007E7656" w:rsidRDefault="007E7656" w:rsidP="00312F84"/>
        </w:tc>
        <w:tc>
          <w:tcPr>
            <w:tcW w:w="80" w:type="dxa"/>
            <w:tcMar>
              <w:left w:w="0" w:type="dxa"/>
              <w:right w:w="60" w:type="dxa"/>
            </w:tcMar>
            <w:vAlign w:val="bottom"/>
          </w:tcPr>
          <w:p w14:paraId="1314B8AD" w14:textId="77777777" w:rsidR="007E7656" w:rsidRDefault="007E7656" w:rsidP="00312F84">
            <w:pPr>
              <w:keepLines/>
              <w:spacing w:before="40" w:after="40"/>
            </w:pPr>
          </w:p>
        </w:tc>
        <w:tc>
          <w:tcPr>
            <w:tcW w:w="88" w:type="dxa"/>
            <w:tcBorders>
              <w:bottom w:val="double" w:sz="4" w:space="0" w:color="auto"/>
            </w:tcBorders>
            <w:tcMar>
              <w:left w:w="0" w:type="dxa"/>
              <w:right w:w="0" w:type="dxa"/>
            </w:tcMar>
            <w:vAlign w:val="bottom"/>
          </w:tcPr>
          <w:p w14:paraId="1CFD80F1"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495" w:type="dxa"/>
            <w:tcBorders>
              <w:bottom w:val="double" w:sz="4" w:space="0" w:color="auto"/>
            </w:tcBorders>
            <w:tcMar>
              <w:left w:w="0" w:type="dxa"/>
              <w:right w:w="0" w:type="dxa"/>
            </w:tcMar>
            <w:vAlign w:val="bottom"/>
          </w:tcPr>
          <w:p w14:paraId="44486AF4"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0.33</w:t>
            </w:r>
          </w:p>
        </w:tc>
        <w:tc>
          <w:tcPr>
            <w:tcW w:w="57" w:type="dxa"/>
            <w:tcBorders>
              <w:bottom w:val="double" w:sz="4" w:space="0" w:color="auto"/>
            </w:tcBorders>
            <w:tcMar>
              <w:left w:w="0" w:type="dxa"/>
              <w:right w:w="0" w:type="dxa"/>
            </w:tcMar>
          </w:tcPr>
          <w:p w14:paraId="293BDE78" w14:textId="77777777" w:rsidR="007E7656" w:rsidRDefault="007E7656" w:rsidP="00312F84"/>
        </w:tc>
      </w:tr>
    </w:tbl>
    <w:p w14:paraId="3CCDAEE5" w14:textId="77777777" w:rsidR="007E7656" w:rsidRDefault="007E7656" w:rsidP="007E7656">
      <w:pPr>
        <w:spacing w:before="40" w:line="288" w:lineRule="auto"/>
        <w:rPr>
          <w:rFonts w:ascii="Arial" w:eastAsia="Arial" w:hAnsi="Arial" w:cs="Arial"/>
          <w:sz w:val="16"/>
        </w:rPr>
      </w:pPr>
    </w:p>
    <w:p w14:paraId="39BB5C3C" w14:textId="77777777" w:rsidR="007E7656" w:rsidRDefault="007E7656" w:rsidP="007E7656">
      <w:pPr>
        <w:spacing w:before="180" w:line="288" w:lineRule="auto"/>
        <w:rPr>
          <w:rFonts w:ascii="Arial" w:eastAsia="Arial" w:hAnsi="Arial" w:cs="Arial"/>
          <w:sz w:val="16"/>
        </w:rPr>
      </w:pPr>
      <w:r>
        <w:rPr>
          <w:rFonts w:ascii="Arial" w:eastAsia="Arial" w:hAnsi="Arial" w:cs="Arial"/>
          <w:sz w:val="16"/>
        </w:rPr>
        <w:t>* Using 233.8 M diluted shares</w:t>
      </w:r>
    </w:p>
    <w:p w14:paraId="63CE49DA" w14:textId="77777777" w:rsidR="007E7656" w:rsidRDefault="007E7656" w:rsidP="007E7656">
      <w:pPr>
        <w:spacing w:line="288" w:lineRule="auto"/>
        <w:rPr>
          <w:rFonts w:ascii="Arial" w:eastAsia="Arial" w:hAnsi="Arial" w:cs="Arial"/>
          <w:sz w:val="16"/>
        </w:rPr>
      </w:pPr>
    </w:p>
    <w:p w14:paraId="7BF42B26" w14:textId="77777777" w:rsidR="007E7656" w:rsidRDefault="007E7656" w:rsidP="007E7656">
      <w:pPr>
        <w:spacing w:before="180" w:line="288" w:lineRule="auto"/>
        <w:rPr>
          <w:rFonts w:ascii="Arial" w:eastAsia="Arial" w:hAnsi="Arial" w:cs="Arial"/>
          <w:sz w:val="16"/>
        </w:rPr>
      </w:pPr>
      <w:r>
        <w:rPr>
          <w:rFonts w:ascii="Arial" w:eastAsia="Arial" w:hAnsi="Arial" w:cs="Arial"/>
          <w:sz w:val="16"/>
        </w:rPr>
        <w:t>Tables may contain rounding differences</w:t>
      </w:r>
    </w:p>
    <w:p w14:paraId="612853C7" w14:textId="77777777" w:rsidR="007E7656" w:rsidRDefault="007E7656" w:rsidP="007E7656">
      <w:pPr>
        <w:spacing w:line="288" w:lineRule="auto"/>
        <w:ind w:left="540"/>
        <w:rPr>
          <w:rFonts w:ascii="Arial" w:eastAsia="Arial" w:hAnsi="Arial" w:cs="Arial"/>
          <w:sz w:val="16"/>
        </w:rPr>
      </w:pPr>
    </w:p>
    <w:p w14:paraId="6322E69D" w14:textId="77777777" w:rsidR="007E7656" w:rsidRDefault="007E7656" w:rsidP="007E7656">
      <w:pPr>
        <w:spacing w:line="288" w:lineRule="auto"/>
        <w:ind w:left="540"/>
        <w:rPr>
          <w:rFonts w:ascii="Arial" w:eastAsia="Arial" w:hAnsi="Arial" w:cs="Arial"/>
          <w:sz w:val="16"/>
        </w:rPr>
      </w:pPr>
    </w:p>
    <w:p w14:paraId="4CF5EF66" w14:textId="77777777" w:rsidR="007E7656" w:rsidRDefault="007E7656" w:rsidP="007E7656">
      <w:pPr>
        <w:pageBreakBefore/>
        <w:spacing w:line="288" w:lineRule="auto"/>
        <w:jc w:val="center"/>
        <w:rPr>
          <w:rFonts w:ascii="Arial" w:eastAsia="Arial" w:hAnsi="Arial" w:cs="Arial"/>
          <w:b/>
        </w:rPr>
      </w:pPr>
      <w:r>
        <w:rPr>
          <w:rFonts w:ascii="Arial" w:eastAsia="Arial" w:hAnsi="Arial" w:cs="Arial"/>
          <w:b/>
        </w:rPr>
        <w:t>QIAGEN N.V.</w:t>
      </w:r>
    </w:p>
    <w:p w14:paraId="11EDF825" w14:textId="77777777" w:rsidR="007E7656" w:rsidRDefault="007E7656" w:rsidP="007E7656">
      <w:pPr>
        <w:spacing w:line="288" w:lineRule="auto"/>
        <w:jc w:val="center"/>
        <w:rPr>
          <w:rFonts w:ascii="Arial" w:eastAsia="Arial" w:hAnsi="Arial" w:cs="Arial"/>
          <w:b/>
        </w:rPr>
      </w:pPr>
      <w:r>
        <w:rPr>
          <w:rFonts w:ascii="Arial" w:eastAsia="Arial" w:hAnsi="Arial" w:cs="Arial"/>
          <w:b/>
        </w:rPr>
        <w:t>RECONCILIATION OF REPORTED TO ADJUSTED FIGURES</w:t>
      </w:r>
    </w:p>
    <w:p w14:paraId="71555FFB" w14:textId="77777777" w:rsidR="007E7656" w:rsidRDefault="007E7656" w:rsidP="007E7656">
      <w:pPr>
        <w:spacing w:line="288" w:lineRule="auto"/>
        <w:jc w:val="center"/>
        <w:rPr>
          <w:rFonts w:ascii="Arial" w:eastAsia="Arial" w:hAnsi="Arial" w:cs="Arial"/>
          <w:b/>
        </w:rPr>
      </w:pPr>
      <w:r>
        <w:rPr>
          <w:rFonts w:ascii="Arial" w:eastAsia="Arial" w:hAnsi="Arial" w:cs="Arial"/>
          <w:b/>
        </w:rPr>
        <w:t>(unaudited)</w:t>
      </w:r>
    </w:p>
    <w:p w14:paraId="73501764" w14:textId="77777777" w:rsidR="007E7656" w:rsidRDefault="007E7656" w:rsidP="007E7656">
      <w:pPr>
        <w:spacing w:line="288" w:lineRule="auto"/>
        <w:rPr>
          <w:rFonts w:ascii="Arial" w:eastAsia="Arial" w:hAnsi="Arial" w:cs="Arial"/>
          <w:sz w:val="16"/>
        </w:rPr>
      </w:pPr>
    </w:p>
    <w:p w14:paraId="629E573B" w14:textId="77777777" w:rsidR="007E7656" w:rsidRDefault="007E7656" w:rsidP="007E7656">
      <w:pPr>
        <w:spacing w:before="180" w:line="288" w:lineRule="auto"/>
        <w:jc w:val="center"/>
        <w:rPr>
          <w:rFonts w:ascii="Arial" w:eastAsia="Arial" w:hAnsi="Arial" w:cs="Arial"/>
          <w:sz w:val="16"/>
        </w:rPr>
      </w:pPr>
      <w:r>
        <w:rPr>
          <w:rFonts w:ascii="Arial" w:eastAsia="Arial" w:hAnsi="Arial" w:cs="Arial"/>
          <w:sz w:val="16"/>
        </w:rPr>
        <w:t>Six months ended June 30, 2019</w:t>
      </w:r>
    </w:p>
    <w:p w14:paraId="6F854EAB" w14:textId="77777777" w:rsidR="007E7656" w:rsidRDefault="007E7656" w:rsidP="007E7656">
      <w:pPr>
        <w:spacing w:line="288" w:lineRule="auto"/>
        <w:jc w:val="center"/>
        <w:rPr>
          <w:rFonts w:ascii="Arial" w:eastAsia="Arial" w:hAnsi="Arial" w:cs="Arial"/>
          <w:sz w:val="16"/>
        </w:rPr>
      </w:pPr>
      <w:r>
        <w:rPr>
          <w:rFonts w:ascii="Arial" w:eastAsia="Arial" w:hAnsi="Arial" w:cs="Arial"/>
          <w:sz w:val="16"/>
        </w:rPr>
        <w:t>(In $ millions, except EPS data)</w:t>
      </w:r>
    </w:p>
    <w:p w14:paraId="6827E6F6" w14:textId="77777777" w:rsidR="007E7656" w:rsidRDefault="007E7656" w:rsidP="007E7656">
      <w:pPr>
        <w:spacing w:after="140"/>
        <w:ind w:left="540"/>
        <w:rPr>
          <w:rFonts w:ascii="Arial" w:eastAsia="Arial" w:hAnsi="Arial" w:cs="Arial"/>
          <w:sz w:val="16"/>
        </w:rPr>
      </w:pPr>
    </w:p>
    <w:tbl>
      <w:tblPr>
        <w:tblW w:w="10260" w:type="dxa"/>
        <w:tblLayout w:type="fixed"/>
        <w:tblCellMar>
          <w:left w:w="10" w:type="dxa"/>
          <w:right w:w="10" w:type="dxa"/>
        </w:tblCellMar>
        <w:tblLook w:val="04A0" w:firstRow="1" w:lastRow="0" w:firstColumn="1" w:lastColumn="0" w:noHBand="0" w:noVBand="1"/>
      </w:tblPr>
      <w:tblGrid>
        <w:gridCol w:w="3260"/>
        <w:gridCol w:w="80"/>
        <w:gridCol w:w="783"/>
        <w:gridCol w:w="57"/>
        <w:gridCol w:w="80"/>
        <w:gridCol w:w="783"/>
        <w:gridCol w:w="57"/>
        <w:gridCol w:w="80"/>
        <w:gridCol w:w="783"/>
        <w:gridCol w:w="57"/>
        <w:gridCol w:w="80"/>
        <w:gridCol w:w="783"/>
        <w:gridCol w:w="57"/>
        <w:gridCol w:w="80"/>
        <w:gridCol w:w="783"/>
        <w:gridCol w:w="57"/>
        <w:gridCol w:w="80"/>
        <w:gridCol w:w="640"/>
        <w:gridCol w:w="80"/>
        <w:gridCol w:w="783"/>
        <w:gridCol w:w="57"/>
        <w:gridCol w:w="80"/>
        <w:gridCol w:w="88"/>
        <w:gridCol w:w="535"/>
        <w:gridCol w:w="57"/>
      </w:tblGrid>
      <w:tr w:rsidR="007E7656" w14:paraId="1877147E" w14:textId="77777777" w:rsidTr="007E7656">
        <w:trPr>
          <w:trHeight w:hRule="exact" w:val="80"/>
        </w:trPr>
        <w:tc>
          <w:tcPr>
            <w:tcW w:w="3260" w:type="dxa"/>
            <w:tcMar>
              <w:left w:w="60" w:type="dxa"/>
              <w:right w:w="0" w:type="dxa"/>
            </w:tcMar>
            <w:vAlign w:val="bottom"/>
          </w:tcPr>
          <w:p w14:paraId="5DD45A7C" w14:textId="77777777" w:rsidR="007E7656" w:rsidRDefault="007E7656" w:rsidP="00312F84">
            <w:pPr>
              <w:keepNext/>
              <w:keepLines/>
            </w:pPr>
          </w:p>
        </w:tc>
        <w:tc>
          <w:tcPr>
            <w:tcW w:w="80" w:type="dxa"/>
            <w:tcMar>
              <w:left w:w="60" w:type="dxa"/>
              <w:right w:w="0" w:type="dxa"/>
            </w:tcMar>
            <w:vAlign w:val="bottom"/>
          </w:tcPr>
          <w:p w14:paraId="36A02F33" w14:textId="77777777" w:rsidR="007E7656" w:rsidRDefault="007E7656" w:rsidP="00312F84">
            <w:pPr>
              <w:keepNext/>
              <w:keepLines/>
            </w:pPr>
          </w:p>
        </w:tc>
        <w:tc>
          <w:tcPr>
            <w:tcW w:w="783" w:type="dxa"/>
            <w:gridSpan w:val="2"/>
            <w:tcMar>
              <w:left w:w="60" w:type="dxa"/>
              <w:right w:w="60" w:type="dxa"/>
            </w:tcMar>
            <w:vAlign w:val="bottom"/>
          </w:tcPr>
          <w:p w14:paraId="3A3F7D70" w14:textId="77777777" w:rsidR="007E7656" w:rsidRDefault="007E7656" w:rsidP="00312F84">
            <w:pPr>
              <w:keepNext/>
              <w:keepLines/>
            </w:pPr>
          </w:p>
        </w:tc>
        <w:tc>
          <w:tcPr>
            <w:tcW w:w="80" w:type="dxa"/>
            <w:tcMar>
              <w:left w:w="60" w:type="dxa"/>
              <w:right w:w="0" w:type="dxa"/>
            </w:tcMar>
            <w:vAlign w:val="bottom"/>
          </w:tcPr>
          <w:p w14:paraId="30BBF739" w14:textId="77777777" w:rsidR="007E7656" w:rsidRDefault="007E7656" w:rsidP="00312F84">
            <w:pPr>
              <w:keepNext/>
              <w:keepLines/>
            </w:pPr>
          </w:p>
        </w:tc>
        <w:tc>
          <w:tcPr>
            <w:tcW w:w="783" w:type="dxa"/>
            <w:gridSpan w:val="2"/>
            <w:tcMar>
              <w:left w:w="60" w:type="dxa"/>
              <w:right w:w="60" w:type="dxa"/>
            </w:tcMar>
            <w:vAlign w:val="bottom"/>
          </w:tcPr>
          <w:p w14:paraId="36080EC3" w14:textId="77777777" w:rsidR="007E7656" w:rsidRDefault="007E7656" w:rsidP="00312F84">
            <w:pPr>
              <w:keepNext/>
              <w:keepLines/>
            </w:pPr>
          </w:p>
        </w:tc>
        <w:tc>
          <w:tcPr>
            <w:tcW w:w="80" w:type="dxa"/>
            <w:tcMar>
              <w:left w:w="60" w:type="dxa"/>
              <w:right w:w="0" w:type="dxa"/>
            </w:tcMar>
            <w:vAlign w:val="bottom"/>
          </w:tcPr>
          <w:p w14:paraId="6E2B2C7F" w14:textId="77777777" w:rsidR="007E7656" w:rsidRDefault="007E7656" w:rsidP="00312F84">
            <w:pPr>
              <w:keepNext/>
              <w:keepLines/>
            </w:pPr>
          </w:p>
        </w:tc>
        <w:tc>
          <w:tcPr>
            <w:tcW w:w="783" w:type="dxa"/>
            <w:gridSpan w:val="2"/>
            <w:tcMar>
              <w:left w:w="60" w:type="dxa"/>
              <w:right w:w="60" w:type="dxa"/>
            </w:tcMar>
            <w:vAlign w:val="bottom"/>
          </w:tcPr>
          <w:p w14:paraId="0957064A" w14:textId="77777777" w:rsidR="007E7656" w:rsidRDefault="007E7656" w:rsidP="00312F84">
            <w:pPr>
              <w:keepNext/>
              <w:keepLines/>
            </w:pPr>
          </w:p>
        </w:tc>
        <w:tc>
          <w:tcPr>
            <w:tcW w:w="80" w:type="dxa"/>
            <w:tcMar>
              <w:left w:w="60" w:type="dxa"/>
              <w:right w:w="0" w:type="dxa"/>
            </w:tcMar>
            <w:vAlign w:val="bottom"/>
          </w:tcPr>
          <w:p w14:paraId="6A990BFD" w14:textId="77777777" w:rsidR="007E7656" w:rsidRDefault="007E7656" w:rsidP="00312F84">
            <w:pPr>
              <w:keepNext/>
              <w:keepLines/>
            </w:pPr>
          </w:p>
        </w:tc>
        <w:tc>
          <w:tcPr>
            <w:tcW w:w="783" w:type="dxa"/>
            <w:gridSpan w:val="2"/>
            <w:tcMar>
              <w:left w:w="60" w:type="dxa"/>
              <w:right w:w="60" w:type="dxa"/>
            </w:tcMar>
            <w:vAlign w:val="bottom"/>
          </w:tcPr>
          <w:p w14:paraId="0C6DD137" w14:textId="77777777" w:rsidR="007E7656" w:rsidRDefault="007E7656" w:rsidP="00312F84">
            <w:pPr>
              <w:keepNext/>
              <w:keepLines/>
            </w:pPr>
          </w:p>
        </w:tc>
        <w:tc>
          <w:tcPr>
            <w:tcW w:w="80" w:type="dxa"/>
            <w:tcMar>
              <w:left w:w="60" w:type="dxa"/>
              <w:right w:w="0" w:type="dxa"/>
            </w:tcMar>
            <w:vAlign w:val="bottom"/>
          </w:tcPr>
          <w:p w14:paraId="6BFFD876" w14:textId="77777777" w:rsidR="007E7656" w:rsidRDefault="007E7656" w:rsidP="00312F84">
            <w:pPr>
              <w:keepNext/>
              <w:keepLines/>
            </w:pPr>
          </w:p>
        </w:tc>
        <w:tc>
          <w:tcPr>
            <w:tcW w:w="783" w:type="dxa"/>
            <w:gridSpan w:val="2"/>
            <w:tcMar>
              <w:left w:w="60" w:type="dxa"/>
              <w:right w:w="60" w:type="dxa"/>
            </w:tcMar>
            <w:vAlign w:val="bottom"/>
          </w:tcPr>
          <w:p w14:paraId="51200A85" w14:textId="77777777" w:rsidR="007E7656" w:rsidRDefault="007E7656" w:rsidP="00312F84">
            <w:pPr>
              <w:keepNext/>
              <w:keepLines/>
            </w:pPr>
          </w:p>
        </w:tc>
        <w:tc>
          <w:tcPr>
            <w:tcW w:w="80" w:type="dxa"/>
            <w:tcMar>
              <w:left w:w="60" w:type="dxa"/>
              <w:right w:w="0" w:type="dxa"/>
            </w:tcMar>
            <w:vAlign w:val="bottom"/>
          </w:tcPr>
          <w:p w14:paraId="554080A2" w14:textId="77777777" w:rsidR="007E7656" w:rsidRDefault="007E7656" w:rsidP="00312F84">
            <w:pPr>
              <w:keepNext/>
              <w:keepLines/>
            </w:pPr>
          </w:p>
        </w:tc>
        <w:tc>
          <w:tcPr>
            <w:tcW w:w="640" w:type="dxa"/>
            <w:tcMar>
              <w:left w:w="60" w:type="dxa"/>
              <w:right w:w="60" w:type="dxa"/>
            </w:tcMar>
            <w:vAlign w:val="bottom"/>
          </w:tcPr>
          <w:p w14:paraId="2693AB68" w14:textId="77777777" w:rsidR="007E7656" w:rsidRDefault="007E7656" w:rsidP="00312F84">
            <w:pPr>
              <w:keepNext/>
              <w:keepLines/>
            </w:pPr>
          </w:p>
        </w:tc>
        <w:tc>
          <w:tcPr>
            <w:tcW w:w="80" w:type="dxa"/>
            <w:tcMar>
              <w:left w:w="0" w:type="dxa"/>
              <w:right w:w="0" w:type="dxa"/>
            </w:tcMar>
            <w:vAlign w:val="bottom"/>
          </w:tcPr>
          <w:p w14:paraId="0A23857C" w14:textId="77777777" w:rsidR="007E7656" w:rsidRDefault="007E7656" w:rsidP="00312F84">
            <w:pPr>
              <w:keepNext/>
              <w:keepLines/>
            </w:pPr>
          </w:p>
        </w:tc>
        <w:tc>
          <w:tcPr>
            <w:tcW w:w="783" w:type="dxa"/>
            <w:gridSpan w:val="2"/>
            <w:tcMar>
              <w:left w:w="60" w:type="dxa"/>
              <w:right w:w="60" w:type="dxa"/>
            </w:tcMar>
            <w:vAlign w:val="bottom"/>
          </w:tcPr>
          <w:p w14:paraId="0FC48B37" w14:textId="77777777" w:rsidR="007E7656" w:rsidRDefault="007E7656" w:rsidP="00312F84">
            <w:pPr>
              <w:keepNext/>
              <w:keepLines/>
            </w:pPr>
          </w:p>
        </w:tc>
        <w:tc>
          <w:tcPr>
            <w:tcW w:w="80" w:type="dxa"/>
            <w:tcMar>
              <w:left w:w="60" w:type="dxa"/>
              <w:right w:w="0" w:type="dxa"/>
            </w:tcMar>
            <w:vAlign w:val="bottom"/>
          </w:tcPr>
          <w:p w14:paraId="021D740F" w14:textId="77777777" w:rsidR="007E7656" w:rsidRDefault="007E7656" w:rsidP="00312F84">
            <w:pPr>
              <w:keepNext/>
              <w:keepLines/>
            </w:pPr>
          </w:p>
        </w:tc>
        <w:tc>
          <w:tcPr>
            <w:tcW w:w="0" w:type="dxa"/>
            <w:gridSpan w:val="3"/>
            <w:tcMar>
              <w:left w:w="60" w:type="dxa"/>
              <w:right w:w="60" w:type="dxa"/>
            </w:tcMar>
            <w:vAlign w:val="bottom"/>
          </w:tcPr>
          <w:p w14:paraId="3EFA03F8" w14:textId="77777777" w:rsidR="007E7656" w:rsidRDefault="007E7656" w:rsidP="00312F84">
            <w:pPr>
              <w:keepNext/>
              <w:keepLines/>
            </w:pPr>
          </w:p>
        </w:tc>
      </w:tr>
      <w:tr w:rsidR="007E7656" w14:paraId="60D11C4B" w14:textId="77777777" w:rsidTr="007E7656">
        <w:trPr>
          <w:trHeight w:hRule="exact" w:val="400"/>
        </w:trPr>
        <w:tc>
          <w:tcPr>
            <w:tcW w:w="3260" w:type="dxa"/>
            <w:tcMar>
              <w:left w:w="60" w:type="dxa"/>
              <w:right w:w="0" w:type="dxa"/>
            </w:tcMar>
            <w:vAlign w:val="bottom"/>
          </w:tcPr>
          <w:p w14:paraId="2B59F69F" w14:textId="77777777" w:rsidR="007E7656" w:rsidRDefault="007E7656" w:rsidP="00312F84">
            <w:pPr>
              <w:keepNext/>
              <w:keepLines/>
              <w:spacing w:before="40" w:after="40"/>
            </w:pPr>
          </w:p>
        </w:tc>
        <w:tc>
          <w:tcPr>
            <w:tcW w:w="80" w:type="dxa"/>
            <w:tcMar>
              <w:left w:w="60" w:type="dxa"/>
              <w:right w:w="0" w:type="dxa"/>
            </w:tcMar>
            <w:vAlign w:val="bottom"/>
          </w:tcPr>
          <w:p w14:paraId="35570B3A"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67568543" w14:textId="77777777" w:rsidR="007E7656" w:rsidRDefault="007E7656" w:rsidP="00312F84">
            <w:pPr>
              <w:keepNext/>
              <w:keepLines/>
              <w:spacing w:before="40" w:after="40"/>
            </w:pPr>
          </w:p>
        </w:tc>
        <w:tc>
          <w:tcPr>
            <w:tcW w:w="80" w:type="dxa"/>
            <w:tcMar>
              <w:left w:w="60" w:type="dxa"/>
              <w:right w:w="0" w:type="dxa"/>
            </w:tcMar>
            <w:vAlign w:val="bottom"/>
          </w:tcPr>
          <w:p w14:paraId="7D434955"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19613499" w14:textId="77777777" w:rsidR="007E7656" w:rsidRDefault="007E7656" w:rsidP="00312F84">
            <w:pPr>
              <w:keepNext/>
              <w:keepLines/>
              <w:spacing w:before="40" w:after="40"/>
            </w:pPr>
          </w:p>
        </w:tc>
        <w:tc>
          <w:tcPr>
            <w:tcW w:w="80" w:type="dxa"/>
            <w:tcMar>
              <w:left w:w="60" w:type="dxa"/>
              <w:right w:w="0" w:type="dxa"/>
            </w:tcMar>
            <w:vAlign w:val="bottom"/>
          </w:tcPr>
          <w:p w14:paraId="412B88A8"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3E265BEA" w14:textId="77777777" w:rsidR="007E7656" w:rsidRDefault="007E7656" w:rsidP="00312F84">
            <w:pPr>
              <w:keepNext/>
              <w:keepLines/>
              <w:spacing w:before="40" w:after="40"/>
            </w:pPr>
          </w:p>
        </w:tc>
        <w:tc>
          <w:tcPr>
            <w:tcW w:w="80" w:type="dxa"/>
            <w:tcMar>
              <w:left w:w="60" w:type="dxa"/>
              <w:right w:w="0" w:type="dxa"/>
            </w:tcMar>
            <w:vAlign w:val="bottom"/>
          </w:tcPr>
          <w:p w14:paraId="60A0F367"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19A696A1" w14:textId="77777777" w:rsidR="007E7656" w:rsidRDefault="007E7656" w:rsidP="00312F84">
            <w:pPr>
              <w:keepNext/>
              <w:keepLines/>
              <w:spacing w:before="40" w:after="40"/>
            </w:pPr>
          </w:p>
        </w:tc>
        <w:tc>
          <w:tcPr>
            <w:tcW w:w="80" w:type="dxa"/>
            <w:tcMar>
              <w:left w:w="60" w:type="dxa"/>
              <w:right w:w="0" w:type="dxa"/>
            </w:tcMar>
            <w:vAlign w:val="bottom"/>
          </w:tcPr>
          <w:p w14:paraId="26ED5AA8"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ABBB366" w14:textId="77777777" w:rsidR="007E7656" w:rsidRDefault="007E7656" w:rsidP="00312F84">
            <w:pPr>
              <w:keepNext/>
              <w:keepLines/>
              <w:spacing w:before="40" w:after="40"/>
            </w:pPr>
          </w:p>
        </w:tc>
        <w:tc>
          <w:tcPr>
            <w:tcW w:w="80" w:type="dxa"/>
            <w:tcMar>
              <w:left w:w="60" w:type="dxa"/>
              <w:right w:w="0" w:type="dxa"/>
            </w:tcMar>
            <w:vAlign w:val="bottom"/>
          </w:tcPr>
          <w:p w14:paraId="0DDE3E21"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22022506" w14:textId="77777777" w:rsidR="007E7656" w:rsidRDefault="007E7656" w:rsidP="00312F84">
            <w:pPr>
              <w:keepNext/>
              <w:keepLines/>
              <w:spacing w:before="40" w:after="40"/>
            </w:pPr>
          </w:p>
        </w:tc>
        <w:tc>
          <w:tcPr>
            <w:tcW w:w="80" w:type="dxa"/>
            <w:tcMar>
              <w:left w:w="0" w:type="dxa"/>
              <w:right w:w="0" w:type="dxa"/>
            </w:tcMar>
            <w:vAlign w:val="bottom"/>
          </w:tcPr>
          <w:p w14:paraId="47531106"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8C0F5B6" w14:textId="77777777" w:rsidR="007E7656" w:rsidRDefault="007E7656" w:rsidP="00312F84">
            <w:pPr>
              <w:keepNext/>
              <w:keepLines/>
              <w:spacing w:before="40" w:after="40"/>
            </w:pPr>
          </w:p>
        </w:tc>
        <w:tc>
          <w:tcPr>
            <w:tcW w:w="80" w:type="dxa"/>
            <w:tcMar>
              <w:left w:w="60" w:type="dxa"/>
              <w:right w:w="0" w:type="dxa"/>
            </w:tcMar>
            <w:vAlign w:val="bottom"/>
          </w:tcPr>
          <w:p w14:paraId="7D9F1B7C" w14:textId="77777777" w:rsidR="007E7656" w:rsidRDefault="007E7656" w:rsidP="00312F84">
            <w:pPr>
              <w:keepNext/>
              <w:keepLines/>
              <w:spacing w:before="40" w:after="40"/>
            </w:pPr>
          </w:p>
        </w:tc>
        <w:tc>
          <w:tcPr>
            <w:tcW w:w="0" w:type="dxa"/>
            <w:gridSpan w:val="3"/>
            <w:tcBorders>
              <w:bottom w:val="single" w:sz="8" w:space="0" w:color="auto"/>
            </w:tcBorders>
            <w:tcMar>
              <w:left w:w="60" w:type="dxa"/>
              <w:right w:w="60" w:type="dxa"/>
            </w:tcMar>
            <w:vAlign w:val="bottom"/>
          </w:tcPr>
          <w:p w14:paraId="5BEE521D" w14:textId="77777777" w:rsidR="007E7656" w:rsidRDefault="007E7656" w:rsidP="00312F84">
            <w:pPr>
              <w:keepNext/>
              <w:keepLines/>
              <w:spacing w:before="40" w:after="40"/>
            </w:pPr>
          </w:p>
        </w:tc>
      </w:tr>
      <w:tr w:rsidR="007E7656" w14:paraId="3EE9968C" w14:textId="77777777" w:rsidTr="007E7656">
        <w:trPr>
          <w:trHeight w:hRule="exact" w:val="400"/>
        </w:trPr>
        <w:tc>
          <w:tcPr>
            <w:tcW w:w="3260" w:type="dxa"/>
            <w:tcMar>
              <w:left w:w="60" w:type="dxa"/>
              <w:right w:w="0" w:type="dxa"/>
            </w:tcMar>
            <w:vAlign w:val="bottom"/>
          </w:tcPr>
          <w:p w14:paraId="51374974" w14:textId="77777777" w:rsidR="007E7656" w:rsidRDefault="007E7656" w:rsidP="00312F84">
            <w:pPr>
              <w:keepNext/>
              <w:keepLines/>
              <w:spacing w:before="40" w:after="40"/>
            </w:pPr>
          </w:p>
        </w:tc>
        <w:tc>
          <w:tcPr>
            <w:tcW w:w="80" w:type="dxa"/>
            <w:tcMar>
              <w:left w:w="60" w:type="dxa"/>
              <w:right w:w="0" w:type="dxa"/>
            </w:tcMar>
            <w:vAlign w:val="bottom"/>
          </w:tcPr>
          <w:p w14:paraId="5109C9AC"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F8A9FDA"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Net</w:t>
            </w:r>
          </w:p>
          <w:p w14:paraId="04235C45"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Sales</w:t>
            </w:r>
          </w:p>
        </w:tc>
        <w:tc>
          <w:tcPr>
            <w:tcW w:w="80" w:type="dxa"/>
            <w:tcMar>
              <w:left w:w="60" w:type="dxa"/>
              <w:right w:w="0" w:type="dxa"/>
            </w:tcMar>
            <w:vAlign w:val="bottom"/>
          </w:tcPr>
          <w:p w14:paraId="5B977019"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BB44F4A"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Gross</w:t>
            </w:r>
          </w:p>
          <w:p w14:paraId="2F52AC6A"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Profit</w:t>
            </w:r>
          </w:p>
        </w:tc>
        <w:tc>
          <w:tcPr>
            <w:tcW w:w="80" w:type="dxa"/>
            <w:tcMar>
              <w:left w:w="60" w:type="dxa"/>
              <w:right w:w="0" w:type="dxa"/>
            </w:tcMar>
            <w:vAlign w:val="bottom"/>
          </w:tcPr>
          <w:p w14:paraId="11AD32E1"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3C85A972"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Operating</w:t>
            </w:r>
          </w:p>
          <w:p w14:paraId="6EC24DBB"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Income</w:t>
            </w:r>
          </w:p>
        </w:tc>
        <w:tc>
          <w:tcPr>
            <w:tcW w:w="80" w:type="dxa"/>
            <w:tcMar>
              <w:left w:w="60" w:type="dxa"/>
              <w:right w:w="0" w:type="dxa"/>
            </w:tcMar>
            <w:vAlign w:val="bottom"/>
          </w:tcPr>
          <w:p w14:paraId="2F2CFE8A"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6C2DB47E"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Pre-tax</w:t>
            </w:r>
          </w:p>
          <w:p w14:paraId="3072471A"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Income</w:t>
            </w:r>
          </w:p>
        </w:tc>
        <w:tc>
          <w:tcPr>
            <w:tcW w:w="80" w:type="dxa"/>
            <w:tcMar>
              <w:left w:w="60" w:type="dxa"/>
              <w:right w:w="0" w:type="dxa"/>
            </w:tcMar>
            <w:vAlign w:val="bottom"/>
          </w:tcPr>
          <w:p w14:paraId="2B1E77B4"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4AE30444"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Income</w:t>
            </w:r>
          </w:p>
          <w:p w14:paraId="0227704F"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Tax</w:t>
            </w:r>
          </w:p>
        </w:tc>
        <w:tc>
          <w:tcPr>
            <w:tcW w:w="80" w:type="dxa"/>
            <w:tcMar>
              <w:left w:w="60" w:type="dxa"/>
              <w:right w:w="0" w:type="dxa"/>
            </w:tcMar>
            <w:vAlign w:val="bottom"/>
          </w:tcPr>
          <w:p w14:paraId="3E0C44BE"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77B5EFC9"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Tax Rate</w:t>
            </w:r>
          </w:p>
        </w:tc>
        <w:tc>
          <w:tcPr>
            <w:tcW w:w="80" w:type="dxa"/>
            <w:tcMar>
              <w:left w:w="0" w:type="dxa"/>
              <w:right w:w="0" w:type="dxa"/>
            </w:tcMar>
            <w:vAlign w:val="bottom"/>
          </w:tcPr>
          <w:p w14:paraId="19BCDCCC"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D6F2B70"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Net</w:t>
            </w:r>
          </w:p>
          <w:p w14:paraId="2CE263C5"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Income</w:t>
            </w:r>
          </w:p>
        </w:tc>
        <w:tc>
          <w:tcPr>
            <w:tcW w:w="80" w:type="dxa"/>
            <w:tcMar>
              <w:left w:w="60" w:type="dxa"/>
              <w:right w:w="0" w:type="dxa"/>
            </w:tcMar>
            <w:vAlign w:val="bottom"/>
          </w:tcPr>
          <w:p w14:paraId="041A4E9E" w14:textId="77777777" w:rsidR="007E7656" w:rsidRDefault="007E7656" w:rsidP="00312F84">
            <w:pPr>
              <w:keepNext/>
              <w:keepLines/>
              <w:spacing w:before="40" w:after="40"/>
            </w:pPr>
          </w:p>
        </w:tc>
        <w:tc>
          <w:tcPr>
            <w:tcW w:w="0" w:type="dxa"/>
            <w:gridSpan w:val="3"/>
            <w:tcBorders>
              <w:bottom w:val="single" w:sz="8" w:space="0" w:color="auto"/>
            </w:tcBorders>
            <w:tcMar>
              <w:left w:w="60" w:type="dxa"/>
              <w:right w:w="60" w:type="dxa"/>
            </w:tcMar>
            <w:vAlign w:val="bottom"/>
          </w:tcPr>
          <w:p w14:paraId="0046B2E8" w14:textId="77777777" w:rsidR="007E7656" w:rsidRDefault="007E7656" w:rsidP="00312F84">
            <w:pPr>
              <w:keepNext/>
              <w:keepLines/>
              <w:spacing w:before="40"/>
              <w:jc w:val="center"/>
              <w:rPr>
                <w:rFonts w:ascii="Arial" w:eastAsia="Arial" w:hAnsi="Arial" w:cs="Arial"/>
                <w:sz w:val="14"/>
              </w:rPr>
            </w:pPr>
            <w:r>
              <w:rPr>
                <w:rFonts w:ascii="Arial" w:eastAsia="Arial" w:hAnsi="Arial" w:cs="Arial"/>
                <w:sz w:val="14"/>
              </w:rPr>
              <w:t>Diluted</w:t>
            </w:r>
          </w:p>
          <w:p w14:paraId="334A27E7" w14:textId="77777777" w:rsidR="007E7656" w:rsidRDefault="007E7656" w:rsidP="00312F84">
            <w:pPr>
              <w:keepNext/>
              <w:keepLines/>
              <w:spacing w:after="40"/>
              <w:jc w:val="center"/>
              <w:rPr>
                <w:rFonts w:ascii="Arial" w:eastAsia="Arial" w:hAnsi="Arial" w:cs="Arial"/>
                <w:sz w:val="14"/>
              </w:rPr>
            </w:pPr>
            <w:r>
              <w:rPr>
                <w:rFonts w:ascii="Arial" w:eastAsia="Arial" w:hAnsi="Arial" w:cs="Arial"/>
                <w:sz w:val="14"/>
              </w:rPr>
              <w:t>EPS*</w:t>
            </w:r>
          </w:p>
        </w:tc>
      </w:tr>
      <w:tr w:rsidR="007E7656" w14:paraId="34CD6C42" w14:textId="77777777" w:rsidTr="00312F84">
        <w:trPr>
          <w:trHeight w:hRule="exact" w:val="260"/>
        </w:trPr>
        <w:tc>
          <w:tcPr>
            <w:tcW w:w="3260" w:type="dxa"/>
            <w:tcMar>
              <w:left w:w="60" w:type="dxa"/>
              <w:right w:w="40" w:type="dxa"/>
            </w:tcMar>
            <w:vAlign w:val="bottom"/>
          </w:tcPr>
          <w:p w14:paraId="2241419E"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Reported results</w:t>
            </w:r>
          </w:p>
        </w:tc>
        <w:tc>
          <w:tcPr>
            <w:tcW w:w="80" w:type="dxa"/>
            <w:tcMar>
              <w:left w:w="60" w:type="dxa"/>
              <w:right w:w="0" w:type="dxa"/>
            </w:tcMar>
            <w:vAlign w:val="bottom"/>
          </w:tcPr>
          <w:p w14:paraId="3C7F0C30"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71035358"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730.3</w:t>
            </w:r>
          </w:p>
        </w:tc>
        <w:tc>
          <w:tcPr>
            <w:tcW w:w="57" w:type="dxa"/>
            <w:tcBorders>
              <w:top w:val="single" w:sz="8" w:space="0" w:color="auto"/>
            </w:tcBorders>
            <w:tcMar>
              <w:left w:w="0" w:type="dxa"/>
              <w:right w:w="0" w:type="dxa"/>
            </w:tcMar>
          </w:tcPr>
          <w:p w14:paraId="27A142DE" w14:textId="77777777" w:rsidR="007E7656" w:rsidRDefault="007E7656" w:rsidP="00312F84"/>
        </w:tc>
        <w:tc>
          <w:tcPr>
            <w:tcW w:w="80" w:type="dxa"/>
            <w:tcMar>
              <w:left w:w="0" w:type="dxa"/>
              <w:right w:w="60" w:type="dxa"/>
            </w:tcMar>
            <w:vAlign w:val="bottom"/>
          </w:tcPr>
          <w:p w14:paraId="708F07B3"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3A27620D"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470.8</w:t>
            </w:r>
          </w:p>
        </w:tc>
        <w:tc>
          <w:tcPr>
            <w:tcW w:w="57" w:type="dxa"/>
            <w:tcBorders>
              <w:top w:val="single" w:sz="8" w:space="0" w:color="auto"/>
            </w:tcBorders>
            <w:tcMar>
              <w:left w:w="0" w:type="dxa"/>
              <w:right w:w="0" w:type="dxa"/>
            </w:tcMar>
          </w:tcPr>
          <w:p w14:paraId="13E968AA" w14:textId="77777777" w:rsidR="007E7656" w:rsidRDefault="007E7656" w:rsidP="00312F84"/>
        </w:tc>
        <w:tc>
          <w:tcPr>
            <w:tcW w:w="80" w:type="dxa"/>
            <w:tcMar>
              <w:left w:w="0" w:type="dxa"/>
              <w:right w:w="60" w:type="dxa"/>
            </w:tcMar>
            <w:vAlign w:val="bottom"/>
          </w:tcPr>
          <w:p w14:paraId="7C60F05C"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2DF1F8E0"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101.3</w:t>
            </w:r>
          </w:p>
        </w:tc>
        <w:tc>
          <w:tcPr>
            <w:tcW w:w="57" w:type="dxa"/>
            <w:tcBorders>
              <w:top w:val="single" w:sz="8" w:space="0" w:color="auto"/>
            </w:tcBorders>
            <w:tcMar>
              <w:left w:w="0" w:type="dxa"/>
              <w:right w:w="0" w:type="dxa"/>
            </w:tcMar>
          </w:tcPr>
          <w:p w14:paraId="36E5822A" w14:textId="77777777" w:rsidR="007E7656" w:rsidRDefault="007E7656" w:rsidP="00312F84"/>
        </w:tc>
        <w:tc>
          <w:tcPr>
            <w:tcW w:w="80" w:type="dxa"/>
            <w:tcMar>
              <w:left w:w="0" w:type="dxa"/>
              <w:right w:w="60" w:type="dxa"/>
            </w:tcMar>
            <w:vAlign w:val="bottom"/>
          </w:tcPr>
          <w:p w14:paraId="1DBF6877"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53176396"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80.3</w:t>
            </w:r>
          </w:p>
        </w:tc>
        <w:tc>
          <w:tcPr>
            <w:tcW w:w="57" w:type="dxa"/>
            <w:tcBorders>
              <w:top w:val="single" w:sz="8" w:space="0" w:color="auto"/>
            </w:tcBorders>
            <w:tcMar>
              <w:left w:w="0" w:type="dxa"/>
              <w:right w:w="0" w:type="dxa"/>
            </w:tcMar>
          </w:tcPr>
          <w:p w14:paraId="435460D6" w14:textId="77777777" w:rsidR="007E7656" w:rsidRDefault="007E7656" w:rsidP="00312F84"/>
        </w:tc>
        <w:tc>
          <w:tcPr>
            <w:tcW w:w="80" w:type="dxa"/>
            <w:tcMar>
              <w:left w:w="0" w:type="dxa"/>
              <w:right w:w="60" w:type="dxa"/>
            </w:tcMar>
            <w:vAlign w:val="bottom"/>
          </w:tcPr>
          <w:p w14:paraId="1713C870"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6CFD2A3B"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(6.0</w:t>
            </w:r>
          </w:p>
        </w:tc>
        <w:tc>
          <w:tcPr>
            <w:tcW w:w="57" w:type="dxa"/>
            <w:tcBorders>
              <w:top w:val="single" w:sz="8" w:space="0" w:color="auto"/>
            </w:tcBorders>
            <w:tcMar>
              <w:left w:w="0" w:type="dxa"/>
              <w:right w:w="0" w:type="dxa"/>
            </w:tcMar>
            <w:vAlign w:val="bottom"/>
          </w:tcPr>
          <w:p w14:paraId="474A0674"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7DE67511" w14:textId="77777777" w:rsidR="007E7656" w:rsidRDefault="007E7656" w:rsidP="00312F84">
            <w:pPr>
              <w:keepNext/>
              <w:keepLines/>
              <w:spacing w:before="40" w:after="40"/>
            </w:pPr>
          </w:p>
        </w:tc>
        <w:tc>
          <w:tcPr>
            <w:tcW w:w="640" w:type="dxa"/>
            <w:tcBorders>
              <w:top w:val="single" w:sz="8" w:space="0" w:color="auto"/>
            </w:tcBorders>
            <w:tcMar>
              <w:left w:w="60" w:type="dxa"/>
              <w:right w:w="60" w:type="dxa"/>
            </w:tcMar>
            <w:vAlign w:val="bottom"/>
          </w:tcPr>
          <w:p w14:paraId="0D2600B8" w14:textId="77777777" w:rsidR="007E7656" w:rsidRDefault="007E7656" w:rsidP="00312F84">
            <w:pPr>
              <w:keepNext/>
              <w:keepLines/>
              <w:spacing w:before="40" w:after="40"/>
              <w:jc w:val="center"/>
              <w:rPr>
                <w:rFonts w:ascii="Arial" w:eastAsia="Arial" w:hAnsi="Arial" w:cs="Arial"/>
                <w:b/>
                <w:sz w:val="14"/>
              </w:rPr>
            </w:pPr>
            <w:r>
              <w:rPr>
                <w:rFonts w:ascii="Arial" w:eastAsia="Arial" w:hAnsi="Arial" w:cs="Arial"/>
                <w:b/>
                <w:color w:val="000000"/>
                <w:sz w:val="14"/>
              </w:rPr>
              <w:t>7%</w:t>
            </w:r>
          </w:p>
        </w:tc>
        <w:tc>
          <w:tcPr>
            <w:tcW w:w="80" w:type="dxa"/>
            <w:tcMar>
              <w:left w:w="60" w:type="dxa"/>
              <w:right w:w="0" w:type="dxa"/>
            </w:tcMar>
            <w:vAlign w:val="bottom"/>
          </w:tcPr>
          <w:p w14:paraId="05F649EB"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547E8341"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74.2</w:t>
            </w:r>
          </w:p>
        </w:tc>
        <w:tc>
          <w:tcPr>
            <w:tcW w:w="57" w:type="dxa"/>
            <w:tcBorders>
              <w:top w:val="single" w:sz="8" w:space="0" w:color="auto"/>
            </w:tcBorders>
            <w:tcMar>
              <w:left w:w="0" w:type="dxa"/>
              <w:right w:w="0" w:type="dxa"/>
            </w:tcMar>
          </w:tcPr>
          <w:p w14:paraId="147E2803" w14:textId="77777777" w:rsidR="007E7656" w:rsidRDefault="007E7656" w:rsidP="00312F84"/>
        </w:tc>
        <w:tc>
          <w:tcPr>
            <w:tcW w:w="80" w:type="dxa"/>
            <w:tcMar>
              <w:left w:w="0" w:type="dxa"/>
              <w:right w:w="60" w:type="dxa"/>
            </w:tcMar>
            <w:vAlign w:val="bottom"/>
          </w:tcPr>
          <w:p w14:paraId="46D1B4EF" w14:textId="77777777" w:rsidR="007E7656" w:rsidRDefault="007E7656" w:rsidP="00312F84">
            <w:pPr>
              <w:keepNext/>
              <w:keepLines/>
              <w:spacing w:before="40" w:after="40"/>
            </w:pPr>
          </w:p>
        </w:tc>
        <w:tc>
          <w:tcPr>
            <w:tcW w:w="88" w:type="dxa"/>
            <w:tcBorders>
              <w:top w:val="single" w:sz="8" w:space="0" w:color="auto"/>
            </w:tcBorders>
            <w:tcMar>
              <w:left w:w="0" w:type="dxa"/>
              <w:right w:w="0" w:type="dxa"/>
            </w:tcMar>
            <w:vAlign w:val="bottom"/>
          </w:tcPr>
          <w:p w14:paraId="7617175A"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535" w:type="dxa"/>
            <w:tcBorders>
              <w:top w:val="single" w:sz="8" w:space="0" w:color="auto"/>
            </w:tcBorders>
            <w:tcMar>
              <w:left w:w="0" w:type="dxa"/>
              <w:right w:w="0" w:type="dxa"/>
            </w:tcMar>
            <w:vAlign w:val="bottom"/>
          </w:tcPr>
          <w:p w14:paraId="6EE7D26D"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0.32</w:t>
            </w:r>
          </w:p>
        </w:tc>
        <w:tc>
          <w:tcPr>
            <w:tcW w:w="57" w:type="dxa"/>
            <w:tcBorders>
              <w:top w:val="single" w:sz="8" w:space="0" w:color="auto"/>
            </w:tcBorders>
            <w:tcMar>
              <w:left w:w="0" w:type="dxa"/>
              <w:right w:w="0" w:type="dxa"/>
            </w:tcMar>
          </w:tcPr>
          <w:p w14:paraId="4E808DD1" w14:textId="77777777" w:rsidR="007E7656" w:rsidRDefault="007E7656" w:rsidP="00312F84"/>
        </w:tc>
      </w:tr>
      <w:tr w:rsidR="007E7656" w14:paraId="49355C97" w14:textId="77777777" w:rsidTr="007E7656">
        <w:trPr>
          <w:trHeight w:hRule="exact" w:val="260"/>
        </w:trPr>
        <w:tc>
          <w:tcPr>
            <w:tcW w:w="3260" w:type="dxa"/>
            <w:tcMar>
              <w:left w:w="60" w:type="dxa"/>
              <w:right w:w="40" w:type="dxa"/>
            </w:tcMar>
            <w:vAlign w:val="bottom"/>
          </w:tcPr>
          <w:p w14:paraId="47BEF7F1"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Adjustments:</w:t>
            </w:r>
          </w:p>
        </w:tc>
        <w:tc>
          <w:tcPr>
            <w:tcW w:w="80" w:type="dxa"/>
            <w:tcMar>
              <w:left w:w="60" w:type="dxa"/>
              <w:right w:w="0" w:type="dxa"/>
            </w:tcMar>
            <w:vAlign w:val="bottom"/>
          </w:tcPr>
          <w:p w14:paraId="043ABBD6" w14:textId="77777777" w:rsidR="007E7656" w:rsidRDefault="007E7656" w:rsidP="00312F84">
            <w:pPr>
              <w:keepNext/>
              <w:keepLines/>
              <w:spacing w:before="40" w:after="40"/>
            </w:pPr>
          </w:p>
        </w:tc>
        <w:tc>
          <w:tcPr>
            <w:tcW w:w="783" w:type="dxa"/>
            <w:gridSpan w:val="2"/>
            <w:tcMar>
              <w:left w:w="60" w:type="dxa"/>
              <w:right w:w="0" w:type="dxa"/>
            </w:tcMar>
            <w:vAlign w:val="bottom"/>
          </w:tcPr>
          <w:p w14:paraId="5C44A7B4" w14:textId="77777777" w:rsidR="007E7656" w:rsidRDefault="007E7656" w:rsidP="00312F84">
            <w:pPr>
              <w:keepNext/>
              <w:keepLines/>
              <w:spacing w:before="40" w:after="40"/>
            </w:pPr>
          </w:p>
        </w:tc>
        <w:tc>
          <w:tcPr>
            <w:tcW w:w="80" w:type="dxa"/>
            <w:tcMar>
              <w:left w:w="60" w:type="dxa"/>
              <w:right w:w="0" w:type="dxa"/>
            </w:tcMar>
            <w:vAlign w:val="bottom"/>
          </w:tcPr>
          <w:p w14:paraId="50E28F9D" w14:textId="77777777" w:rsidR="007E7656" w:rsidRDefault="007E7656" w:rsidP="00312F84">
            <w:pPr>
              <w:keepNext/>
              <w:keepLines/>
              <w:spacing w:before="40" w:after="40"/>
            </w:pPr>
          </w:p>
        </w:tc>
        <w:tc>
          <w:tcPr>
            <w:tcW w:w="783" w:type="dxa"/>
            <w:gridSpan w:val="2"/>
            <w:tcMar>
              <w:left w:w="60" w:type="dxa"/>
              <w:right w:w="0" w:type="dxa"/>
            </w:tcMar>
            <w:vAlign w:val="bottom"/>
          </w:tcPr>
          <w:p w14:paraId="1EAC511B" w14:textId="77777777" w:rsidR="007E7656" w:rsidRDefault="007E7656" w:rsidP="00312F84">
            <w:pPr>
              <w:keepNext/>
              <w:keepLines/>
              <w:spacing w:before="40" w:after="40"/>
            </w:pPr>
          </w:p>
        </w:tc>
        <w:tc>
          <w:tcPr>
            <w:tcW w:w="80" w:type="dxa"/>
            <w:tcMar>
              <w:left w:w="60" w:type="dxa"/>
              <w:right w:w="0" w:type="dxa"/>
            </w:tcMar>
            <w:vAlign w:val="bottom"/>
          </w:tcPr>
          <w:p w14:paraId="53B02ED5" w14:textId="77777777" w:rsidR="007E7656" w:rsidRDefault="007E7656" w:rsidP="00312F84">
            <w:pPr>
              <w:keepNext/>
              <w:keepLines/>
              <w:spacing w:before="40" w:after="40"/>
            </w:pPr>
          </w:p>
        </w:tc>
        <w:tc>
          <w:tcPr>
            <w:tcW w:w="783" w:type="dxa"/>
            <w:gridSpan w:val="2"/>
            <w:tcMar>
              <w:left w:w="60" w:type="dxa"/>
              <w:right w:w="0" w:type="dxa"/>
            </w:tcMar>
            <w:vAlign w:val="bottom"/>
          </w:tcPr>
          <w:p w14:paraId="290179CC" w14:textId="77777777" w:rsidR="007E7656" w:rsidRDefault="007E7656" w:rsidP="00312F84">
            <w:pPr>
              <w:keepNext/>
              <w:keepLines/>
              <w:spacing w:before="40" w:after="40"/>
            </w:pPr>
          </w:p>
        </w:tc>
        <w:tc>
          <w:tcPr>
            <w:tcW w:w="80" w:type="dxa"/>
            <w:tcMar>
              <w:left w:w="60" w:type="dxa"/>
              <w:right w:w="0" w:type="dxa"/>
            </w:tcMar>
            <w:vAlign w:val="bottom"/>
          </w:tcPr>
          <w:p w14:paraId="38AA4779" w14:textId="77777777" w:rsidR="007E7656" w:rsidRDefault="007E7656" w:rsidP="00312F84">
            <w:pPr>
              <w:keepNext/>
              <w:keepLines/>
              <w:spacing w:before="40" w:after="40"/>
            </w:pPr>
          </w:p>
        </w:tc>
        <w:tc>
          <w:tcPr>
            <w:tcW w:w="783" w:type="dxa"/>
            <w:gridSpan w:val="2"/>
            <w:tcMar>
              <w:left w:w="60" w:type="dxa"/>
              <w:right w:w="0" w:type="dxa"/>
            </w:tcMar>
            <w:vAlign w:val="bottom"/>
          </w:tcPr>
          <w:p w14:paraId="7784C7EB" w14:textId="77777777" w:rsidR="007E7656" w:rsidRDefault="007E7656" w:rsidP="00312F84">
            <w:pPr>
              <w:keepNext/>
              <w:keepLines/>
              <w:spacing w:before="40" w:after="40"/>
            </w:pPr>
          </w:p>
        </w:tc>
        <w:tc>
          <w:tcPr>
            <w:tcW w:w="80" w:type="dxa"/>
            <w:tcMar>
              <w:left w:w="60" w:type="dxa"/>
              <w:right w:w="0" w:type="dxa"/>
            </w:tcMar>
            <w:vAlign w:val="bottom"/>
          </w:tcPr>
          <w:p w14:paraId="3BF66FD8" w14:textId="77777777" w:rsidR="007E7656" w:rsidRDefault="007E7656" w:rsidP="00312F84">
            <w:pPr>
              <w:keepNext/>
              <w:keepLines/>
              <w:spacing w:before="40" w:after="40"/>
            </w:pPr>
          </w:p>
        </w:tc>
        <w:tc>
          <w:tcPr>
            <w:tcW w:w="783" w:type="dxa"/>
            <w:gridSpan w:val="2"/>
            <w:tcMar>
              <w:left w:w="60" w:type="dxa"/>
              <w:right w:w="0" w:type="dxa"/>
            </w:tcMar>
            <w:vAlign w:val="bottom"/>
          </w:tcPr>
          <w:p w14:paraId="782D737A" w14:textId="77777777" w:rsidR="007E7656" w:rsidRDefault="007E7656" w:rsidP="00312F84">
            <w:pPr>
              <w:keepNext/>
              <w:keepLines/>
              <w:spacing w:before="40" w:after="40"/>
            </w:pPr>
          </w:p>
        </w:tc>
        <w:tc>
          <w:tcPr>
            <w:tcW w:w="80" w:type="dxa"/>
            <w:tcMar>
              <w:left w:w="60" w:type="dxa"/>
              <w:right w:w="0" w:type="dxa"/>
            </w:tcMar>
            <w:vAlign w:val="bottom"/>
          </w:tcPr>
          <w:p w14:paraId="02B41080" w14:textId="77777777" w:rsidR="007E7656" w:rsidRDefault="007E7656" w:rsidP="00312F84">
            <w:pPr>
              <w:keepNext/>
              <w:keepLines/>
              <w:spacing w:before="40" w:after="40"/>
            </w:pPr>
          </w:p>
        </w:tc>
        <w:tc>
          <w:tcPr>
            <w:tcW w:w="640" w:type="dxa"/>
            <w:tcMar>
              <w:left w:w="60" w:type="dxa"/>
              <w:right w:w="60" w:type="dxa"/>
            </w:tcMar>
            <w:vAlign w:val="bottom"/>
          </w:tcPr>
          <w:p w14:paraId="50E9B7AB" w14:textId="77777777" w:rsidR="007E7656" w:rsidRDefault="007E7656" w:rsidP="00312F84">
            <w:pPr>
              <w:keepNext/>
              <w:keepLines/>
              <w:spacing w:before="40" w:after="40"/>
            </w:pPr>
          </w:p>
        </w:tc>
        <w:tc>
          <w:tcPr>
            <w:tcW w:w="80" w:type="dxa"/>
            <w:tcMar>
              <w:left w:w="60" w:type="dxa"/>
              <w:right w:w="0" w:type="dxa"/>
            </w:tcMar>
            <w:vAlign w:val="bottom"/>
          </w:tcPr>
          <w:p w14:paraId="31380BAB" w14:textId="77777777" w:rsidR="007E7656" w:rsidRDefault="007E7656" w:rsidP="00312F84">
            <w:pPr>
              <w:keepNext/>
              <w:keepLines/>
              <w:spacing w:before="40" w:after="40"/>
            </w:pPr>
          </w:p>
        </w:tc>
        <w:tc>
          <w:tcPr>
            <w:tcW w:w="783" w:type="dxa"/>
            <w:gridSpan w:val="2"/>
            <w:tcMar>
              <w:left w:w="60" w:type="dxa"/>
              <w:right w:w="0" w:type="dxa"/>
            </w:tcMar>
            <w:vAlign w:val="bottom"/>
          </w:tcPr>
          <w:p w14:paraId="4E2462DB" w14:textId="77777777" w:rsidR="007E7656" w:rsidRDefault="007E7656" w:rsidP="00312F84">
            <w:pPr>
              <w:keepNext/>
              <w:keepLines/>
              <w:spacing w:before="40" w:after="40"/>
            </w:pPr>
          </w:p>
        </w:tc>
        <w:tc>
          <w:tcPr>
            <w:tcW w:w="80" w:type="dxa"/>
            <w:tcMar>
              <w:left w:w="60" w:type="dxa"/>
              <w:right w:w="0" w:type="dxa"/>
            </w:tcMar>
            <w:vAlign w:val="bottom"/>
          </w:tcPr>
          <w:p w14:paraId="64F14D30" w14:textId="77777777" w:rsidR="007E7656" w:rsidRDefault="007E7656" w:rsidP="00312F84">
            <w:pPr>
              <w:keepNext/>
              <w:keepLines/>
              <w:spacing w:before="40" w:after="40"/>
            </w:pPr>
          </w:p>
        </w:tc>
        <w:tc>
          <w:tcPr>
            <w:tcW w:w="0" w:type="dxa"/>
            <w:gridSpan w:val="3"/>
            <w:tcMar>
              <w:left w:w="60" w:type="dxa"/>
              <w:right w:w="0" w:type="dxa"/>
            </w:tcMar>
            <w:vAlign w:val="bottom"/>
          </w:tcPr>
          <w:p w14:paraId="182B1E48" w14:textId="77777777" w:rsidR="007E7656" w:rsidRDefault="007E7656" w:rsidP="00312F84">
            <w:pPr>
              <w:keepNext/>
              <w:keepLines/>
              <w:spacing w:before="40" w:after="40"/>
            </w:pPr>
          </w:p>
        </w:tc>
      </w:tr>
      <w:tr w:rsidR="007E7656" w14:paraId="1DBDB42B" w14:textId="77777777" w:rsidTr="007E7656">
        <w:trPr>
          <w:trHeight w:hRule="exact" w:val="400"/>
        </w:trPr>
        <w:tc>
          <w:tcPr>
            <w:tcW w:w="3260" w:type="dxa"/>
            <w:tcMar>
              <w:left w:w="300" w:type="dxa"/>
              <w:right w:w="40" w:type="dxa"/>
            </w:tcMar>
            <w:vAlign w:val="bottom"/>
          </w:tcPr>
          <w:p w14:paraId="1F2DDBAF"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Business integration, acquisition and restructuring related items (including litigation)</w:t>
            </w:r>
          </w:p>
        </w:tc>
        <w:tc>
          <w:tcPr>
            <w:tcW w:w="80" w:type="dxa"/>
            <w:tcMar>
              <w:left w:w="0" w:type="dxa"/>
              <w:right w:w="0" w:type="dxa"/>
            </w:tcMar>
            <w:vAlign w:val="bottom"/>
          </w:tcPr>
          <w:p w14:paraId="3D517F59" w14:textId="77777777" w:rsidR="007E7656" w:rsidRDefault="007E7656" w:rsidP="00312F84">
            <w:pPr>
              <w:keepNext/>
              <w:keepLines/>
              <w:spacing w:before="40" w:after="40"/>
            </w:pPr>
          </w:p>
        </w:tc>
        <w:tc>
          <w:tcPr>
            <w:tcW w:w="783" w:type="dxa"/>
            <w:tcMar>
              <w:left w:w="0" w:type="dxa"/>
              <w:right w:w="0" w:type="dxa"/>
            </w:tcMar>
            <w:vAlign w:val="bottom"/>
          </w:tcPr>
          <w:p w14:paraId="7A8F4AB3"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6631BF45" w14:textId="77777777" w:rsidR="007E7656" w:rsidRDefault="007E7656" w:rsidP="00312F84"/>
        </w:tc>
        <w:tc>
          <w:tcPr>
            <w:tcW w:w="80" w:type="dxa"/>
            <w:tcMar>
              <w:left w:w="0" w:type="dxa"/>
              <w:right w:w="60" w:type="dxa"/>
            </w:tcMar>
            <w:vAlign w:val="bottom"/>
          </w:tcPr>
          <w:p w14:paraId="1D8398DA" w14:textId="77777777" w:rsidR="007E7656" w:rsidRDefault="007E7656" w:rsidP="00312F84">
            <w:pPr>
              <w:keepNext/>
              <w:keepLines/>
              <w:spacing w:before="40" w:after="40"/>
            </w:pPr>
          </w:p>
        </w:tc>
        <w:tc>
          <w:tcPr>
            <w:tcW w:w="783" w:type="dxa"/>
            <w:tcMar>
              <w:left w:w="0" w:type="dxa"/>
              <w:right w:w="0" w:type="dxa"/>
            </w:tcMar>
            <w:vAlign w:val="bottom"/>
          </w:tcPr>
          <w:p w14:paraId="5C8BB46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5.4</w:t>
            </w:r>
          </w:p>
        </w:tc>
        <w:tc>
          <w:tcPr>
            <w:tcW w:w="57" w:type="dxa"/>
            <w:tcMar>
              <w:left w:w="0" w:type="dxa"/>
              <w:right w:w="0" w:type="dxa"/>
            </w:tcMar>
          </w:tcPr>
          <w:p w14:paraId="769542D0" w14:textId="77777777" w:rsidR="007E7656" w:rsidRDefault="007E7656" w:rsidP="00312F84"/>
        </w:tc>
        <w:tc>
          <w:tcPr>
            <w:tcW w:w="80" w:type="dxa"/>
            <w:tcMar>
              <w:left w:w="0" w:type="dxa"/>
              <w:right w:w="60" w:type="dxa"/>
            </w:tcMar>
            <w:vAlign w:val="bottom"/>
          </w:tcPr>
          <w:p w14:paraId="57310C83" w14:textId="77777777" w:rsidR="007E7656" w:rsidRDefault="007E7656" w:rsidP="00312F84">
            <w:pPr>
              <w:keepNext/>
              <w:keepLines/>
              <w:spacing w:before="40" w:after="40"/>
            </w:pPr>
          </w:p>
        </w:tc>
        <w:tc>
          <w:tcPr>
            <w:tcW w:w="783" w:type="dxa"/>
            <w:tcMar>
              <w:left w:w="0" w:type="dxa"/>
              <w:right w:w="0" w:type="dxa"/>
            </w:tcMar>
            <w:vAlign w:val="bottom"/>
          </w:tcPr>
          <w:p w14:paraId="0FB9ED9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20.4</w:t>
            </w:r>
          </w:p>
        </w:tc>
        <w:tc>
          <w:tcPr>
            <w:tcW w:w="57" w:type="dxa"/>
            <w:tcMar>
              <w:left w:w="0" w:type="dxa"/>
              <w:right w:w="0" w:type="dxa"/>
            </w:tcMar>
          </w:tcPr>
          <w:p w14:paraId="6ADD425A" w14:textId="77777777" w:rsidR="007E7656" w:rsidRDefault="007E7656" w:rsidP="00312F84"/>
        </w:tc>
        <w:tc>
          <w:tcPr>
            <w:tcW w:w="80" w:type="dxa"/>
            <w:tcMar>
              <w:left w:w="0" w:type="dxa"/>
              <w:right w:w="60" w:type="dxa"/>
            </w:tcMar>
            <w:vAlign w:val="bottom"/>
          </w:tcPr>
          <w:p w14:paraId="454757E1" w14:textId="77777777" w:rsidR="007E7656" w:rsidRDefault="007E7656" w:rsidP="00312F84">
            <w:pPr>
              <w:keepNext/>
              <w:keepLines/>
              <w:spacing w:before="40" w:after="40"/>
            </w:pPr>
          </w:p>
        </w:tc>
        <w:tc>
          <w:tcPr>
            <w:tcW w:w="783" w:type="dxa"/>
            <w:tcMar>
              <w:left w:w="0" w:type="dxa"/>
              <w:right w:w="0" w:type="dxa"/>
            </w:tcMar>
            <w:vAlign w:val="bottom"/>
          </w:tcPr>
          <w:p w14:paraId="5D031CD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20.4</w:t>
            </w:r>
          </w:p>
        </w:tc>
        <w:tc>
          <w:tcPr>
            <w:tcW w:w="57" w:type="dxa"/>
            <w:tcMar>
              <w:left w:w="0" w:type="dxa"/>
              <w:right w:w="0" w:type="dxa"/>
            </w:tcMar>
          </w:tcPr>
          <w:p w14:paraId="5B765698" w14:textId="77777777" w:rsidR="007E7656" w:rsidRDefault="007E7656" w:rsidP="00312F84"/>
        </w:tc>
        <w:tc>
          <w:tcPr>
            <w:tcW w:w="80" w:type="dxa"/>
            <w:tcMar>
              <w:left w:w="0" w:type="dxa"/>
              <w:right w:w="60" w:type="dxa"/>
            </w:tcMar>
            <w:vAlign w:val="bottom"/>
          </w:tcPr>
          <w:p w14:paraId="65E4F409" w14:textId="77777777" w:rsidR="007E7656" w:rsidRDefault="007E7656" w:rsidP="00312F84">
            <w:pPr>
              <w:keepNext/>
              <w:keepLines/>
              <w:spacing w:before="40" w:after="40"/>
            </w:pPr>
          </w:p>
        </w:tc>
        <w:tc>
          <w:tcPr>
            <w:tcW w:w="783" w:type="dxa"/>
            <w:tcMar>
              <w:left w:w="0" w:type="dxa"/>
              <w:right w:w="0" w:type="dxa"/>
            </w:tcMar>
            <w:vAlign w:val="bottom"/>
          </w:tcPr>
          <w:p w14:paraId="1B72EFE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(5.5</w:t>
            </w:r>
          </w:p>
        </w:tc>
        <w:tc>
          <w:tcPr>
            <w:tcW w:w="57" w:type="dxa"/>
            <w:tcMar>
              <w:left w:w="0" w:type="dxa"/>
              <w:right w:w="0" w:type="dxa"/>
            </w:tcMar>
            <w:vAlign w:val="bottom"/>
          </w:tcPr>
          <w:p w14:paraId="236A940A"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ABE07AB" w14:textId="77777777" w:rsidR="007E7656" w:rsidRDefault="007E7656" w:rsidP="00312F84">
            <w:pPr>
              <w:keepNext/>
              <w:keepLines/>
              <w:spacing w:before="40" w:after="40"/>
            </w:pPr>
          </w:p>
        </w:tc>
        <w:tc>
          <w:tcPr>
            <w:tcW w:w="640" w:type="dxa"/>
            <w:tcMar>
              <w:left w:w="60" w:type="dxa"/>
              <w:right w:w="60" w:type="dxa"/>
            </w:tcMar>
            <w:vAlign w:val="bottom"/>
          </w:tcPr>
          <w:p w14:paraId="77390242" w14:textId="77777777" w:rsidR="007E7656" w:rsidRDefault="007E7656" w:rsidP="00312F84">
            <w:pPr>
              <w:keepNext/>
              <w:keepLines/>
              <w:spacing w:before="40" w:after="40"/>
            </w:pPr>
          </w:p>
        </w:tc>
        <w:tc>
          <w:tcPr>
            <w:tcW w:w="80" w:type="dxa"/>
            <w:tcMar>
              <w:left w:w="60" w:type="dxa"/>
              <w:right w:w="0" w:type="dxa"/>
            </w:tcMar>
            <w:vAlign w:val="bottom"/>
          </w:tcPr>
          <w:p w14:paraId="6118A7B1" w14:textId="77777777" w:rsidR="007E7656" w:rsidRDefault="007E7656" w:rsidP="00312F84">
            <w:pPr>
              <w:keepNext/>
              <w:keepLines/>
              <w:spacing w:before="40" w:after="40"/>
            </w:pPr>
          </w:p>
        </w:tc>
        <w:tc>
          <w:tcPr>
            <w:tcW w:w="783" w:type="dxa"/>
            <w:tcMar>
              <w:left w:w="0" w:type="dxa"/>
              <w:right w:w="0" w:type="dxa"/>
            </w:tcMar>
            <w:vAlign w:val="bottom"/>
          </w:tcPr>
          <w:p w14:paraId="09E62C1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14.9</w:t>
            </w:r>
          </w:p>
        </w:tc>
        <w:tc>
          <w:tcPr>
            <w:tcW w:w="57" w:type="dxa"/>
            <w:tcMar>
              <w:left w:w="0" w:type="dxa"/>
              <w:right w:w="0" w:type="dxa"/>
            </w:tcMar>
          </w:tcPr>
          <w:p w14:paraId="5E36FCD8" w14:textId="77777777" w:rsidR="007E7656" w:rsidRDefault="007E7656" w:rsidP="00312F84"/>
        </w:tc>
        <w:tc>
          <w:tcPr>
            <w:tcW w:w="80" w:type="dxa"/>
            <w:tcMar>
              <w:left w:w="0" w:type="dxa"/>
              <w:right w:w="60" w:type="dxa"/>
            </w:tcMar>
            <w:vAlign w:val="bottom"/>
          </w:tcPr>
          <w:p w14:paraId="7E8EE007" w14:textId="77777777" w:rsidR="007E7656" w:rsidRDefault="007E7656" w:rsidP="00312F84">
            <w:pPr>
              <w:keepNext/>
              <w:keepLines/>
              <w:spacing w:before="40" w:after="40"/>
            </w:pPr>
          </w:p>
        </w:tc>
        <w:tc>
          <w:tcPr>
            <w:tcW w:w="623" w:type="dxa"/>
            <w:gridSpan w:val="2"/>
            <w:tcMar>
              <w:left w:w="0" w:type="dxa"/>
              <w:right w:w="0" w:type="dxa"/>
            </w:tcMar>
            <w:vAlign w:val="bottom"/>
          </w:tcPr>
          <w:p w14:paraId="4A356C85"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0.06</w:t>
            </w:r>
          </w:p>
        </w:tc>
        <w:tc>
          <w:tcPr>
            <w:tcW w:w="57" w:type="dxa"/>
            <w:tcMar>
              <w:left w:w="0" w:type="dxa"/>
              <w:right w:w="0" w:type="dxa"/>
            </w:tcMar>
          </w:tcPr>
          <w:p w14:paraId="7E910D71" w14:textId="77777777" w:rsidR="007E7656" w:rsidRDefault="007E7656" w:rsidP="00312F84"/>
        </w:tc>
      </w:tr>
      <w:tr w:rsidR="007E7656" w14:paraId="193F8D40" w14:textId="77777777" w:rsidTr="007E7656">
        <w:trPr>
          <w:trHeight w:hRule="exact" w:val="260"/>
        </w:trPr>
        <w:tc>
          <w:tcPr>
            <w:tcW w:w="3260" w:type="dxa"/>
            <w:tcMar>
              <w:left w:w="300" w:type="dxa"/>
              <w:right w:w="40" w:type="dxa"/>
            </w:tcMar>
            <w:vAlign w:val="bottom"/>
          </w:tcPr>
          <w:p w14:paraId="11B5A2E0"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Purchased intangibles amortization</w:t>
            </w:r>
          </w:p>
        </w:tc>
        <w:tc>
          <w:tcPr>
            <w:tcW w:w="80" w:type="dxa"/>
            <w:tcMar>
              <w:left w:w="0" w:type="dxa"/>
              <w:right w:w="0" w:type="dxa"/>
            </w:tcMar>
            <w:vAlign w:val="bottom"/>
          </w:tcPr>
          <w:p w14:paraId="00362945" w14:textId="77777777" w:rsidR="007E7656" w:rsidRDefault="007E7656" w:rsidP="00312F84">
            <w:pPr>
              <w:keepNext/>
              <w:keepLines/>
              <w:spacing w:before="40" w:after="40"/>
            </w:pPr>
          </w:p>
        </w:tc>
        <w:tc>
          <w:tcPr>
            <w:tcW w:w="783" w:type="dxa"/>
            <w:gridSpan w:val="2"/>
            <w:tcMar>
              <w:left w:w="0" w:type="dxa"/>
              <w:right w:w="60" w:type="dxa"/>
            </w:tcMar>
            <w:vAlign w:val="bottom"/>
          </w:tcPr>
          <w:p w14:paraId="38D9F0E4"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1BFB36D8" w14:textId="77777777" w:rsidR="007E7656" w:rsidRDefault="007E7656" w:rsidP="00312F84">
            <w:pPr>
              <w:keepNext/>
              <w:keepLines/>
              <w:spacing w:before="40" w:after="40"/>
            </w:pPr>
          </w:p>
        </w:tc>
        <w:tc>
          <w:tcPr>
            <w:tcW w:w="783" w:type="dxa"/>
            <w:tcMar>
              <w:left w:w="0" w:type="dxa"/>
              <w:right w:w="0" w:type="dxa"/>
            </w:tcMar>
            <w:vAlign w:val="bottom"/>
          </w:tcPr>
          <w:p w14:paraId="0F73C06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37.2</w:t>
            </w:r>
          </w:p>
        </w:tc>
        <w:tc>
          <w:tcPr>
            <w:tcW w:w="57" w:type="dxa"/>
            <w:tcMar>
              <w:left w:w="0" w:type="dxa"/>
              <w:right w:w="0" w:type="dxa"/>
            </w:tcMar>
          </w:tcPr>
          <w:p w14:paraId="66AA0C22" w14:textId="77777777" w:rsidR="007E7656" w:rsidRDefault="007E7656" w:rsidP="00312F84"/>
        </w:tc>
        <w:tc>
          <w:tcPr>
            <w:tcW w:w="80" w:type="dxa"/>
            <w:tcMar>
              <w:left w:w="0" w:type="dxa"/>
              <w:right w:w="60" w:type="dxa"/>
            </w:tcMar>
            <w:vAlign w:val="bottom"/>
          </w:tcPr>
          <w:p w14:paraId="24A05BD4" w14:textId="77777777" w:rsidR="007E7656" w:rsidRDefault="007E7656" w:rsidP="00312F84">
            <w:pPr>
              <w:keepNext/>
              <w:keepLines/>
              <w:spacing w:before="40" w:after="40"/>
            </w:pPr>
          </w:p>
        </w:tc>
        <w:tc>
          <w:tcPr>
            <w:tcW w:w="783" w:type="dxa"/>
            <w:tcMar>
              <w:left w:w="0" w:type="dxa"/>
              <w:right w:w="0" w:type="dxa"/>
            </w:tcMar>
            <w:vAlign w:val="bottom"/>
          </w:tcPr>
          <w:p w14:paraId="36EFA7F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55.2</w:t>
            </w:r>
          </w:p>
        </w:tc>
        <w:tc>
          <w:tcPr>
            <w:tcW w:w="57" w:type="dxa"/>
            <w:tcMar>
              <w:left w:w="0" w:type="dxa"/>
              <w:right w:w="0" w:type="dxa"/>
            </w:tcMar>
          </w:tcPr>
          <w:p w14:paraId="230A6673" w14:textId="77777777" w:rsidR="007E7656" w:rsidRDefault="007E7656" w:rsidP="00312F84"/>
        </w:tc>
        <w:tc>
          <w:tcPr>
            <w:tcW w:w="80" w:type="dxa"/>
            <w:tcMar>
              <w:left w:w="0" w:type="dxa"/>
              <w:right w:w="60" w:type="dxa"/>
            </w:tcMar>
            <w:vAlign w:val="bottom"/>
          </w:tcPr>
          <w:p w14:paraId="61090F75" w14:textId="77777777" w:rsidR="007E7656" w:rsidRDefault="007E7656" w:rsidP="00312F84">
            <w:pPr>
              <w:keepNext/>
              <w:keepLines/>
              <w:spacing w:before="40" w:after="40"/>
            </w:pPr>
          </w:p>
        </w:tc>
        <w:tc>
          <w:tcPr>
            <w:tcW w:w="783" w:type="dxa"/>
            <w:tcMar>
              <w:left w:w="0" w:type="dxa"/>
              <w:right w:w="0" w:type="dxa"/>
            </w:tcMar>
            <w:vAlign w:val="bottom"/>
          </w:tcPr>
          <w:p w14:paraId="33A2F8D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55.2</w:t>
            </w:r>
          </w:p>
        </w:tc>
        <w:tc>
          <w:tcPr>
            <w:tcW w:w="57" w:type="dxa"/>
            <w:tcMar>
              <w:left w:w="0" w:type="dxa"/>
              <w:right w:w="0" w:type="dxa"/>
            </w:tcMar>
          </w:tcPr>
          <w:p w14:paraId="0E31E558" w14:textId="77777777" w:rsidR="007E7656" w:rsidRDefault="007E7656" w:rsidP="00312F84"/>
        </w:tc>
        <w:tc>
          <w:tcPr>
            <w:tcW w:w="80" w:type="dxa"/>
            <w:tcMar>
              <w:left w:w="0" w:type="dxa"/>
              <w:right w:w="60" w:type="dxa"/>
            </w:tcMar>
            <w:vAlign w:val="bottom"/>
          </w:tcPr>
          <w:p w14:paraId="2B381725" w14:textId="77777777" w:rsidR="007E7656" w:rsidRDefault="007E7656" w:rsidP="00312F84">
            <w:pPr>
              <w:keepNext/>
              <w:keepLines/>
              <w:spacing w:before="40" w:after="40"/>
            </w:pPr>
          </w:p>
        </w:tc>
        <w:tc>
          <w:tcPr>
            <w:tcW w:w="783" w:type="dxa"/>
            <w:tcMar>
              <w:left w:w="0" w:type="dxa"/>
              <w:right w:w="0" w:type="dxa"/>
            </w:tcMar>
            <w:vAlign w:val="bottom"/>
          </w:tcPr>
          <w:p w14:paraId="21DCA66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(14.1</w:t>
            </w:r>
          </w:p>
        </w:tc>
        <w:tc>
          <w:tcPr>
            <w:tcW w:w="57" w:type="dxa"/>
            <w:tcMar>
              <w:left w:w="0" w:type="dxa"/>
              <w:right w:w="0" w:type="dxa"/>
            </w:tcMar>
            <w:vAlign w:val="bottom"/>
          </w:tcPr>
          <w:p w14:paraId="28E9A872"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26EFF921" w14:textId="77777777" w:rsidR="007E7656" w:rsidRDefault="007E7656" w:rsidP="00312F84">
            <w:pPr>
              <w:keepNext/>
              <w:keepLines/>
              <w:spacing w:before="40" w:after="40"/>
            </w:pPr>
          </w:p>
        </w:tc>
        <w:tc>
          <w:tcPr>
            <w:tcW w:w="640" w:type="dxa"/>
            <w:tcMar>
              <w:left w:w="60" w:type="dxa"/>
              <w:right w:w="60" w:type="dxa"/>
            </w:tcMar>
            <w:vAlign w:val="bottom"/>
          </w:tcPr>
          <w:p w14:paraId="5F35270D" w14:textId="77777777" w:rsidR="007E7656" w:rsidRDefault="007E7656" w:rsidP="00312F84">
            <w:pPr>
              <w:keepNext/>
              <w:keepLines/>
              <w:spacing w:before="40" w:after="40"/>
            </w:pPr>
          </w:p>
        </w:tc>
        <w:tc>
          <w:tcPr>
            <w:tcW w:w="80" w:type="dxa"/>
            <w:tcMar>
              <w:left w:w="0" w:type="dxa"/>
              <w:right w:w="60" w:type="dxa"/>
            </w:tcMar>
            <w:vAlign w:val="bottom"/>
          </w:tcPr>
          <w:p w14:paraId="1528032E" w14:textId="77777777" w:rsidR="007E7656" w:rsidRDefault="007E7656" w:rsidP="00312F84">
            <w:pPr>
              <w:keepNext/>
              <w:keepLines/>
              <w:spacing w:before="40" w:after="40"/>
            </w:pPr>
          </w:p>
        </w:tc>
        <w:tc>
          <w:tcPr>
            <w:tcW w:w="783" w:type="dxa"/>
            <w:tcMar>
              <w:left w:w="0" w:type="dxa"/>
              <w:right w:w="0" w:type="dxa"/>
            </w:tcMar>
            <w:vAlign w:val="bottom"/>
          </w:tcPr>
          <w:p w14:paraId="3B0EACF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41.1</w:t>
            </w:r>
          </w:p>
        </w:tc>
        <w:tc>
          <w:tcPr>
            <w:tcW w:w="57" w:type="dxa"/>
            <w:tcMar>
              <w:left w:w="0" w:type="dxa"/>
              <w:right w:w="0" w:type="dxa"/>
            </w:tcMar>
          </w:tcPr>
          <w:p w14:paraId="3D0D59FD" w14:textId="77777777" w:rsidR="007E7656" w:rsidRDefault="007E7656" w:rsidP="00312F84"/>
        </w:tc>
        <w:tc>
          <w:tcPr>
            <w:tcW w:w="80" w:type="dxa"/>
            <w:tcMar>
              <w:left w:w="0" w:type="dxa"/>
              <w:right w:w="60" w:type="dxa"/>
            </w:tcMar>
            <w:vAlign w:val="bottom"/>
          </w:tcPr>
          <w:p w14:paraId="444220D7" w14:textId="77777777" w:rsidR="007E7656" w:rsidRDefault="007E7656" w:rsidP="00312F84">
            <w:pPr>
              <w:keepNext/>
              <w:keepLines/>
              <w:spacing w:before="40" w:after="40"/>
            </w:pPr>
          </w:p>
        </w:tc>
        <w:tc>
          <w:tcPr>
            <w:tcW w:w="623" w:type="dxa"/>
            <w:gridSpan w:val="2"/>
            <w:tcMar>
              <w:left w:w="0" w:type="dxa"/>
              <w:right w:w="0" w:type="dxa"/>
            </w:tcMar>
            <w:vAlign w:val="bottom"/>
          </w:tcPr>
          <w:p w14:paraId="37F2C175"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0.18</w:t>
            </w:r>
          </w:p>
        </w:tc>
        <w:tc>
          <w:tcPr>
            <w:tcW w:w="57" w:type="dxa"/>
            <w:tcMar>
              <w:left w:w="0" w:type="dxa"/>
              <w:right w:w="0" w:type="dxa"/>
            </w:tcMar>
          </w:tcPr>
          <w:p w14:paraId="76F467D0" w14:textId="77777777" w:rsidR="007E7656" w:rsidRDefault="007E7656" w:rsidP="00312F84"/>
        </w:tc>
      </w:tr>
      <w:tr w:rsidR="007E7656" w14:paraId="5C9C75C3" w14:textId="77777777" w:rsidTr="007E7656">
        <w:trPr>
          <w:trHeight w:hRule="exact" w:val="260"/>
        </w:trPr>
        <w:tc>
          <w:tcPr>
            <w:tcW w:w="3260" w:type="dxa"/>
            <w:tcMar>
              <w:left w:w="300" w:type="dxa"/>
              <w:right w:w="40" w:type="dxa"/>
            </w:tcMar>
            <w:vAlign w:val="bottom"/>
          </w:tcPr>
          <w:p w14:paraId="361A9F4D"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Non-cash interest expense charges</w:t>
            </w:r>
          </w:p>
        </w:tc>
        <w:tc>
          <w:tcPr>
            <w:tcW w:w="80" w:type="dxa"/>
            <w:tcMar>
              <w:left w:w="0" w:type="dxa"/>
              <w:right w:w="0" w:type="dxa"/>
            </w:tcMar>
            <w:vAlign w:val="bottom"/>
          </w:tcPr>
          <w:p w14:paraId="365E18A7" w14:textId="77777777" w:rsidR="007E7656" w:rsidRDefault="007E7656" w:rsidP="00312F84">
            <w:pPr>
              <w:keepNext/>
              <w:keepLines/>
              <w:spacing w:before="40" w:after="40"/>
            </w:pPr>
          </w:p>
        </w:tc>
        <w:tc>
          <w:tcPr>
            <w:tcW w:w="783" w:type="dxa"/>
            <w:gridSpan w:val="2"/>
            <w:tcMar>
              <w:left w:w="0" w:type="dxa"/>
              <w:right w:w="60" w:type="dxa"/>
            </w:tcMar>
            <w:vAlign w:val="bottom"/>
          </w:tcPr>
          <w:p w14:paraId="52E483A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239C68DA" w14:textId="77777777" w:rsidR="007E7656" w:rsidRDefault="007E7656" w:rsidP="00312F84">
            <w:pPr>
              <w:keepNext/>
              <w:keepLines/>
              <w:spacing w:before="40" w:after="40"/>
            </w:pPr>
          </w:p>
        </w:tc>
        <w:tc>
          <w:tcPr>
            <w:tcW w:w="783" w:type="dxa"/>
            <w:gridSpan w:val="2"/>
            <w:tcMar>
              <w:left w:w="0" w:type="dxa"/>
              <w:right w:w="60" w:type="dxa"/>
            </w:tcMar>
            <w:vAlign w:val="bottom"/>
          </w:tcPr>
          <w:p w14:paraId="426F475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210ADC5" w14:textId="77777777" w:rsidR="007E7656" w:rsidRDefault="007E7656" w:rsidP="00312F84">
            <w:pPr>
              <w:keepNext/>
              <w:keepLines/>
              <w:spacing w:before="40" w:after="40"/>
            </w:pPr>
          </w:p>
        </w:tc>
        <w:tc>
          <w:tcPr>
            <w:tcW w:w="783" w:type="dxa"/>
            <w:gridSpan w:val="2"/>
            <w:tcMar>
              <w:left w:w="0" w:type="dxa"/>
              <w:right w:w="60" w:type="dxa"/>
            </w:tcMar>
            <w:vAlign w:val="bottom"/>
          </w:tcPr>
          <w:p w14:paraId="14E73E4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064BF55F" w14:textId="77777777" w:rsidR="007E7656" w:rsidRDefault="007E7656" w:rsidP="00312F84">
            <w:pPr>
              <w:keepNext/>
              <w:keepLines/>
              <w:spacing w:before="40" w:after="40"/>
            </w:pPr>
          </w:p>
        </w:tc>
        <w:tc>
          <w:tcPr>
            <w:tcW w:w="783" w:type="dxa"/>
            <w:tcMar>
              <w:left w:w="0" w:type="dxa"/>
              <w:right w:w="0" w:type="dxa"/>
            </w:tcMar>
            <w:vAlign w:val="bottom"/>
          </w:tcPr>
          <w:p w14:paraId="2B10E20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21.2</w:t>
            </w:r>
          </w:p>
        </w:tc>
        <w:tc>
          <w:tcPr>
            <w:tcW w:w="57" w:type="dxa"/>
            <w:tcMar>
              <w:left w:w="0" w:type="dxa"/>
              <w:right w:w="0" w:type="dxa"/>
            </w:tcMar>
          </w:tcPr>
          <w:p w14:paraId="41BB0573" w14:textId="77777777" w:rsidR="007E7656" w:rsidRDefault="007E7656" w:rsidP="00312F84"/>
        </w:tc>
        <w:tc>
          <w:tcPr>
            <w:tcW w:w="80" w:type="dxa"/>
            <w:tcMar>
              <w:left w:w="0" w:type="dxa"/>
              <w:right w:w="60" w:type="dxa"/>
            </w:tcMar>
            <w:vAlign w:val="bottom"/>
          </w:tcPr>
          <w:p w14:paraId="3ECCD263" w14:textId="77777777" w:rsidR="007E7656" w:rsidRDefault="007E7656" w:rsidP="00312F84">
            <w:pPr>
              <w:keepNext/>
              <w:keepLines/>
              <w:spacing w:before="40" w:after="40"/>
            </w:pPr>
          </w:p>
        </w:tc>
        <w:tc>
          <w:tcPr>
            <w:tcW w:w="783" w:type="dxa"/>
            <w:tcMar>
              <w:left w:w="0" w:type="dxa"/>
              <w:right w:w="0" w:type="dxa"/>
            </w:tcMar>
            <w:vAlign w:val="bottom"/>
          </w:tcPr>
          <w:p w14:paraId="52AFEFF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Mar>
              <w:left w:w="0" w:type="dxa"/>
              <w:right w:w="0" w:type="dxa"/>
            </w:tcMar>
          </w:tcPr>
          <w:p w14:paraId="42969673" w14:textId="77777777" w:rsidR="007E7656" w:rsidRDefault="007E7656" w:rsidP="00312F84"/>
        </w:tc>
        <w:tc>
          <w:tcPr>
            <w:tcW w:w="80" w:type="dxa"/>
            <w:tcMar>
              <w:left w:w="0" w:type="dxa"/>
              <w:right w:w="60" w:type="dxa"/>
            </w:tcMar>
            <w:vAlign w:val="bottom"/>
          </w:tcPr>
          <w:p w14:paraId="261695F1" w14:textId="77777777" w:rsidR="007E7656" w:rsidRDefault="007E7656" w:rsidP="00312F84">
            <w:pPr>
              <w:keepNext/>
              <w:keepLines/>
              <w:spacing w:before="40" w:after="40"/>
            </w:pPr>
          </w:p>
        </w:tc>
        <w:tc>
          <w:tcPr>
            <w:tcW w:w="640" w:type="dxa"/>
            <w:tcMar>
              <w:left w:w="60" w:type="dxa"/>
              <w:right w:w="60" w:type="dxa"/>
            </w:tcMar>
            <w:vAlign w:val="bottom"/>
          </w:tcPr>
          <w:p w14:paraId="4B830210" w14:textId="77777777" w:rsidR="007E7656" w:rsidRDefault="007E7656" w:rsidP="00312F84">
            <w:pPr>
              <w:keepNext/>
              <w:keepLines/>
              <w:spacing w:before="40" w:after="40"/>
            </w:pPr>
          </w:p>
        </w:tc>
        <w:tc>
          <w:tcPr>
            <w:tcW w:w="80" w:type="dxa"/>
            <w:tcMar>
              <w:left w:w="0" w:type="dxa"/>
              <w:right w:w="60" w:type="dxa"/>
            </w:tcMar>
            <w:vAlign w:val="bottom"/>
          </w:tcPr>
          <w:p w14:paraId="7BF2EC89" w14:textId="77777777" w:rsidR="007E7656" w:rsidRDefault="007E7656" w:rsidP="00312F84">
            <w:pPr>
              <w:keepNext/>
              <w:keepLines/>
              <w:spacing w:before="40" w:after="40"/>
            </w:pPr>
          </w:p>
        </w:tc>
        <w:tc>
          <w:tcPr>
            <w:tcW w:w="783" w:type="dxa"/>
            <w:tcMar>
              <w:left w:w="0" w:type="dxa"/>
              <w:right w:w="0" w:type="dxa"/>
            </w:tcMar>
            <w:vAlign w:val="bottom"/>
          </w:tcPr>
          <w:p w14:paraId="316943F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21.2</w:t>
            </w:r>
          </w:p>
        </w:tc>
        <w:tc>
          <w:tcPr>
            <w:tcW w:w="57" w:type="dxa"/>
            <w:tcMar>
              <w:left w:w="0" w:type="dxa"/>
              <w:right w:w="0" w:type="dxa"/>
            </w:tcMar>
          </w:tcPr>
          <w:p w14:paraId="2E617935" w14:textId="77777777" w:rsidR="007E7656" w:rsidRDefault="007E7656" w:rsidP="00312F84"/>
        </w:tc>
        <w:tc>
          <w:tcPr>
            <w:tcW w:w="80" w:type="dxa"/>
            <w:tcMar>
              <w:left w:w="0" w:type="dxa"/>
              <w:right w:w="60" w:type="dxa"/>
            </w:tcMar>
            <w:vAlign w:val="bottom"/>
          </w:tcPr>
          <w:p w14:paraId="6C73A03F" w14:textId="77777777" w:rsidR="007E7656" w:rsidRDefault="007E7656" w:rsidP="00312F84">
            <w:pPr>
              <w:keepNext/>
              <w:keepLines/>
              <w:spacing w:before="40" w:after="40"/>
            </w:pPr>
          </w:p>
        </w:tc>
        <w:tc>
          <w:tcPr>
            <w:tcW w:w="623" w:type="dxa"/>
            <w:gridSpan w:val="2"/>
            <w:tcMar>
              <w:left w:w="0" w:type="dxa"/>
              <w:right w:w="0" w:type="dxa"/>
            </w:tcMar>
            <w:vAlign w:val="bottom"/>
          </w:tcPr>
          <w:p w14:paraId="2AD7815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0.09</w:t>
            </w:r>
          </w:p>
        </w:tc>
        <w:tc>
          <w:tcPr>
            <w:tcW w:w="57" w:type="dxa"/>
            <w:tcMar>
              <w:left w:w="0" w:type="dxa"/>
              <w:right w:w="0" w:type="dxa"/>
            </w:tcMar>
          </w:tcPr>
          <w:p w14:paraId="288A4C43" w14:textId="77777777" w:rsidR="007E7656" w:rsidRDefault="007E7656" w:rsidP="00312F84"/>
        </w:tc>
      </w:tr>
      <w:tr w:rsidR="007E7656" w14:paraId="01040C1E" w14:textId="77777777" w:rsidTr="007E7656">
        <w:trPr>
          <w:trHeight w:hRule="exact" w:val="240"/>
        </w:trPr>
        <w:tc>
          <w:tcPr>
            <w:tcW w:w="3260" w:type="dxa"/>
            <w:tcMar>
              <w:left w:w="300" w:type="dxa"/>
              <w:right w:w="40" w:type="dxa"/>
            </w:tcMar>
            <w:vAlign w:val="bottom"/>
          </w:tcPr>
          <w:p w14:paraId="795EA85B"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Other special income and expense items</w:t>
            </w:r>
          </w:p>
        </w:tc>
        <w:tc>
          <w:tcPr>
            <w:tcW w:w="80" w:type="dxa"/>
            <w:tcMar>
              <w:left w:w="0" w:type="dxa"/>
              <w:right w:w="0" w:type="dxa"/>
            </w:tcMar>
            <w:vAlign w:val="bottom"/>
          </w:tcPr>
          <w:p w14:paraId="3F6DA830"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6CDA207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071C45B5"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62AAE78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5180F76A"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5BA08163"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79091AD"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4031641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(3.8</w:t>
            </w:r>
          </w:p>
        </w:tc>
        <w:tc>
          <w:tcPr>
            <w:tcW w:w="57" w:type="dxa"/>
            <w:tcBorders>
              <w:bottom w:val="single" w:sz="8" w:space="0" w:color="auto"/>
            </w:tcBorders>
            <w:tcMar>
              <w:left w:w="0" w:type="dxa"/>
              <w:right w:w="0" w:type="dxa"/>
            </w:tcMar>
            <w:vAlign w:val="bottom"/>
          </w:tcPr>
          <w:p w14:paraId="41DA1382"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662B48CD"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2594D3D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(8.3</w:t>
            </w:r>
          </w:p>
        </w:tc>
        <w:tc>
          <w:tcPr>
            <w:tcW w:w="57" w:type="dxa"/>
            <w:tcBorders>
              <w:bottom w:val="single" w:sz="8" w:space="0" w:color="auto"/>
            </w:tcBorders>
            <w:tcMar>
              <w:left w:w="0" w:type="dxa"/>
              <w:right w:w="0" w:type="dxa"/>
            </w:tcMar>
            <w:vAlign w:val="bottom"/>
          </w:tcPr>
          <w:p w14:paraId="599094A2"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1AA2F268" w14:textId="77777777" w:rsidR="007E7656" w:rsidRDefault="007E7656" w:rsidP="00312F84">
            <w:pPr>
              <w:keepNext/>
              <w:keepLines/>
              <w:spacing w:before="40" w:after="40"/>
            </w:pPr>
          </w:p>
        </w:tc>
        <w:tc>
          <w:tcPr>
            <w:tcW w:w="640" w:type="dxa"/>
            <w:tcMar>
              <w:left w:w="60" w:type="dxa"/>
              <w:right w:w="60" w:type="dxa"/>
            </w:tcMar>
            <w:vAlign w:val="bottom"/>
          </w:tcPr>
          <w:p w14:paraId="783A344E" w14:textId="77777777" w:rsidR="007E7656" w:rsidRDefault="007E7656" w:rsidP="00312F84">
            <w:pPr>
              <w:keepNext/>
              <w:keepLines/>
              <w:spacing w:before="40" w:after="40"/>
            </w:pPr>
          </w:p>
        </w:tc>
        <w:tc>
          <w:tcPr>
            <w:tcW w:w="80" w:type="dxa"/>
            <w:tcMar>
              <w:left w:w="0" w:type="dxa"/>
              <w:right w:w="60" w:type="dxa"/>
            </w:tcMar>
            <w:vAlign w:val="bottom"/>
          </w:tcPr>
          <w:p w14:paraId="6BF57AD6"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4376502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(12.1</w:t>
            </w:r>
          </w:p>
        </w:tc>
        <w:tc>
          <w:tcPr>
            <w:tcW w:w="57" w:type="dxa"/>
            <w:tcBorders>
              <w:bottom w:val="single" w:sz="8" w:space="0" w:color="auto"/>
            </w:tcBorders>
            <w:tcMar>
              <w:left w:w="0" w:type="dxa"/>
              <w:right w:w="0" w:type="dxa"/>
            </w:tcMar>
            <w:vAlign w:val="bottom"/>
          </w:tcPr>
          <w:p w14:paraId="2CEE2ECE"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8865C9E" w14:textId="77777777" w:rsidR="007E7656" w:rsidRDefault="007E7656" w:rsidP="00312F84">
            <w:pPr>
              <w:keepNext/>
              <w:keepLines/>
              <w:spacing w:before="40" w:after="40"/>
            </w:pPr>
          </w:p>
        </w:tc>
        <w:tc>
          <w:tcPr>
            <w:tcW w:w="623" w:type="dxa"/>
            <w:gridSpan w:val="2"/>
            <w:tcBorders>
              <w:bottom w:val="single" w:sz="8" w:space="0" w:color="auto"/>
            </w:tcBorders>
            <w:tcMar>
              <w:left w:w="0" w:type="dxa"/>
              <w:right w:w="0" w:type="dxa"/>
            </w:tcMar>
            <w:vAlign w:val="bottom"/>
          </w:tcPr>
          <w:p w14:paraId="659BF3A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(0.05</w:t>
            </w:r>
          </w:p>
        </w:tc>
        <w:tc>
          <w:tcPr>
            <w:tcW w:w="57" w:type="dxa"/>
            <w:tcBorders>
              <w:bottom w:val="single" w:sz="8" w:space="0" w:color="auto"/>
            </w:tcBorders>
            <w:tcMar>
              <w:left w:w="0" w:type="dxa"/>
              <w:right w:w="0" w:type="dxa"/>
            </w:tcMar>
            <w:vAlign w:val="bottom"/>
          </w:tcPr>
          <w:p w14:paraId="2AE07C0F"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r>
      <w:tr w:rsidR="007E7656" w14:paraId="1AFB2411" w14:textId="77777777" w:rsidTr="007E7656">
        <w:trPr>
          <w:trHeight w:hRule="exact" w:val="260"/>
        </w:trPr>
        <w:tc>
          <w:tcPr>
            <w:tcW w:w="3260" w:type="dxa"/>
            <w:tcMar>
              <w:left w:w="300" w:type="dxa"/>
              <w:right w:w="40" w:type="dxa"/>
            </w:tcMar>
            <w:vAlign w:val="bottom"/>
          </w:tcPr>
          <w:p w14:paraId="13518503"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Total adjustments</w:t>
            </w:r>
          </w:p>
        </w:tc>
        <w:tc>
          <w:tcPr>
            <w:tcW w:w="80" w:type="dxa"/>
            <w:tcMar>
              <w:left w:w="0" w:type="dxa"/>
              <w:right w:w="0" w:type="dxa"/>
            </w:tcMar>
            <w:vAlign w:val="bottom"/>
          </w:tcPr>
          <w:p w14:paraId="39687AB7"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78388D6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top w:val="single" w:sz="8" w:space="0" w:color="auto"/>
            </w:tcBorders>
            <w:tcMar>
              <w:left w:w="0" w:type="dxa"/>
              <w:right w:w="0" w:type="dxa"/>
            </w:tcMar>
          </w:tcPr>
          <w:p w14:paraId="2C96163E" w14:textId="77777777" w:rsidR="007E7656" w:rsidRDefault="007E7656" w:rsidP="00312F84"/>
        </w:tc>
        <w:tc>
          <w:tcPr>
            <w:tcW w:w="80" w:type="dxa"/>
            <w:tcMar>
              <w:left w:w="0" w:type="dxa"/>
              <w:right w:w="60" w:type="dxa"/>
            </w:tcMar>
            <w:vAlign w:val="bottom"/>
          </w:tcPr>
          <w:p w14:paraId="14E01062"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72E13A7E"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42.6</w:t>
            </w:r>
          </w:p>
        </w:tc>
        <w:tc>
          <w:tcPr>
            <w:tcW w:w="57" w:type="dxa"/>
            <w:tcBorders>
              <w:top w:val="single" w:sz="8" w:space="0" w:color="auto"/>
            </w:tcBorders>
            <w:tcMar>
              <w:left w:w="0" w:type="dxa"/>
              <w:right w:w="0" w:type="dxa"/>
            </w:tcMar>
          </w:tcPr>
          <w:p w14:paraId="458DEB22" w14:textId="77777777" w:rsidR="007E7656" w:rsidRDefault="007E7656" w:rsidP="00312F84"/>
        </w:tc>
        <w:tc>
          <w:tcPr>
            <w:tcW w:w="80" w:type="dxa"/>
            <w:tcMar>
              <w:left w:w="0" w:type="dxa"/>
              <w:right w:w="60" w:type="dxa"/>
            </w:tcMar>
            <w:vAlign w:val="bottom"/>
          </w:tcPr>
          <w:p w14:paraId="70825ED3"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547CBEE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75.7</w:t>
            </w:r>
          </w:p>
        </w:tc>
        <w:tc>
          <w:tcPr>
            <w:tcW w:w="57" w:type="dxa"/>
            <w:tcBorders>
              <w:top w:val="single" w:sz="8" w:space="0" w:color="auto"/>
            </w:tcBorders>
            <w:tcMar>
              <w:left w:w="0" w:type="dxa"/>
              <w:right w:w="0" w:type="dxa"/>
            </w:tcMar>
          </w:tcPr>
          <w:p w14:paraId="50B5C172" w14:textId="77777777" w:rsidR="007E7656" w:rsidRDefault="007E7656" w:rsidP="00312F84"/>
        </w:tc>
        <w:tc>
          <w:tcPr>
            <w:tcW w:w="80" w:type="dxa"/>
            <w:tcMar>
              <w:left w:w="0" w:type="dxa"/>
              <w:right w:w="60" w:type="dxa"/>
            </w:tcMar>
            <w:vAlign w:val="bottom"/>
          </w:tcPr>
          <w:p w14:paraId="67CB1E75"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765C6BD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93.1</w:t>
            </w:r>
          </w:p>
        </w:tc>
        <w:tc>
          <w:tcPr>
            <w:tcW w:w="57" w:type="dxa"/>
            <w:tcBorders>
              <w:top w:val="single" w:sz="8" w:space="0" w:color="auto"/>
            </w:tcBorders>
            <w:tcMar>
              <w:left w:w="0" w:type="dxa"/>
              <w:right w:w="0" w:type="dxa"/>
            </w:tcMar>
          </w:tcPr>
          <w:p w14:paraId="52A2AC57" w14:textId="77777777" w:rsidR="007E7656" w:rsidRDefault="007E7656" w:rsidP="00312F84"/>
        </w:tc>
        <w:tc>
          <w:tcPr>
            <w:tcW w:w="80" w:type="dxa"/>
            <w:tcMar>
              <w:left w:w="0" w:type="dxa"/>
              <w:right w:w="60" w:type="dxa"/>
            </w:tcMar>
            <w:vAlign w:val="bottom"/>
          </w:tcPr>
          <w:p w14:paraId="45BA6224"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1A53E56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(28.0</w:t>
            </w:r>
          </w:p>
        </w:tc>
        <w:tc>
          <w:tcPr>
            <w:tcW w:w="57" w:type="dxa"/>
            <w:tcBorders>
              <w:top w:val="single" w:sz="8" w:space="0" w:color="auto"/>
            </w:tcBorders>
            <w:tcMar>
              <w:left w:w="0" w:type="dxa"/>
              <w:right w:w="0" w:type="dxa"/>
            </w:tcMar>
            <w:vAlign w:val="bottom"/>
          </w:tcPr>
          <w:p w14:paraId="1F958B73"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7137020" w14:textId="77777777" w:rsidR="007E7656" w:rsidRDefault="007E7656" w:rsidP="00312F84">
            <w:pPr>
              <w:keepNext/>
              <w:keepLines/>
              <w:spacing w:before="40" w:after="40"/>
            </w:pPr>
          </w:p>
        </w:tc>
        <w:tc>
          <w:tcPr>
            <w:tcW w:w="640" w:type="dxa"/>
            <w:tcMar>
              <w:left w:w="60" w:type="dxa"/>
              <w:right w:w="60" w:type="dxa"/>
            </w:tcMar>
            <w:vAlign w:val="bottom"/>
          </w:tcPr>
          <w:p w14:paraId="4FC1620D" w14:textId="77777777" w:rsidR="007E7656" w:rsidRDefault="007E7656" w:rsidP="00312F84">
            <w:pPr>
              <w:keepNext/>
              <w:keepLines/>
              <w:spacing w:before="40" w:after="40"/>
            </w:pPr>
          </w:p>
        </w:tc>
        <w:tc>
          <w:tcPr>
            <w:tcW w:w="80" w:type="dxa"/>
            <w:tcMar>
              <w:left w:w="0" w:type="dxa"/>
              <w:right w:w="60" w:type="dxa"/>
            </w:tcMar>
            <w:vAlign w:val="bottom"/>
          </w:tcPr>
          <w:p w14:paraId="48DB722D"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25B7FFF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65.2</w:t>
            </w:r>
          </w:p>
        </w:tc>
        <w:tc>
          <w:tcPr>
            <w:tcW w:w="57" w:type="dxa"/>
            <w:tcBorders>
              <w:top w:val="single" w:sz="8" w:space="0" w:color="auto"/>
            </w:tcBorders>
            <w:tcMar>
              <w:left w:w="0" w:type="dxa"/>
              <w:right w:w="0" w:type="dxa"/>
            </w:tcMar>
          </w:tcPr>
          <w:p w14:paraId="1EE280FE" w14:textId="77777777" w:rsidR="007E7656" w:rsidRDefault="007E7656" w:rsidP="00312F84"/>
        </w:tc>
        <w:tc>
          <w:tcPr>
            <w:tcW w:w="80" w:type="dxa"/>
            <w:tcMar>
              <w:left w:w="0" w:type="dxa"/>
              <w:right w:w="60" w:type="dxa"/>
            </w:tcMar>
            <w:vAlign w:val="bottom"/>
          </w:tcPr>
          <w:p w14:paraId="727B4BD7" w14:textId="77777777" w:rsidR="007E7656" w:rsidRDefault="007E7656" w:rsidP="00312F84">
            <w:pPr>
              <w:keepNext/>
              <w:keepLines/>
              <w:spacing w:before="40" w:after="40"/>
            </w:pPr>
          </w:p>
        </w:tc>
        <w:tc>
          <w:tcPr>
            <w:tcW w:w="623" w:type="dxa"/>
            <w:gridSpan w:val="2"/>
            <w:tcMar>
              <w:left w:w="0" w:type="dxa"/>
              <w:right w:w="0" w:type="dxa"/>
            </w:tcMar>
            <w:vAlign w:val="bottom"/>
          </w:tcPr>
          <w:p w14:paraId="7F196073"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0.28</w:t>
            </w:r>
          </w:p>
        </w:tc>
        <w:tc>
          <w:tcPr>
            <w:tcW w:w="57" w:type="dxa"/>
            <w:tcMar>
              <w:left w:w="0" w:type="dxa"/>
              <w:right w:w="0" w:type="dxa"/>
            </w:tcMar>
          </w:tcPr>
          <w:p w14:paraId="0B962AF8" w14:textId="77777777" w:rsidR="007E7656" w:rsidRDefault="007E7656" w:rsidP="00312F84"/>
        </w:tc>
      </w:tr>
      <w:tr w:rsidR="007E7656" w14:paraId="7F18391C" w14:textId="77777777" w:rsidTr="00312F84">
        <w:trPr>
          <w:trHeight w:hRule="exact" w:val="260"/>
        </w:trPr>
        <w:tc>
          <w:tcPr>
            <w:tcW w:w="3260" w:type="dxa"/>
            <w:tcMar>
              <w:left w:w="60" w:type="dxa"/>
              <w:right w:w="40" w:type="dxa"/>
            </w:tcMar>
            <w:vAlign w:val="bottom"/>
          </w:tcPr>
          <w:p w14:paraId="2FA36DF4"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Adjusted results</w:t>
            </w:r>
          </w:p>
        </w:tc>
        <w:tc>
          <w:tcPr>
            <w:tcW w:w="80" w:type="dxa"/>
            <w:tcMar>
              <w:left w:w="60" w:type="dxa"/>
              <w:right w:w="0" w:type="dxa"/>
            </w:tcMar>
            <w:vAlign w:val="bottom"/>
          </w:tcPr>
          <w:p w14:paraId="2BBDF1F3"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30F7B59E"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730.3</w:t>
            </w:r>
          </w:p>
        </w:tc>
        <w:tc>
          <w:tcPr>
            <w:tcW w:w="57" w:type="dxa"/>
            <w:tcBorders>
              <w:top w:val="single" w:sz="8" w:space="0" w:color="auto"/>
              <w:bottom w:val="double" w:sz="4" w:space="0" w:color="auto"/>
            </w:tcBorders>
            <w:tcMar>
              <w:left w:w="0" w:type="dxa"/>
              <w:right w:w="0" w:type="dxa"/>
            </w:tcMar>
          </w:tcPr>
          <w:p w14:paraId="29FF4D09" w14:textId="77777777" w:rsidR="007E7656" w:rsidRDefault="007E7656" w:rsidP="00312F84"/>
        </w:tc>
        <w:tc>
          <w:tcPr>
            <w:tcW w:w="80" w:type="dxa"/>
            <w:tcMar>
              <w:left w:w="0" w:type="dxa"/>
              <w:right w:w="60" w:type="dxa"/>
            </w:tcMar>
            <w:vAlign w:val="bottom"/>
          </w:tcPr>
          <w:p w14:paraId="423B158E"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6FB6C6C5"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513.4</w:t>
            </w:r>
          </w:p>
        </w:tc>
        <w:tc>
          <w:tcPr>
            <w:tcW w:w="57" w:type="dxa"/>
            <w:tcBorders>
              <w:top w:val="single" w:sz="8" w:space="0" w:color="auto"/>
              <w:bottom w:val="double" w:sz="4" w:space="0" w:color="auto"/>
            </w:tcBorders>
            <w:tcMar>
              <w:left w:w="0" w:type="dxa"/>
              <w:right w:w="0" w:type="dxa"/>
            </w:tcMar>
          </w:tcPr>
          <w:p w14:paraId="51F459C5" w14:textId="77777777" w:rsidR="007E7656" w:rsidRDefault="007E7656" w:rsidP="00312F84"/>
        </w:tc>
        <w:tc>
          <w:tcPr>
            <w:tcW w:w="80" w:type="dxa"/>
            <w:tcMar>
              <w:left w:w="0" w:type="dxa"/>
              <w:right w:w="60" w:type="dxa"/>
            </w:tcMar>
            <w:vAlign w:val="bottom"/>
          </w:tcPr>
          <w:p w14:paraId="2624AB1E"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67C55B7D"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177.0</w:t>
            </w:r>
          </w:p>
        </w:tc>
        <w:tc>
          <w:tcPr>
            <w:tcW w:w="57" w:type="dxa"/>
            <w:tcBorders>
              <w:top w:val="single" w:sz="8" w:space="0" w:color="auto"/>
              <w:bottom w:val="double" w:sz="4" w:space="0" w:color="auto"/>
            </w:tcBorders>
            <w:tcMar>
              <w:left w:w="0" w:type="dxa"/>
              <w:right w:w="0" w:type="dxa"/>
            </w:tcMar>
          </w:tcPr>
          <w:p w14:paraId="1953B017" w14:textId="77777777" w:rsidR="007E7656" w:rsidRDefault="007E7656" w:rsidP="00312F84"/>
        </w:tc>
        <w:tc>
          <w:tcPr>
            <w:tcW w:w="80" w:type="dxa"/>
            <w:tcMar>
              <w:left w:w="0" w:type="dxa"/>
              <w:right w:w="60" w:type="dxa"/>
            </w:tcMar>
            <w:vAlign w:val="bottom"/>
          </w:tcPr>
          <w:p w14:paraId="3A97287D"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53F91DD9"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173.4</w:t>
            </w:r>
          </w:p>
        </w:tc>
        <w:tc>
          <w:tcPr>
            <w:tcW w:w="57" w:type="dxa"/>
            <w:tcBorders>
              <w:top w:val="single" w:sz="8" w:space="0" w:color="auto"/>
              <w:bottom w:val="double" w:sz="4" w:space="0" w:color="auto"/>
            </w:tcBorders>
            <w:tcMar>
              <w:left w:w="0" w:type="dxa"/>
              <w:right w:w="0" w:type="dxa"/>
            </w:tcMar>
          </w:tcPr>
          <w:p w14:paraId="16FAF0E4" w14:textId="77777777" w:rsidR="007E7656" w:rsidRDefault="007E7656" w:rsidP="00312F84"/>
        </w:tc>
        <w:tc>
          <w:tcPr>
            <w:tcW w:w="80" w:type="dxa"/>
            <w:tcMar>
              <w:left w:w="0" w:type="dxa"/>
              <w:right w:w="60" w:type="dxa"/>
            </w:tcMar>
            <w:vAlign w:val="bottom"/>
          </w:tcPr>
          <w:p w14:paraId="33F81340"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4F074F79"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(34.0</w:t>
            </w:r>
          </w:p>
        </w:tc>
        <w:tc>
          <w:tcPr>
            <w:tcW w:w="57" w:type="dxa"/>
            <w:tcBorders>
              <w:top w:val="single" w:sz="8" w:space="0" w:color="auto"/>
              <w:bottom w:val="double" w:sz="4" w:space="0" w:color="auto"/>
            </w:tcBorders>
            <w:tcMar>
              <w:left w:w="0" w:type="dxa"/>
              <w:right w:w="0" w:type="dxa"/>
            </w:tcMar>
            <w:vAlign w:val="bottom"/>
          </w:tcPr>
          <w:p w14:paraId="6680AAE6"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71292081" w14:textId="77777777" w:rsidR="007E7656" w:rsidRDefault="007E7656" w:rsidP="00312F84">
            <w:pPr>
              <w:keepLines/>
              <w:spacing w:before="40" w:after="40"/>
            </w:pPr>
          </w:p>
        </w:tc>
        <w:tc>
          <w:tcPr>
            <w:tcW w:w="640" w:type="dxa"/>
            <w:tcBorders>
              <w:top w:val="single" w:sz="8" w:space="0" w:color="auto"/>
              <w:bottom w:val="double" w:sz="4" w:space="0" w:color="auto"/>
            </w:tcBorders>
            <w:tcMar>
              <w:left w:w="60" w:type="dxa"/>
              <w:right w:w="60" w:type="dxa"/>
            </w:tcMar>
            <w:vAlign w:val="bottom"/>
          </w:tcPr>
          <w:p w14:paraId="51D0E4BB" w14:textId="77777777" w:rsidR="007E7656" w:rsidRDefault="007E7656" w:rsidP="00312F84">
            <w:pPr>
              <w:keepLines/>
              <w:spacing w:before="40" w:after="40"/>
              <w:jc w:val="center"/>
              <w:rPr>
                <w:rFonts w:ascii="Arial" w:eastAsia="Arial" w:hAnsi="Arial" w:cs="Arial"/>
                <w:b/>
                <w:sz w:val="14"/>
              </w:rPr>
            </w:pPr>
            <w:r>
              <w:rPr>
                <w:rFonts w:ascii="Arial" w:eastAsia="Arial" w:hAnsi="Arial" w:cs="Arial"/>
                <w:b/>
                <w:color w:val="000000"/>
                <w:sz w:val="14"/>
              </w:rPr>
              <w:t>20%</w:t>
            </w:r>
          </w:p>
        </w:tc>
        <w:tc>
          <w:tcPr>
            <w:tcW w:w="80" w:type="dxa"/>
            <w:tcMar>
              <w:left w:w="0" w:type="dxa"/>
              <w:right w:w="60" w:type="dxa"/>
            </w:tcMar>
            <w:vAlign w:val="bottom"/>
          </w:tcPr>
          <w:p w14:paraId="55E3BB1D" w14:textId="77777777" w:rsidR="007E7656" w:rsidRDefault="007E7656" w:rsidP="00312F84">
            <w:pPr>
              <w:keepLines/>
              <w:spacing w:before="40" w:after="40"/>
            </w:pPr>
          </w:p>
        </w:tc>
        <w:tc>
          <w:tcPr>
            <w:tcW w:w="783" w:type="dxa"/>
            <w:tcBorders>
              <w:top w:val="single" w:sz="8" w:space="0" w:color="auto"/>
              <w:bottom w:val="double" w:sz="4" w:space="0" w:color="auto"/>
            </w:tcBorders>
            <w:tcMar>
              <w:left w:w="0" w:type="dxa"/>
              <w:right w:w="0" w:type="dxa"/>
            </w:tcMar>
            <w:vAlign w:val="bottom"/>
          </w:tcPr>
          <w:p w14:paraId="1C8E37EE"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139.4</w:t>
            </w:r>
          </w:p>
        </w:tc>
        <w:tc>
          <w:tcPr>
            <w:tcW w:w="57" w:type="dxa"/>
            <w:tcBorders>
              <w:top w:val="single" w:sz="8" w:space="0" w:color="auto"/>
              <w:bottom w:val="double" w:sz="4" w:space="0" w:color="auto"/>
            </w:tcBorders>
            <w:tcMar>
              <w:left w:w="0" w:type="dxa"/>
              <w:right w:w="0" w:type="dxa"/>
            </w:tcMar>
          </w:tcPr>
          <w:p w14:paraId="17046A9F" w14:textId="77777777" w:rsidR="007E7656" w:rsidRDefault="007E7656" w:rsidP="00312F84"/>
        </w:tc>
        <w:tc>
          <w:tcPr>
            <w:tcW w:w="80" w:type="dxa"/>
            <w:tcMar>
              <w:left w:w="0" w:type="dxa"/>
              <w:right w:w="60" w:type="dxa"/>
            </w:tcMar>
            <w:vAlign w:val="bottom"/>
          </w:tcPr>
          <w:p w14:paraId="1F7B2257" w14:textId="77777777" w:rsidR="007E7656" w:rsidRDefault="007E7656" w:rsidP="00312F84">
            <w:pPr>
              <w:keepLines/>
              <w:spacing w:before="40" w:after="40"/>
            </w:pPr>
          </w:p>
        </w:tc>
        <w:tc>
          <w:tcPr>
            <w:tcW w:w="88" w:type="dxa"/>
            <w:tcBorders>
              <w:top w:val="single" w:sz="8" w:space="0" w:color="auto"/>
              <w:bottom w:val="double" w:sz="4" w:space="0" w:color="auto"/>
            </w:tcBorders>
            <w:tcMar>
              <w:left w:w="0" w:type="dxa"/>
              <w:right w:w="0" w:type="dxa"/>
            </w:tcMar>
            <w:vAlign w:val="bottom"/>
          </w:tcPr>
          <w:p w14:paraId="51E12F82"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535" w:type="dxa"/>
            <w:tcBorders>
              <w:top w:val="single" w:sz="8" w:space="0" w:color="auto"/>
              <w:bottom w:val="double" w:sz="4" w:space="0" w:color="auto"/>
            </w:tcBorders>
            <w:tcMar>
              <w:left w:w="0" w:type="dxa"/>
              <w:right w:w="0" w:type="dxa"/>
            </w:tcMar>
            <w:vAlign w:val="bottom"/>
          </w:tcPr>
          <w:p w14:paraId="46E86824"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0.60</w:t>
            </w:r>
          </w:p>
        </w:tc>
        <w:tc>
          <w:tcPr>
            <w:tcW w:w="57" w:type="dxa"/>
            <w:tcBorders>
              <w:top w:val="single" w:sz="8" w:space="0" w:color="auto"/>
              <w:bottom w:val="double" w:sz="4" w:space="0" w:color="auto"/>
            </w:tcBorders>
            <w:tcMar>
              <w:left w:w="0" w:type="dxa"/>
              <w:right w:w="0" w:type="dxa"/>
            </w:tcMar>
          </w:tcPr>
          <w:p w14:paraId="5CF005B8" w14:textId="77777777" w:rsidR="007E7656" w:rsidRDefault="007E7656" w:rsidP="00312F84"/>
        </w:tc>
      </w:tr>
    </w:tbl>
    <w:p w14:paraId="5F53DC22" w14:textId="77777777" w:rsidR="007E7656" w:rsidRDefault="007E7656" w:rsidP="007E7656">
      <w:pPr>
        <w:spacing w:before="60" w:line="288" w:lineRule="auto"/>
      </w:pPr>
    </w:p>
    <w:p w14:paraId="2F30F306" w14:textId="77777777" w:rsidR="007E7656" w:rsidRDefault="007E7656" w:rsidP="007E7656">
      <w:pPr>
        <w:spacing w:before="180" w:line="288" w:lineRule="auto"/>
        <w:rPr>
          <w:rFonts w:ascii="Arial" w:eastAsia="Arial" w:hAnsi="Arial" w:cs="Arial"/>
          <w:sz w:val="16"/>
        </w:rPr>
      </w:pPr>
      <w:r>
        <w:rPr>
          <w:rFonts w:ascii="Arial" w:eastAsia="Arial" w:hAnsi="Arial" w:cs="Arial"/>
          <w:sz w:val="16"/>
        </w:rPr>
        <w:t>* Using 233.2 M diluted shares</w:t>
      </w:r>
    </w:p>
    <w:p w14:paraId="03E7EB86" w14:textId="77777777" w:rsidR="007E7656" w:rsidRDefault="007E7656" w:rsidP="007E7656">
      <w:pPr>
        <w:spacing w:line="288" w:lineRule="auto"/>
      </w:pPr>
    </w:p>
    <w:p w14:paraId="73432BF3" w14:textId="77777777" w:rsidR="007E7656" w:rsidRDefault="007E7656" w:rsidP="007E7656">
      <w:pPr>
        <w:spacing w:line="288" w:lineRule="auto"/>
      </w:pPr>
    </w:p>
    <w:p w14:paraId="72F9F2EC" w14:textId="77777777" w:rsidR="007E7656" w:rsidRDefault="007E7656" w:rsidP="007E7656">
      <w:pPr>
        <w:spacing w:line="288" w:lineRule="auto"/>
      </w:pPr>
    </w:p>
    <w:p w14:paraId="79E94C6E" w14:textId="77777777" w:rsidR="007E7656" w:rsidRDefault="00C27E84" w:rsidP="007E7656">
      <w:pPr>
        <w:spacing w:before="180" w:line="288" w:lineRule="auto"/>
        <w:jc w:val="center"/>
        <w:rPr>
          <w:rFonts w:ascii="Arial" w:eastAsia="Arial" w:hAnsi="Arial" w:cs="Arial"/>
          <w:sz w:val="16"/>
        </w:rPr>
      </w:pPr>
      <w:r>
        <w:rPr>
          <w:rFonts w:ascii="Arial" w:eastAsia="Arial" w:hAnsi="Arial" w:cs="Arial"/>
          <w:sz w:val="16"/>
        </w:rPr>
        <w:t>Six</w:t>
      </w:r>
      <w:r w:rsidR="007E7656">
        <w:rPr>
          <w:rFonts w:ascii="Arial" w:eastAsia="Arial" w:hAnsi="Arial" w:cs="Arial"/>
          <w:sz w:val="16"/>
        </w:rPr>
        <w:t xml:space="preserve"> months ended June 30, 2018</w:t>
      </w:r>
    </w:p>
    <w:p w14:paraId="06260C2E" w14:textId="77777777" w:rsidR="007E7656" w:rsidRDefault="007E7656" w:rsidP="007E7656">
      <w:pPr>
        <w:spacing w:line="288" w:lineRule="auto"/>
        <w:jc w:val="center"/>
        <w:rPr>
          <w:rFonts w:ascii="Arial" w:eastAsia="Arial" w:hAnsi="Arial" w:cs="Arial"/>
          <w:sz w:val="16"/>
        </w:rPr>
      </w:pPr>
      <w:r>
        <w:rPr>
          <w:rFonts w:ascii="Arial" w:eastAsia="Arial" w:hAnsi="Arial" w:cs="Arial"/>
          <w:sz w:val="16"/>
        </w:rPr>
        <w:t>(In $ millions, except EPS data)</w:t>
      </w:r>
    </w:p>
    <w:p w14:paraId="7CADE9B1" w14:textId="77777777" w:rsidR="007E7656" w:rsidRDefault="007E7656" w:rsidP="007E7656">
      <w:pPr>
        <w:spacing w:after="140"/>
      </w:pPr>
    </w:p>
    <w:tbl>
      <w:tblPr>
        <w:tblW w:w="10260" w:type="dxa"/>
        <w:tblLayout w:type="fixed"/>
        <w:tblCellMar>
          <w:left w:w="10" w:type="dxa"/>
          <w:right w:w="10" w:type="dxa"/>
        </w:tblCellMar>
        <w:tblLook w:val="04A0" w:firstRow="1" w:lastRow="0" w:firstColumn="1" w:lastColumn="0" w:noHBand="0" w:noVBand="1"/>
      </w:tblPr>
      <w:tblGrid>
        <w:gridCol w:w="3260"/>
        <w:gridCol w:w="80"/>
        <w:gridCol w:w="783"/>
        <w:gridCol w:w="57"/>
        <w:gridCol w:w="80"/>
        <w:gridCol w:w="783"/>
        <w:gridCol w:w="57"/>
        <w:gridCol w:w="80"/>
        <w:gridCol w:w="783"/>
        <w:gridCol w:w="57"/>
        <w:gridCol w:w="80"/>
        <w:gridCol w:w="783"/>
        <w:gridCol w:w="57"/>
        <w:gridCol w:w="80"/>
        <w:gridCol w:w="783"/>
        <w:gridCol w:w="57"/>
        <w:gridCol w:w="80"/>
        <w:gridCol w:w="640"/>
        <w:gridCol w:w="80"/>
        <w:gridCol w:w="783"/>
        <w:gridCol w:w="57"/>
        <w:gridCol w:w="80"/>
        <w:gridCol w:w="88"/>
        <w:gridCol w:w="535"/>
        <w:gridCol w:w="57"/>
      </w:tblGrid>
      <w:tr w:rsidR="007E7656" w14:paraId="132A319C" w14:textId="77777777" w:rsidTr="007E7656">
        <w:trPr>
          <w:trHeight w:hRule="exact" w:val="80"/>
        </w:trPr>
        <w:tc>
          <w:tcPr>
            <w:tcW w:w="3260" w:type="dxa"/>
            <w:tcMar>
              <w:left w:w="60" w:type="dxa"/>
              <w:right w:w="0" w:type="dxa"/>
            </w:tcMar>
            <w:vAlign w:val="bottom"/>
          </w:tcPr>
          <w:p w14:paraId="36EB3937" w14:textId="77777777" w:rsidR="007E7656" w:rsidRDefault="007E7656" w:rsidP="00312F84">
            <w:pPr>
              <w:keepNext/>
              <w:keepLines/>
            </w:pPr>
          </w:p>
        </w:tc>
        <w:tc>
          <w:tcPr>
            <w:tcW w:w="80" w:type="dxa"/>
            <w:tcMar>
              <w:left w:w="60" w:type="dxa"/>
              <w:right w:w="0" w:type="dxa"/>
            </w:tcMar>
            <w:vAlign w:val="bottom"/>
          </w:tcPr>
          <w:p w14:paraId="78FECE04" w14:textId="77777777" w:rsidR="007E7656" w:rsidRDefault="007E7656" w:rsidP="00312F84">
            <w:pPr>
              <w:keepNext/>
              <w:keepLines/>
            </w:pPr>
          </w:p>
        </w:tc>
        <w:tc>
          <w:tcPr>
            <w:tcW w:w="783" w:type="dxa"/>
            <w:gridSpan w:val="2"/>
            <w:tcMar>
              <w:left w:w="60" w:type="dxa"/>
              <w:right w:w="60" w:type="dxa"/>
            </w:tcMar>
            <w:vAlign w:val="bottom"/>
          </w:tcPr>
          <w:p w14:paraId="623263E4" w14:textId="77777777" w:rsidR="007E7656" w:rsidRDefault="007E7656" w:rsidP="00312F84">
            <w:pPr>
              <w:keepNext/>
              <w:keepLines/>
            </w:pPr>
          </w:p>
        </w:tc>
        <w:tc>
          <w:tcPr>
            <w:tcW w:w="80" w:type="dxa"/>
            <w:tcMar>
              <w:left w:w="60" w:type="dxa"/>
              <w:right w:w="0" w:type="dxa"/>
            </w:tcMar>
            <w:vAlign w:val="bottom"/>
          </w:tcPr>
          <w:p w14:paraId="422F0628" w14:textId="77777777" w:rsidR="007E7656" w:rsidRDefault="007E7656" w:rsidP="00312F84">
            <w:pPr>
              <w:keepNext/>
              <w:keepLines/>
            </w:pPr>
          </w:p>
        </w:tc>
        <w:tc>
          <w:tcPr>
            <w:tcW w:w="783" w:type="dxa"/>
            <w:gridSpan w:val="2"/>
            <w:tcMar>
              <w:left w:w="60" w:type="dxa"/>
              <w:right w:w="60" w:type="dxa"/>
            </w:tcMar>
            <w:vAlign w:val="bottom"/>
          </w:tcPr>
          <w:p w14:paraId="210C0EB1" w14:textId="77777777" w:rsidR="007E7656" w:rsidRDefault="007E7656" w:rsidP="00312F84">
            <w:pPr>
              <w:keepNext/>
              <w:keepLines/>
            </w:pPr>
          </w:p>
        </w:tc>
        <w:tc>
          <w:tcPr>
            <w:tcW w:w="80" w:type="dxa"/>
            <w:tcMar>
              <w:left w:w="60" w:type="dxa"/>
              <w:right w:w="0" w:type="dxa"/>
            </w:tcMar>
            <w:vAlign w:val="bottom"/>
          </w:tcPr>
          <w:p w14:paraId="669C4DD4" w14:textId="77777777" w:rsidR="007E7656" w:rsidRDefault="007E7656" w:rsidP="00312F84">
            <w:pPr>
              <w:keepNext/>
              <w:keepLines/>
            </w:pPr>
          </w:p>
        </w:tc>
        <w:tc>
          <w:tcPr>
            <w:tcW w:w="783" w:type="dxa"/>
            <w:gridSpan w:val="2"/>
            <w:tcMar>
              <w:left w:w="60" w:type="dxa"/>
              <w:right w:w="60" w:type="dxa"/>
            </w:tcMar>
            <w:vAlign w:val="bottom"/>
          </w:tcPr>
          <w:p w14:paraId="15629A55" w14:textId="77777777" w:rsidR="007E7656" w:rsidRDefault="007E7656" w:rsidP="00312F84">
            <w:pPr>
              <w:keepNext/>
              <w:keepLines/>
            </w:pPr>
          </w:p>
        </w:tc>
        <w:tc>
          <w:tcPr>
            <w:tcW w:w="80" w:type="dxa"/>
            <w:tcMar>
              <w:left w:w="60" w:type="dxa"/>
              <w:right w:w="0" w:type="dxa"/>
            </w:tcMar>
            <w:vAlign w:val="bottom"/>
          </w:tcPr>
          <w:p w14:paraId="02C759F7" w14:textId="77777777" w:rsidR="007E7656" w:rsidRDefault="007E7656" w:rsidP="00312F84">
            <w:pPr>
              <w:keepNext/>
              <w:keepLines/>
            </w:pPr>
          </w:p>
        </w:tc>
        <w:tc>
          <w:tcPr>
            <w:tcW w:w="783" w:type="dxa"/>
            <w:gridSpan w:val="2"/>
            <w:tcMar>
              <w:left w:w="60" w:type="dxa"/>
              <w:right w:w="60" w:type="dxa"/>
            </w:tcMar>
            <w:vAlign w:val="bottom"/>
          </w:tcPr>
          <w:p w14:paraId="34D31D37" w14:textId="77777777" w:rsidR="007E7656" w:rsidRDefault="007E7656" w:rsidP="00312F84">
            <w:pPr>
              <w:keepNext/>
              <w:keepLines/>
            </w:pPr>
          </w:p>
        </w:tc>
        <w:tc>
          <w:tcPr>
            <w:tcW w:w="80" w:type="dxa"/>
            <w:tcMar>
              <w:left w:w="60" w:type="dxa"/>
              <w:right w:w="0" w:type="dxa"/>
            </w:tcMar>
            <w:vAlign w:val="bottom"/>
          </w:tcPr>
          <w:p w14:paraId="2214A193" w14:textId="77777777" w:rsidR="007E7656" w:rsidRDefault="007E7656" w:rsidP="00312F84">
            <w:pPr>
              <w:keepNext/>
              <w:keepLines/>
            </w:pPr>
          </w:p>
        </w:tc>
        <w:tc>
          <w:tcPr>
            <w:tcW w:w="783" w:type="dxa"/>
            <w:gridSpan w:val="2"/>
            <w:tcMar>
              <w:left w:w="60" w:type="dxa"/>
              <w:right w:w="60" w:type="dxa"/>
            </w:tcMar>
            <w:vAlign w:val="bottom"/>
          </w:tcPr>
          <w:p w14:paraId="0C873FAD" w14:textId="77777777" w:rsidR="007E7656" w:rsidRDefault="007E7656" w:rsidP="00312F84">
            <w:pPr>
              <w:keepNext/>
              <w:keepLines/>
            </w:pPr>
          </w:p>
        </w:tc>
        <w:tc>
          <w:tcPr>
            <w:tcW w:w="80" w:type="dxa"/>
            <w:tcMar>
              <w:left w:w="60" w:type="dxa"/>
              <w:right w:w="0" w:type="dxa"/>
            </w:tcMar>
            <w:vAlign w:val="bottom"/>
          </w:tcPr>
          <w:p w14:paraId="3BA276F6" w14:textId="77777777" w:rsidR="007E7656" w:rsidRDefault="007E7656" w:rsidP="00312F84">
            <w:pPr>
              <w:keepNext/>
              <w:keepLines/>
            </w:pPr>
          </w:p>
        </w:tc>
        <w:tc>
          <w:tcPr>
            <w:tcW w:w="640" w:type="dxa"/>
            <w:tcMar>
              <w:left w:w="60" w:type="dxa"/>
              <w:right w:w="60" w:type="dxa"/>
            </w:tcMar>
            <w:vAlign w:val="bottom"/>
          </w:tcPr>
          <w:p w14:paraId="62BA8E29" w14:textId="77777777" w:rsidR="007E7656" w:rsidRDefault="007E7656" w:rsidP="00312F84">
            <w:pPr>
              <w:keepNext/>
              <w:keepLines/>
            </w:pPr>
          </w:p>
        </w:tc>
        <w:tc>
          <w:tcPr>
            <w:tcW w:w="80" w:type="dxa"/>
            <w:tcMar>
              <w:left w:w="0" w:type="dxa"/>
              <w:right w:w="0" w:type="dxa"/>
            </w:tcMar>
            <w:vAlign w:val="bottom"/>
          </w:tcPr>
          <w:p w14:paraId="29ECB016" w14:textId="77777777" w:rsidR="007E7656" w:rsidRDefault="007E7656" w:rsidP="00312F84">
            <w:pPr>
              <w:keepNext/>
              <w:keepLines/>
            </w:pPr>
          </w:p>
        </w:tc>
        <w:tc>
          <w:tcPr>
            <w:tcW w:w="783" w:type="dxa"/>
            <w:gridSpan w:val="2"/>
            <w:tcMar>
              <w:left w:w="60" w:type="dxa"/>
              <w:right w:w="60" w:type="dxa"/>
            </w:tcMar>
            <w:vAlign w:val="bottom"/>
          </w:tcPr>
          <w:p w14:paraId="782BF2C3" w14:textId="77777777" w:rsidR="007E7656" w:rsidRDefault="007E7656" w:rsidP="00312F84">
            <w:pPr>
              <w:keepNext/>
              <w:keepLines/>
            </w:pPr>
          </w:p>
        </w:tc>
        <w:tc>
          <w:tcPr>
            <w:tcW w:w="80" w:type="dxa"/>
            <w:tcMar>
              <w:left w:w="60" w:type="dxa"/>
              <w:right w:w="0" w:type="dxa"/>
            </w:tcMar>
            <w:vAlign w:val="bottom"/>
          </w:tcPr>
          <w:p w14:paraId="490D1A93" w14:textId="77777777" w:rsidR="007E7656" w:rsidRDefault="007E7656" w:rsidP="00312F84">
            <w:pPr>
              <w:keepNext/>
              <w:keepLines/>
            </w:pPr>
          </w:p>
        </w:tc>
        <w:tc>
          <w:tcPr>
            <w:tcW w:w="0" w:type="dxa"/>
            <w:gridSpan w:val="3"/>
            <w:tcMar>
              <w:left w:w="60" w:type="dxa"/>
              <w:right w:w="60" w:type="dxa"/>
            </w:tcMar>
            <w:vAlign w:val="bottom"/>
          </w:tcPr>
          <w:p w14:paraId="16C15D6F" w14:textId="77777777" w:rsidR="007E7656" w:rsidRDefault="007E7656" w:rsidP="00312F84">
            <w:pPr>
              <w:keepNext/>
              <w:keepLines/>
            </w:pPr>
          </w:p>
        </w:tc>
      </w:tr>
      <w:tr w:rsidR="007E7656" w14:paraId="0D9820A6" w14:textId="77777777" w:rsidTr="007E7656">
        <w:trPr>
          <w:trHeight w:hRule="exact" w:val="380"/>
        </w:trPr>
        <w:tc>
          <w:tcPr>
            <w:tcW w:w="3260" w:type="dxa"/>
            <w:tcMar>
              <w:left w:w="60" w:type="dxa"/>
              <w:right w:w="0" w:type="dxa"/>
            </w:tcMar>
            <w:vAlign w:val="bottom"/>
          </w:tcPr>
          <w:p w14:paraId="54BDEFAF" w14:textId="77777777" w:rsidR="007E7656" w:rsidRDefault="007E7656" w:rsidP="00312F84">
            <w:pPr>
              <w:keepNext/>
              <w:keepLines/>
              <w:spacing w:before="40" w:after="40"/>
            </w:pPr>
          </w:p>
        </w:tc>
        <w:tc>
          <w:tcPr>
            <w:tcW w:w="80" w:type="dxa"/>
            <w:tcMar>
              <w:left w:w="60" w:type="dxa"/>
              <w:right w:w="0" w:type="dxa"/>
            </w:tcMar>
            <w:vAlign w:val="bottom"/>
          </w:tcPr>
          <w:p w14:paraId="15A0E764"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8D9A07F" w14:textId="77777777" w:rsidR="007E7656" w:rsidRDefault="007E7656" w:rsidP="00312F84">
            <w:pPr>
              <w:keepNext/>
              <w:keepLines/>
              <w:spacing w:before="40" w:after="40"/>
            </w:pPr>
          </w:p>
        </w:tc>
        <w:tc>
          <w:tcPr>
            <w:tcW w:w="80" w:type="dxa"/>
            <w:tcMar>
              <w:left w:w="60" w:type="dxa"/>
              <w:right w:w="0" w:type="dxa"/>
            </w:tcMar>
            <w:vAlign w:val="bottom"/>
          </w:tcPr>
          <w:p w14:paraId="2FEF18AE"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02929E4F" w14:textId="77777777" w:rsidR="007E7656" w:rsidRDefault="007E7656" w:rsidP="00312F84">
            <w:pPr>
              <w:keepNext/>
              <w:keepLines/>
              <w:spacing w:before="40" w:after="40"/>
            </w:pPr>
          </w:p>
        </w:tc>
        <w:tc>
          <w:tcPr>
            <w:tcW w:w="80" w:type="dxa"/>
            <w:tcMar>
              <w:left w:w="60" w:type="dxa"/>
              <w:right w:w="0" w:type="dxa"/>
            </w:tcMar>
            <w:vAlign w:val="bottom"/>
          </w:tcPr>
          <w:p w14:paraId="4DD00109"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3FC482ED" w14:textId="77777777" w:rsidR="007E7656" w:rsidRDefault="007E7656" w:rsidP="00312F84">
            <w:pPr>
              <w:keepNext/>
              <w:keepLines/>
              <w:spacing w:before="40" w:after="40"/>
            </w:pPr>
          </w:p>
        </w:tc>
        <w:tc>
          <w:tcPr>
            <w:tcW w:w="80" w:type="dxa"/>
            <w:tcMar>
              <w:left w:w="60" w:type="dxa"/>
              <w:right w:w="0" w:type="dxa"/>
            </w:tcMar>
            <w:vAlign w:val="bottom"/>
          </w:tcPr>
          <w:p w14:paraId="70DF819B"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497C0A66" w14:textId="77777777" w:rsidR="007E7656" w:rsidRDefault="007E7656" w:rsidP="00312F84">
            <w:pPr>
              <w:keepNext/>
              <w:keepLines/>
              <w:spacing w:before="40" w:after="40"/>
            </w:pPr>
          </w:p>
        </w:tc>
        <w:tc>
          <w:tcPr>
            <w:tcW w:w="80" w:type="dxa"/>
            <w:tcMar>
              <w:left w:w="60" w:type="dxa"/>
              <w:right w:w="0" w:type="dxa"/>
            </w:tcMar>
            <w:vAlign w:val="bottom"/>
          </w:tcPr>
          <w:p w14:paraId="36A7C4E5"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D3956DD" w14:textId="77777777" w:rsidR="007E7656" w:rsidRDefault="007E7656" w:rsidP="00312F84">
            <w:pPr>
              <w:keepNext/>
              <w:keepLines/>
              <w:spacing w:before="40" w:after="40"/>
            </w:pPr>
          </w:p>
        </w:tc>
        <w:tc>
          <w:tcPr>
            <w:tcW w:w="80" w:type="dxa"/>
            <w:tcMar>
              <w:left w:w="60" w:type="dxa"/>
              <w:right w:w="0" w:type="dxa"/>
            </w:tcMar>
            <w:vAlign w:val="bottom"/>
          </w:tcPr>
          <w:p w14:paraId="7BC635AC"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7E05FC12" w14:textId="77777777" w:rsidR="007E7656" w:rsidRDefault="007E7656" w:rsidP="00312F84">
            <w:pPr>
              <w:keepNext/>
              <w:keepLines/>
              <w:spacing w:before="40" w:after="40"/>
            </w:pPr>
          </w:p>
        </w:tc>
        <w:tc>
          <w:tcPr>
            <w:tcW w:w="80" w:type="dxa"/>
            <w:tcMar>
              <w:left w:w="0" w:type="dxa"/>
              <w:right w:w="0" w:type="dxa"/>
            </w:tcMar>
            <w:vAlign w:val="bottom"/>
          </w:tcPr>
          <w:p w14:paraId="46A430A8"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23EB6916" w14:textId="77777777" w:rsidR="007E7656" w:rsidRDefault="007E7656" w:rsidP="00312F84">
            <w:pPr>
              <w:keepNext/>
              <w:keepLines/>
              <w:spacing w:before="40" w:after="40"/>
            </w:pPr>
          </w:p>
        </w:tc>
        <w:tc>
          <w:tcPr>
            <w:tcW w:w="80" w:type="dxa"/>
            <w:tcMar>
              <w:left w:w="60" w:type="dxa"/>
              <w:right w:w="0" w:type="dxa"/>
            </w:tcMar>
            <w:vAlign w:val="bottom"/>
          </w:tcPr>
          <w:p w14:paraId="192B327B" w14:textId="77777777" w:rsidR="007E7656" w:rsidRDefault="007E7656" w:rsidP="00312F84">
            <w:pPr>
              <w:keepNext/>
              <w:keepLines/>
              <w:spacing w:before="40" w:after="40"/>
            </w:pPr>
          </w:p>
        </w:tc>
        <w:tc>
          <w:tcPr>
            <w:tcW w:w="0" w:type="dxa"/>
            <w:gridSpan w:val="3"/>
            <w:tcBorders>
              <w:bottom w:val="single" w:sz="8" w:space="0" w:color="auto"/>
            </w:tcBorders>
            <w:tcMar>
              <w:left w:w="60" w:type="dxa"/>
              <w:right w:w="60" w:type="dxa"/>
            </w:tcMar>
            <w:vAlign w:val="bottom"/>
          </w:tcPr>
          <w:p w14:paraId="293C6915" w14:textId="77777777" w:rsidR="007E7656" w:rsidRDefault="007E7656" w:rsidP="00312F84">
            <w:pPr>
              <w:keepNext/>
              <w:keepLines/>
              <w:spacing w:before="40" w:after="40"/>
            </w:pPr>
          </w:p>
        </w:tc>
      </w:tr>
      <w:tr w:rsidR="007E7656" w14:paraId="77525B8A" w14:textId="77777777" w:rsidTr="007E7656">
        <w:trPr>
          <w:trHeight w:hRule="exact" w:val="380"/>
        </w:trPr>
        <w:tc>
          <w:tcPr>
            <w:tcW w:w="3260" w:type="dxa"/>
            <w:tcMar>
              <w:left w:w="60" w:type="dxa"/>
              <w:right w:w="0" w:type="dxa"/>
            </w:tcMar>
            <w:vAlign w:val="bottom"/>
          </w:tcPr>
          <w:p w14:paraId="202947DD" w14:textId="77777777" w:rsidR="007E7656" w:rsidRDefault="007E7656" w:rsidP="00312F84">
            <w:pPr>
              <w:keepNext/>
              <w:keepLines/>
              <w:spacing w:before="40" w:after="40"/>
            </w:pPr>
          </w:p>
        </w:tc>
        <w:tc>
          <w:tcPr>
            <w:tcW w:w="80" w:type="dxa"/>
            <w:tcMar>
              <w:left w:w="60" w:type="dxa"/>
              <w:right w:w="0" w:type="dxa"/>
            </w:tcMar>
            <w:vAlign w:val="bottom"/>
          </w:tcPr>
          <w:p w14:paraId="6AB6AEAB"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7D57B799"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Net</w:t>
            </w:r>
            <w:r>
              <w:rPr>
                <w:rFonts w:ascii="Arial" w:eastAsia="Arial" w:hAnsi="Arial" w:cs="Arial"/>
                <w:color w:val="000000"/>
                <w:sz w:val="14"/>
              </w:rPr>
              <w:br/>
              <w:t>Sales</w:t>
            </w:r>
          </w:p>
        </w:tc>
        <w:tc>
          <w:tcPr>
            <w:tcW w:w="80" w:type="dxa"/>
            <w:tcMar>
              <w:left w:w="60" w:type="dxa"/>
              <w:right w:w="0" w:type="dxa"/>
            </w:tcMar>
            <w:vAlign w:val="bottom"/>
          </w:tcPr>
          <w:p w14:paraId="292B74D9"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032E83E0"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Gross</w:t>
            </w:r>
            <w:r>
              <w:rPr>
                <w:rFonts w:ascii="Arial" w:eastAsia="Arial" w:hAnsi="Arial" w:cs="Arial"/>
                <w:color w:val="000000"/>
                <w:sz w:val="14"/>
              </w:rPr>
              <w:br/>
              <w:t>Profit</w:t>
            </w:r>
          </w:p>
        </w:tc>
        <w:tc>
          <w:tcPr>
            <w:tcW w:w="80" w:type="dxa"/>
            <w:tcMar>
              <w:left w:w="60" w:type="dxa"/>
              <w:right w:w="0" w:type="dxa"/>
            </w:tcMar>
            <w:vAlign w:val="bottom"/>
          </w:tcPr>
          <w:p w14:paraId="2A85D017"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6A8CC02C"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Operating</w:t>
            </w:r>
            <w:r>
              <w:rPr>
                <w:rFonts w:ascii="Arial" w:eastAsia="Arial" w:hAnsi="Arial" w:cs="Arial"/>
                <w:color w:val="000000"/>
                <w:sz w:val="14"/>
              </w:rPr>
              <w:br/>
              <w:t>Income</w:t>
            </w:r>
          </w:p>
        </w:tc>
        <w:tc>
          <w:tcPr>
            <w:tcW w:w="80" w:type="dxa"/>
            <w:tcMar>
              <w:left w:w="60" w:type="dxa"/>
              <w:right w:w="0" w:type="dxa"/>
            </w:tcMar>
            <w:vAlign w:val="bottom"/>
          </w:tcPr>
          <w:p w14:paraId="34B54335"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28E01F53"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Pre-tax</w:t>
            </w:r>
            <w:r>
              <w:rPr>
                <w:rFonts w:ascii="Arial" w:eastAsia="Arial" w:hAnsi="Arial" w:cs="Arial"/>
                <w:color w:val="000000"/>
                <w:sz w:val="14"/>
              </w:rPr>
              <w:br/>
              <w:t>Income</w:t>
            </w:r>
          </w:p>
        </w:tc>
        <w:tc>
          <w:tcPr>
            <w:tcW w:w="80" w:type="dxa"/>
            <w:tcMar>
              <w:left w:w="60" w:type="dxa"/>
              <w:right w:w="0" w:type="dxa"/>
            </w:tcMar>
            <w:vAlign w:val="bottom"/>
          </w:tcPr>
          <w:p w14:paraId="391E692D"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EB5BBC3"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Income</w:t>
            </w:r>
            <w:r>
              <w:rPr>
                <w:rFonts w:ascii="Arial" w:eastAsia="Arial" w:hAnsi="Arial" w:cs="Arial"/>
                <w:color w:val="000000"/>
                <w:sz w:val="14"/>
              </w:rPr>
              <w:br/>
              <w:t>Tax</w:t>
            </w:r>
          </w:p>
        </w:tc>
        <w:tc>
          <w:tcPr>
            <w:tcW w:w="80" w:type="dxa"/>
            <w:tcMar>
              <w:left w:w="60" w:type="dxa"/>
              <w:right w:w="0" w:type="dxa"/>
            </w:tcMar>
            <w:vAlign w:val="bottom"/>
          </w:tcPr>
          <w:p w14:paraId="7CF10E90"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46C8ABA3"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Tax Rate</w:t>
            </w:r>
          </w:p>
        </w:tc>
        <w:tc>
          <w:tcPr>
            <w:tcW w:w="80" w:type="dxa"/>
            <w:tcMar>
              <w:left w:w="0" w:type="dxa"/>
              <w:right w:w="0" w:type="dxa"/>
            </w:tcMar>
            <w:vAlign w:val="bottom"/>
          </w:tcPr>
          <w:p w14:paraId="1B6D79D6" w14:textId="77777777" w:rsidR="007E7656" w:rsidRDefault="007E7656" w:rsidP="00312F84">
            <w:pPr>
              <w:keepNext/>
              <w:keepLines/>
              <w:spacing w:before="40" w:after="40"/>
            </w:pPr>
          </w:p>
        </w:tc>
        <w:tc>
          <w:tcPr>
            <w:tcW w:w="783" w:type="dxa"/>
            <w:gridSpan w:val="2"/>
            <w:tcBorders>
              <w:bottom w:val="single" w:sz="8" w:space="0" w:color="auto"/>
            </w:tcBorders>
            <w:tcMar>
              <w:left w:w="60" w:type="dxa"/>
              <w:right w:w="60" w:type="dxa"/>
            </w:tcMar>
            <w:vAlign w:val="bottom"/>
          </w:tcPr>
          <w:p w14:paraId="51E7D69D"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Net</w:t>
            </w:r>
            <w:r>
              <w:rPr>
                <w:rFonts w:ascii="Arial" w:eastAsia="Arial" w:hAnsi="Arial" w:cs="Arial"/>
                <w:color w:val="000000"/>
                <w:sz w:val="14"/>
              </w:rPr>
              <w:br/>
              <w:t>Income</w:t>
            </w:r>
          </w:p>
        </w:tc>
        <w:tc>
          <w:tcPr>
            <w:tcW w:w="80" w:type="dxa"/>
            <w:tcMar>
              <w:left w:w="60" w:type="dxa"/>
              <w:right w:w="0" w:type="dxa"/>
            </w:tcMar>
            <w:vAlign w:val="bottom"/>
          </w:tcPr>
          <w:p w14:paraId="46213700" w14:textId="77777777" w:rsidR="007E7656" w:rsidRDefault="007E7656" w:rsidP="00312F84">
            <w:pPr>
              <w:keepNext/>
              <w:keepLines/>
              <w:spacing w:before="40" w:after="40"/>
            </w:pPr>
          </w:p>
        </w:tc>
        <w:tc>
          <w:tcPr>
            <w:tcW w:w="0" w:type="dxa"/>
            <w:gridSpan w:val="3"/>
            <w:tcBorders>
              <w:bottom w:val="single" w:sz="8" w:space="0" w:color="auto"/>
            </w:tcBorders>
            <w:tcMar>
              <w:left w:w="60" w:type="dxa"/>
              <w:right w:w="60" w:type="dxa"/>
            </w:tcMar>
            <w:vAlign w:val="bottom"/>
          </w:tcPr>
          <w:p w14:paraId="0347DF68" w14:textId="77777777" w:rsidR="007E7656" w:rsidRDefault="007E7656" w:rsidP="00312F84">
            <w:pPr>
              <w:keepNext/>
              <w:keepLines/>
              <w:spacing w:before="40" w:after="40"/>
              <w:jc w:val="center"/>
              <w:rPr>
                <w:rFonts w:ascii="Arial" w:eastAsia="Arial" w:hAnsi="Arial" w:cs="Arial"/>
                <w:sz w:val="14"/>
              </w:rPr>
            </w:pPr>
            <w:r>
              <w:rPr>
                <w:rFonts w:ascii="Arial" w:eastAsia="Arial" w:hAnsi="Arial" w:cs="Arial"/>
                <w:color w:val="000000"/>
                <w:sz w:val="14"/>
              </w:rPr>
              <w:t>Diluted</w:t>
            </w:r>
            <w:r>
              <w:rPr>
                <w:rFonts w:ascii="Arial" w:eastAsia="Arial" w:hAnsi="Arial" w:cs="Arial"/>
                <w:color w:val="000000"/>
                <w:sz w:val="14"/>
              </w:rPr>
              <w:br/>
              <w:t>EPS*</w:t>
            </w:r>
          </w:p>
        </w:tc>
      </w:tr>
      <w:tr w:rsidR="007E7656" w14:paraId="5CB7D6AD" w14:textId="77777777" w:rsidTr="00312F84">
        <w:trPr>
          <w:trHeight w:hRule="exact" w:val="280"/>
        </w:trPr>
        <w:tc>
          <w:tcPr>
            <w:tcW w:w="3260" w:type="dxa"/>
            <w:tcMar>
              <w:left w:w="60" w:type="dxa"/>
              <w:right w:w="40" w:type="dxa"/>
            </w:tcMar>
            <w:vAlign w:val="bottom"/>
          </w:tcPr>
          <w:p w14:paraId="2D8EB745"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Reported results</w:t>
            </w:r>
          </w:p>
        </w:tc>
        <w:tc>
          <w:tcPr>
            <w:tcW w:w="80" w:type="dxa"/>
            <w:tcMar>
              <w:left w:w="60" w:type="dxa"/>
              <w:right w:w="0" w:type="dxa"/>
            </w:tcMar>
            <w:vAlign w:val="bottom"/>
          </w:tcPr>
          <w:p w14:paraId="57199F77" w14:textId="77777777" w:rsidR="007E7656" w:rsidRDefault="007E7656" w:rsidP="00312F84">
            <w:pPr>
              <w:keepNext/>
              <w:keepLines/>
              <w:spacing w:before="40" w:after="40"/>
            </w:pPr>
          </w:p>
        </w:tc>
        <w:tc>
          <w:tcPr>
            <w:tcW w:w="783" w:type="dxa"/>
            <w:tcMar>
              <w:left w:w="0" w:type="dxa"/>
              <w:right w:w="0" w:type="dxa"/>
            </w:tcMar>
            <w:vAlign w:val="bottom"/>
          </w:tcPr>
          <w:p w14:paraId="0D078A6D"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720.8</w:t>
            </w:r>
          </w:p>
        </w:tc>
        <w:tc>
          <w:tcPr>
            <w:tcW w:w="57" w:type="dxa"/>
            <w:tcMar>
              <w:left w:w="0" w:type="dxa"/>
              <w:right w:w="0" w:type="dxa"/>
            </w:tcMar>
          </w:tcPr>
          <w:p w14:paraId="7556242D" w14:textId="77777777" w:rsidR="007E7656" w:rsidRDefault="007E7656" w:rsidP="00312F84"/>
        </w:tc>
        <w:tc>
          <w:tcPr>
            <w:tcW w:w="80" w:type="dxa"/>
            <w:tcMar>
              <w:left w:w="0" w:type="dxa"/>
              <w:right w:w="60" w:type="dxa"/>
            </w:tcMar>
            <w:vAlign w:val="bottom"/>
          </w:tcPr>
          <w:p w14:paraId="04B6D57A" w14:textId="77777777" w:rsidR="007E7656" w:rsidRDefault="007E7656" w:rsidP="00312F84">
            <w:pPr>
              <w:keepNext/>
              <w:keepLines/>
              <w:spacing w:before="40" w:after="40"/>
            </w:pPr>
          </w:p>
        </w:tc>
        <w:tc>
          <w:tcPr>
            <w:tcW w:w="783" w:type="dxa"/>
            <w:tcMar>
              <w:left w:w="0" w:type="dxa"/>
              <w:right w:w="0" w:type="dxa"/>
            </w:tcMar>
            <w:vAlign w:val="bottom"/>
          </w:tcPr>
          <w:p w14:paraId="752857FF"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479.4</w:t>
            </w:r>
          </w:p>
        </w:tc>
        <w:tc>
          <w:tcPr>
            <w:tcW w:w="57" w:type="dxa"/>
            <w:tcMar>
              <w:left w:w="0" w:type="dxa"/>
              <w:right w:w="0" w:type="dxa"/>
            </w:tcMar>
          </w:tcPr>
          <w:p w14:paraId="27C4D80F" w14:textId="77777777" w:rsidR="007E7656" w:rsidRDefault="007E7656" w:rsidP="00312F84"/>
        </w:tc>
        <w:tc>
          <w:tcPr>
            <w:tcW w:w="80" w:type="dxa"/>
            <w:tcMar>
              <w:left w:w="0" w:type="dxa"/>
              <w:right w:w="60" w:type="dxa"/>
            </w:tcMar>
            <w:vAlign w:val="bottom"/>
          </w:tcPr>
          <w:p w14:paraId="45A18C31" w14:textId="77777777" w:rsidR="007E7656" w:rsidRDefault="007E7656" w:rsidP="00312F84">
            <w:pPr>
              <w:keepNext/>
              <w:keepLines/>
              <w:spacing w:before="40" w:after="40"/>
            </w:pPr>
          </w:p>
        </w:tc>
        <w:tc>
          <w:tcPr>
            <w:tcW w:w="783" w:type="dxa"/>
            <w:tcMar>
              <w:left w:w="0" w:type="dxa"/>
              <w:right w:w="0" w:type="dxa"/>
            </w:tcMar>
            <w:vAlign w:val="bottom"/>
          </w:tcPr>
          <w:p w14:paraId="618C1E59"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101.3</w:t>
            </w:r>
          </w:p>
        </w:tc>
        <w:tc>
          <w:tcPr>
            <w:tcW w:w="57" w:type="dxa"/>
            <w:tcMar>
              <w:left w:w="0" w:type="dxa"/>
              <w:right w:w="0" w:type="dxa"/>
            </w:tcMar>
          </w:tcPr>
          <w:p w14:paraId="57752169" w14:textId="77777777" w:rsidR="007E7656" w:rsidRDefault="007E7656" w:rsidP="00312F84"/>
        </w:tc>
        <w:tc>
          <w:tcPr>
            <w:tcW w:w="80" w:type="dxa"/>
            <w:tcMar>
              <w:left w:w="0" w:type="dxa"/>
              <w:right w:w="60" w:type="dxa"/>
            </w:tcMar>
            <w:vAlign w:val="bottom"/>
          </w:tcPr>
          <w:p w14:paraId="438F9442" w14:textId="77777777" w:rsidR="007E7656" w:rsidRDefault="007E7656" w:rsidP="00312F84">
            <w:pPr>
              <w:keepNext/>
              <w:keepLines/>
              <w:spacing w:before="40" w:after="40"/>
            </w:pPr>
          </w:p>
        </w:tc>
        <w:tc>
          <w:tcPr>
            <w:tcW w:w="783" w:type="dxa"/>
            <w:tcMar>
              <w:left w:w="0" w:type="dxa"/>
              <w:right w:w="0" w:type="dxa"/>
            </w:tcMar>
            <w:vAlign w:val="bottom"/>
          </w:tcPr>
          <w:p w14:paraId="76377D04"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85.1</w:t>
            </w:r>
          </w:p>
        </w:tc>
        <w:tc>
          <w:tcPr>
            <w:tcW w:w="57" w:type="dxa"/>
            <w:tcMar>
              <w:left w:w="0" w:type="dxa"/>
              <w:right w:w="0" w:type="dxa"/>
            </w:tcMar>
          </w:tcPr>
          <w:p w14:paraId="49C408E0" w14:textId="77777777" w:rsidR="007E7656" w:rsidRDefault="007E7656" w:rsidP="00312F84"/>
        </w:tc>
        <w:tc>
          <w:tcPr>
            <w:tcW w:w="80" w:type="dxa"/>
            <w:tcMar>
              <w:left w:w="0" w:type="dxa"/>
              <w:right w:w="60" w:type="dxa"/>
            </w:tcMar>
            <w:vAlign w:val="bottom"/>
          </w:tcPr>
          <w:p w14:paraId="00954E20" w14:textId="77777777" w:rsidR="007E7656" w:rsidRDefault="007E7656" w:rsidP="00312F84">
            <w:pPr>
              <w:keepNext/>
              <w:keepLines/>
              <w:spacing w:before="40" w:after="40"/>
            </w:pPr>
          </w:p>
        </w:tc>
        <w:tc>
          <w:tcPr>
            <w:tcW w:w="783" w:type="dxa"/>
            <w:tcMar>
              <w:left w:w="0" w:type="dxa"/>
              <w:right w:w="0" w:type="dxa"/>
            </w:tcMar>
            <w:vAlign w:val="bottom"/>
          </w:tcPr>
          <w:p w14:paraId="7AE2BF71"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(16.0</w:t>
            </w:r>
          </w:p>
        </w:tc>
        <w:tc>
          <w:tcPr>
            <w:tcW w:w="57" w:type="dxa"/>
            <w:tcMar>
              <w:left w:w="0" w:type="dxa"/>
              <w:right w:w="0" w:type="dxa"/>
            </w:tcMar>
            <w:vAlign w:val="bottom"/>
          </w:tcPr>
          <w:p w14:paraId="67D75D7E"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4C2A9180" w14:textId="77777777" w:rsidR="007E7656" w:rsidRDefault="007E7656" w:rsidP="00312F84">
            <w:pPr>
              <w:keepNext/>
              <w:keepLines/>
              <w:spacing w:before="40" w:after="40"/>
            </w:pPr>
          </w:p>
        </w:tc>
        <w:tc>
          <w:tcPr>
            <w:tcW w:w="640" w:type="dxa"/>
            <w:tcBorders>
              <w:top w:val="single" w:sz="8" w:space="0" w:color="auto"/>
            </w:tcBorders>
            <w:tcMar>
              <w:left w:w="60" w:type="dxa"/>
              <w:right w:w="60" w:type="dxa"/>
            </w:tcMar>
            <w:vAlign w:val="bottom"/>
          </w:tcPr>
          <w:p w14:paraId="181CB677" w14:textId="77777777" w:rsidR="007E7656" w:rsidRDefault="007E7656" w:rsidP="00312F84">
            <w:pPr>
              <w:keepNext/>
              <w:keepLines/>
              <w:spacing w:before="40" w:after="40"/>
              <w:jc w:val="center"/>
              <w:rPr>
                <w:rFonts w:ascii="Arial" w:eastAsia="Arial" w:hAnsi="Arial" w:cs="Arial"/>
                <w:b/>
                <w:sz w:val="14"/>
              </w:rPr>
            </w:pPr>
            <w:r>
              <w:rPr>
                <w:rFonts w:ascii="Arial" w:eastAsia="Arial" w:hAnsi="Arial" w:cs="Arial"/>
                <w:b/>
                <w:color w:val="000000"/>
                <w:sz w:val="14"/>
              </w:rPr>
              <w:t>19%</w:t>
            </w:r>
          </w:p>
        </w:tc>
        <w:tc>
          <w:tcPr>
            <w:tcW w:w="80" w:type="dxa"/>
            <w:tcMar>
              <w:left w:w="60" w:type="dxa"/>
              <w:right w:w="0" w:type="dxa"/>
            </w:tcMar>
            <w:vAlign w:val="bottom"/>
          </w:tcPr>
          <w:p w14:paraId="2090BA57" w14:textId="77777777" w:rsidR="007E7656" w:rsidRDefault="007E7656" w:rsidP="00312F84">
            <w:pPr>
              <w:keepNext/>
              <w:keepLines/>
              <w:spacing w:before="40" w:after="40"/>
            </w:pPr>
          </w:p>
        </w:tc>
        <w:tc>
          <w:tcPr>
            <w:tcW w:w="783" w:type="dxa"/>
            <w:tcBorders>
              <w:top w:val="single" w:sz="8" w:space="0" w:color="auto"/>
            </w:tcBorders>
            <w:tcMar>
              <w:left w:w="0" w:type="dxa"/>
              <w:right w:w="0" w:type="dxa"/>
            </w:tcMar>
            <w:vAlign w:val="bottom"/>
          </w:tcPr>
          <w:p w14:paraId="6B495D8A"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69.1</w:t>
            </w:r>
          </w:p>
        </w:tc>
        <w:tc>
          <w:tcPr>
            <w:tcW w:w="57" w:type="dxa"/>
            <w:tcBorders>
              <w:top w:val="single" w:sz="8" w:space="0" w:color="auto"/>
            </w:tcBorders>
            <w:tcMar>
              <w:left w:w="0" w:type="dxa"/>
              <w:right w:w="0" w:type="dxa"/>
            </w:tcMar>
          </w:tcPr>
          <w:p w14:paraId="78967156" w14:textId="77777777" w:rsidR="007E7656" w:rsidRDefault="007E7656" w:rsidP="00312F84"/>
        </w:tc>
        <w:tc>
          <w:tcPr>
            <w:tcW w:w="80" w:type="dxa"/>
            <w:tcMar>
              <w:left w:w="0" w:type="dxa"/>
              <w:right w:w="60" w:type="dxa"/>
            </w:tcMar>
            <w:vAlign w:val="bottom"/>
          </w:tcPr>
          <w:p w14:paraId="3E86FA56" w14:textId="77777777" w:rsidR="007E7656" w:rsidRDefault="007E7656" w:rsidP="00312F84">
            <w:pPr>
              <w:keepNext/>
              <w:keepLines/>
              <w:spacing w:before="40" w:after="40"/>
            </w:pPr>
          </w:p>
        </w:tc>
        <w:tc>
          <w:tcPr>
            <w:tcW w:w="88" w:type="dxa"/>
            <w:tcMar>
              <w:left w:w="0" w:type="dxa"/>
              <w:right w:w="0" w:type="dxa"/>
            </w:tcMar>
            <w:vAlign w:val="bottom"/>
          </w:tcPr>
          <w:p w14:paraId="5B3E8617" w14:textId="77777777" w:rsidR="007E7656" w:rsidRDefault="007E7656" w:rsidP="00312F84">
            <w:pPr>
              <w:keepNext/>
              <w:keepLines/>
              <w:spacing w:before="40" w:after="40"/>
              <w:rPr>
                <w:rFonts w:ascii="Arial" w:eastAsia="Arial" w:hAnsi="Arial" w:cs="Arial"/>
                <w:b/>
                <w:sz w:val="14"/>
              </w:rPr>
            </w:pPr>
            <w:r>
              <w:rPr>
                <w:rFonts w:ascii="Arial" w:eastAsia="Arial" w:hAnsi="Arial" w:cs="Arial"/>
                <w:b/>
                <w:color w:val="000000"/>
                <w:sz w:val="14"/>
              </w:rPr>
              <w:t>$</w:t>
            </w:r>
          </w:p>
        </w:tc>
        <w:tc>
          <w:tcPr>
            <w:tcW w:w="535" w:type="dxa"/>
            <w:tcMar>
              <w:left w:w="0" w:type="dxa"/>
              <w:right w:w="0" w:type="dxa"/>
            </w:tcMar>
            <w:vAlign w:val="bottom"/>
          </w:tcPr>
          <w:p w14:paraId="08AAF9D3" w14:textId="77777777" w:rsidR="007E7656" w:rsidRDefault="007E7656" w:rsidP="00312F84">
            <w:pPr>
              <w:keepNext/>
              <w:keepLines/>
              <w:spacing w:before="40" w:after="40"/>
              <w:jc w:val="right"/>
              <w:rPr>
                <w:rFonts w:ascii="Arial" w:eastAsia="Arial" w:hAnsi="Arial" w:cs="Arial"/>
                <w:b/>
                <w:sz w:val="14"/>
              </w:rPr>
            </w:pPr>
            <w:r>
              <w:rPr>
                <w:rFonts w:ascii="Arial" w:eastAsia="Arial" w:hAnsi="Arial" w:cs="Arial"/>
                <w:b/>
                <w:color w:val="000000"/>
                <w:sz w:val="14"/>
              </w:rPr>
              <w:t>0.30</w:t>
            </w:r>
          </w:p>
        </w:tc>
        <w:tc>
          <w:tcPr>
            <w:tcW w:w="57" w:type="dxa"/>
            <w:tcMar>
              <w:left w:w="0" w:type="dxa"/>
              <w:right w:w="0" w:type="dxa"/>
            </w:tcMar>
          </w:tcPr>
          <w:p w14:paraId="223EC27C" w14:textId="77777777" w:rsidR="007E7656" w:rsidRDefault="007E7656" w:rsidP="00312F84"/>
        </w:tc>
      </w:tr>
      <w:tr w:rsidR="007E7656" w14:paraId="3166EB44" w14:textId="77777777" w:rsidTr="007E7656">
        <w:trPr>
          <w:trHeight w:hRule="exact" w:val="260"/>
        </w:trPr>
        <w:tc>
          <w:tcPr>
            <w:tcW w:w="3260" w:type="dxa"/>
            <w:tcMar>
              <w:left w:w="60" w:type="dxa"/>
              <w:right w:w="40" w:type="dxa"/>
            </w:tcMar>
            <w:vAlign w:val="bottom"/>
          </w:tcPr>
          <w:p w14:paraId="13B39D91"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Adjustments:</w:t>
            </w:r>
          </w:p>
        </w:tc>
        <w:tc>
          <w:tcPr>
            <w:tcW w:w="80" w:type="dxa"/>
            <w:tcMar>
              <w:left w:w="60" w:type="dxa"/>
              <w:right w:w="0" w:type="dxa"/>
            </w:tcMar>
            <w:vAlign w:val="bottom"/>
          </w:tcPr>
          <w:p w14:paraId="6CB07AAC" w14:textId="77777777" w:rsidR="007E7656" w:rsidRDefault="007E7656" w:rsidP="00312F84">
            <w:pPr>
              <w:keepNext/>
              <w:keepLines/>
              <w:spacing w:before="40" w:after="40"/>
            </w:pPr>
          </w:p>
        </w:tc>
        <w:tc>
          <w:tcPr>
            <w:tcW w:w="783" w:type="dxa"/>
            <w:gridSpan w:val="2"/>
            <w:tcMar>
              <w:left w:w="60" w:type="dxa"/>
              <w:right w:w="0" w:type="dxa"/>
            </w:tcMar>
            <w:vAlign w:val="bottom"/>
          </w:tcPr>
          <w:p w14:paraId="495EFEC3" w14:textId="77777777" w:rsidR="007E7656" w:rsidRDefault="007E7656" w:rsidP="00312F84">
            <w:pPr>
              <w:keepNext/>
              <w:keepLines/>
              <w:spacing w:before="40" w:after="40"/>
            </w:pPr>
          </w:p>
        </w:tc>
        <w:tc>
          <w:tcPr>
            <w:tcW w:w="80" w:type="dxa"/>
            <w:tcMar>
              <w:left w:w="60" w:type="dxa"/>
              <w:right w:w="0" w:type="dxa"/>
            </w:tcMar>
            <w:vAlign w:val="bottom"/>
          </w:tcPr>
          <w:p w14:paraId="5C60566E" w14:textId="77777777" w:rsidR="007E7656" w:rsidRDefault="007E7656" w:rsidP="00312F84">
            <w:pPr>
              <w:keepNext/>
              <w:keepLines/>
              <w:spacing w:before="40" w:after="40"/>
            </w:pPr>
          </w:p>
        </w:tc>
        <w:tc>
          <w:tcPr>
            <w:tcW w:w="783" w:type="dxa"/>
            <w:gridSpan w:val="2"/>
            <w:tcMar>
              <w:left w:w="60" w:type="dxa"/>
              <w:right w:w="0" w:type="dxa"/>
            </w:tcMar>
            <w:vAlign w:val="bottom"/>
          </w:tcPr>
          <w:p w14:paraId="76E0A0C2" w14:textId="77777777" w:rsidR="007E7656" w:rsidRDefault="007E7656" w:rsidP="00312F84">
            <w:pPr>
              <w:keepNext/>
              <w:keepLines/>
              <w:spacing w:before="40" w:after="40"/>
            </w:pPr>
          </w:p>
        </w:tc>
        <w:tc>
          <w:tcPr>
            <w:tcW w:w="80" w:type="dxa"/>
            <w:tcMar>
              <w:left w:w="60" w:type="dxa"/>
              <w:right w:w="0" w:type="dxa"/>
            </w:tcMar>
            <w:vAlign w:val="bottom"/>
          </w:tcPr>
          <w:p w14:paraId="22843AC6" w14:textId="77777777" w:rsidR="007E7656" w:rsidRDefault="007E7656" w:rsidP="00312F84">
            <w:pPr>
              <w:keepNext/>
              <w:keepLines/>
              <w:spacing w:before="40" w:after="40"/>
            </w:pPr>
          </w:p>
        </w:tc>
        <w:tc>
          <w:tcPr>
            <w:tcW w:w="783" w:type="dxa"/>
            <w:gridSpan w:val="2"/>
            <w:tcMar>
              <w:left w:w="60" w:type="dxa"/>
              <w:right w:w="0" w:type="dxa"/>
            </w:tcMar>
            <w:vAlign w:val="bottom"/>
          </w:tcPr>
          <w:p w14:paraId="45CF80FE" w14:textId="77777777" w:rsidR="007E7656" w:rsidRDefault="007E7656" w:rsidP="00312F84">
            <w:pPr>
              <w:keepNext/>
              <w:keepLines/>
              <w:spacing w:before="40" w:after="40"/>
            </w:pPr>
          </w:p>
        </w:tc>
        <w:tc>
          <w:tcPr>
            <w:tcW w:w="80" w:type="dxa"/>
            <w:tcMar>
              <w:left w:w="60" w:type="dxa"/>
              <w:right w:w="0" w:type="dxa"/>
            </w:tcMar>
            <w:vAlign w:val="bottom"/>
          </w:tcPr>
          <w:p w14:paraId="4494598E" w14:textId="77777777" w:rsidR="007E7656" w:rsidRDefault="007E7656" w:rsidP="00312F84">
            <w:pPr>
              <w:keepNext/>
              <w:keepLines/>
              <w:spacing w:before="40" w:after="40"/>
            </w:pPr>
          </w:p>
        </w:tc>
        <w:tc>
          <w:tcPr>
            <w:tcW w:w="783" w:type="dxa"/>
            <w:gridSpan w:val="2"/>
            <w:tcMar>
              <w:left w:w="60" w:type="dxa"/>
              <w:right w:w="0" w:type="dxa"/>
            </w:tcMar>
            <w:vAlign w:val="bottom"/>
          </w:tcPr>
          <w:p w14:paraId="0A3C68CB" w14:textId="77777777" w:rsidR="007E7656" w:rsidRDefault="007E7656" w:rsidP="00312F84">
            <w:pPr>
              <w:keepNext/>
              <w:keepLines/>
              <w:spacing w:before="40" w:after="40"/>
            </w:pPr>
          </w:p>
        </w:tc>
        <w:tc>
          <w:tcPr>
            <w:tcW w:w="80" w:type="dxa"/>
            <w:tcMar>
              <w:left w:w="60" w:type="dxa"/>
              <w:right w:w="0" w:type="dxa"/>
            </w:tcMar>
            <w:vAlign w:val="bottom"/>
          </w:tcPr>
          <w:p w14:paraId="4A8CDCCE" w14:textId="77777777" w:rsidR="007E7656" w:rsidRDefault="007E7656" w:rsidP="00312F84">
            <w:pPr>
              <w:keepNext/>
              <w:keepLines/>
              <w:spacing w:before="40" w:after="40"/>
            </w:pPr>
          </w:p>
        </w:tc>
        <w:tc>
          <w:tcPr>
            <w:tcW w:w="783" w:type="dxa"/>
            <w:gridSpan w:val="2"/>
            <w:tcMar>
              <w:left w:w="60" w:type="dxa"/>
              <w:right w:w="0" w:type="dxa"/>
            </w:tcMar>
            <w:vAlign w:val="bottom"/>
          </w:tcPr>
          <w:p w14:paraId="18FFB95C" w14:textId="77777777" w:rsidR="007E7656" w:rsidRDefault="007E7656" w:rsidP="00312F84">
            <w:pPr>
              <w:keepNext/>
              <w:keepLines/>
              <w:spacing w:before="40" w:after="40"/>
            </w:pPr>
          </w:p>
        </w:tc>
        <w:tc>
          <w:tcPr>
            <w:tcW w:w="80" w:type="dxa"/>
            <w:tcMar>
              <w:left w:w="60" w:type="dxa"/>
              <w:right w:w="0" w:type="dxa"/>
            </w:tcMar>
            <w:vAlign w:val="bottom"/>
          </w:tcPr>
          <w:p w14:paraId="2576AED4" w14:textId="77777777" w:rsidR="007E7656" w:rsidRDefault="007E7656" w:rsidP="00312F84">
            <w:pPr>
              <w:keepNext/>
              <w:keepLines/>
              <w:spacing w:before="40" w:after="40"/>
            </w:pPr>
          </w:p>
        </w:tc>
        <w:tc>
          <w:tcPr>
            <w:tcW w:w="640" w:type="dxa"/>
            <w:tcMar>
              <w:left w:w="60" w:type="dxa"/>
              <w:right w:w="60" w:type="dxa"/>
            </w:tcMar>
            <w:vAlign w:val="bottom"/>
          </w:tcPr>
          <w:p w14:paraId="551DBB87" w14:textId="77777777" w:rsidR="007E7656" w:rsidRDefault="007E7656" w:rsidP="00312F84">
            <w:pPr>
              <w:keepNext/>
              <w:keepLines/>
              <w:spacing w:before="40" w:after="40"/>
            </w:pPr>
          </w:p>
        </w:tc>
        <w:tc>
          <w:tcPr>
            <w:tcW w:w="80" w:type="dxa"/>
            <w:tcMar>
              <w:left w:w="60" w:type="dxa"/>
              <w:right w:w="0" w:type="dxa"/>
            </w:tcMar>
            <w:vAlign w:val="bottom"/>
          </w:tcPr>
          <w:p w14:paraId="70B012F1" w14:textId="77777777" w:rsidR="007E7656" w:rsidRDefault="007E7656" w:rsidP="00312F84">
            <w:pPr>
              <w:keepNext/>
              <w:keepLines/>
              <w:spacing w:before="40" w:after="40"/>
            </w:pPr>
          </w:p>
        </w:tc>
        <w:tc>
          <w:tcPr>
            <w:tcW w:w="783" w:type="dxa"/>
            <w:gridSpan w:val="2"/>
            <w:tcMar>
              <w:left w:w="60" w:type="dxa"/>
              <w:right w:w="0" w:type="dxa"/>
            </w:tcMar>
            <w:vAlign w:val="bottom"/>
          </w:tcPr>
          <w:p w14:paraId="2DD38CC8" w14:textId="77777777" w:rsidR="007E7656" w:rsidRDefault="007E7656" w:rsidP="00312F84">
            <w:pPr>
              <w:keepNext/>
              <w:keepLines/>
              <w:spacing w:before="40" w:after="40"/>
            </w:pPr>
          </w:p>
        </w:tc>
        <w:tc>
          <w:tcPr>
            <w:tcW w:w="80" w:type="dxa"/>
            <w:tcMar>
              <w:left w:w="60" w:type="dxa"/>
              <w:right w:w="0" w:type="dxa"/>
            </w:tcMar>
            <w:vAlign w:val="bottom"/>
          </w:tcPr>
          <w:p w14:paraId="27CC976B" w14:textId="77777777" w:rsidR="007E7656" w:rsidRDefault="007E7656" w:rsidP="00312F84">
            <w:pPr>
              <w:keepNext/>
              <w:keepLines/>
              <w:spacing w:before="40" w:after="40"/>
            </w:pPr>
          </w:p>
        </w:tc>
        <w:tc>
          <w:tcPr>
            <w:tcW w:w="0" w:type="dxa"/>
            <w:gridSpan w:val="3"/>
            <w:tcMar>
              <w:left w:w="60" w:type="dxa"/>
              <w:right w:w="0" w:type="dxa"/>
            </w:tcMar>
            <w:vAlign w:val="bottom"/>
          </w:tcPr>
          <w:p w14:paraId="6ED9B7A3" w14:textId="77777777" w:rsidR="007E7656" w:rsidRDefault="007E7656" w:rsidP="00312F84">
            <w:pPr>
              <w:keepNext/>
              <w:keepLines/>
              <w:spacing w:before="40" w:after="40"/>
            </w:pPr>
          </w:p>
        </w:tc>
      </w:tr>
      <w:tr w:rsidR="007E7656" w14:paraId="477287EA" w14:textId="77777777" w:rsidTr="007E7656">
        <w:trPr>
          <w:trHeight w:hRule="exact" w:val="400"/>
        </w:trPr>
        <w:tc>
          <w:tcPr>
            <w:tcW w:w="3260" w:type="dxa"/>
            <w:tcMar>
              <w:left w:w="300" w:type="dxa"/>
              <w:right w:w="40" w:type="dxa"/>
            </w:tcMar>
            <w:vAlign w:val="bottom"/>
          </w:tcPr>
          <w:p w14:paraId="545C5DB4"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Business integration, acquisition and restructuring related items (including litigation)</w:t>
            </w:r>
          </w:p>
        </w:tc>
        <w:tc>
          <w:tcPr>
            <w:tcW w:w="80" w:type="dxa"/>
            <w:tcMar>
              <w:left w:w="0" w:type="dxa"/>
              <w:right w:w="0" w:type="dxa"/>
            </w:tcMar>
            <w:vAlign w:val="bottom"/>
          </w:tcPr>
          <w:p w14:paraId="76839F99" w14:textId="77777777" w:rsidR="007E7656" w:rsidRDefault="007E7656" w:rsidP="00312F84">
            <w:pPr>
              <w:keepNext/>
              <w:keepLines/>
              <w:spacing w:before="40" w:after="40"/>
            </w:pPr>
          </w:p>
        </w:tc>
        <w:tc>
          <w:tcPr>
            <w:tcW w:w="783" w:type="dxa"/>
            <w:tcMar>
              <w:left w:w="0" w:type="dxa"/>
              <w:right w:w="0" w:type="dxa"/>
            </w:tcMar>
            <w:vAlign w:val="bottom"/>
          </w:tcPr>
          <w:p w14:paraId="328EAF4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0.1</w:t>
            </w:r>
          </w:p>
        </w:tc>
        <w:tc>
          <w:tcPr>
            <w:tcW w:w="57" w:type="dxa"/>
            <w:tcMar>
              <w:left w:w="0" w:type="dxa"/>
              <w:right w:w="0" w:type="dxa"/>
            </w:tcMar>
          </w:tcPr>
          <w:p w14:paraId="26E7635B" w14:textId="77777777" w:rsidR="007E7656" w:rsidRDefault="007E7656" w:rsidP="00312F84"/>
        </w:tc>
        <w:tc>
          <w:tcPr>
            <w:tcW w:w="80" w:type="dxa"/>
            <w:tcMar>
              <w:left w:w="0" w:type="dxa"/>
              <w:right w:w="60" w:type="dxa"/>
            </w:tcMar>
            <w:vAlign w:val="bottom"/>
          </w:tcPr>
          <w:p w14:paraId="15DB59C0" w14:textId="77777777" w:rsidR="007E7656" w:rsidRDefault="007E7656" w:rsidP="00312F84">
            <w:pPr>
              <w:keepNext/>
              <w:keepLines/>
              <w:spacing w:before="40" w:after="40"/>
            </w:pPr>
          </w:p>
        </w:tc>
        <w:tc>
          <w:tcPr>
            <w:tcW w:w="783" w:type="dxa"/>
            <w:tcMar>
              <w:left w:w="0" w:type="dxa"/>
              <w:right w:w="0" w:type="dxa"/>
            </w:tcMar>
            <w:vAlign w:val="bottom"/>
          </w:tcPr>
          <w:p w14:paraId="1B0EDD5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0.6</w:t>
            </w:r>
          </w:p>
        </w:tc>
        <w:tc>
          <w:tcPr>
            <w:tcW w:w="57" w:type="dxa"/>
            <w:tcMar>
              <w:left w:w="0" w:type="dxa"/>
              <w:right w:w="0" w:type="dxa"/>
            </w:tcMar>
          </w:tcPr>
          <w:p w14:paraId="244EFE9F" w14:textId="77777777" w:rsidR="007E7656" w:rsidRDefault="007E7656" w:rsidP="00312F84"/>
        </w:tc>
        <w:tc>
          <w:tcPr>
            <w:tcW w:w="80" w:type="dxa"/>
            <w:tcMar>
              <w:left w:w="0" w:type="dxa"/>
              <w:right w:w="60" w:type="dxa"/>
            </w:tcMar>
            <w:vAlign w:val="bottom"/>
          </w:tcPr>
          <w:p w14:paraId="058AD855" w14:textId="77777777" w:rsidR="007E7656" w:rsidRDefault="007E7656" w:rsidP="00312F84">
            <w:pPr>
              <w:keepNext/>
              <w:keepLines/>
              <w:spacing w:before="40" w:after="40"/>
            </w:pPr>
          </w:p>
        </w:tc>
        <w:tc>
          <w:tcPr>
            <w:tcW w:w="783" w:type="dxa"/>
            <w:tcMar>
              <w:left w:w="0" w:type="dxa"/>
              <w:right w:w="0" w:type="dxa"/>
            </w:tcMar>
            <w:vAlign w:val="bottom"/>
          </w:tcPr>
          <w:p w14:paraId="3A99DBB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26.4</w:t>
            </w:r>
          </w:p>
        </w:tc>
        <w:tc>
          <w:tcPr>
            <w:tcW w:w="57" w:type="dxa"/>
            <w:tcMar>
              <w:left w:w="0" w:type="dxa"/>
              <w:right w:w="0" w:type="dxa"/>
            </w:tcMar>
          </w:tcPr>
          <w:p w14:paraId="3B8DF296" w14:textId="77777777" w:rsidR="007E7656" w:rsidRDefault="007E7656" w:rsidP="00312F84"/>
        </w:tc>
        <w:tc>
          <w:tcPr>
            <w:tcW w:w="80" w:type="dxa"/>
            <w:tcMar>
              <w:left w:w="0" w:type="dxa"/>
              <w:right w:w="60" w:type="dxa"/>
            </w:tcMar>
            <w:vAlign w:val="bottom"/>
          </w:tcPr>
          <w:p w14:paraId="4FA043CD" w14:textId="77777777" w:rsidR="007E7656" w:rsidRDefault="007E7656" w:rsidP="00312F84">
            <w:pPr>
              <w:keepNext/>
              <w:keepLines/>
              <w:spacing w:before="40" w:after="40"/>
            </w:pPr>
          </w:p>
        </w:tc>
        <w:tc>
          <w:tcPr>
            <w:tcW w:w="783" w:type="dxa"/>
            <w:tcMar>
              <w:left w:w="0" w:type="dxa"/>
              <w:right w:w="0" w:type="dxa"/>
            </w:tcMar>
            <w:vAlign w:val="bottom"/>
          </w:tcPr>
          <w:p w14:paraId="5255EB1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26.4</w:t>
            </w:r>
          </w:p>
        </w:tc>
        <w:tc>
          <w:tcPr>
            <w:tcW w:w="57" w:type="dxa"/>
            <w:tcMar>
              <w:left w:w="0" w:type="dxa"/>
              <w:right w:w="0" w:type="dxa"/>
            </w:tcMar>
          </w:tcPr>
          <w:p w14:paraId="452970A1" w14:textId="77777777" w:rsidR="007E7656" w:rsidRDefault="007E7656" w:rsidP="00312F84"/>
        </w:tc>
        <w:tc>
          <w:tcPr>
            <w:tcW w:w="80" w:type="dxa"/>
            <w:tcMar>
              <w:left w:w="0" w:type="dxa"/>
              <w:right w:w="60" w:type="dxa"/>
            </w:tcMar>
            <w:vAlign w:val="bottom"/>
          </w:tcPr>
          <w:p w14:paraId="61D2BA0F" w14:textId="77777777" w:rsidR="007E7656" w:rsidRDefault="007E7656" w:rsidP="00312F84">
            <w:pPr>
              <w:keepNext/>
              <w:keepLines/>
              <w:spacing w:before="40" w:after="40"/>
            </w:pPr>
          </w:p>
        </w:tc>
        <w:tc>
          <w:tcPr>
            <w:tcW w:w="783" w:type="dxa"/>
            <w:tcMar>
              <w:left w:w="0" w:type="dxa"/>
              <w:right w:w="0" w:type="dxa"/>
            </w:tcMar>
            <w:vAlign w:val="bottom"/>
          </w:tcPr>
          <w:p w14:paraId="6C38CF0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(6.9</w:t>
            </w:r>
          </w:p>
        </w:tc>
        <w:tc>
          <w:tcPr>
            <w:tcW w:w="57" w:type="dxa"/>
            <w:tcMar>
              <w:left w:w="0" w:type="dxa"/>
              <w:right w:w="0" w:type="dxa"/>
            </w:tcMar>
            <w:vAlign w:val="bottom"/>
          </w:tcPr>
          <w:p w14:paraId="5A6B29DD"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5C31F9E5" w14:textId="77777777" w:rsidR="007E7656" w:rsidRDefault="007E7656" w:rsidP="00312F84">
            <w:pPr>
              <w:keepNext/>
              <w:keepLines/>
              <w:spacing w:before="40" w:after="40"/>
            </w:pPr>
          </w:p>
        </w:tc>
        <w:tc>
          <w:tcPr>
            <w:tcW w:w="640" w:type="dxa"/>
            <w:tcMar>
              <w:left w:w="60" w:type="dxa"/>
              <w:right w:w="60" w:type="dxa"/>
            </w:tcMar>
            <w:vAlign w:val="bottom"/>
          </w:tcPr>
          <w:p w14:paraId="044CB4A4" w14:textId="77777777" w:rsidR="007E7656" w:rsidRDefault="007E7656" w:rsidP="00312F84">
            <w:pPr>
              <w:keepNext/>
              <w:keepLines/>
              <w:spacing w:before="40" w:after="40"/>
            </w:pPr>
          </w:p>
        </w:tc>
        <w:tc>
          <w:tcPr>
            <w:tcW w:w="80" w:type="dxa"/>
            <w:tcMar>
              <w:left w:w="0" w:type="dxa"/>
              <w:right w:w="60" w:type="dxa"/>
            </w:tcMar>
            <w:vAlign w:val="bottom"/>
          </w:tcPr>
          <w:p w14:paraId="0DBAA104" w14:textId="77777777" w:rsidR="007E7656" w:rsidRDefault="007E7656" w:rsidP="00312F84">
            <w:pPr>
              <w:keepNext/>
              <w:keepLines/>
              <w:spacing w:before="40" w:after="40"/>
            </w:pPr>
          </w:p>
        </w:tc>
        <w:tc>
          <w:tcPr>
            <w:tcW w:w="783" w:type="dxa"/>
            <w:tcMar>
              <w:left w:w="0" w:type="dxa"/>
              <w:right w:w="0" w:type="dxa"/>
            </w:tcMar>
            <w:vAlign w:val="bottom"/>
          </w:tcPr>
          <w:p w14:paraId="4BBFDB1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19.5</w:t>
            </w:r>
          </w:p>
        </w:tc>
        <w:tc>
          <w:tcPr>
            <w:tcW w:w="57" w:type="dxa"/>
            <w:tcMar>
              <w:left w:w="0" w:type="dxa"/>
              <w:right w:w="0" w:type="dxa"/>
            </w:tcMar>
          </w:tcPr>
          <w:p w14:paraId="1A44C385" w14:textId="77777777" w:rsidR="007E7656" w:rsidRDefault="007E7656" w:rsidP="00312F84"/>
        </w:tc>
        <w:tc>
          <w:tcPr>
            <w:tcW w:w="80" w:type="dxa"/>
            <w:tcMar>
              <w:left w:w="0" w:type="dxa"/>
              <w:right w:w="60" w:type="dxa"/>
            </w:tcMar>
            <w:vAlign w:val="bottom"/>
          </w:tcPr>
          <w:p w14:paraId="5B0D87B4" w14:textId="77777777" w:rsidR="007E7656" w:rsidRDefault="007E7656" w:rsidP="00312F84">
            <w:pPr>
              <w:keepNext/>
              <w:keepLines/>
              <w:spacing w:before="40" w:after="40"/>
            </w:pPr>
          </w:p>
        </w:tc>
        <w:tc>
          <w:tcPr>
            <w:tcW w:w="623" w:type="dxa"/>
            <w:gridSpan w:val="2"/>
            <w:tcMar>
              <w:left w:w="0" w:type="dxa"/>
              <w:right w:w="0" w:type="dxa"/>
            </w:tcMar>
            <w:vAlign w:val="bottom"/>
          </w:tcPr>
          <w:p w14:paraId="311BDBA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0.08</w:t>
            </w:r>
          </w:p>
        </w:tc>
        <w:tc>
          <w:tcPr>
            <w:tcW w:w="57" w:type="dxa"/>
            <w:tcMar>
              <w:left w:w="0" w:type="dxa"/>
              <w:right w:w="0" w:type="dxa"/>
            </w:tcMar>
          </w:tcPr>
          <w:p w14:paraId="14C79381" w14:textId="77777777" w:rsidR="007E7656" w:rsidRDefault="007E7656" w:rsidP="00312F84"/>
        </w:tc>
      </w:tr>
      <w:tr w:rsidR="007E7656" w14:paraId="3D516721" w14:textId="77777777" w:rsidTr="007E7656">
        <w:trPr>
          <w:trHeight w:hRule="exact" w:val="260"/>
        </w:trPr>
        <w:tc>
          <w:tcPr>
            <w:tcW w:w="3260" w:type="dxa"/>
            <w:tcMar>
              <w:left w:w="300" w:type="dxa"/>
              <w:right w:w="40" w:type="dxa"/>
            </w:tcMar>
            <w:vAlign w:val="bottom"/>
          </w:tcPr>
          <w:p w14:paraId="0FD503DD"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Purchased intangible amortization</w:t>
            </w:r>
          </w:p>
        </w:tc>
        <w:tc>
          <w:tcPr>
            <w:tcW w:w="80" w:type="dxa"/>
            <w:tcMar>
              <w:left w:w="0" w:type="dxa"/>
              <w:right w:w="0" w:type="dxa"/>
            </w:tcMar>
            <w:vAlign w:val="bottom"/>
          </w:tcPr>
          <w:p w14:paraId="7A01DF51" w14:textId="77777777" w:rsidR="007E7656" w:rsidRDefault="007E7656" w:rsidP="00312F84">
            <w:pPr>
              <w:keepNext/>
              <w:keepLines/>
              <w:spacing w:before="40" w:after="40"/>
            </w:pPr>
          </w:p>
        </w:tc>
        <w:tc>
          <w:tcPr>
            <w:tcW w:w="783" w:type="dxa"/>
            <w:gridSpan w:val="2"/>
            <w:tcMar>
              <w:left w:w="0" w:type="dxa"/>
              <w:right w:w="60" w:type="dxa"/>
            </w:tcMar>
            <w:vAlign w:val="bottom"/>
          </w:tcPr>
          <w:p w14:paraId="34E122C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C0126C2" w14:textId="77777777" w:rsidR="007E7656" w:rsidRDefault="007E7656" w:rsidP="00312F84">
            <w:pPr>
              <w:keepNext/>
              <w:keepLines/>
              <w:spacing w:before="40" w:after="40"/>
            </w:pPr>
          </w:p>
        </w:tc>
        <w:tc>
          <w:tcPr>
            <w:tcW w:w="783" w:type="dxa"/>
            <w:tcMar>
              <w:left w:w="0" w:type="dxa"/>
              <w:right w:w="0" w:type="dxa"/>
            </w:tcMar>
            <w:vAlign w:val="bottom"/>
          </w:tcPr>
          <w:p w14:paraId="1338A5D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30.4</w:t>
            </w:r>
          </w:p>
        </w:tc>
        <w:tc>
          <w:tcPr>
            <w:tcW w:w="57" w:type="dxa"/>
            <w:tcMar>
              <w:left w:w="0" w:type="dxa"/>
              <w:right w:w="0" w:type="dxa"/>
            </w:tcMar>
          </w:tcPr>
          <w:p w14:paraId="7F3FCA66" w14:textId="77777777" w:rsidR="007E7656" w:rsidRDefault="007E7656" w:rsidP="00312F84"/>
        </w:tc>
        <w:tc>
          <w:tcPr>
            <w:tcW w:w="80" w:type="dxa"/>
            <w:tcMar>
              <w:left w:w="0" w:type="dxa"/>
              <w:right w:w="60" w:type="dxa"/>
            </w:tcMar>
            <w:vAlign w:val="bottom"/>
          </w:tcPr>
          <w:p w14:paraId="4D44B752" w14:textId="77777777" w:rsidR="007E7656" w:rsidRDefault="007E7656" w:rsidP="00312F84">
            <w:pPr>
              <w:keepNext/>
              <w:keepLines/>
              <w:spacing w:before="40" w:after="40"/>
            </w:pPr>
          </w:p>
        </w:tc>
        <w:tc>
          <w:tcPr>
            <w:tcW w:w="783" w:type="dxa"/>
            <w:tcMar>
              <w:left w:w="0" w:type="dxa"/>
              <w:right w:w="0" w:type="dxa"/>
            </w:tcMar>
            <w:vAlign w:val="bottom"/>
          </w:tcPr>
          <w:p w14:paraId="60399FD3"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50.6</w:t>
            </w:r>
          </w:p>
        </w:tc>
        <w:tc>
          <w:tcPr>
            <w:tcW w:w="57" w:type="dxa"/>
            <w:tcMar>
              <w:left w:w="0" w:type="dxa"/>
              <w:right w:w="0" w:type="dxa"/>
            </w:tcMar>
          </w:tcPr>
          <w:p w14:paraId="1DB55618" w14:textId="77777777" w:rsidR="007E7656" w:rsidRDefault="007E7656" w:rsidP="00312F84"/>
        </w:tc>
        <w:tc>
          <w:tcPr>
            <w:tcW w:w="80" w:type="dxa"/>
            <w:tcMar>
              <w:left w:w="0" w:type="dxa"/>
              <w:right w:w="60" w:type="dxa"/>
            </w:tcMar>
            <w:vAlign w:val="bottom"/>
          </w:tcPr>
          <w:p w14:paraId="50B49489" w14:textId="77777777" w:rsidR="007E7656" w:rsidRDefault="007E7656" w:rsidP="00312F84">
            <w:pPr>
              <w:keepNext/>
              <w:keepLines/>
              <w:spacing w:before="40" w:after="40"/>
            </w:pPr>
          </w:p>
        </w:tc>
        <w:tc>
          <w:tcPr>
            <w:tcW w:w="783" w:type="dxa"/>
            <w:tcMar>
              <w:left w:w="0" w:type="dxa"/>
              <w:right w:w="0" w:type="dxa"/>
            </w:tcMar>
            <w:vAlign w:val="bottom"/>
          </w:tcPr>
          <w:p w14:paraId="3AB31FF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50.6</w:t>
            </w:r>
          </w:p>
        </w:tc>
        <w:tc>
          <w:tcPr>
            <w:tcW w:w="57" w:type="dxa"/>
            <w:tcMar>
              <w:left w:w="0" w:type="dxa"/>
              <w:right w:w="0" w:type="dxa"/>
            </w:tcMar>
          </w:tcPr>
          <w:p w14:paraId="04DF0D0C" w14:textId="77777777" w:rsidR="007E7656" w:rsidRDefault="007E7656" w:rsidP="00312F84"/>
        </w:tc>
        <w:tc>
          <w:tcPr>
            <w:tcW w:w="80" w:type="dxa"/>
            <w:tcMar>
              <w:left w:w="0" w:type="dxa"/>
              <w:right w:w="60" w:type="dxa"/>
            </w:tcMar>
            <w:vAlign w:val="bottom"/>
          </w:tcPr>
          <w:p w14:paraId="7C043A8E" w14:textId="77777777" w:rsidR="007E7656" w:rsidRDefault="007E7656" w:rsidP="00312F84">
            <w:pPr>
              <w:keepNext/>
              <w:keepLines/>
              <w:spacing w:before="40" w:after="40"/>
            </w:pPr>
          </w:p>
        </w:tc>
        <w:tc>
          <w:tcPr>
            <w:tcW w:w="783" w:type="dxa"/>
            <w:tcMar>
              <w:left w:w="0" w:type="dxa"/>
              <w:right w:w="0" w:type="dxa"/>
            </w:tcMar>
            <w:vAlign w:val="bottom"/>
          </w:tcPr>
          <w:p w14:paraId="4947587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(13.1</w:t>
            </w:r>
          </w:p>
        </w:tc>
        <w:tc>
          <w:tcPr>
            <w:tcW w:w="57" w:type="dxa"/>
            <w:tcMar>
              <w:left w:w="0" w:type="dxa"/>
              <w:right w:w="0" w:type="dxa"/>
            </w:tcMar>
            <w:vAlign w:val="bottom"/>
          </w:tcPr>
          <w:p w14:paraId="5118AE75"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AE99C51" w14:textId="77777777" w:rsidR="007E7656" w:rsidRDefault="007E7656" w:rsidP="00312F84">
            <w:pPr>
              <w:keepNext/>
              <w:keepLines/>
              <w:spacing w:before="40" w:after="40"/>
            </w:pPr>
          </w:p>
        </w:tc>
        <w:tc>
          <w:tcPr>
            <w:tcW w:w="640" w:type="dxa"/>
            <w:tcMar>
              <w:left w:w="60" w:type="dxa"/>
              <w:right w:w="60" w:type="dxa"/>
            </w:tcMar>
            <w:vAlign w:val="bottom"/>
          </w:tcPr>
          <w:p w14:paraId="2F1E92CA" w14:textId="77777777" w:rsidR="007E7656" w:rsidRDefault="007E7656" w:rsidP="00312F84">
            <w:pPr>
              <w:keepNext/>
              <w:keepLines/>
              <w:spacing w:before="40" w:after="40"/>
            </w:pPr>
          </w:p>
        </w:tc>
        <w:tc>
          <w:tcPr>
            <w:tcW w:w="80" w:type="dxa"/>
            <w:tcMar>
              <w:left w:w="0" w:type="dxa"/>
              <w:right w:w="60" w:type="dxa"/>
            </w:tcMar>
            <w:vAlign w:val="bottom"/>
          </w:tcPr>
          <w:p w14:paraId="42F20E2C" w14:textId="77777777" w:rsidR="007E7656" w:rsidRDefault="007E7656" w:rsidP="00312F84">
            <w:pPr>
              <w:keepNext/>
              <w:keepLines/>
              <w:spacing w:before="40" w:after="40"/>
            </w:pPr>
          </w:p>
        </w:tc>
        <w:tc>
          <w:tcPr>
            <w:tcW w:w="783" w:type="dxa"/>
            <w:tcMar>
              <w:left w:w="0" w:type="dxa"/>
              <w:right w:w="0" w:type="dxa"/>
            </w:tcMar>
            <w:vAlign w:val="bottom"/>
          </w:tcPr>
          <w:p w14:paraId="5B16901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37.6</w:t>
            </w:r>
          </w:p>
        </w:tc>
        <w:tc>
          <w:tcPr>
            <w:tcW w:w="57" w:type="dxa"/>
            <w:tcMar>
              <w:left w:w="0" w:type="dxa"/>
              <w:right w:w="0" w:type="dxa"/>
            </w:tcMar>
          </w:tcPr>
          <w:p w14:paraId="0BA1AD1A" w14:textId="77777777" w:rsidR="007E7656" w:rsidRDefault="007E7656" w:rsidP="00312F84"/>
        </w:tc>
        <w:tc>
          <w:tcPr>
            <w:tcW w:w="80" w:type="dxa"/>
            <w:tcMar>
              <w:left w:w="0" w:type="dxa"/>
              <w:right w:w="60" w:type="dxa"/>
            </w:tcMar>
            <w:vAlign w:val="bottom"/>
          </w:tcPr>
          <w:p w14:paraId="547A7884" w14:textId="77777777" w:rsidR="007E7656" w:rsidRDefault="007E7656" w:rsidP="00312F84">
            <w:pPr>
              <w:keepNext/>
              <w:keepLines/>
              <w:spacing w:before="40" w:after="40"/>
            </w:pPr>
          </w:p>
        </w:tc>
        <w:tc>
          <w:tcPr>
            <w:tcW w:w="623" w:type="dxa"/>
            <w:gridSpan w:val="2"/>
            <w:tcMar>
              <w:left w:w="0" w:type="dxa"/>
              <w:right w:w="0" w:type="dxa"/>
            </w:tcMar>
            <w:vAlign w:val="bottom"/>
          </w:tcPr>
          <w:p w14:paraId="796E310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0.16</w:t>
            </w:r>
          </w:p>
        </w:tc>
        <w:tc>
          <w:tcPr>
            <w:tcW w:w="57" w:type="dxa"/>
            <w:tcMar>
              <w:left w:w="0" w:type="dxa"/>
              <w:right w:w="0" w:type="dxa"/>
            </w:tcMar>
          </w:tcPr>
          <w:p w14:paraId="135BA18D" w14:textId="77777777" w:rsidR="007E7656" w:rsidRDefault="007E7656" w:rsidP="00312F84"/>
        </w:tc>
      </w:tr>
      <w:tr w:rsidR="007E7656" w14:paraId="07CD50AA" w14:textId="77777777" w:rsidTr="007E7656">
        <w:trPr>
          <w:trHeight w:hRule="exact" w:val="260"/>
        </w:trPr>
        <w:tc>
          <w:tcPr>
            <w:tcW w:w="3260" w:type="dxa"/>
            <w:tcMar>
              <w:left w:w="300" w:type="dxa"/>
              <w:right w:w="40" w:type="dxa"/>
            </w:tcMar>
            <w:vAlign w:val="bottom"/>
          </w:tcPr>
          <w:p w14:paraId="76EE2CB5"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Non-cash interest expense charges</w:t>
            </w:r>
          </w:p>
        </w:tc>
        <w:tc>
          <w:tcPr>
            <w:tcW w:w="80" w:type="dxa"/>
            <w:tcMar>
              <w:left w:w="0" w:type="dxa"/>
              <w:right w:w="0" w:type="dxa"/>
            </w:tcMar>
            <w:vAlign w:val="bottom"/>
          </w:tcPr>
          <w:p w14:paraId="2A362626" w14:textId="77777777" w:rsidR="007E7656" w:rsidRDefault="007E7656" w:rsidP="00312F84">
            <w:pPr>
              <w:keepNext/>
              <w:keepLines/>
              <w:spacing w:before="40" w:after="40"/>
            </w:pPr>
          </w:p>
        </w:tc>
        <w:tc>
          <w:tcPr>
            <w:tcW w:w="783" w:type="dxa"/>
            <w:gridSpan w:val="2"/>
            <w:tcMar>
              <w:left w:w="0" w:type="dxa"/>
              <w:right w:w="60" w:type="dxa"/>
            </w:tcMar>
            <w:vAlign w:val="bottom"/>
          </w:tcPr>
          <w:p w14:paraId="7A62462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272A823D" w14:textId="77777777" w:rsidR="007E7656" w:rsidRDefault="007E7656" w:rsidP="00312F84">
            <w:pPr>
              <w:keepNext/>
              <w:keepLines/>
              <w:spacing w:before="40" w:after="40"/>
            </w:pPr>
          </w:p>
        </w:tc>
        <w:tc>
          <w:tcPr>
            <w:tcW w:w="783" w:type="dxa"/>
            <w:gridSpan w:val="2"/>
            <w:tcMar>
              <w:left w:w="0" w:type="dxa"/>
              <w:right w:w="60" w:type="dxa"/>
            </w:tcMar>
            <w:vAlign w:val="bottom"/>
          </w:tcPr>
          <w:p w14:paraId="24D3350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55A52ED8" w14:textId="77777777" w:rsidR="007E7656" w:rsidRDefault="007E7656" w:rsidP="00312F84">
            <w:pPr>
              <w:keepNext/>
              <w:keepLines/>
              <w:spacing w:before="40" w:after="40"/>
            </w:pPr>
          </w:p>
        </w:tc>
        <w:tc>
          <w:tcPr>
            <w:tcW w:w="783" w:type="dxa"/>
            <w:gridSpan w:val="2"/>
            <w:tcMar>
              <w:left w:w="0" w:type="dxa"/>
              <w:right w:w="60" w:type="dxa"/>
            </w:tcMar>
            <w:vAlign w:val="bottom"/>
          </w:tcPr>
          <w:p w14:paraId="3D02F93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3620CB7E" w14:textId="77777777" w:rsidR="007E7656" w:rsidRDefault="007E7656" w:rsidP="00312F84">
            <w:pPr>
              <w:keepNext/>
              <w:keepLines/>
              <w:spacing w:before="40" w:after="40"/>
            </w:pPr>
          </w:p>
        </w:tc>
        <w:tc>
          <w:tcPr>
            <w:tcW w:w="783" w:type="dxa"/>
            <w:tcMar>
              <w:left w:w="0" w:type="dxa"/>
              <w:right w:w="0" w:type="dxa"/>
            </w:tcMar>
            <w:vAlign w:val="bottom"/>
          </w:tcPr>
          <w:p w14:paraId="232B5FF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16.6</w:t>
            </w:r>
          </w:p>
        </w:tc>
        <w:tc>
          <w:tcPr>
            <w:tcW w:w="57" w:type="dxa"/>
            <w:tcMar>
              <w:left w:w="0" w:type="dxa"/>
              <w:right w:w="0" w:type="dxa"/>
            </w:tcMar>
          </w:tcPr>
          <w:p w14:paraId="520C58BF" w14:textId="77777777" w:rsidR="007E7656" w:rsidRDefault="007E7656" w:rsidP="00312F84"/>
        </w:tc>
        <w:tc>
          <w:tcPr>
            <w:tcW w:w="80" w:type="dxa"/>
            <w:tcMar>
              <w:left w:w="0" w:type="dxa"/>
              <w:right w:w="60" w:type="dxa"/>
            </w:tcMar>
            <w:vAlign w:val="bottom"/>
          </w:tcPr>
          <w:p w14:paraId="3EB57A11" w14:textId="77777777" w:rsidR="007E7656" w:rsidRDefault="007E7656" w:rsidP="00312F84">
            <w:pPr>
              <w:keepNext/>
              <w:keepLines/>
              <w:spacing w:before="40" w:after="40"/>
            </w:pPr>
          </w:p>
        </w:tc>
        <w:tc>
          <w:tcPr>
            <w:tcW w:w="783" w:type="dxa"/>
            <w:gridSpan w:val="2"/>
            <w:tcMar>
              <w:left w:w="0" w:type="dxa"/>
              <w:right w:w="60" w:type="dxa"/>
            </w:tcMar>
            <w:vAlign w:val="bottom"/>
          </w:tcPr>
          <w:p w14:paraId="5318C07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779D1482" w14:textId="77777777" w:rsidR="007E7656" w:rsidRDefault="007E7656" w:rsidP="00312F84">
            <w:pPr>
              <w:keepNext/>
              <w:keepLines/>
              <w:spacing w:before="40" w:after="40"/>
            </w:pPr>
          </w:p>
        </w:tc>
        <w:tc>
          <w:tcPr>
            <w:tcW w:w="640" w:type="dxa"/>
            <w:tcMar>
              <w:left w:w="60" w:type="dxa"/>
              <w:right w:w="60" w:type="dxa"/>
            </w:tcMar>
            <w:vAlign w:val="bottom"/>
          </w:tcPr>
          <w:p w14:paraId="6028B9A8" w14:textId="77777777" w:rsidR="007E7656" w:rsidRDefault="007E7656" w:rsidP="00312F84">
            <w:pPr>
              <w:keepNext/>
              <w:keepLines/>
              <w:spacing w:before="40" w:after="40"/>
            </w:pPr>
          </w:p>
        </w:tc>
        <w:tc>
          <w:tcPr>
            <w:tcW w:w="80" w:type="dxa"/>
            <w:tcMar>
              <w:left w:w="0" w:type="dxa"/>
              <w:right w:w="60" w:type="dxa"/>
            </w:tcMar>
            <w:vAlign w:val="bottom"/>
          </w:tcPr>
          <w:p w14:paraId="15675ABE" w14:textId="77777777" w:rsidR="007E7656" w:rsidRDefault="007E7656" w:rsidP="00312F84">
            <w:pPr>
              <w:keepNext/>
              <w:keepLines/>
              <w:spacing w:before="40" w:after="40"/>
            </w:pPr>
          </w:p>
        </w:tc>
        <w:tc>
          <w:tcPr>
            <w:tcW w:w="783" w:type="dxa"/>
            <w:tcMar>
              <w:left w:w="0" w:type="dxa"/>
              <w:right w:w="0" w:type="dxa"/>
            </w:tcMar>
            <w:vAlign w:val="bottom"/>
          </w:tcPr>
          <w:p w14:paraId="3910F667"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16.6</w:t>
            </w:r>
          </w:p>
        </w:tc>
        <w:tc>
          <w:tcPr>
            <w:tcW w:w="57" w:type="dxa"/>
            <w:tcMar>
              <w:left w:w="0" w:type="dxa"/>
              <w:right w:w="0" w:type="dxa"/>
            </w:tcMar>
          </w:tcPr>
          <w:p w14:paraId="5AC99CEA" w14:textId="77777777" w:rsidR="007E7656" w:rsidRDefault="007E7656" w:rsidP="00312F84"/>
        </w:tc>
        <w:tc>
          <w:tcPr>
            <w:tcW w:w="80" w:type="dxa"/>
            <w:tcMar>
              <w:left w:w="0" w:type="dxa"/>
              <w:right w:w="60" w:type="dxa"/>
            </w:tcMar>
            <w:vAlign w:val="bottom"/>
          </w:tcPr>
          <w:p w14:paraId="0395B280" w14:textId="77777777" w:rsidR="007E7656" w:rsidRDefault="007E7656" w:rsidP="00312F84">
            <w:pPr>
              <w:keepNext/>
              <w:keepLines/>
              <w:spacing w:before="40" w:after="40"/>
            </w:pPr>
          </w:p>
        </w:tc>
        <w:tc>
          <w:tcPr>
            <w:tcW w:w="623" w:type="dxa"/>
            <w:gridSpan w:val="2"/>
            <w:tcMar>
              <w:left w:w="0" w:type="dxa"/>
              <w:right w:w="0" w:type="dxa"/>
            </w:tcMar>
            <w:vAlign w:val="bottom"/>
          </w:tcPr>
          <w:p w14:paraId="20ED84C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0.07</w:t>
            </w:r>
          </w:p>
        </w:tc>
        <w:tc>
          <w:tcPr>
            <w:tcW w:w="57" w:type="dxa"/>
            <w:tcMar>
              <w:left w:w="0" w:type="dxa"/>
              <w:right w:w="0" w:type="dxa"/>
            </w:tcMar>
          </w:tcPr>
          <w:p w14:paraId="530BD3E8" w14:textId="77777777" w:rsidR="007E7656" w:rsidRDefault="007E7656" w:rsidP="00312F84"/>
        </w:tc>
      </w:tr>
      <w:tr w:rsidR="007E7656" w14:paraId="423BFBD9" w14:textId="77777777" w:rsidTr="007E7656">
        <w:trPr>
          <w:trHeight w:hRule="exact" w:val="240"/>
        </w:trPr>
        <w:tc>
          <w:tcPr>
            <w:tcW w:w="3260" w:type="dxa"/>
            <w:tcMar>
              <w:left w:w="300" w:type="dxa"/>
              <w:right w:w="40" w:type="dxa"/>
            </w:tcMar>
            <w:vAlign w:val="bottom"/>
          </w:tcPr>
          <w:p w14:paraId="6A9C3404"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Other special income and expense items</w:t>
            </w:r>
          </w:p>
        </w:tc>
        <w:tc>
          <w:tcPr>
            <w:tcW w:w="80" w:type="dxa"/>
            <w:tcMar>
              <w:left w:w="0" w:type="dxa"/>
              <w:right w:w="0" w:type="dxa"/>
            </w:tcMar>
            <w:vAlign w:val="bottom"/>
          </w:tcPr>
          <w:p w14:paraId="05846861"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43A50C6F"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2DDAC4D5" w14:textId="77777777" w:rsidR="007E7656" w:rsidRDefault="007E7656" w:rsidP="00312F84">
            <w:pPr>
              <w:keepNext/>
              <w:keepLines/>
              <w:spacing w:before="40" w:after="40"/>
            </w:pPr>
          </w:p>
        </w:tc>
        <w:tc>
          <w:tcPr>
            <w:tcW w:w="783" w:type="dxa"/>
            <w:gridSpan w:val="2"/>
            <w:tcBorders>
              <w:bottom w:val="single" w:sz="8" w:space="0" w:color="auto"/>
            </w:tcBorders>
            <w:tcMar>
              <w:left w:w="0" w:type="dxa"/>
              <w:right w:w="60" w:type="dxa"/>
            </w:tcMar>
            <w:vAlign w:val="bottom"/>
          </w:tcPr>
          <w:p w14:paraId="3CBDF64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5E9E900F"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0409701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w:t>
            </w:r>
          </w:p>
        </w:tc>
        <w:tc>
          <w:tcPr>
            <w:tcW w:w="57" w:type="dxa"/>
            <w:tcBorders>
              <w:bottom w:val="single" w:sz="8" w:space="0" w:color="auto"/>
            </w:tcBorders>
            <w:tcMar>
              <w:left w:w="0" w:type="dxa"/>
              <w:right w:w="0" w:type="dxa"/>
            </w:tcMar>
          </w:tcPr>
          <w:p w14:paraId="791EA1C8" w14:textId="77777777" w:rsidR="007E7656" w:rsidRDefault="007E7656" w:rsidP="00312F84"/>
        </w:tc>
        <w:tc>
          <w:tcPr>
            <w:tcW w:w="80" w:type="dxa"/>
            <w:tcMar>
              <w:left w:w="0" w:type="dxa"/>
              <w:right w:w="60" w:type="dxa"/>
            </w:tcMar>
            <w:vAlign w:val="bottom"/>
          </w:tcPr>
          <w:p w14:paraId="27317E07"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30BC9C80"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(8.3</w:t>
            </w:r>
          </w:p>
        </w:tc>
        <w:tc>
          <w:tcPr>
            <w:tcW w:w="57" w:type="dxa"/>
            <w:tcBorders>
              <w:bottom w:val="single" w:sz="8" w:space="0" w:color="auto"/>
            </w:tcBorders>
            <w:tcMar>
              <w:left w:w="0" w:type="dxa"/>
              <w:right w:w="0" w:type="dxa"/>
            </w:tcMar>
            <w:vAlign w:val="bottom"/>
          </w:tcPr>
          <w:p w14:paraId="4ECC98B1"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1A0A8F00"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221CBE88"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2.4</w:t>
            </w:r>
          </w:p>
        </w:tc>
        <w:tc>
          <w:tcPr>
            <w:tcW w:w="57" w:type="dxa"/>
            <w:tcBorders>
              <w:bottom w:val="single" w:sz="8" w:space="0" w:color="auto"/>
            </w:tcBorders>
            <w:tcMar>
              <w:left w:w="0" w:type="dxa"/>
              <w:right w:w="0" w:type="dxa"/>
            </w:tcMar>
          </w:tcPr>
          <w:p w14:paraId="43C61E7B" w14:textId="77777777" w:rsidR="007E7656" w:rsidRDefault="007E7656" w:rsidP="00312F84"/>
        </w:tc>
        <w:tc>
          <w:tcPr>
            <w:tcW w:w="80" w:type="dxa"/>
            <w:tcMar>
              <w:left w:w="0" w:type="dxa"/>
              <w:right w:w="60" w:type="dxa"/>
            </w:tcMar>
            <w:vAlign w:val="bottom"/>
          </w:tcPr>
          <w:p w14:paraId="228C1B91" w14:textId="77777777" w:rsidR="007E7656" w:rsidRDefault="007E7656" w:rsidP="00312F84">
            <w:pPr>
              <w:keepNext/>
              <w:keepLines/>
              <w:spacing w:before="40" w:after="40"/>
            </w:pPr>
          </w:p>
        </w:tc>
        <w:tc>
          <w:tcPr>
            <w:tcW w:w="640" w:type="dxa"/>
            <w:tcMar>
              <w:left w:w="60" w:type="dxa"/>
              <w:right w:w="60" w:type="dxa"/>
            </w:tcMar>
            <w:vAlign w:val="bottom"/>
          </w:tcPr>
          <w:p w14:paraId="740A5D11" w14:textId="77777777" w:rsidR="007E7656" w:rsidRDefault="007E7656" w:rsidP="00312F84">
            <w:pPr>
              <w:keepNext/>
              <w:keepLines/>
              <w:spacing w:before="40" w:after="40"/>
            </w:pPr>
          </w:p>
        </w:tc>
        <w:tc>
          <w:tcPr>
            <w:tcW w:w="80" w:type="dxa"/>
            <w:tcMar>
              <w:left w:w="0" w:type="dxa"/>
              <w:right w:w="60" w:type="dxa"/>
            </w:tcMar>
            <w:vAlign w:val="bottom"/>
          </w:tcPr>
          <w:p w14:paraId="4CA15BBF" w14:textId="77777777" w:rsidR="007E7656" w:rsidRDefault="007E7656" w:rsidP="00312F84">
            <w:pPr>
              <w:keepNext/>
              <w:keepLines/>
              <w:spacing w:before="40" w:after="40"/>
            </w:pPr>
          </w:p>
        </w:tc>
        <w:tc>
          <w:tcPr>
            <w:tcW w:w="783" w:type="dxa"/>
            <w:tcBorders>
              <w:bottom w:val="single" w:sz="8" w:space="0" w:color="auto"/>
            </w:tcBorders>
            <w:tcMar>
              <w:left w:w="0" w:type="dxa"/>
              <w:right w:w="0" w:type="dxa"/>
            </w:tcMar>
            <w:vAlign w:val="bottom"/>
          </w:tcPr>
          <w:p w14:paraId="654990E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(5.9</w:t>
            </w:r>
          </w:p>
        </w:tc>
        <w:tc>
          <w:tcPr>
            <w:tcW w:w="57" w:type="dxa"/>
            <w:tcBorders>
              <w:bottom w:val="single" w:sz="8" w:space="0" w:color="auto"/>
            </w:tcBorders>
            <w:tcMar>
              <w:left w:w="0" w:type="dxa"/>
              <w:right w:w="0" w:type="dxa"/>
            </w:tcMar>
            <w:vAlign w:val="bottom"/>
          </w:tcPr>
          <w:p w14:paraId="52495BBD"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63514FBA" w14:textId="77777777" w:rsidR="007E7656" w:rsidRDefault="007E7656" w:rsidP="00312F84">
            <w:pPr>
              <w:keepNext/>
              <w:keepLines/>
              <w:spacing w:before="40" w:after="40"/>
            </w:pPr>
          </w:p>
        </w:tc>
        <w:tc>
          <w:tcPr>
            <w:tcW w:w="623" w:type="dxa"/>
            <w:gridSpan w:val="2"/>
            <w:tcBorders>
              <w:bottom w:val="single" w:sz="8" w:space="0" w:color="auto"/>
            </w:tcBorders>
            <w:tcMar>
              <w:left w:w="0" w:type="dxa"/>
              <w:right w:w="0" w:type="dxa"/>
            </w:tcMar>
            <w:vAlign w:val="bottom"/>
          </w:tcPr>
          <w:p w14:paraId="416C8C4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(0.03</w:t>
            </w:r>
          </w:p>
        </w:tc>
        <w:tc>
          <w:tcPr>
            <w:tcW w:w="57" w:type="dxa"/>
            <w:tcBorders>
              <w:bottom w:val="single" w:sz="8" w:space="0" w:color="auto"/>
            </w:tcBorders>
            <w:tcMar>
              <w:left w:w="0" w:type="dxa"/>
              <w:right w:w="0" w:type="dxa"/>
            </w:tcMar>
            <w:vAlign w:val="bottom"/>
          </w:tcPr>
          <w:p w14:paraId="7C4D72D9"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r>
      <w:tr w:rsidR="007E7656" w14:paraId="5458084D" w14:textId="77777777" w:rsidTr="007E7656">
        <w:trPr>
          <w:trHeight w:hRule="exact" w:val="280"/>
        </w:trPr>
        <w:tc>
          <w:tcPr>
            <w:tcW w:w="3260" w:type="dxa"/>
            <w:tcMar>
              <w:left w:w="300" w:type="dxa"/>
              <w:right w:w="40" w:type="dxa"/>
            </w:tcMar>
            <w:vAlign w:val="bottom"/>
          </w:tcPr>
          <w:p w14:paraId="123987FB"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Total adjustments</w:t>
            </w:r>
          </w:p>
        </w:tc>
        <w:tc>
          <w:tcPr>
            <w:tcW w:w="80" w:type="dxa"/>
            <w:tcMar>
              <w:left w:w="0" w:type="dxa"/>
              <w:right w:w="0" w:type="dxa"/>
            </w:tcMar>
            <w:vAlign w:val="bottom"/>
          </w:tcPr>
          <w:p w14:paraId="44225AFC"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7509553A"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0.1</w:t>
            </w:r>
          </w:p>
        </w:tc>
        <w:tc>
          <w:tcPr>
            <w:tcW w:w="57" w:type="dxa"/>
            <w:tcBorders>
              <w:top w:val="single" w:sz="8" w:space="0" w:color="auto"/>
              <w:bottom w:val="single" w:sz="8" w:space="0" w:color="auto"/>
            </w:tcBorders>
            <w:tcMar>
              <w:left w:w="0" w:type="dxa"/>
              <w:right w:w="0" w:type="dxa"/>
            </w:tcMar>
          </w:tcPr>
          <w:p w14:paraId="0217908E" w14:textId="77777777" w:rsidR="007E7656" w:rsidRDefault="007E7656" w:rsidP="00312F84"/>
        </w:tc>
        <w:tc>
          <w:tcPr>
            <w:tcW w:w="80" w:type="dxa"/>
            <w:tcMar>
              <w:left w:w="0" w:type="dxa"/>
              <w:right w:w="60" w:type="dxa"/>
            </w:tcMar>
            <w:vAlign w:val="bottom"/>
          </w:tcPr>
          <w:p w14:paraId="5D113C13"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793A9059"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31.0</w:t>
            </w:r>
          </w:p>
        </w:tc>
        <w:tc>
          <w:tcPr>
            <w:tcW w:w="57" w:type="dxa"/>
            <w:tcBorders>
              <w:top w:val="single" w:sz="8" w:space="0" w:color="auto"/>
              <w:bottom w:val="single" w:sz="8" w:space="0" w:color="auto"/>
            </w:tcBorders>
            <w:tcMar>
              <w:left w:w="0" w:type="dxa"/>
              <w:right w:w="0" w:type="dxa"/>
            </w:tcMar>
          </w:tcPr>
          <w:p w14:paraId="56C0A94E" w14:textId="77777777" w:rsidR="007E7656" w:rsidRDefault="007E7656" w:rsidP="00312F84"/>
        </w:tc>
        <w:tc>
          <w:tcPr>
            <w:tcW w:w="80" w:type="dxa"/>
            <w:tcMar>
              <w:left w:w="0" w:type="dxa"/>
              <w:right w:w="60" w:type="dxa"/>
            </w:tcMar>
            <w:vAlign w:val="bottom"/>
          </w:tcPr>
          <w:p w14:paraId="382C02A8"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0B6EC166"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77.0</w:t>
            </w:r>
          </w:p>
        </w:tc>
        <w:tc>
          <w:tcPr>
            <w:tcW w:w="57" w:type="dxa"/>
            <w:tcBorders>
              <w:top w:val="single" w:sz="8" w:space="0" w:color="auto"/>
              <w:bottom w:val="single" w:sz="8" w:space="0" w:color="auto"/>
            </w:tcBorders>
            <w:tcMar>
              <w:left w:w="0" w:type="dxa"/>
              <w:right w:w="0" w:type="dxa"/>
            </w:tcMar>
          </w:tcPr>
          <w:p w14:paraId="32FE1BC8" w14:textId="77777777" w:rsidR="007E7656" w:rsidRDefault="007E7656" w:rsidP="00312F84"/>
        </w:tc>
        <w:tc>
          <w:tcPr>
            <w:tcW w:w="80" w:type="dxa"/>
            <w:tcMar>
              <w:left w:w="0" w:type="dxa"/>
              <w:right w:w="60" w:type="dxa"/>
            </w:tcMar>
            <w:vAlign w:val="bottom"/>
          </w:tcPr>
          <w:p w14:paraId="597C8432"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18E86961"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85.3</w:t>
            </w:r>
          </w:p>
        </w:tc>
        <w:tc>
          <w:tcPr>
            <w:tcW w:w="57" w:type="dxa"/>
            <w:tcBorders>
              <w:top w:val="single" w:sz="8" w:space="0" w:color="auto"/>
              <w:bottom w:val="single" w:sz="8" w:space="0" w:color="auto"/>
            </w:tcBorders>
            <w:tcMar>
              <w:left w:w="0" w:type="dxa"/>
              <w:right w:w="0" w:type="dxa"/>
            </w:tcMar>
          </w:tcPr>
          <w:p w14:paraId="271F6157" w14:textId="77777777" w:rsidR="007E7656" w:rsidRDefault="007E7656" w:rsidP="00312F84"/>
        </w:tc>
        <w:tc>
          <w:tcPr>
            <w:tcW w:w="80" w:type="dxa"/>
            <w:tcMar>
              <w:left w:w="0" w:type="dxa"/>
              <w:right w:w="60" w:type="dxa"/>
            </w:tcMar>
            <w:vAlign w:val="bottom"/>
          </w:tcPr>
          <w:p w14:paraId="79E61BCC"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0BC54F1C"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(17.6</w:t>
            </w:r>
          </w:p>
        </w:tc>
        <w:tc>
          <w:tcPr>
            <w:tcW w:w="57" w:type="dxa"/>
            <w:tcBorders>
              <w:top w:val="single" w:sz="8" w:space="0" w:color="auto"/>
              <w:bottom w:val="single" w:sz="8" w:space="0" w:color="auto"/>
            </w:tcBorders>
            <w:tcMar>
              <w:left w:w="0" w:type="dxa"/>
              <w:right w:w="0" w:type="dxa"/>
            </w:tcMar>
            <w:vAlign w:val="bottom"/>
          </w:tcPr>
          <w:p w14:paraId="2B788B29" w14:textId="77777777" w:rsidR="007E7656" w:rsidRDefault="007E7656" w:rsidP="00312F84">
            <w:pPr>
              <w:keepNext/>
              <w:keepLines/>
              <w:spacing w:before="40" w:after="40"/>
              <w:rPr>
                <w:rFonts w:ascii="Arial" w:eastAsia="Arial" w:hAnsi="Arial" w:cs="Arial"/>
                <w:sz w:val="14"/>
              </w:rPr>
            </w:pPr>
            <w:r>
              <w:rPr>
                <w:rFonts w:ascii="Arial" w:eastAsia="Arial" w:hAnsi="Arial" w:cs="Arial"/>
                <w:color w:val="000000"/>
                <w:sz w:val="14"/>
              </w:rPr>
              <w:t>)</w:t>
            </w:r>
          </w:p>
        </w:tc>
        <w:tc>
          <w:tcPr>
            <w:tcW w:w="80" w:type="dxa"/>
            <w:tcMar>
              <w:left w:w="0" w:type="dxa"/>
              <w:right w:w="60" w:type="dxa"/>
            </w:tcMar>
            <w:vAlign w:val="bottom"/>
          </w:tcPr>
          <w:p w14:paraId="4A7F8141" w14:textId="77777777" w:rsidR="007E7656" w:rsidRDefault="007E7656" w:rsidP="00312F84">
            <w:pPr>
              <w:keepNext/>
              <w:keepLines/>
              <w:spacing w:before="40" w:after="40"/>
            </w:pPr>
          </w:p>
        </w:tc>
        <w:tc>
          <w:tcPr>
            <w:tcW w:w="640" w:type="dxa"/>
            <w:tcBorders>
              <w:bottom w:val="single" w:sz="8" w:space="0" w:color="auto"/>
            </w:tcBorders>
            <w:tcMar>
              <w:left w:w="60" w:type="dxa"/>
              <w:right w:w="60" w:type="dxa"/>
            </w:tcMar>
            <w:vAlign w:val="bottom"/>
          </w:tcPr>
          <w:p w14:paraId="188E80E5" w14:textId="77777777" w:rsidR="007E7656" w:rsidRDefault="007E7656" w:rsidP="00312F84">
            <w:pPr>
              <w:keepNext/>
              <w:keepLines/>
              <w:spacing w:before="40" w:after="40"/>
            </w:pPr>
          </w:p>
        </w:tc>
        <w:tc>
          <w:tcPr>
            <w:tcW w:w="80" w:type="dxa"/>
            <w:tcMar>
              <w:left w:w="0" w:type="dxa"/>
              <w:right w:w="60" w:type="dxa"/>
            </w:tcMar>
            <w:vAlign w:val="bottom"/>
          </w:tcPr>
          <w:p w14:paraId="2DF38259" w14:textId="77777777" w:rsidR="007E7656" w:rsidRDefault="007E7656" w:rsidP="00312F84">
            <w:pPr>
              <w:keepNext/>
              <w:keepLines/>
              <w:spacing w:before="40" w:after="40"/>
            </w:pPr>
          </w:p>
        </w:tc>
        <w:tc>
          <w:tcPr>
            <w:tcW w:w="783" w:type="dxa"/>
            <w:tcBorders>
              <w:top w:val="single" w:sz="8" w:space="0" w:color="auto"/>
              <w:bottom w:val="single" w:sz="8" w:space="0" w:color="auto"/>
            </w:tcBorders>
            <w:tcMar>
              <w:left w:w="0" w:type="dxa"/>
              <w:right w:w="0" w:type="dxa"/>
            </w:tcMar>
            <w:vAlign w:val="bottom"/>
          </w:tcPr>
          <w:p w14:paraId="71DC49CD"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67.7</w:t>
            </w:r>
          </w:p>
        </w:tc>
        <w:tc>
          <w:tcPr>
            <w:tcW w:w="57" w:type="dxa"/>
            <w:tcBorders>
              <w:top w:val="single" w:sz="8" w:space="0" w:color="auto"/>
              <w:bottom w:val="single" w:sz="8" w:space="0" w:color="auto"/>
            </w:tcBorders>
            <w:tcMar>
              <w:left w:w="0" w:type="dxa"/>
              <w:right w:w="0" w:type="dxa"/>
            </w:tcMar>
          </w:tcPr>
          <w:p w14:paraId="2B082387" w14:textId="77777777" w:rsidR="007E7656" w:rsidRDefault="007E7656" w:rsidP="00312F84"/>
        </w:tc>
        <w:tc>
          <w:tcPr>
            <w:tcW w:w="80" w:type="dxa"/>
            <w:tcMar>
              <w:left w:w="0" w:type="dxa"/>
              <w:right w:w="60" w:type="dxa"/>
            </w:tcMar>
            <w:vAlign w:val="bottom"/>
          </w:tcPr>
          <w:p w14:paraId="7247B4CD" w14:textId="77777777" w:rsidR="007E7656" w:rsidRDefault="007E7656" w:rsidP="00312F84">
            <w:pPr>
              <w:keepNext/>
              <w:keepLines/>
              <w:spacing w:before="40" w:after="40"/>
            </w:pPr>
          </w:p>
        </w:tc>
        <w:tc>
          <w:tcPr>
            <w:tcW w:w="623" w:type="dxa"/>
            <w:gridSpan w:val="2"/>
            <w:tcBorders>
              <w:bottom w:val="single" w:sz="8" w:space="0" w:color="auto"/>
            </w:tcBorders>
            <w:tcMar>
              <w:left w:w="0" w:type="dxa"/>
              <w:right w:w="0" w:type="dxa"/>
            </w:tcMar>
            <w:vAlign w:val="bottom"/>
          </w:tcPr>
          <w:p w14:paraId="43F0169B" w14:textId="77777777" w:rsidR="007E7656" w:rsidRDefault="007E7656" w:rsidP="00312F84">
            <w:pPr>
              <w:keepNext/>
              <w:keepLines/>
              <w:spacing w:before="40" w:after="40"/>
              <w:jc w:val="right"/>
              <w:rPr>
                <w:rFonts w:ascii="Arial" w:eastAsia="Arial" w:hAnsi="Arial" w:cs="Arial"/>
                <w:sz w:val="14"/>
              </w:rPr>
            </w:pPr>
            <w:r>
              <w:rPr>
                <w:rFonts w:ascii="Arial" w:eastAsia="Arial" w:hAnsi="Arial" w:cs="Arial"/>
                <w:color w:val="000000"/>
                <w:sz w:val="14"/>
              </w:rPr>
              <w:t>0.29</w:t>
            </w:r>
          </w:p>
        </w:tc>
        <w:tc>
          <w:tcPr>
            <w:tcW w:w="57" w:type="dxa"/>
            <w:tcBorders>
              <w:bottom w:val="single" w:sz="8" w:space="0" w:color="auto"/>
            </w:tcBorders>
            <w:tcMar>
              <w:left w:w="0" w:type="dxa"/>
              <w:right w:w="0" w:type="dxa"/>
            </w:tcMar>
          </w:tcPr>
          <w:p w14:paraId="6CA01524" w14:textId="77777777" w:rsidR="007E7656" w:rsidRDefault="007E7656" w:rsidP="00312F84"/>
        </w:tc>
      </w:tr>
      <w:tr w:rsidR="007E7656" w14:paraId="376CB6E0" w14:textId="77777777" w:rsidTr="00312F84">
        <w:trPr>
          <w:trHeight w:hRule="exact" w:val="260"/>
        </w:trPr>
        <w:tc>
          <w:tcPr>
            <w:tcW w:w="3260" w:type="dxa"/>
            <w:tcMar>
              <w:left w:w="60" w:type="dxa"/>
              <w:right w:w="40" w:type="dxa"/>
            </w:tcMar>
            <w:vAlign w:val="bottom"/>
          </w:tcPr>
          <w:p w14:paraId="5043667C"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Adjusted results</w:t>
            </w:r>
          </w:p>
        </w:tc>
        <w:tc>
          <w:tcPr>
            <w:tcW w:w="80" w:type="dxa"/>
            <w:tcMar>
              <w:left w:w="60" w:type="dxa"/>
              <w:right w:w="0" w:type="dxa"/>
            </w:tcMar>
            <w:vAlign w:val="bottom"/>
          </w:tcPr>
          <w:p w14:paraId="44BF8E32"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03BEE444"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720.8</w:t>
            </w:r>
          </w:p>
        </w:tc>
        <w:tc>
          <w:tcPr>
            <w:tcW w:w="57" w:type="dxa"/>
            <w:tcBorders>
              <w:bottom w:val="double" w:sz="4" w:space="0" w:color="auto"/>
            </w:tcBorders>
            <w:tcMar>
              <w:left w:w="0" w:type="dxa"/>
              <w:right w:w="0" w:type="dxa"/>
            </w:tcMar>
          </w:tcPr>
          <w:p w14:paraId="4D47BED9" w14:textId="77777777" w:rsidR="007E7656" w:rsidRDefault="007E7656" w:rsidP="00312F84"/>
        </w:tc>
        <w:tc>
          <w:tcPr>
            <w:tcW w:w="80" w:type="dxa"/>
            <w:tcMar>
              <w:left w:w="0" w:type="dxa"/>
              <w:right w:w="60" w:type="dxa"/>
            </w:tcMar>
            <w:vAlign w:val="bottom"/>
          </w:tcPr>
          <w:p w14:paraId="547162DF"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1CEAEF43"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510.4</w:t>
            </w:r>
          </w:p>
        </w:tc>
        <w:tc>
          <w:tcPr>
            <w:tcW w:w="57" w:type="dxa"/>
            <w:tcBorders>
              <w:bottom w:val="double" w:sz="4" w:space="0" w:color="auto"/>
            </w:tcBorders>
            <w:tcMar>
              <w:left w:w="0" w:type="dxa"/>
              <w:right w:w="0" w:type="dxa"/>
            </w:tcMar>
          </w:tcPr>
          <w:p w14:paraId="7BE9A68B" w14:textId="77777777" w:rsidR="007E7656" w:rsidRDefault="007E7656" w:rsidP="00312F84"/>
        </w:tc>
        <w:tc>
          <w:tcPr>
            <w:tcW w:w="80" w:type="dxa"/>
            <w:tcMar>
              <w:left w:w="0" w:type="dxa"/>
              <w:right w:w="60" w:type="dxa"/>
            </w:tcMar>
            <w:vAlign w:val="bottom"/>
          </w:tcPr>
          <w:p w14:paraId="4DA70E18"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1CD48244"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178.3</w:t>
            </w:r>
          </w:p>
        </w:tc>
        <w:tc>
          <w:tcPr>
            <w:tcW w:w="57" w:type="dxa"/>
            <w:tcBorders>
              <w:bottom w:val="double" w:sz="4" w:space="0" w:color="auto"/>
            </w:tcBorders>
            <w:tcMar>
              <w:left w:w="0" w:type="dxa"/>
              <w:right w:w="0" w:type="dxa"/>
            </w:tcMar>
          </w:tcPr>
          <w:p w14:paraId="1F96327D" w14:textId="77777777" w:rsidR="007E7656" w:rsidRDefault="007E7656" w:rsidP="00312F84"/>
        </w:tc>
        <w:tc>
          <w:tcPr>
            <w:tcW w:w="80" w:type="dxa"/>
            <w:tcMar>
              <w:left w:w="0" w:type="dxa"/>
              <w:right w:w="60" w:type="dxa"/>
            </w:tcMar>
            <w:vAlign w:val="bottom"/>
          </w:tcPr>
          <w:p w14:paraId="601B9955"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1DD64D5D"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170.4</w:t>
            </w:r>
          </w:p>
        </w:tc>
        <w:tc>
          <w:tcPr>
            <w:tcW w:w="57" w:type="dxa"/>
            <w:tcBorders>
              <w:bottom w:val="double" w:sz="4" w:space="0" w:color="auto"/>
            </w:tcBorders>
            <w:tcMar>
              <w:left w:w="0" w:type="dxa"/>
              <w:right w:w="0" w:type="dxa"/>
            </w:tcMar>
          </w:tcPr>
          <w:p w14:paraId="4162A973" w14:textId="77777777" w:rsidR="007E7656" w:rsidRDefault="007E7656" w:rsidP="00312F84"/>
        </w:tc>
        <w:tc>
          <w:tcPr>
            <w:tcW w:w="80" w:type="dxa"/>
            <w:tcMar>
              <w:left w:w="0" w:type="dxa"/>
              <w:right w:w="60" w:type="dxa"/>
            </w:tcMar>
            <w:vAlign w:val="bottom"/>
          </w:tcPr>
          <w:p w14:paraId="010B7141"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2F04813D"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(33.6</w:t>
            </w:r>
          </w:p>
        </w:tc>
        <w:tc>
          <w:tcPr>
            <w:tcW w:w="57" w:type="dxa"/>
            <w:tcBorders>
              <w:bottom w:val="double" w:sz="4" w:space="0" w:color="auto"/>
            </w:tcBorders>
            <w:tcMar>
              <w:left w:w="0" w:type="dxa"/>
              <w:right w:w="0" w:type="dxa"/>
            </w:tcMar>
            <w:vAlign w:val="bottom"/>
          </w:tcPr>
          <w:p w14:paraId="5ADEC498"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80" w:type="dxa"/>
            <w:tcMar>
              <w:left w:w="0" w:type="dxa"/>
              <w:right w:w="60" w:type="dxa"/>
            </w:tcMar>
            <w:vAlign w:val="bottom"/>
          </w:tcPr>
          <w:p w14:paraId="2F28F2D8" w14:textId="77777777" w:rsidR="007E7656" w:rsidRDefault="007E7656" w:rsidP="00312F84">
            <w:pPr>
              <w:keepLines/>
              <w:spacing w:before="40" w:after="40"/>
            </w:pPr>
          </w:p>
        </w:tc>
        <w:tc>
          <w:tcPr>
            <w:tcW w:w="640" w:type="dxa"/>
            <w:tcBorders>
              <w:bottom w:val="double" w:sz="4" w:space="0" w:color="auto"/>
            </w:tcBorders>
            <w:tcMar>
              <w:left w:w="60" w:type="dxa"/>
              <w:right w:w="60" w:type="dxa"/>
            </w:tcMar>
            <w:vAlign w:val="bottom"/>
          </w:tcPr>
          <w:p w14:paraId="50F90EC0" w14:textId="77777777" w:rsidR="007E7656" w:rsidRDefault="007E7656" w:rsidP="00312F84">
            <w:pPr>
              <w:keepLines/>
              <w:spacing w:before="40" w:after="40"/>
              <w:jc w:val="center"/>
              <w:rPr>
                <w:rFonts w:ascii="Arial" w:eastAsia="Arial" w:hAnsi="Arial" w:cs="Arial"/>
                <w:b/>
                <w:sz w:val="14"/>
              </w:rPr>
            </w:pPr>
            <w:r>
              <w:rPr>
                <w:rFonts w:ascii="Arial" w:eastAsia="Arial" w:hAnsi="Arial" w:cs="Arial"/>
                <w:b/>
                <w:color w:val="000000"/>
                <w:sz w:val="14"/>
              </w:rPr>
              <w:t>20%</w:t>
            </w:r>
          </w:p>
        </w:tc>
        <w:tc>
          <w:tcPr>
            <w:tcW w:w="80" w:type="dxa"/>
            <w:tcMar>
              <w:left w:w="0" w:type="dxa"/>
              <w:right w:w="60" w:type="dxa"/>
            </w:tcMar>
            <w:vAlign w:val="bottom"/>
          </w:tcPr>
          <w:p w14:paraId="7DB7C41F" w14:textId="77777777" w:rsidR="007E7656" w:rsidRDefault="007E7656" w:rsidP="00312F84">
            <w:pPr>
              <w:keepLines/>
              <w:spacing w:before="40" w:after="40"/>
            </w:pPr>
          </w:p>
        </w:tc>
        <w:tc>
          <w:tcPr>
            <w:tcW w:w="783" w:type="dxa"/>
            <w:tcBorders>
              <w:bottom w:val="double" w:sz="4" w:space="0" w:color="auto"/>
            </w:tcBorders>
            <w:tcMar>
              <w:left w:w="0" w:type="dxa"/>
              <w:right w:w="0" w:type="dxa"/>
            </w:tcMar>
            <w:vAlign w:val="bottom"/>
          </w:tcPr>
          <w:p w14:paraId="0DEBDA71"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136.8</w:t>
            </w:r>
          </w:p>
        </w:tc>
        <w:tc>
          <w:tcPr>
            <w:tcW w:w="57" w:type="dxa"/>
            <w:tcBorders>
              <w:bottom w:val="double" w:sz="4" w:space="0" w:color="auto"/>
            </w:tcBorders>
            <w:tcMar>
              <w:left w:w="0" w:type="dxa"/>
              <w:right w:w="0" w:type="dxa"/>
            </w:tcMar>
          </w:tcPr>
          <w:p w14:paraId="2C27DA39" w14:textId="77777777" w:rsidR="007E7656" w:rsidRDefault="007E7656" w:rsidP="00312F84"/>
        </w:tc>
        <w:tc>
          <w:tcPr>
            <w:tcW w:w="80" w:type="dxa"/>
            <w:tcMar>
              <w:left w:w="0" w:type="dxa"/>
              <w:right w:w="60" w:type="dxa"/>
            </w:tcMar>
            <w:vAlign w:val="bottom"/>
          </w:tcPr>
          <w:p w14:paraId="0FEB86E4" w14:textId="77777777" w:rsidR="007E7656" w:rsidRDefault="007E7656" w:rsidP="00312F84">
            <w:pPr>
              <w:keepLines/>
              <w:spacing w:before="40" w:after="40"/>
            </w:pPr>
          </w:p>
        </w:tc>
        <w:tc>
          <w:tcPr>
            <w:tcW w:w="88" w:type="dxa"/>
            <w:tcBorders>
              <w:bottom w:val="double" w:sz="4" w:space="0" w:color="auto"/>
            </w:tcBorders>
            <w:tcMar>
              <w:left w:w="0" w:type="dxa"/>
              <w:right w:w="0" w:type="dxa"/>
            </w:tcMar>
            <w:vAlign w:val="bottom"/>
          </w:tcPr>
          <w:p w14:paraId="59A2858F" w14:textId="77777777" w:rsidR="007E7656" w:rsidRDefault="007E7656" w:rsidP="00312F84">
            <w:pPr>
              <w:keepLines/>
              <w:spacing w:before="40" w:after="40"/>
              <w:rPr>
                <w:rFonts w:ascii="Arial" w:eastAsia="Arial" w:hAnsi="Arial" w:cs="Arial"/>
                <w:b/>
                <w:sz w:val="14"/>
              </w:rPr>
            </w:pPr>
            <w:r>
              <w:rPr>
                <w:rFonts w:ascii="Arial" w:eastAsia="Arial" w:hAnsi="Arial" w:cs="Arial"/>
                <w:b/>
                <w:color w:val="000000"/>
                <w:sz w:val="14"/>
              </w:rPr>
              <w:t>$</w:t>
            </w:r>
          </w:p>
        </w:tc>
        <w:tc>
          <w:tcPr>
            <w:tcW w:w="535" w:type="dxa"/>
            <w:tcBorders>
              <w:bottom w:val="double" w:sz="4" w:space="0" w:color="auto"/>
            </w:tcBorders>
            <w:tcMar>
              <w:left w:w="0" w:type="dxa"/>
              <w:right w:w="0" w:type="dxa"/>
            </w:tcMar>
            <w:vAlign w:val="bottom"/>
          </w:tcPr>
          <w:p w14:paraId="4AEAA9A6" w14:textId="77777777" w:rsidR="007E7656" w:rsidRDefault="007E7656" w:rsidP="00312F84">
            <w:pPr>
              <w:keepLines/>
              <w:spacing w:before="40" w:after="40"/>
              <w:jc w:val="right"/>
              <w:rPr>
                <w:rFonts w:ascii="Arial" w:eastAsia="Arial" w:hAnsi="Arial" w:cs="Arial"/>
                <w:b/>
                <w:sz w:val="14"/>
              </w:rPr>
            </w:pPr>
            <w:r>
              <w:rPr>
                <w:rFonts w:ascii="Arial" w:eastAsia="Arial" w:hAnsi="Arial" w:cs="Arial"/>
                <w:b/>
                <w:color w:val="000000"/>
                <w:sz w:val="14"/>
              </w:rPr>
              <w:t>0.59</w:t>
            </w:r>
          </w:p>
        </w:tc>
        <w:tc>
          <w:tcPr>
            <w:tcW w:w="57" w:type="dxa"/>
            <w:tcBorders>
              <w:bottom w:val="double" w:sz="4" w:space="0" w:color="auto"/>
            </w:tcBorders>
            <w:tcMar>
              <w:left w:w="0" w:type="dxa"/>
              <w:right w:w="0" w:type="dxa"/>
            </w:tcMar>
          </w:tcPr>
          <w:p w14:paraId="277B11F5" w14:textId="77777777" w:rsidR="007E7656" w:rsidRDefault="007E7656" w:rsidP="00312F84"/>
        </w:tc>
      </w:tr>
    </w:tbl>
    <w:p w14:paraId="60B0852B" w14:textId="77777777" w:rsidR="007E7656" w:rsidRDefault="007E7656" w:rsidP="007E7656">
      <w:pPr>
        <w:spacing w:before="40" w:line="288" w:lineRule="auto"/>
        <w:jc w:val="center"/>
        <w:rPr>
          <w:rFonts w:ascii="Arial" w:eastAsia="Arial" w:hAnsi="Arial" w:cs="Arial"/>
          <w:b/>
          <w:sz w:val="16"/>
        </w:rPr>
      </w:pPr>
    </w:p>
    <w:p w14:paraId="6EF19BA2" w14:textId="77777777" w:rsidR="007E7656" w:rsidRDefault="007E7656" w:rsidP="007E7656">
      <w:pPr>
        <w:spacing w:before="180" w:line="288" w:lineRule="auto"/>
        <w:rPr>
          <w:rFonts w:ascii="Arial" w:eastAsia="Arial" w:hAnsi="Arial" w:cs="Arial"/>
          <w:sz w:val="16"/>
        </w:rPr>
      </w:pPr>
      <w:r>
        <w:rPr>
          <w:rFonts w:ascii="Arial" w:eastAsia="Arial" w:hAnsi="Arial" w:cs="Arial"/>
          <w:sz w:val="16"/>
        </w:rPr>
        <w:t>* Using 233.2 M diluted shares</w:t>
      </w:r>
    </w:p>
    <w:p w14:paraId="45EC8DF6" w14:textId="77777777" w:rsidR="007E7656" w:rsidRDefault="007E7656" w:rsidP="007E7656">
      <w:pPr>
        <w:spacing w:before="180" w:line="288" w:lineRule="auto"/>
        <w:rPr>
          <w:rFonts w:ascii="Arial" w:eastAsia="Arial" w:hAnsi="Arial" w:cs="Arial"/>
          <w:sz w:val="16"/>
        </w:rPr>
      </w:pPr>
      <w:r>
        <w:rPr>
          <w:rFonts w:ascii="Arial" w:eastAsia="Arial" w:hAnsi="Arial" w:cs="Arial"/>
          <w:sz w:val="16"/>
        </w:rPr>
        <w:t>Tables may contain rounding differences</w:t>
      </w:r>
    </w:p>
    <w:p w14:paraId="1F0EF6CD" w14:textId="77777777" w:rsidR="007E7656" w:rsidRDefault="007E7656" w:rsidP="007E7656">
      <w:pPr>
        <w:spacing w:line="288" w:lineRule="auto"/>
        <w:jc w:val="center"/>
        <w:rPr>
          <w:rFonts w:ascii="Arial" w:eastAsia="Arial" w:hAnsi="Arial" w:cs="Arial"/>
          <w:b/>
          <w:sz w:val="16"/>
        </w:rPr>
      </w:pPr>
    </w:p>
    <w:p w14:paraId="1C1EE78C" w14:textId="77777777" w:rsidR="007E7656" w:rsidRDefault="007E7656" w:rsidP="007E7656">
      <w:pPr>
        <w:spacing w:before="180" w:line="288" w:lineRule="auto"/>
        <w:rPr>
          <w:rFonts w:ascii="Arial" w:eastAsia="Arial" w:hAnsi="Arial" w:cs="Arial"/>
          <w:sz w:val="16"/>
        </w:rPr>
      </w:pPr>
    </w:p>
    <w:p w14:paraId="68A5ADDD" w14:textId="77777777" w:rsidR="007E7656" w:rsidRDefault="007E7656" w:rsidP="007E7656">
      <w:pPr>
        <w:spacing w:line="288" w:lineRule="auto"/>
        <w:jc w:val="center"/>
        <w:rPr>
          <w:rFonts w:ascii="Arial" w:eastAsia="Arial" w:hAnsi="Arial" w:cs="Arial"/>
          <w:b/>
          <w:sz w:val="16"/>
        </w:rPr>
      </w:pPr>
    </w:p>
    <w:p w14:paraId="370BE67B" w14:textId="77777777" w:rsidR="00454BE4" w:rsidRDefault="00454BE4">
      <w:pPr>
        <w:rPr>
          <w:rFonts w:ascii="Arial" w:eastAsia="Arial" w:hAnsi="Arial" w:cs="Arial"/>
          <w:b/>
          <w:sz w:val="16"/>
        </w:rPr>
      </w:pPr>
      <w:r>
        <w:rPr>
          <w:rFonts w:ascii="Arial" w:eastAsia="Arial" w:hAnsi="Arial" w:cs="Arial"/>
          <w:b/>
          <w:sz w:val="16"/>
        </w:rPr>
        <w:br w:type="page"/>
      </w:r>
    </w:p>
    <w:p w14:paraId="5E95C570" w14:textId="77777777" w:rsidR="007E7656" w:rsidRDefault="00454BE4" w:rsidP="007E7656">
      <w:pPr>
        <w:spacing w:line="288" w:lineRule="auto"/>
        <w:jc w:val="center"/>
        <w:rPr>
          <w:rFonts w:ascii="Arial" w:eastAsia="Arial" w:hAnsi="Arial" w:cs="Arial"/>
          <w:b/>
        </w:rPr>
      </w:pPr>
      <w:r>
        <w:rPr>
          <w:rFonts w:ascii="Arial" w:eastAsia="Arial" w:hAnsi="Arial" w:cs="Arial"/>
          <w:b/>
        </w:rPr>
        <w:t>Q</w:t>
      </w:r>
      <w:r w:rsidR="007E7656">
        <w:rPr>
          <w:rFonts w:ascii="Arial" w:eastAsia="Arial" w:hAnsi="Arial" w:cs="Arial"/>
          <w:b/>
        </w:rPr>
        <w:t>IAGEN N.V.</w:t>
      </w:r>
    </w:p>
    <w:p w14:paraId="32C441D7" w14:textId="77777777" w:rsidR="007E7656" w:rsidRDefault="007E7656" w:rsidP="007E7656">
      <w:pPr>
        <w:spacing w:after="140"/>
        <w:jc w:val="center"/>
        <w:rPr>
          <w:rFonts w:ascii="Arial" w:eastAsia="Arial" w:hAnsi="Arial" w:cs="Arial"/>
          <w:b/>
        </w:rPr>
      </w:pPr>
      <w:r>
        <w:rPr>
          <w:rFonts w:ascii="Arial" w:eastAsia="Arial" w:hAnsi="Arial" w:cs="Arial"/>
          <w:b/>
        </w:rPr>
        <w:t>CONDENSED CONSOLIDATED BALANCE SHEETS</w:t>
      </w:r>
    </w:p>
    <w:tbl>
      <w:tblPr>
        <w:tblW w:w="10240" w:type="dxa"/>
        <w:jc w:val="center"/>
        <w:tblLayout w:type="fixed"/>
        <w:tblCellMar>
          <w:left w:w="10" w:type="dxa"/>
          <w:right w:w="10" w:type="dxa"/>
        </w:tblCellMar>
        <w:tblLook w:val="04A0" w:firstRow="1" w:lastRow="0" w:firstColumn="1" w:lastColumn="0" w:noHBand="0" w:noVBand="1"/>
      </w:tblPr>
      <w:tblGrid>
        <w:gridCol w:w="7440"/>
        <w:gridCol w:w="80"/>
        <w:gridCol w:w="1236"/>
        <w:gridCol w:w="64"/>
        <w:gridCol w:w="80"/>
        <w:gridCol w:w="1276"/>
        <w:gridCol w:w="64"/>
      </w:tblGrid>
      <w:tr w:rsidR="007E7656" w14:paraId="38781DEE" w14:textId="77777777" w:rsidTr="007E7656">
        <w:trPr>
          <w:trHeight w:hRule="exact" w:val="400"/>
          <w:jc w:val="center"/>
        </w:trPr>
        <w:tc>
          <w:tcPr>
            <w:tcW w:w="7440" w:type="dxa"/>
            <w:tcMar>
              <w:left w:w="60" w:type="dxa"/>
              <w:right w:w="40" w:type="dxa"/>
            </w:tcMar>
            <w:vAlign w:val="bottom"/>
          </w:tcPr>
          <w:p w14:paraId="2E1E9B0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 $ thousands, except par value)</w:t>
            </w:r>
          </w:p>
        </w:tc>
        <w:tc>
          <w:tcPr>
            <w:tcW w:w="80" w:type="dxa"/>
            <w:tcMar>
              <w:left w:w="60" w:type="dxa"/>
              <w:right w:w="0" w:type="dxa"/>
            </w:tcMar>
            <w:vAlign w:val="bottom"/>
          </w:tcPr>
          <w:p w14:paraId="672DADFC" w14:textId="77777777" w:rsidR="007E7656" w:rsidRDefault="007E7656" w:rsidP="00312F84">
            <w:pPr>
              <w:keepNext/>
              <w:keepLines/>
              <w:spacing w:before="40" w:after="40"/>
            </w:pPr>
          </w:p>
        </w:tc>
        <w:tc>
          <w:tcPr>
            <w:tcW w:w="1236" w:type="dxa"/>
            <w:gridSpan w:val="2"/>
            <w:tcBorders>
              <w:bottom w:val="single" w:sz="8" w:space="0" w:color="auto"/>
            </w:tcBorders>
            <w:tcMar>
              <w:left w:w="60" w:type="dxa"/>
              <w:right w:w="60" w:type="dxa"/>
            </w:tcMar>
            <w:vAlign w:val="bottom"/>
          </w:tcPr>
          <w:p w14:paraId="5E788BF7"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June 30, 2019</w:t>
            </w:r>
          </w:p>
        </w:tc>
        <w:tc>
          <w:tcPr>
            <w:tcW w:w="80" w:type="dxa"/>
            <w:tcMar>
              <w:left w:w="60" w:type="dxa"/>
              <w:right w:w="0" w:type="dxa"/>
            </w:tcMar>
            <w:vAlign w:val="bottom"/>
          </w:tcPr>
          <w:p w14:paraId="519E6064" w14:textId="77777777" w:rsidR="007E7656" w:rsidRDefault="007E7656" w:rsidP="00312F84">
            <w:pPr>
              <w:keepNext/>
              <w:keepLines/>
              <w:spacing w:before="40" w:after="40"/>
            </w:pPr>
          </w:p>
        </w:tc>
        <w:tc>
          <w:tcPr>
            <w:tcW w:w="1276" w:type="dxa"/>
            <w:gridSpan w:val="2"/>
            <w:tcBorders>
              <w:bottom w:val="single" w:sz="8" w:space="0" w:color="auto"/>
            </w:tcBorders>
            <w:tcMar>
              <w:left w:w="60" w:type="dxa"/>
              <w:right w:w="60" w:type="dxa"/>
            </w:tcMar>
            <w:vAlign w:val="bottom"/>
          </w:tcPr>
          <w:p w14:paraId="43E4B81E"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December 31, 2018</w:t>
            </w:r>
          </w:p>
        </w:tc>
      </w:tr>
      <w:tr w:rsidR="007E7656" w14:paraId="1E9A9457" w14:textId="77777777" w:rsidTr="007E7656">
        <w:trPr>
          <w:trHeight w:hRule="exact" w:val="260"/>
          <w:jc w:val="center"/>
        </w:trPr>
        <w:tc>
          <w:tcPr>
            <w:tcW w:w="7440" w:type="dxa"/>
            <w:tcMar>
              <w:left w:w="60" w:type="dxa"/>
              <w:right w:w="40" w:type="dxa"/>
            </w:tcMar>
          </w:tcPr>
          <w:p w14:paraId="732114CA" w14:textId="77777777" w:rsidR="007E7656" w:rsidRDefault="007E7656" w:rsidP="00312F84">
            <w:pPr>
              <w:keepNext/>
              <w:keepLines/>
              <w:spacing w:before="40" w:after="40"/>
              <w:rPr>
                <w:rFonts w:ascii="Arial" w:eastAsia="Arial" w:hAnsi="Arial" w:cs="Arial"/>
                <w:b/>
                <w:sz w:val="16"/>
              </w:rPr>
            </w:pPr>
            <w:r>
              <w:rPr>
                <w:rFonts w:ascii="Arial" w:eastAsia="Arial" w:hAnsi="Arial" w:cs="Arial"/>
                <w:b/>
                <w:color w:val="000000"/>
                <w:sz w:val="16"/>
              </w:rPr>
              <w:t>Assets</w:t>
            </w:r>
          </w:p>
        </w:tc>
        <w:tc>
          <w:tcPr>
            <w:tcW w:w="80" w:type="dxa"/>
            <w:tcMar>
              <w:left w:w="60" w:type="dxa"/>
              <w:right w:w="0" w:type="dxa"/>
            </w:tcMar>
          </w:tcPr>
          <w:p w14:paraId="572787B6" w14:textId="77777777" w:rsidR="007E7656" w:rsidRDefault="007E7656" w:rsidP="00312F84">
            <w:pPr>
              <w:keepNext/>
              <w:keepLines/>
              <w:spacing w:before="40" w:after="40"/>
            </w:pPr>
          </w:p>
        </w:tc>
        <w:tc>
          <w:tcPr>
            <w:tcW w:w="1236" w:type="dxa"/>
            <w:gridSpan w:val="2"/>
            <w:tcMar>
              <w:left w:w="60" w:type="dxa"/>
              <w:right w:w="60" w:type="dxa"/>
            </w:tcMar>
            <w:vAlign w:val="bottom"/>
          </w:tcPr>
          <w:p w14:paraId="228E348D"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(unaudited)</w:t>
            </w:r>
          </w:p>
        </w:tc>
        <w:tc>
          <w:tcPr>
            <w:tcW w:w="80" w:type="dxa"/>
            <w:tcMar>
              <w:left w:w="60" w:type="dxa"/>
              <w:right w:w="0" w:type="dxa"/>
            </w:tcMar>
            <w:vAlign w:val="bottom"/>
          </w:tcPr>
          <w:p w14:paraId="4482BA1F" w14:textId="77777777" w:rsidR="007E7656" w:rsidRDefault="007E7656" w:rsidP="00312F84">
            <w:pPr>
              <w:keepNext/>
              <w:keepLines/>
              <w:spacing w:before="40" w:after="40"/>
            </w:pPr>
          </w:p>
        </w:tc>
        <w:tc>
          <w:tcPr>
            <w:tcW w:w="1276" w:type="dxa"/>
            <w:gridSpan w:val="2"/>
            <w:tcMar>
              <w:left w:w="60" w:type="dxa"/>
              <w:right w:w="0" w:type="dxa"/>
            </w:tcMar>
            <w:vAlign w:val="bottom"/>
          </w:tcPr>
          <w:p w14:paraId="662B1A3D" w14:textId="77777777" w:rsidR="007E7656" w:rsidRDefault="007E7656" w:rsidP="00312F84">
            <w:pPr>
              <w:keepNext/>
              <w:keepLines/>
              <w:spacing w:before="40" w:after="40"/>
            </w:pPr>
          </w:p>
        </w:tc>
      </w:tr>
      <w:tr w:rsidR="007E7656" w14:paraId="02380329" w14:textId="77777777" w:rsidTr="007E7656">
        <w:trPr>
          <w:trHeight w:hRule="exact" w:val="220"/>
          <w:jc w:val="center"/>
        </w:trPr>
        <w:tc>
          <w:tcPr>
            <w:tcW w:w="7440" w:type="dxa"/>
            <w:tcMar>
              <w:left w:w="60" w:type="dxa"/>
              <w:right w:w="40" w:type="dxa"/>
            </w:tcMar>
          </w:tcPr>
          <w:p w14:paraId="2B39A2F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Current assets:</w:t>
            </w:r>
          </w:p>
        </w:tc>
        <w:tc>
          <w:tcPr>
            <w:tcW w:w="80" w:type="dxa"/>
            <w:tcMar>
              <w:left w:w="60" w:type="dxa"/>
              <w:right w:w="0" w:type="dxa"/>
            </w:tcMar>
          </w:tcPr>
          <w:p w14:paraId="5D2D19D8" w14:textId="77777777" w:rsidR="007E7656" w:rsidRDefault="007E7656" w:rsidP="00312F84">
            <w:pPr>
              <w:keepNext/>
              <w:keepLines/>
              <w:spacing w:before="40" w:after="40"/>
            </w:pPr>
          </w:p>
        </w:tc>
        <w:tc>
          <w:tcPr>
            <w:tcW w:w="1236" w:type="dxa"/>
            <w:gridSpan w:val="2"/>
            <w:tcMar>
              <w:left w:w="60" w:type="dxa"/>
              <w:right w:w="0" w:type="dxa"/>
            </w:tcMar>
            <w:vAlign w:val="bottom"/>
          </w:tcPr>
          <w:p w14:paraId="26455DF2" w14:textId="77777777" w:rsidR="007E7656" w:rsidRDefault="007E7656" w:rsidP="00312F84">
            <w:pPr>
              <w:keepNext/>
              <w:keepLines/>
              <w:spacing w:before="40" w:after="40"/>
            </w:pPr>
          </w:p>
        </w:tc>
        <w:tc>
          <w:tcPr>
            <w:tcW w:w="80" w:type="dxa"/>
            <w:tcMar>
              <w:left w:w="60" w:type="dxa"/>
              <w:right w:w="0" w:type="dxa"/>
            </w:tcMar>
            <w:vAlign w:val="bottom"/>
          </w:tcPr>
          <w:p w14:paraId="4E31C4A9" w14:textId="77777777" w:rsidR="007E7656" w:rsidRDefault="007E7656" w:rsidP="00312F84">
            <w:pPr>
              <w:keepNext/>
              <w:keepLines/>
              <w:spacing w:before="40" w:after="40"/>
            </w:pPr>
          </w:p>
        </w:tc>
        <w:tc>
          <w:tcPr>
            <w:tcW w:w="1276" w:type="dxa"/>
            <w:gridSpan w:val="2"/>
            <w:tcMar>
              <w:left w:w="60" w:type="dxa"/>
              <w:right w:w="0" w:type="dxa"/>
            </w:tcMar>
            <w:vAlign w:val="bottom"/>
          </w:tcPr>
          <w:p w14:paraId="665266A0" w14:textId="77777777" w:rsidR="007E7656" w:rsidRDefault="007E7656" w:rsidP="00312F84">
            <w:pPr>
              <w:keepNext/>
              <w:keepLines/>
              <w:spacing w:before="40" w:after="40"/>
            </w:pPr>
          </w:p>
        </w:tc>
      </w:tr>
      <w:tr w:rsidR="007E7656" w14:paraId="6D1B2DA1" w14:textId="77777777" w:rsidTr="00312F84">
        <w:trPr>
          <w:trHeight w:hRule="exact" w:val="260"/>
          <w:jc w:val="center"/>
        </w:trPr>
        <w:tc>
          <w:tcPr>
            <w:tcW w:w="7440" w:type="dxa"/>
            <w:tcMar>
              <w:left w:w="420" w:type="dxa"/>
              <w:right w:w="40" w:type="dxa"/>
            </w:tcMar>
          </w:tcPr>
          <w:p w14:paraId="39DDF91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and cash equivalents</w:t>
            </w:r>
          </w:p>
        </w:tc>
        <w:tc>
          <w:tcPr>
            <w:tcW w:w="80" w:type="dxa"/>
            <w:tcMar>
              <w:left w:w="0" w:type="dxa"/>
              <w:right w:w="0" w:type="dxa"/>
            </w:tcMar>
          </w:tcPr>
          <w:p w14:paraId="13AA9060" w14:textId="77777777" w:rsidR="007E7656" w:rsidRDefault="007E7656" w:rsidP="00312F84">
            <w:pPr>
              <w:keepNext/>
              <w:keepLines/>
              <w:spacing w:before="40" w:after="40"/>
            </w:pPr>
          </w:p>
        </w:tc>
        <w:tc>
          <w:tcPr>
            <w:tcW w:w="1236" w:type="dxa"/>
            <w:tcMar>
              <w:left w:w="0" w:type="dxa"/>
              <w:right w:w="0" w:type="dxa"/>
            </w:tcMar>
            <w:vAlign w:val="bottom"/>
          </w:tcPr>
          <w:p w14:paraId="11717E4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624,616</w:t>
            </w:r>
          </w:p>
        </w:tc>
        <w:tc>
          <w:tcPr>
            <w:tcW w:w="64" w:type="dxa"/>
            <w:tcMar>
              <w:left w:w="0" w:type="dxa"/>
              <w:right w:w="0" w:type="dxa"/>
            </w:tcMar>
          </w:tcPr>
          <w:p w14:paraId="4A05531D" w14:textId="77777777" w:rsidR="007E7656" w:rsidRDefault="007E7656" w:rsidP="00312F84"/>
        </w:tc>
        <w:tc>
          <w:tcPr>
            <w:tcW w:w="80" w:type="dxa"/>
            <w:tcMar>
              <w:left w:w="0" w:type="dxa"/>
              <w:right w:w="60" w:type="dxa"/>
            </w:tcMar>
            <w:vAlign w:val="bottom"/>
          </w:tcPr>
          <w:p w14:paraId="49524EA9" w14:textId="77777777" w:rsidR="007E7656" w:rsidRDefault="007E7656" w:rsidP="00312F84">
            <w:pPr>
              <w:keepNext/>
              <w:keepLines/>
              <w:spacing w:before="40" w:after="40"/>
            </w:pPr>
          </w:p>
        </w:tc>
        <w:tc>
          <w:tcPr>
            <w:tcW w:w="1276" w:type="dxa"/>
            <w:tcMar>
              <w:left w:w="0" w:type="dxa"/>
              <w:right w:w="0" w:type="dxa"/>
            </w:tcMar>
            <w:vAlign w:val="bottom"/>
          </w:tcPr>
          <w:p w14:paraId="75A07C0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1,159,079</w:t>
            </w:r>
          </w:p>
        </w:tc>
        <w:tc>
          <w:tcPr>
            <w:tcW w:w="64" w:type="dxa"/>
            <w:tcMar>
              <w:left w:w="0" w:type="dxa"/>
              <w:right w:w="0" w:type="dxa"/>
            </w:tcMar>
          </w:tcPr>
          <w:p w14:paraId="28C372E3" w14:textId="77777777" w:rsidR="007E7656" w:rsidRDefault="007E7656" w:rsidP="00312F84"/>
        </w:tc>
      </w:tr>
      <w:tr w:rsidR="007E7656" w14:paraId="3E994DF7" w14:textId="77777777" w:rsidTr="00312F84">
        <w:trPr>
          <w:trHeight w:hRule="exact" w:val="260"/>
          <w:jc w:val="center"/>
        </w:trPr>
        <w:tc>
          <w:tcPr>
            <w:tcW w:w="7440" w:type="dxa"/>
            <w:tcMar>
              <w:left w:w="420" w:type="dxa"/>
              <w:right w:w="40" w:type="dxa"/>
            </w:tcMar>
          </w:tcPr>
          <w:p w14:paraId="46B2580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Short-term investments</w:t>
            </w:r>
          </w:p>
        </w:tc>
        <w:tc>
          <w:tcPr>
            <w:tcW w:w="80" w:type="dxa"/>
            <w:tcMar>
              <w:left w:w="0" w:type="dxa"/>
              <w:right w:w="0" w:type="dxa"/>
            </w:tcMar>
          </w:tcPr>
          <w:p w14:paraId="42E8A731" w14:textId="77777777" w:rsidR="007E7656" w:rsidRDefault="007E7656" w:rsidP="00312F84">
            <w:pPr>
              <w:keepNext/>
              <w:keepLines/>
              <w:spacing w:before="40" w:after="40"/>
            </w:pPr>
          </w:p>
        </w:tc>
        <w:tc>
          <w:tcPr>
            <w:tcW w:w="1236" w:type="dxa"/>
            <w:tcMar>
              <w:left w:w="0" w:type="dxa"/>
              <w:right w:w="0" w:type="dxa"/>
            </w:tcMar>
            <w:vAlign w:val="bottom"/>
          </w:tcPr>
          <w:p w14:paraId="7262CCA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161,344</w:t>
            </w:r>
          </w:p>
        </w:tc>
        <w:tc>
          <w:tcPr>
            <w:tcW w:w="64" w:type="dxa"/>
            <w:tcMar>
              <w:left w:w="0" w:type="dxa"/>
              <w:right w:w="0" w:type="dxa"/>
            </w:tcMar>
          </w:tcPr>
          <w:p w14:paraId="53530CCC" w14:textId="77777777" w:rsidR="007E7656" w:rsidRDefault="007E7656" w:rsidP="00312F84"/>
        </w:tc>
        <w:tc>
          <w:tcPr>
            <w:tcW w:w="80" w:type="dxa"/>
            <w:tcMar>
              <w:left w:w="0" w:type="dxa"/>
              <w:right w:w="60" w:type="dxa"/>
            </w:tcMar>
            <w:vAlign w:val="bottom"/>
          </w:tcPr>
          <w:p w14:paraId="341EC301" w14:textId="77777777" w:rsidR="007E7656" w:rsidRDefault="007E7656" w:rsidP="00312F84">
            <w:pPr>
              <w:keepNext/>
              <w:keepLines/>
              <w:spacing w:before="40" w:after="40"/>
            </w:pPr>
          </w:p>
        </w:tc>
        <w:tc>
          <w:tcPr>
            <w:tcW w:w="1276" w:type="dxa"/>
            <w:tcMar>
              <w:left w:w="0" w:type="dxa"/>
              <w:right w:w="0" w:type="dxa"/>
            </w:tcMar>
            <w:vAlign w:val="bottom"/>
          </w:tcPr>
          <w:p w14:paraId="1B2BCF7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234,606</w:t>
            </w:r>
          </w:p>
        </w:tc>
        <w:tc>
          <w:tcPr>
            <w:tcW w:w="64" w:type="dxa"/>
            <w:tcMar>
              <w:left w:w="0" w:type="dxa"/>
              <w:right w:w="0" w:type="dxa"/>
            </w:tcMar>
          </w:tcPr>
          <w:p w14:paraId="7AC3A4E1" w14:textId="77777777" w:rsidR="007E7656" w:rsidRDefault="007E7656" w:rsidP="00312F84"/>
        </w:tc>
      </w:tr>
      <w:tr w:rsidR="007E7656" w14:paraId="623B7560" w14:textId="77777777" w:rsidTr="00312F84">
        <w:trPr>
          <w:trHeight w:hRule="exact" w:val="260"/>
          <w:jc w:val="center"/>
        </w:trPr>
        <w:tc>
          <w:tcPr>
            <w:tcW w:w="7440" w:type="dxa"/>
            <w:tcMar>
              <w:left w:w="420" w:type="dxa"/>
              <w:right w:w="40" w:type="dxa"/>
            </w:tcMar>
          </w:tcPr>
          <w:p w14:paraId="1A50CAE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Accounts receivable, net</w:t>
            </w:r>
          </w:p>
        </w:tc>
        <w:tc>
          <w:tcPr>
            <w:tcW w:w="80" w:type="dxa"/>
            <w:tcMar>
              <w:left w:w="0" w:type="dxa"/>
              <w:right w:w="0" w:type="dxa"/>
            </w:tcMar>
          </w:tcPr>
          <w:p w14:paraId="288404E3" w14:textId="77777777" w:rsidR="007E7656" w:rsidRDefault="007E7656" w:rsidP="00312F84">
            <w:pPr>
              <w:keepNext/>
              <w:keepLines/>
              <w:spacing w:before="40" w:after="40"/>
            </w:pPr>
          </w:p>
        </w:tc>
        <w:tc>
          <w:tcPr>
            <w:tcW w:w="1236" w:type="dxa"/>
            <w:tcMar>
              <w:left w:w="0" w:type="dxa"/>
              <w:right w:w="0" w:type="dxa"/>
            </w:tcMar>
            <w:vAlign w:val="bottom"/>
          </w:tcPr>
          <w:p w14:paraId="6BBC489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364,891</w:t>
            </w:r>
          </w:p>
        </w:tc>
        <w:tc>
          <w:tcPr>
            <w:tcW w:w="64" w:type="dxa"/>
            <w:tcMar>
              <w:left w:w="0" w:type="dxa"/>
              <w:right w:w="0" w:type="dxa"/>
            </w:tcMar>
          </w:tcPr>
          <w:p w14:paraId="31389CD2" w14:textId="77777777" w:rsidR="007E7656" w:rsidRDefault="007E7656" w:rsidP="00312F84"/>
        </w:tc>
        <w:tc>
          <w:tcPr>
            <w:tcW w:w="80" w:type="dxa"/>
            <w:tcMar>
              <w:left w:w="0" w:type="dxa"/>
              <w:right w:w="60" w:type="dxa"/>
            </w:tcMar>
            <w:vAlign w:val="bottom"/>
          </w:tcPr>
          <w:p w14:paraId="63E4FC54" w14:textId="77777777" w:rsidR="007E7656" w:rsidRDefault="007E7656" w:rsidP="00312F84">
            <w:pPr>
              <w:keepNext/>
              <w:keepLines/>
              <w:spacing w:before="40" w:after="40"/>
            </w:pPr>
          </w:p>
        </w:tc>
        <w:tc>
          <w:tcPr>
            <w:tcW w:w="1276" w:type="dxa"/>
            <w:tcMar>
              <w:left w:w="0" w:type="dxa"/>
              <w:right w:w="0" w:type="dxa"/>
            </w:tcMar>
            <w:vAlign w:val="bottom"/>
          </w:tcPr>
          <w:p w14:paraId="62B10CC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351,612</w:t>
            </w:r>
          </w:p>
        </w:tc>
        <w:tc>
          <w:tcPr>
            <w:tcW w:w="64" w:type="dxa"/>
            <w:tcMar>
              <w:left w:w="0" w:type="dxa"/>
              <w:right w:w="0" w:type="dxa"/>
            </w:tcMar>
          </w:tcPr>
          <w:p w14:paraId="3D438469" w14:textId="77777777" w:rsidR="007E7656" w:rsidRDefault="007E7656" w:rsidP="00312F84"/>
        </w:tc>
      </w:tr>
      <w:tr w:rsidR="007E7656" w14:paraId="42BA5195" w14:textId="77777777" w:rsidTr="00312F84">
        <w:trPr>
          <w:trHeight w:hRule="exact" w:val="260"/>
          <w:jc w:val="center"/>
        </w:trPr>
        <w:tc>
          <w:tcPr>
            <w:tcW w:w="7440" w:type="dxa"/>
            <w:tcMar>
              <w:left w:w="420" w:type="dxa"/>
              <w:right w:w="40" w:type="dxa"/>
            </w:tcMar>
          </w:tcPr>
          <w:p w14:paraId="1E12DDC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Income taxes receivable</w:t>
            </w:r>
          </w:p>
        </w:tc>
        <w:tc>
          <w:tcPr>
            <w:tcW w:w="80" w:type="dxa"/>
            <w:tcMar>
              <w:left w:w="0" w:type="dxa"/>
              <w:right w:w="0" w:type="dxa"/>
            </w:tcMar>
          </w:tcPr>
          <w:p w14:paraId="54D32FCD" w14:textId="77777777" w:rsidR="007E7656" w:rsidRDefault="007E7656" w:rsidP="00312F84">
            <w:pPr>
              <w:keepNext/>
              <w:keepLines/>
              <w:spacing w:before="40" w:after="40"/>
            </w:pPr>
          </w:p>
        </w:tc>
        <w:tc>
          <w:tcPr>
            <w:tcW w:w="1236" w:type="dxa"/>
            <w:tcMar>
              <w:left w:w="0" w:type="dxa"/>
              <w:right w:w="0" w:type="dxa"/>
            </w:tcMar>
            <w:vAlign w:val="bottom"/>
          </w:tcPr>
          <w:p w14:paraId="44DDA5C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51,700</w:t>
            </w:r>
          </w:p>
        </w:tc>
        <w:tc>
          <w:tcPr>
            <w:tcW w:w="64" w:type="dxa"/>
            <w:tcMar>
              <w:left w:w="0" w:type="dxa"/>
              <w:right w:w="0" w:type="dxa"/>
            </w:tcMar>
          </w:tcPr>
          <w:p w14:paraId="062CFEF6" w14:textId="77777777" w:rsidR="007E7656" w:rsidRDefault="007E7656" w:rsidP="00312F84"/>
        </w:tc>
        <w:tc>
          <w:tcPr>
            <w:tcW w:w="80" w:type="dxa"/>
            <w:tcMar>
              <w:left w:w="0" w:type="dxa"/>
              <w:right w:w="60" w:type="dxa"/>
            </w:tcMar>
            <w:vAlign w:val="bottom"/>
          </w:tcPr>
          <w:p w14:paraId="073DE409" w14:textId="77777777" w:rsidR="007E7656" w:rsidRDefault="007E7656" w:rsidP="00312F84">
            <w:pPr>
              <w:keepNext/>
              <w:keepLines/>
              <w:spacing w:before="40" w:after="40"/>
            </w:pPr>
          </w:p>
        </w:tc>
        <w:tc>
          <w:tcPr>
            <w:tcW w:w="1276" w:type="dxa"/>
            <w:tcMar>
              <w:left w:w="0" w:type="dxa"/>
              <w:right w:w="0" w:type="dxa"/>
            </w:tcMar>
            <w:vAlign w:val="bottom"/>
          </w:tcPr>
          <w:p w14:paraId="6C61D76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34,936</w:t>
            </w:r>
          </w:p>
        </w:tc>
        <w:tc>
          <w:tcPr>
            <w:tcW w:w="64" w:type="dxa"/>
            <w:tcMar>
              <w:left w:w="0" w:type="dxa"/>
              <w:right w:w="0" w:type="dxa"/>
            </w:tcMar>
          </w:tcPr>
          <w:p w14:paraId="0090813A" w14:textId="77777777" w:rsidR="007E7656" w:rsidRDefault="007E7656" w:rsidP="00312F84"/>
        </w:tc>
      </w:tr>
      <w:tr w:rsidR="007E7656" w14:paraId="4FE0AF32" w14:textId="77777777" w:rsidTr="00312F84">
        <w:trPr>
          <w:trHeight w:hRule="exact" w:val="260"/>
          <w:jc w:val="center"/>
        </w:trPr>
        <w:tc>
          <w:tcPr>
            <w:tcW w:w="7440" w:type="dxa"/>
            <w:tcMar>
              <w:left w:w="420" w:type="dxa"/>
              <w:right w:w="40" w:type="dxa"/>
            </w:tcMar>
          </w:tcPr>
          <w:p w14:paraId="00D88DD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Inventories, net</w:t>
            </w:r>
          </w:p>
        </w:tc>
        <w:tc>
          <w:tcPr>
            <w:tcW w:w="80" w:type="dxa"/>
            <w:tcMar>
              <w:left w:w="0" w:type="dxa"/>
              <w:right w:w="0" w:type="dxa"/>
            </w:tcMar>
          </w:tcPr>
          <w:p w14:paraId="0EC6EFDD" w14:textId="77777777" w:rsidR="007E7656" w:rsidRDefault="007E7656" w:rsidP="00312F84">
            <w:pPr>
              <w:keepNext/>
              <w:keepLines/>
              <w:spacing w:before="40" w:after="40"/>
            </w:pPr>
          </w:p>
        </w:tc>
        <w:tc>
          <w:tcPr>
            <w:tcW w:w="1236" w:type="dxa"/>
            <w:tcMar>
              <w:left w:w="0" w:type="dxa"/>
              <w:right w:w="0" w:type="dxa"/>
            </w:tcMar>
            <w:vAlign w:val="bottom"/>
          </w:tcPr>
          <w:p w14:paraId="00ECBAF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169,520</w:t>
            </w:r>
          </w:p>
        </w:tc>
        <w:tc>
          <w:tcPr>
            <w:tcW w:w="64" w:type="dxa"/>
            <w:tcMar>
              <w:left w:w="0" w:type="dxa"/>
              <w:right w:w="0" w:type="dxa"/>
            </w:tcMar>
          </w:tcPr>
          <w:p w14:paraId="14CC83BC" w14:textId="77777777" w:rsidR="007E7656" w:rsidRDefault="007E7656" w:rsidP="00312F84"/>
        </w:tc>
        <w:tc>
          <w:tcPr>
            <w:tcW w:w="80" w:type="dxa"/>
            <w:tcMar>
              <w:left w:w="0" w:type="dxa"/>
              <w:right w:w="60" w:type="dxa"/>
            </w:tcMar>
            <w:vAlign w:val="bottom"/>
          </w:tcPr>
          <w:p w14:paraId="04E68CC5" w14:textId="77777777" w:rsidR="007E7656" w:rsidRDefault="007E7656" w:rsidP="00312F84">
            <w:pPr>
              <w:keepNext/>
              <w:keepLines/>
              <w:spacing w:before="40" w:after="40"/>
            </w:pPr>
          </w:p>
        </w:tc>
        <w:tc>
          <w:tcPr>
            <w:tcW w:w="1276" w:type="dxa"/>
            <w:tcMar>
              <w:left w:w="0" w:type="dxa"/>
              <w:right w:w="0" w:type="dxa"/>
            </w:tcMar>
            <w:vAlign w:val="bottom"/>
          </w:tcPr>
          <w:p w14:paraId="1BB3112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162,912</w:t>
            </w:r>
          </w:p>
        </w:tc>
        <w:tc>
          <w:tcPr>
            <w:tcW w:w="64" w:type="dxa"/>
            <w:tcMar>
              <w:left w:w="0" w:type="dxa"/>
              <w:right w:w="0" w:type="dxa"/>
            </w:tcMar>
          </w:tcPr>
          <w:p w14:paraId="3FA59F65" w14:textId="77777777" w:rsidR="007E7656" w:rsidRDefault="007E7656" w:rsidP="00312F84"/>
        </w:tc>
      </w:tr>
      <w:tr w:rsidR="007E7656" w14:paraId="63908BEF" w14:textId="77777777" w:rsidTr="00312F84">
        <w:trPr>
          <w:trHeight w:hRule="exact" w:val="260"/>
          <w:jc w:val="center"/>
        </w:trPr>
        <w:tc>
          <w:tcPr>
            <w:tcW w:w="7440" w:type="dxa"/>
            <w:tcMar>
              <w:left w:w="420" w:type="dxa"/>
              <w:right w:w="40" w:type="dxa"/>
            </w:tcMar>
          </w:tcPr>
          <w:p w14:paraId="79ADF24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Fair value of derivative instruments - current</w:t>
            </w:r>
          </w:p>
        </w:tc>
        <w:tc>
          <w:tcPr>
            <w:tcW w:w="80" w:type="dxa"/>
            <w:tcMar>
              <w:left w:w="0" w:type="dxa"/>
              <w:right w:w="0" w:type="dxa"/>
            </w:tcMar>
          </w:tcPr>
          <w:p w14:paraId="21342A7E" w14:textId="77777777" w:rsidR="007E7656" w:rsidRDefault="007E7656" w:rsidP="00312F84">
            <w:pPr>
              <w:keepNext/>
              <w:keepLines/>
              <w:spacing w:before="40" w:after="40"/>
            </w:pPr>
          </w:p>
        </w:tc>
        <w:tc>
          <w:tcPr>
            <w:tcW w:w="1236" w:type="dxa"/>
            <w:tcMar>
              <w:left w:w="0" w:type="dxa"/>
              <w:right w:w="0" w:type="dxa"/>
            </w:tcMar>
            <w:vAlign w:val="bottom"/>
          </w:tcPr>
          <w:p w14:paraId="694EED2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145,811</w:t>
            </w:r>
          </w:p>
        </w:tc>
        <w:tc>
          <w:tcPr>
            <w:tcW w:w="64" w:type="dxa"/>
            <w:tcMar>
              <w:left w:w="0" w:type="dxa"/>
              <w:right w:w="0" w:type="dxa"/>
            </w:tcMar>
          </w:tcPr>
          <w:p w14:paraId="13EBDE29" w14:textId="77777777" w:rsidR="007E7656" w:rsidRDefault="007E7656" w:rsidP="00312F84"/>
        </w:tc>
        <w:tc>
          <w:tcPr>
            <w:tcW w:w="80" w:type="dxa"/>
            <w:tcMar>
              <w:left w:w="0" w:type="dxa"/>
              <w:right w:w="60" w:type="dxa"/>
            </w:tcMar>
            <w:vAlign w:val="bottom"/>
          </w:tcPr>
          <w:p w14:paraId="5AB69632" w14:textId="77777777" w:rsidR="007E7656" w:rsidRDefault="007E7656" w:rsidP="00312F84">
            <w:pPr>
              <w:keepNext/>
              <w:keepLines/>
              <w:spacing w:before="40" w:after="40"/>
            </w:pPr>
          </w:p>
        </w:tc>
        <w:tc>
          <w:tcPr>
            <w:tcW w:w="1276" w:type="dxa"/>
            <w:tcMar>
              <w:left w:w="0" w:type="dxa"/>
              <w:right w:w="0" w:type="dxa"/>
            </w:tcMar>
            <w:vAlign w:val="bottom"/>
          </w:tcPr>
          <w:p w14:paraId="29ACEB0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102,754</w:t>
            </w:r>
          </w:p>
        </w:tc>
        <w:tc>
          <w:tcPr>
            <w:tcW w:w="64" w:type="dxa"/>
            <w:tcMar>
              <w:left w:w="0" w:type="dxa"/>
              <w:right w:w="0" w:type="dxa"/>
            </w:tcMar>
          </w:tcPr>
          <w:p w14:paraId="69C271B1" w14:textId="77777777" w:rsidR="007E7656" w:rsidRDefault="007E7656" w:rsidP="00312F84"/>
        </w:tc>
      </w:tr>
      <w:tr w:rsidR="007E7656" w14:paraId="529EB6F9" w14:textId="77777777" w:rsidTr="00312F84">
        <w:trPr>
          <w:trHeight w:hRule="exact" w:val="260"/>
          <w:jc w:val="center"/>
        </w:trPr>
        <w:tc>
          <w:tcPr>
            <w:tcW w:w="7440" w:type="dxa"/>
            <w:tcMar>
              <w:left w:w="420" w:type="dxa"/>
              <w:right w:w="40" w:type="dxa"/>
            </w:tcMar>
          </w:tcPr>
          <w:p w14:paraId="3B553A9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Prepaid expenses and other current assets</w:t>
            </w:r>
          </w:p>
        </w:tc>
        <w:tc>
          <w:tcPr>
            <w:tcW w:w="80" w:type="dxa"/>
            <w:tcMar>
              <w:left w:w="0" w:type="dxa"/>
              <w:right w:w="0" w:type="dxa"/>
            </w:tcMar>
          </w:tcPr>
          <w:p w14:paraId="4FB5D334" w14:textId="77777777" w:rsidR="007E7656" w:rsidRDefault="007E7656" w:rsidP="00312F84">
            <w:pPr>
              <w:keepNext/>
              <w:keepLines/>
              <w:spacing w:before="40" w:after="40"/>
            </w:pPr>
          </w:p>
        </w:tc>
        <w:tc>
          <w:tcPr>
            <w:tcW w:w="1236" w:type="dxa"/>
            <w:tcMar>
              <w:left w:w="0" w:type="dxa"/>
              <w:right w:w="0" w:type="dxa"/>
            </w:tcMar>
            <w:vAlign w:val="bottom"/>
          </w:tcPr>
          <w:p w14:paraId="0D7440A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96,352</w:t>
            </w:r>
          </w:p>
        </w:tc>
        <w:tc>
          <w:tcPr>
            <w:tcW w:w="64" w:type="dxa"/>
            <w:tcMar>
              <w:left w:w="0" w:type="dxa"/>
              <w:right w:w="0" w:type="dxa"/>
            </w:tcMar>
          </w:tcPr>
          <w:p w14:paraId="3FE0A9BF" w14:textId="77777777" w:rsidR="007E7656" w:rsidRDefault="007E7656" w:rsidP="00312F84"/>
        </w:tc>
        <w:tc>
          <w:tcPr>
            <w:tcW w:w="80" w:type="dxa"/>
            <w:tcMar>
              <w:left w:w="0" w:type="dxa"/>
              <w:right w:w="60" w:type="dxa"/>
            </w:tcMar>
            <w:vAlign w:val="bottom"/>
          </w:tcPr>
          <w:p w14:paraId="28DCD9E2" w14:textId="77777777" w:rsidR="007E7656" w:rsidRDefault="007E7656" w:rsidP="00312F84">
            <w:pPr>
              <w:keepNext/>
              <w:keepLines/>
              <w:spacing w:before="40" w:after="40"/>
            </w:pPr>
          </w:p>
        </w:tc>
        <w:tc>
          <w:tcPr>
            <w:tcW w:w="1276" w:type="dxa"/>
            <w:tcMar>
              <w:left w:w="0" w:type="dxa"/>
              <w:right w:w="0" w:type="dxa"/>
            </w:tcMar>
            <w:vAlign w:val="bottom"/>
          </w:tcPr>
          <w:p w14:paraId="3B9F703E"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109,161</w:t>
            </w:r>
          </w:p>
        </w:tc>
        <w:tc>
          <w:tcPr>
            <w:tcW w:w="64" w:type="dxa"/>
            <w:tcMar>
              <w:left w:w="0" w:type="dxa"/>
              <w:right w:w="0" w:type="dxa"/>
            </w:tcMar>
          </w:tcPr>
          <w:p w14:paraId="6EA1DCC0" w14:textId="77777777" w:rsidR="007E7656" w:rsidRDefault="007E7656" w:rsidP="00312F84"/>
        </w:tc>
      </w:tr>
      <w:tr w:rsidR="007E7656" w14:paraId="2A420D2E" w14:textId="77777777" w:rsidTr="00312F84">
        <w:trPr>
          <w:trHeight w:hRule="exact" w:val="260"/>
          <w:jc w:val="center"/>
        </w:trPr>
        <w:tc>
          <w:tcPr>
            <w:tcW w:w="7440" w:type="dxa"/>
            <w:tcMar>
              <w:left w:w="60" w:type="dxa"/>
              <w:right w:w="40" w:type="dxa"/>
            </w:tcMar>
          </w:tcPr>
          <w:p w14:paraId="2DDE46C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current assets</w:t>
            </w:r>
          </w:p>
        </w:tc>
        <w:tc>
          <w:tcPr>
            <w:tcW w:w="80" w:type="dxa"/>
            <w:tcMar>
              <w:left w:w="60" w:type="dxa"/>
              <w:right w:w="0" w:type="dxa"/>
            </w:tcMar>
          </w:tcPr>
          <w:p w14:paraId="434EDFDE" w14:textId="77777777" w:rsidR="007E7656" w:rsidRDefault="007E7656" w:rsidP="00312F84">
            <w:pPr>
              <w:keepNext/>
              <w:keepLines/>
              <w:spacing w:before="40" w:after="40"/>
            </w:pPr>
          </w:p>
        </w:tc>
        <w:tc>
          <w:tcPr>
            <w:tcW w:w="1236" w:type="dxa"/>
            <w:tcBorders>
              <w:top w:val="single" w:sz="8" w:space="0" w:color="auto"/>
              <w:bottom w:val="single" w:sz="8" w:space="0" w:color="auto"/>
            </w:tcBorders>
            <w:tcMar>
              <w:left w:w="0" w:type="dxa"/>
              <w:right w:w="0" w:type="dxa"/>
            </w:tcMar>
            <w:vAlign w:val="bottom"/>
          </w:tcPr>
          <w:p w14:paraId="43EF26B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1,614,234</w:t>
            </w:r>
          </w:p>
        </w:tc>
        <w:tc>
          <w:tcPr>
            <w:tcW w:w="64" w:type="dxa"/>
            <w:tcBorders>
              <w:top w:val="single" w:sz="8" w:space="0" w:color="auto"/>
              <w:bottom w:val="single" w:sz="8" w:space="0" w:color="auto"/>
            </w:tcBorders>
            <w:tcMar>
              <w:left w:w="0" w:type="dxa"/>
              <w:right w:w="0" w:type="dxa"/>
            </w:tcMar>
          </w:tcPr>
          <w:p w14:paraId="48ADC107" w14:textId="77777777" w:rsidR="007E7656" w:rsidRDefault="007E7656" w:rsidP="00312F84"/>
        </w:tc>
        <w:tc>
          <w:tcPr>
            <w:tcW w:w="80" w:type="dxa"/>
            <w:tcMar>
              <w:left w:w="0" w:type="dxa"/>
              <w:right w:w="60" w:type="dxa"/>
            </w:tcMar>
            <w:vAlign w:val="bottom"/>
          </w:tcPr>
          <w:p w14:paraId="4CD3155D" w14:textId="77777777" w:rsidR="007E7656" w:rsidRDefault="007E7656" w:rsidP="00312F84">
            <w:pPr>
              <w:keepNext/>
              <w:keepLines/>
              <w:spacing w:before="40" w:after="40"/>
            </w:pPr>
          </w:p>
        </w:tc>
        <w:tc>
          <w:tcPr>
            <w:tcW w:w="1276" w:type="dxa"/>
            <w:tcBorders>
              <w:top w:val="single" w:sz="8" w:space="0" w:color="auto"/>
              <w:bottom w:val="single" w:sz="8" w:space="0" w:color="auto"/>
            </w:tcBorders>
            <w:tcMar>
              <w:left w:w="0" w:type="dxa"/>
              <w:right w:w="0" w:type="dxa"/>
            </w:tcMar>
            <w:vAlign w:val="bottom"/>
          </w:tcPr>
          <w:p w14:paraId="58E7793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2,155,060</w:t>
            </w:r>
          </w:p>
        </w:tc>
        <w:tc>
          <w:tcPr>
            <w:tcW w:w="64" w:type="dxa"/>
            <w:tcBorders>
              <w:top w:val="single" w:sz="8" w:space="0" w:color="auto"/>
              <w:bottom w:val="single" w:sz="8" w:space="0" w:color="auto"/>
            </w:tcBorders>
            <w:tcMar>
              <w:left w:w="0" w:type="dxa"/>
              <w:right w:w="0" w:type="dxa"/>
            </w:tcMar>
          </w:tcPr>
          <w:p w14:paraId="4322D494" w14:textId="77777777" w:rsidR="007E7656" w:rsidRDefault="007E7656" w:rsidP="00312F84"/>
        </w:tc>
      </w:tr>
      <w:tr w:rsidR="007E7656" w14:paraId="1D6155ED" w14:textId="77777777" w:rsidTr="007E7656">
        <w:trPr>
          <w:trHeight w:hRule="exact" w:val="220"/>
          <w:jc w:val="center"/>
        </w:trPr>
        <w:tc>
          <w:tcPr>
            <w:tcW w:w="7440" w:type="dxa"/>
            <w:tcMar>
              <w:left w:w="60" w:type="dxa"/>
              <w:right w:w="40" w:type="dxa"/>
            </w:tcMar>
          </w:tcPr>
          <w:p w14:paraId="4300684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Long-term assets:</w:t>
            </w:r>
          </w:p>
        </w:tc>
        <w:tc>
          <w:tcPr>
            <w:tcW w:w="80" w:type="dxa"/>
            <w:tcMar>
              <w:left w:w="60" w:type="dxa"/>
              <w:right w:w="0" w:type="dxa"/>
            </w:tcMar>
          </w:tcPr>
          <w:p w14:paraId="01ACC848" w14:textId="77777777" w:rsidR="007E7656" w:rsidRDefault="007E7656" w:rsidP="00312F84">
            <w:pPr>
              <w:keepNext/>
              <w:keepLines/>
              <w:spacing w:before="40" w:after="40"/>
            </w:pPr>
          </w:p>
        </w:tc>
        <w:tc>
          <w:tcPr>
            <w:tcW w:w="1236" w:type="dxa"/>
            <w:gridSpan w:val="2"/>
            <w:tcMar>
              <w:left w:w="60" w:type="dxa"/>
              <w:right w:w="0" w:type="dxa"/>
            </w:tcMar>
            <w:vAlign w:val="bottom"/>
          </w:tcPr>
          <w:p w14:paraId="5C8C21E2" w14:textId="77777777" w:rsidR="007E7656" w:rsidRDefault="007E7656" w:rsidP="00312F84">
            <w:pPr>
              <w:keepNext/>
              <w:keepLines/>
              <w:spacing w:before="40" w:after="40"/>
            </w:pPr>
          </w:p>
        </w:tc>
        <w:tc>
          <w:tcPr>
            <w:tcW w:w="80" w:type="dxa"/>
            <w:tcMar>
              <w:left w:w="60" w:type="dxa"/>
              <w:right w:w="0" w:type="dxa"/>
            </w:tcMar>
            <w:vAlign w:val="bottom"/>
          </w:tcPr>
          <w:p w14:paraId="06FCCFFF" w14:textId="77777777" w:rsidR="007E7656" w:rsidRDefault="007E7656" w:rsidP="00312F84">
            <w:pPr>
              <w:keepNext/>
              <w:keepLines/>
              <w:spacing w:before="40" w:after="40"/>
            </w:pPr>
          </w:p>
        </w:tc>
        <w:tc>
          <w:tcPr>
            <w:tcW w:w="1276" w:type="dxa"/>
            <w:gridSpan w:val="2"/>
            <w:tcMar>
              <w:left w:w="60" w:type="dxa"/>
              <w:right w:w="0" w:type="dxa"/>
            </w:tcMar>
            <w:vAlign w:val="bottom"/>
          </w:tcPr>
          <w:p w14:paraId="2BC41B8A" w14:textId="77777777" w:rsidR="007E7656" w:rsidRDefault="007E7656" w:rsidP="00312F84">
            <w:pPr>
              <w:keepNext/>
              <w:keepLines/>
              <w:spacing w:before="40" w:after="40"/>
            </w:pPr>
          </w:p>
        </w:tc>
      </w:tr>
      <w:tr w:rsidR="007E7656" w14:paraId="25658C77" w14:textId="77777777" w:rsidTr="00312F84">
        <w:trPr>
          <w:trHeight w:hRule="exact" w:val="240"/>
          <w:jc w:val="center"/>
        </w:trPr>
        <w:tc>
          <w:tcPr>
            <w:tcW w:w="7440" w:type="dxa"/>
            <w:tcMar>
              <w:left w:w="420" w:type="dxa"/>
              <w:right w:w="40" w:type="dxa"/>
            </w:tcMar>
          </w:tcPr>
          <w:p w14:paraId="3A2A21F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Property, plant and equipment, net</w:t>
            </w:r>
          </w:p>
        </w:tc>
        <w:tc>
          <w:tcPr>
            <w:tcW w:w="80" w:type="dxa"/>
            <w:tcMar>
              <w:left w:w="0" w:type="dxa"/>
              <w:right w:w="0" w:type="dxa"/>
            </w:tcMar>
          </w:tcPr>
          <w:p w14:paraId="7D64E0E8" w14:textId="77777777" w:rsidR="007E7656" w:rsidRDefault="007E7656" w:rsidP="00312F84">
            <w:pPr>
              <w:keepNext/>
              <w:keepLines/>
              <w:spacing w:before="40" w:after="40"/>
            </w:pPr>
          </w:p>
        </w:tc>
        <w:tc>
          <w:tcPr>
            <w:tcW w:w="1236" w:type="dxa"/>
            <w:tcMar>
              <w:left w:w="0" w:type="dxa"/>
              <w:right w:w="0" w:type="dxa"/>
            </w:tcMar>
            <w:vAlign w:val="bottom"/>
          </w:tcPr>
          <w:p w14:paraId="221513A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526,020</w:t>
            </w:r>
          </w:p>
        </w:tc>
        <w:tc>
          <w:tcPr>
            <w:tcW w:w="64" w:type="dxa"/>
            <w:tcMar>
              <w:left w:w="0" w:type="dxa"/>
              <w:right w:w="0" w:type="dxa"/>
            </w:tcMar>
          </w:tcPr>
          <w:p w14:paraId="1D9EB7F8" w14:textId="77777777" w:rsidR="007E7656" w:rsidRDefault="007E7656" w:rsidP="00312F84"/>
        </w:tc>
        <w:tc>
          <w:tcPr>
            <w:tcW w:w="80" w:type="dxa"/>
            <w:tcMar>
              <w:left w:w="0" w:type="dxa"/>
              <w:right w:w="60" w:type="dxa"/>
            </w:tcMar>
            <w:vAlign w:val="bottom"/>
          </w:tcPr>
          <w:p w14:paraId="6D046C93" w14:textId="77777777" w:rsidR="007E7656" w:rsidRDefault="007E7656" w:rsidP="00312F84">
            <w:pPr>
              <w:keepNext/>
              <w:keepLines/>
              <w:spacing w:before="40" w:after="40"/>
            </w:pPr>
          </w:p>
        </w:tc>
        <w:tc>
          <w:tcPr>
            <w:tcW w:w="1276" w:type="dxa"/>
            <w:tcMar>
              <w:left w:w="0" w:type="dxa"/>
              <w:right w:w="0" w:type="dxa"/>
            </w:tcMar>
            <w:vAlign w:val="bottom"/>
          </w:tcPr>
          <w:p w14:paraId="5DC6282E"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511,659</w:t>
            </w:r>
          </w:p>
        </w:tc>
        <w:tc>
          <w:tcPr>
            <w:tcW w:w="64" w:type="dxa"/>
            <w:tcMar>
              <w:left w:w="0" w:type="dxa"/>
              <w:right w:w="0" w:type="dxa"/>
            </w:tcMar>
          </w:tcPr>
          <w:p w14:paraId="16005264" w14:textId="77777777" w:rsidR="007E7656" w:rsidRDefault="007E7656" w:rsidP="00312F84"/>
        </w:tc>
      </w:tr>
      <w:tr w:rsidR="007E7656" w14:paraId="0E9BB2B7" w14:textId="77777777" w:rsidTr="00312F84">
        <w:trPr>
          <w:trHeight w:hRule="exact" w:val="240"/>
          <w:jc w:val="center"/>
        </w:trPr>
        <w:tc>
          <w:tcPr>
            <w:tcW w:w="7440" w:type="dxa"/>
            <w:tcMar>
              <w:left w:w="420" w:type="dxa"/>
              <w:right w:w="40" w:type="dxa"/>
            </w:tcMar>
          </w:tcPr>
          <w:p w14:paraId="43CA654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Goodwill</w:t>
            </w:r>
          </w:p>
        </w:tc>
        <w:tc>
          <w:tcPr>
            <w:tcW w:w="80" w:type="dxa"/>
            <w:tcMar>
              <w:left w:w="0" w:type="dxa"/>
              <w:right w:w="0" w:type="dxa"/>
            </w:tcMar>
          </w:tcPr>
          <w:p w14:paraId="469D4464" w14:textId="77777777" w:rsidR="007E7656" w:rsidRDefault="007E7656" w:rsidP="00312F84">
            <w:pPr>
              <w:keepNext/>
              <w:keepLines/>
              <w:spacing w:before="40" w:after="40"/>
            </w:pPr>
          </w:p>
        </w:tc>
        <w:tc>
          <w:tcPr>
            <w:tcW w:w="1236" w:type="dxa"/>
            <w:tcMar>
              <w:left w:w="0" w:type="dxa"/>
              <w:right w:w="0" w:type="dxa"/>
            </w:tcMar>
            <w:vAlign w:val="bottom"/>
          </w:tcPr>
          <w:p w14:paraId="1A558F1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2,117,515</w:t>
            </w:r>
          </w:p>
        </w:tc>
        <w:tc>
          <w:tcPr>
            <w:tcW w:w="64" w:type="dxa"/>
            <w:tcMar>
              <w:left w:w="0" w:type="dxa"/>
              <w:right w:w="0" w:type="dxa"/>
            </w:tcMar>
          </w:tcPr>
          <w:p w14:paraId="5F601CC1" w14:textId="77777777" w:rsidR="007E7656" w:rsidRDefault="007E7656" w:rsidP="00312F84"/>
        </w:tc>
        <w:tc>
          <w:tcPr>
            <w:tcW w:w="80" w:type="dxa"/>
            <w:tcMar>
              <w:left w:w="0" w:type="dxa"/>
              <w:right w:w="60" w:type="dxa"/>
            </w:tcMar>
            <w:vAlign w:val="bottom"/>
          </w:tcPr>
          <w:p w14:paraId="053C146C" w14:textId="77777777" w:rsidR="007E7656" w:rsidRDefault="007E7656" w:rsidP="00312F84">
            <w:pPr>
              <w:keepNext/>
              <w:keepLines/>
              <w:spacing w:before="40" w:after="40"/>
            </w:pPr>
          </w:p>
        </w:tc>
        <w:tc>
          <w:tcPr>
            <w:tcW w:w="1276" w:type="dxa"/>
            <w:tcMar>
              <w:left w:w="0" w:type="dxa"/>
              <w:right w:w="0" w:type="dxa"/>
            </w:tcMar>
            <w:vAlign w:val="bottom"/>
          </w:tcPr>
          <w:p w14:paraId="6CE833D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2,108,536</w:t>
            </w:r>
          </w:p>
        </w:tc>
        <w:tc>
          <w:tcPr>
            <w:tcW w:w="64" w:type="dxa"/>
            <w:tcMar>
              <w:left w:w="0" w:type="dxa"/>
              <w:right w:w="0" w:type="dxa"/>
            </w:tcMar>
          </w:tcPr>
          <w:p w14:paraId="2318EF29" w14:textId="77777777" w:rsidR="007E7656" w:rsidRDefault="007E7656" w:rsidP="00312F84"/>
        </w:tc>
      </w:tr>
      <w:tr w:rsidR="007E7656" w14:paraId="5F20AB82" w14:textId="77777777" w:rsidTr="00312F84">
        <w:trPr>
          <w:trHeight w:hRule="exact" w:val="240"/>
          <w:jc w:val="center"/>
        </w:trPr>
        <w:tc>
          <w:tcPr>
            <w:tcW w:w="7440" w:type="dxa"/>
            <w:tcMar>
              <w:left w:w="420" w:type="dxa"/>
              <w:right w:w="40" w:type="dxa"/>
            </w:tcMar>
          </w:tcPr>
          <w:p w14:paraId="0623E08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Intangible assets, net</w:t>
            </w:r>
          </w:p>
        </w:tc>
        <w:tc>
          <w:tcPr>
            <w:tcW w:w="80" w:type="dxa"/>
            <w:tcMar>
              <w:left w:w="0" w:type="dxa"/>
              <w:right w:w="0" w:type="dxa"/>
            </w:tcMar>
          </w:tcPr>
          <w:p w14:paraId="2968C6C0" w14:textId="77777777" w:rsidR="007E7656" w:rsidRDefault="007E7656" w:rsidP="00312F84">
            <w:pPr>
              <w:keepNext/>
              <w:keepLines/>
              <w:spacing w:before="40" w:after="40"/>
            </w:pPr>
          </w:p>
        </w:tc>
        <w:tc>
          <w:tcPr>
            <w:tcW w:w="1236" w:type="dxa"/>
            <w:tcMar>
              <w:left w:w="0" w:type="dxa"/>
              <w:right w:w="0" w:type="dxa"/>
            </w:tcMar>
            <w:vAlign w:val="bottom"/>
          </w:tcPr>
          <w:p w14:paraId="339D805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680,697</w:t>
            </w:r>
          </w:p>
        </w:tc>
        <w:tc>
          <w:tcPr>
            <w:tcW w:w="64" w:type="dxa"/>
            <w:tcMar>
              <w:left w:w="0" w:type="dxa"/>
              <w:right w:w="0" w:type="dxa"/>
            </w:tcMar>
          </w:tcPr>
          <w:p w14:paraId="3C50E26B" w14:textId="77777777" w:rsidR="007E7656" w:rsidRDefault="007E7656" w:rsidP="00312F84"/>
        </w:tc>
        <w:tc>
          <w:tcPr>
            <w:tcW w:w="80" w:type="dxa"/>
            <w:tcMar>
              <w:left w:w="0" w:type="dxa"/>
              <w:right w:w="60" w:type="dxa"/>
            </w:tcMar>
            <w:vAlign w:val="bottom"/>
          </w:tcPr>
          <w:p w14:paraId="060AFCCA" w14:textId="77777777" w:rsidR="007E7656" w:rsidRDefault="007E7656" w:rsidP="00312F84">
            <w:pPr>
              <w:keepNext/>
              <w:keepLines/>
              <w:spacing w:before="40" w:after="40"/>
            </w:pPr>
          </w:p>
        </w:tc>
        <w:tc>
          <w:tcPr>
            <w:tcW w:w="1276" w:type="dxa"/>
            <w:tcMar>
              <w:left w:w="0" w:type="dxa"/>
              <w:right w:w="0" w:type="dxa"/>
            </w:tcMar>
            <w:vAlign w:val="bottom"/>
          </w:tcPr>
          <w:p w14:paraId="6E9083A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475,043</w:t>
            </w:r>
          </w:p>
        </w:tc>
        <w:tc>
          <w:tcPr>
            <w:tcW w:w="64" w:type="dxa"/>
            <w:tcMar>
              <w:left w:w="0" w:type="dxa"/>
              <w:right w:w="0" w:type="dxa"/>
            </w:tcMar>
          </w:tcPr>
          <w:p w14:paraId="3917BFAA" w14:textId="77777777" w:rsidR="007E7656" w:rsidRDefault="007E7656" w:rsidP="00312F84"/>
        </w:tc>
      </w:tr>
      <w:tr w:rsidR="007E7656" w14:paraId="482AD891" w14:textId="77777777" w:rsidTr="00312F84">
        <w:trPr>
          <w:trHeight w:hRule="exact" w:val="240"/>
          <w:jc w:val="center"/>
        </w:trPr>
        <w:tc>
          <w:tcPr>
            <w:tcW w:w="7440" w:type="dxa"/>
            <w:tcMar>
              <w:left w:w="420" w:type="dxa"/>
              <w:right w:w="40" w:type="dxa"/>
            </w:tcMar>
          </w:tcPr>
          <w:p w14:paraId="0360706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Deferred income taxes</w:t>
            </w:r>
          </w:p>
        </w:tc>
        <w:tc>
          <w:tcPr>
            <w:tcW w:w="80" w:type="dxa"/>
            <w:tcMar>
              <w:left w:w="0" w:type="dxa"/>
              <w:right w:w="0" w:type="dxa"/>
            </w:tcMar>
          </w:tcPr>
          <w:p w14:paraId="25C4A830" w14:textId="77777777" w:rsidR="007E7656" w:rsidRDefault="007E7656" w:rsidP="00312F84">
            <w:pPr>
              <w:keepNext/>
              <w:keepLines/>
              <w:spacing w:before="40" w:after="40"/>
            </w:pPr>
          </w:p>
        </w:tc>
        <w:tc>
          <w:tcPr>
            <w:tcW w:w="1236" w:type="dxa"/>
            <w:tcMar>
              <w:left w:w="0" w:type="dxa"/>
              <w:right w:w="0" w:type="dxa"/>
            </w:tcMar>
            <w:vAlign w:val="bottom"/>
          </w:tcPr>
          <w:p w14:paraId="0474F69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32,490</w:t>
            </w:r>
          </w:p>
        </w:tc>
        <w:tc>
          <w:tcPr>
            <w:tcW w:w="64" w:type="dxa"/>
            <w:tcMar>
              <w:left w:w="0" w:type="dxa"/>
              <w:right w:w="0" w:type="dxa"/>
            </w:tcMar>
          </w:tcPr>
          <w:p w14:paraId="16246E00" w14:textId="77777777" w:rsidR="007E7656" w:rsidRDefault="007E7656" w:rsidP="00312F84"/>
        </w:tc>
        <w:tc>
          <w:tcPr>
            <w:tcW w:w="80" w:type="dxa"/>
            <w:tcMar>
              <w:left w:w="0" w:type="dxa"/>
              <w:right w:w="60" w:type="dxa"/>
            </w:tcMar>
            <w:vAlign w:val="bottom"/>
          </w:tcPr>
          <w:p w14:paraId="0E9CAE80" w14:textId="77777777" w:rsidR="007E7656" w:rsidRDefault="007E7656" w:rsidP="00312F84">
            <w:pPr>
              <w:keepNext/>
              <w:keepLines/>
              <w:spacing w:before="40" w:after="40"/>
            </w:pPr>
          </w:p>
        </w:tc>
        <w:tc>
          <w:tcPr>
            <w:tcW w:w="1276" w:type="dxa"/>
            <w:tcMar>
              <w:left w:w="0" w:type="dxa"/>
              <w:right w:w="0" w:type="dxa"/>
            </w:tcMar>
            <w:vAlign w:val="bottom"/>
          </w:tcPr>
          <w:p w14:paraId="2BDF165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42,896</w:t>
            </w:r>
          </w:p>
        </w:tc>
        <w:tc>
          <w:tcPr>
            <w:tcW w:w="64" w:type="dxa"/>
            <w:tcMar>
              <w:left w:w="0" w:type="dxa"/>
              <w:right w:w="0" w:type="dxa"/>
            </w:tcMar>
          </w:tcPr>
          <w:p w14:paraId="28686657" w14:textId="77777777" w:rsidR="007E7656" w:rsidRDefault="007E7656" w:rsidP="00312F84"/>
        </w:tc>
      </w:tr>
      <w:tr w:rsidR="007E7656" w14:paraId="32ECC83E" w14:textId="77777777" w:rsidTr="00312F84">
        <w:trPr>
          <w:trHeight w:hRule="exact" w:val="240"/>
          <w:jc w:val="center"/>
        </w:trPr>
        <w:tc>
          <w:tcPr>
            <w:tcW w:w="7440" w:type="dxa"/>
            <w:tcMar>
              <w:left w:w="420" w:type="dxa"/>
              <w:right w:w="40" w:type="dxa"/>
            </w:tcMar>
          </w:tcPr>
          <w:p w14:paraId="2EC31F0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Fair value of derivative instruments - long-term</w:t>
            </w:r>
          </w:p>
        </w:tc>
        <w:tc>
          <w:tcPr>
            <w:tcW w:w="80" w:type="dxa"/>
            <w:tcMar>
              <w:left w:w="0" w:type="dxa"/>
              <w:right w:w="0" w:type="dxa"/>
            </w:tcMar>
          </w:tcPr>
          <w:p w14:paraId="0E89F5AF" w14:textId="77777777" w:rsidR="007E7656" w:rsidRDefault="007E7656" w:rsidP="00312F84">
            <w:pPr>
              <w:keepNext/>
              <w:keepLines/>
              <w:spacing w:before="40" w:after="40"/>
            </w:pPr>
          </w:p>
        </w:tc>
        <w:tc>
          <w:tcPr>
            <w:tcW w:w="1236" w:type="dxa"/>
            <w:tcMar>
              <w:left w:w="0" w:type="dxa"/>
              <w:right w:w="0" w:type="dxa"/>
            </w:tcMar>
            <w:vAlign w:val="bottom"/>
          </w:tcPr>
          <w:p w14:paraId="5DA2FF8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190,465</w:t>
            </w:r>
          </w:p>
        </w:tc>
        <w:tc>
          <w:tcPr>
            <w:tcW w:w="64" w:type="dxa"/>
            <w:tcMar>
              <w:left w:w="0" w:type="dxa"/>
              <w:right w:w="0" w:type="dxa"/>
            </w:tcMar>
          </w:tcPr>
          <w:p w14:paraId="5130FC43" w14:textId="77777777" w:rsidR="007E7656" w:rsidRDefault="007E7656" w:rsidP="00312F84"/>
        </w:tc>
        <w:tc>
          <w:tcPr>
            <w:tcW w:w="80" w:type="dxa"/>
            <w:tcMar>
              <w:left w:w="0" w:type="dxa"/>
              <w:right w:w="60" w:type="dxa"/>
            </w:tcMar>
            <w:vAlign w:val="bottom"/>
          </w:tcPr>
          <w:p w14:paraId="5F4A6E9B" w14:textId="77777777" w:rsidR="007E7656" w:rsidRDefault="007E7656" w:rsidP="00312F84">
            <w:pPr>
              <w:keepNext/>
              <w:keepLines/>
              <w:spacing w:before="40" w:after="40"/>
            </w:pPr>
          </w:p>
        </w:tc>
        <w:tc>
          <w:tcPr>
            <w:tcW w:w="1276" w:type="dxa"/>
            <w:tcMar>
              <w:left w:w="0" w:type="dxa"/>
              <w:right w:w="0" w:type="dxa"/>
            </w:tcMar>
            <w:vAlign w:val="bottom"/>
          </w:tcPr>
          <w:p w14:paraId="4582091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295,363</w:t>
            </w:r>
          </w:p>
        </w:tc>
        <w:tc>
          <w:tcPr>
            <w:tcW w:w="64" w:type="dxa"/>
            <w:tcMar>
              <w:left w:w="0" w:type="dxa"/>
              <w:right w:w="0" w:type="dxa"/>
            </w:tcMar>
          </w:tcPr>
          <w:p w14:paraId="28A3E74A" w14:textId="77777777" w:rsidR="007E7656" w:rsidRDefault="007E7656" w:rsidP="00312F84"/>
        </w:tc>
      </w:tr>
      <w:tr w:rsidR="007E7656" w14:paraId="36E97C1E" w14:textId="77777777" w:rsidTr="00312F84">
        <w:trPr>
          <w:trHeight w:hRule="exact" w:val="240"/>
          <w:jc w:val="center"/>
        </w:trPr>
        <w:tc>
          <w:tcPr>
            <w:tcW w:w="7440" w:type="dxa"/>
            <w:tcMar>
              <w:left w:w="420" w:type="dxa"/>
              <w:right w:w="40" w:type="dxa"/>
            </w:tcMar>
          </w:tcPr>
          <w:p w14:paraId="40CABB8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long-term assets</w:t>
            </w:r>
          </w:p>
        </w:tc>
        <w:tc>
          <w:tcPr>
            <w:tcW w:w="80" w:type="dxa"/>
            <w:tcMar>
              <w:left w:w="0" w:type="dxa"/>
              <w:right w:w="0" w:type="dxa"/>
            </w:tcMar>
          </w:tcPr>
          <w:p w14:paraId="3C881A8E" w14:textId="77777777" w:rsidR="007E7656" w:rsidRDefault="007E7656" w:rsidP="00312F84">
            <w:pPr>
              <w:keepNext/>
              <w:keepLines/>
              <w:spacing w:before="40" w:after="40"/>
            </w:pPr>
          </w:p>
        </w:tc>
        <w:tc>
          <w:tcPr>
            <w:tcW w:w="1236" w:type="dxa"/>
            <w:tcBorders>
              <w:bottom w:val="single" w:sz="8" w:space="0" w:color="auto"/>
            </w:tcBorders>
            <w:tcMar>
              <w:left w:w="0" w:type="dxa"/>
              <w:right w:w="0" w:type="dxa"/>
            </w:tcMar>
            <w:vAlign w:val="bottom"/>
          </w:tcPr>
          <w:p w14:paraId="4C6F997E"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221,128</w:t>
            </w:r>
          </w:p>
        </w:tc>
        <w:tc>
          <w:tcPr>
            <w:tcW w:w="64" w:type="dxa"/>
            <w:tcBorders>
              <w:bottom w:val="single" w:sz="8" w:space="0" w:color="auto"/>
            </w:tcBorders>
            <w:tcMar>
              <w:left w:w="0" w:type="dxa"/>
              <w:right w:w="0" w:type="dxa"/>
            </w:tcMar>
          </w:tcPr>
          <w:p w14:paraId="706063CB" w14:textId="77777777" w:rsidR="007E7656" w:rsidRDefault="007E7656" w:rsidP="00312F84"/>
        </w:tc>
        <w:tc>
          <w:tcPr>
            <w:tcW w:w="80" w:type="dxa"/>
            <w:tcMar>
              <w:left w:w="0" w:type="dxa"/>
              <w:right w:w="60" w:type="dxa"/>
            </w:tcMar>
            <w:vAlign w:val="bottom"/>
          </w:tcPr>
          <w:p w14:paraId="3CE1479A"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2984A54E"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159,775</w:t>
            </w:r>
          </w:p>
        </w:tc>
        <w:tc>
          <w:tcPr>
            <w:tcW w:w="64" w:type="dxa"/>
            <w:tcBorders>
              <w:bottom w:val="single" w:sz="8" w:space="0" w:color="auto"/>
            </w:tcBorders>
            <w:tcMar>
              <w:left w:w="0" w:type="dxa"/>
              <w:right w:w="0" w:type="dxa"/>
            </w:tcMar>
          </w:tcPr>
          <w:p w14:paraId="60C66A50" w14:textId="77777777" w:rsidR="007E7656" w:rsidRDefault="007E7656" w:rsidP="00312F84"/>
        </w:tc>
      </w:tr>
      <w:tr w:rsidR="007E7656" w14:paraId="75AB7AAE" w14:textId="77777777" w:rsidTr="00312F84">
        <w:trPr>
          <w:trHeight w:hRule="exact" w:val="260"/>
          <w:jc w:val="center"/>
        </w:trPr>
        <w:tc>
          <w:tcPr>
            <w:tcW w:w="7440" w:type="dxa"/>
            <w:tcMar>
              <w:left w:w="60" w:type="dxa"/>
              <w:right w:w="40" w:type="dxa"/>
            </w:tcMar>
          </w:tcPr>
          <w:p w14:paraId="364B6AC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long-term assets</w:t>
            </w:r>
          </w:p>
        </w:tc>
        <w:tc>
          <w:tcPr>
            <w:tcW w:w="80" w:type="dxa"/>
            <w:tcMar>
              <w:left w:w="60" w:type="dxa"/>
              <w:right w:w="0" w:type="dxa"/>
            </w:tcMar>
          </w:tcPr>
          <w:p w14:paraId="064D4DDC" w14:textId="77777777" w:rsidR="007E7656" w:rsidRDefault="007E7656" w:rsidP="00312F84">
            <w:pPr>
              <w:keepNext/>
              <w:keepLines/>
              <w:spacing w:before="40" w:after="40"/>
            </w:pPr>
          </w:p>
        </w:tc>
        <w:tc>
          <w:tcPr>
            <w:tcW w:w="1236" w:type="dxa"/>
            <w:tcBorders>
              <w:bottom w:val="single" w:sz="8" w:space="0" w:color="auto"/>
            </w:tcBorders>
            <w:tcMar>
              <w:left w:w="0" w:type="dxa"/>
              <w:right w:w="0" w:type="dxa"/>
            </w:tcMar>
            <w:vAlign w:val="bottom"/>
          </w:tcPr>
          <w:p w14:paraId="5EB0AF6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3,768,315</w:t>
            </w:r>
          </w:p>
        </w:tc>
        <w:tc>
          <w:tcPr>
            <w:tcW w:w="64" w:type="dxa"/>
            <w:tcBorders>
              <w:bottom w:val="single" w:sz="8" w:space="0" w:color="auto"/>
            </w:tcBorders>
            <w:tcMar>
              <w:left w:w="0" w:type="dxa"/>
              <w:right w:w="0" w:type="dxa"/>
            </w:tcMar>
          </w:tcPr>
          <w:p w14:paraId="3B463BB7" w14:textId="77777777" w:rsidR="007E7656" w:rsidRDefault="007E7656" w:rsidP="00312F84"/>
        </w:tc>
        <w:tc>
          <w:tcPr>
            <w:tcW w:w="80" w:type="dxa"/>
            <w:tcMar>
              <w:left w:w="0" w:type="dxa"/>
              <w:right w:w="60" w:type="dxa"/>
            </w:tcMar>
            <w:vAlign w:val="bottom"/>
          </w:tcPr>
          <w:p w14:paraId="106DBCE4"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5CF42F6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3,593,272</w:t>
            </w:r>
          </w:p>
        </w:tc>
        <w:tc>
          <w:tcPr>
            <w:tcW w:w="64" w:type="dxa"/>
            <w:tcBorders>
              <w:bottom w:val="single" w:sz="8" w:space="0" w:color="auto"/>
            </w:tcBorders>
            <w:tcMar>
              <w:left w:w="0" w:type="dxa"/>
              <w:right w:w="0" w:type="dxa"/>
            </w:tcMar>
          </w:tcPr>
          <w:p w14:paraId="1ECB3B37" w14:textId="77777777" w:rsidR="007E7656" w:rsidRDefault="007E7656" w:rsidP="00312F84"/>
        </w:tc>
      </w:tr>
      <w:tr w:rsidR="007E7656" w14:paraId="0AE45340" w14:textId="77777777" w:rsidTr="00312F84">
        <w:trPr>
          <w:trHeight w:hRule="exact" w:val="260"/>
          <w:jc w:val="center"/>
        </w:trPr>
        <w:tc>
          <w:tcPr>
            <w:tcW w:w="7440" w:type="dxa"/>
            <w:tcMar>
              <w:left w:w="60" w:type="dxa"/>
              <w:right w:w="40" w:type="dxa"/>
            </w:tcMar>
          </w:tcPr>
          <w:p w14:paraId="4E8E4CE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assets</w:t>
            </w:r>
          </w:p>
        </w:tc>
        <w:tc>
          <w:tcPr>
            <w:tcW w:w="80" w:type="dxa"/>
            <w:tcMar>
              <w:left w:w="60" w:type="dxa"/>
              <w:right w:w="0" w:type="dxa"/>
            </w:tcMar>
          </w:tcPr>
          <w:p w14:paraId="44296F78" w14:textId="77777777" w:rsidR="007E7656" w:rsidRDefault="007E7656" w:rsidP="00312F84">
            <w:pPr>
              <w:keepNext/>
              <w:keepLines/>
              <w:spacing w:before="40" w:after="40"/>
            </w:pPr>
          </w:p>
        </w:tc>
        <w:tc>
          <w:tcPr>
            <w:tcW w:w="1236" w:type="dxa"/>
            <w:tcBorders>
              <w:bottom w:val="double" w:sz="4" w:space="0" w:color="auto"/>
            </w:tcBorders>
            <w:tcMar>
              <w:left w:w="0" w:type="dxa"/>
              <w:right w:w="0" w:type="dxa"/>
            </w:tcMar>
            <w:vAlign w:val="bottom"/>
          </w:tcPr>
          <w:p w14:paraId="04A62CD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5,382,549</w:t>
            </w:r>
          </w:p>
        </w:tc>
        <w:tc>
          <w:tcPr>
            <w:tcW w:w="64" w:type="dxa"/>
            <w:tcBorders>
              <w:bottom w:val="double" w:sz="4" w:space="0" w:color="auto"/>
            </w:tcBorders>
            <w:tcMar>
              <w:left w:w="0" w:type="dxa"/>
              <w:right w:w="0" w:type="dxa"/>
            </w:tcMar>
          </w:tcPr>
          <w:p w14:paraId="7613945D" w14:textId="77777777" w:rsidR="007E7656" w:rsidRDefault="007E7656" w:rsidP="00312F84"/>
        </w:tc>
        <w:tc>
          <w:tcPr>
            <w:tcW w:w="80" w:type="dxa"/>
            <w:tcMar>
              <w:left w:w="0" w:type="dxa"/>
              <w:right w:w="60" w:type="dxa"/>
            </w:tcMar>
            <w:vAlign w:val="bottom"/>
          </w:tcPr>
          <w:p w14:paraId="682FA693" w14:textId="77777777" w:rsidR="007E7656" w:rsidRDefault="007E7656" w:rsidP="00312F84">
            <w:pPr>
              <w:keepNext/>
              <w:keepLines/>
              <w:spacing w:before="40" w:after="40"/>
            </w:pPr>
          </w:p>
        </w:tc>
        <w:tc>
          <w:tcPr>
            <w:tcW w:w="1276" w:type="dxa"/>
            <w:tcBorders>
              <w:bottom w:val="double" w:sz="4" w:space="0" w:color="auto"/>
            </w:tcBorders>
            <w:tcMar>
              <w:left w:w="0" w:type="dxa"/>
              <w:right w:w="0" w:type="dxa"/>
            </w:tcMar>
            <w:vAlign w:val="bottom"/>
          </w:tcPr>
          <w:p w14:paraId="071639B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5,748,332</w:t>
            </w:r>
          </w:p>
        </w:tc>
        <w:tc>
          <w:tcPr>
            <w:tcW w:w="64" w:type="dxa"/>
            <w:tcBorders>
              <w:bottom w:val="double" w:sz="4" w:space="0" w:color="auto"/>
            </w:tcBorders>
            <w:tcMar>
              <w:left w:w="0" w:type="dxa"/>
              <w:right w:w="0" w:type="dxa"/>
            </w:tcMar>
          </w:tcPr>
          <w:p w14:paraId="7AB19D16" w14:textId="77777777" w:rsidR="007E7656" w:rsidRDefault="007E7656" w:rsidP="00312F84"/>
        </w:tc>
      </w:tr>
      <w:tr w:rsidR="007E7656" w14:paraId="249CB905" w14:textId="77777777" w:rsidTr="007E7656">
        <w:trPr>
          <w:trHeight w:hRule="exact" w:val="260"/>
          <w:jc w:val="center"/>
        </w:trPr>
        <w:tc>
          <w:tcPr>
            <w:tcW w:w="7440" w:type="dxa"/>
            <w:tcMar>
              <w:left w:w="60" w:type="dxa"/>
              <w:right w:w="40" w:type="dxa"/>
            </w:tcMar>
          </w:tcPr>
          <w:p w14:paraId="745A7445" w14:textId="77777777" w:rsidR="007E7656" w:rsidRDefault="007E7656" w:rsidP="00312F84">
            <w:pPr>
              <w:keepNext/>
              <w:keepLines/>
              <w:spacing w:before="40" w:after="40"/>
              <w:rPr>
                <w:rFonts w:ascii="Arial" w:eastAsia="Arial" w:hAnsi="Arial" w:cs="Arial"/>
                <w:b/>
                <w:sz w:val="16"/>
              </w:rPr>
            </w:pPr>
            <w:r>
              <w:rPr>
                <w:rFonts w:ascii="Arial" w:eastAsia="Arial" w:hAnsi="Arial" w:cs="Arial"/>
                <w:b/>
                <w:color w:val="000000"/>
                <w:sz w:val="16"/>
              </w:rPr>
              <w:t>Liabilities and Equity</w:t>
            </w:r>
          </w:p>
        </w:tc>
        <w:tc>
          <w:tcPr>
            <w:tcW w:w="80" w:type="dxa"/>
            <w:tcMar>
              <w:left w:w="60" w:type="dxa"/>
              <w:right w:w="0" w:type="dxa"/>
            </w:tcMar>
          </w:tcPr>
          <w:p w14:paraId="4D2B79D8" w14:textId="77777777" w:rsidR="007E7656" w:rsidRDefault="007E7656" w:rsidP="00312F84">
            <w:pPr>
              <w:keepNext/>
              <w:keepLines/>
              <w:spacing w:before="40" w:after="40"/>
            </w:pPr>
          </w:p>
        </w:tc>
        <w:tc>
          <w:tcPr>
            <w:tcW w:w="1236" w:type="dxa"/>
            <w:gridSpan w:val="2"/>
            <w:tcMar>
              <w:left w:w="60" w:type="dxa"/>
              <w:right w:w="0" w:type="dxa"/>
            </w:tcMar>
            <w:vAlign w:val="bottom"/>
          </w:tcPr>
          <w:p w14:paraId="17EE3A33" w14:textId="77777777" w:rsidR="007E7656" w:rsidRDefault="007E7656" w:rsidP="00312F84">
            <w:pPr>
              <w:keepNext/>
              <w:keepLines/>
              <w:spacing w:before="40" w:after="40"/>
            </w:pPr>
          </w:p>
        </w:tc>
        <w:tc>
          <w:tcPr>
            <w:tcW w:w="80" w:type="dxa"/>
            <w:tcMar>
              <w:left w:w="60" w:type="dxa"/>
              <w:right w:w="0" w:type="dxa"/>
            </w:tcMar>
            <w:vAlign w:val="bottom"/>
          </w:tcPr>
          <w:p w14:paraId="293B6B21" w14:textId="77777777" w:rsidR="007E7656" w:rsidRDefault="007E7656" w:rsidP="00312F84">
            <w:pPr>
              <w:keepNext/>
              <w:keepLines/>
              <w:spacing w:before="40" w:after="40"/>
            </w:pPr>
          </w:p>
        </w:tc>
        <w:tc>
          <w:tcPr>
            <w:tcW w:w="1276" w:type="dxa"/>
            <w:gridSpan w:val="2"/>
            <w:tcMar>
              <w:left w:w="60" w:type="dxa"/>
              <w:right w:w="0" w:type="dxa"/>
            </w:tcMar>
            <w:vAlign w:val="bottom"/>
          </w:tcPr>
          <w:p w14:paraId="67899818" w14:textId="77777777" w:rsidR="007E7656" w:rsidRDefault="007E7656" w:rsidP="00312F84">
            <w:pPr>
              <w:keepNext/>
              <w:keepLines/>
              <w:spacing w:before="40" w:after="40"/>
            </w:pPr>
          </w:p>
        </w:tc>
      </w:tr>
      <w:tr w:rsidR="007E7656" w14:paraId="52EA27E9" w14:textId="77777777" w:rsidTr="007E7656">
        <w:trPr>
          <w:trHeight w:hRule="exact" w:val="220"/>
          <w:jc w:val="center"/>
        </w:trPr>
        <w:tc>
          <w:tcPr>
            <w:tcW w:w="7440" w:type="dxa"/>
            <w:tcMar>
              <w:left w:w="60" w:type="dxa"/>
              <w:right w:w="40" w:type="dxa"/>
            </w:tcMar>
          </w:tcPr>
          <w:p w14:paraId="2B72C8A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Current liabilities:</w:t>
            </w:r>
          </w:p>
        </w:tc>
        <w:tc>
          <w:tcPr>
            <w:tcW w:w="80" w:type="dxa"/>
            <w:tcMar>
              <w:left w:w="60" w:type="dxa"/>
              <w:right w:w="0" w:type="dxa"/>
            </w:tcMar>
          </w:tcPr>
          <w:p w14:paraId="6D88DF0C" w14:textId="77777777" w:rsidR="007E7656" w:rsidRDefault="007E7656" w:rsidP="00312F84">
            <w:pPr>
              <w:keepNext/>
              <w:keepLines/>
              <w:spacing w:before="40" w:after="40"/>
            </w:pPr>
          </w:p>
        </w:tc>
        <w:tc>
          <w:tcPr>
            <w:tcW w:w="1236" w:type="dxa"/>
            <w:gridSpan w:val="2"/>
            <w:tcMar>
              <w:left w:w="60" w:type="dxa"/>
              <w:right w:w="0" w:type="dxa"/>
            </w:tcMar>
            <w:vAlign w:val="bottom"/>
          </w:tcPr>
          <w:p w14:paraId="36E1BF87" w14:textId="77777777" w:rsidR="007E7656" w:rsidRDefault="007E7656" w:rsidP="00312F84">
            <w:pPr>
              <w:keepNext/>
              <w:keepLines/>
              <w:spacing w:before="40" w:after="40"/>
            </w:pPr>
          </w:p>
        </w:tc>
        <w:tc>
          <w:tcPr>
            <w:tcW w:w="80" w:type="dxa"/>
            <w:tcMar>
              <w:left w:w="60" w:type="dxa"/>
              <w:right w:w="0" w:type="dxa"/>
            </w:tcMar>
            <w:vAlign w:val="bottom"/>
          </w:tcPr>
          <w:p w14:paraId="0D7D74BD" w14:textId="77777777" w:rsidR="007E7656" w:rsidRDefault="007E7656" w:rsidP="00312F84">
            <w:pPr>
              <w:keepNext/>
              <w:keepLines/>
              <w:spacing w:before="40" w:after="40"/>
            </w:pPr>
          </w:p>
        </w:tc>
        <w:tc>
          <w:tcPr>
            <w:tcW w:w="1276" w:type="dxa"/>
            <w:gridSpan w:val="2"/>
            <w:tcMar>
              <w:left w:w="60" w:type="dxa"/>
              <w:right w:w="0" w:type="dxa"/>
            </w:tcMar>
            <w:vAlign w:val="bottom"/>
          </w:tcPr>
          <w:p w14:paraId="20F43035" w14:textId="77777777" w:rsidR="007E7656" w:rsidRDefault="007E7656" w:rsidP="00312F84">
            <w:pPr>
              <w:keepNext/>
              <w:keepLines/>
              <w:spacing w:before="40" w:after="40"/>
            </w:pPr>
          </w:p>
        </w:tc>
      </w:tr>
      <w:tr w:rsidR="007E7656" w14:paraId="141464ED" w14:textId="77777777" w:rsidTr="00312F84">
        <w:trPr>
          <w:trHeight w:hRule="exact" w:val="240"/>
          <w:jc w:val="center"/>
        </w:trPr>
        <w:tc>
          <w:tcPr>
            <w:tcW w:w="7440" w:type="dxa"/>
            <w:tcMar>
              <w:left w:w="420" w:type="dxa"/>
              <w:right w:w="40" w:type="dxa"/>
            </w:tcMar>
          </w:tcPr>
          <w:p w14:paraId="7C09FA7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Current portion of long-term debt</w:t>
            </w:r>
          </w:p>
        </w:tc>
        <w:tc>
          <w:tcPr>
            <w:tcW w:w="80" w:type="dxa"/>
            <w:tcMar>
              <w:left w:w="0" w:type="dxa"/>
              <w:right w:w="0" w:type="dxa"/>
            </w:tcMar>
          </w:tcPr>
          <w:p w14:paraId="25DBC6B6" w14:textId="77777777" w:rsidR="007E7656" w:rsidRDefault="007E7656" w:rsidP="00312F84">
            <w:pPr>
              <w:keepNext/>
              <w:keepLines/>
              <w:spacing w:before="40" w:after="40"/>
            </w:pPr>
          </w:p>
        </w:tc>
        <w:tc>
          <w:tcPr>
            <w:tcW w:w="1236" w:type="dxa"/>
            <w:tcMar>
              <w:left w:w="0" w:type="dxa"/>
              <w:right w:w="0" w:type="dxa"/>
            </w:tcMar>
            <w:vAlign w:val="bottom"/>
          </w:tcPr>
          <w:p w14:paraId="7B62EF3B"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353,616</w:t>
            </w:r>
          </w:p>
        </w:tc>
        <w:tc>
          <w:tcPr>
            <w:tcW w:w="64" w:type="dxa"/>
            <w:tcMar>
              <w:left w:w="0" w:type="dxa"/>
              <w:right w:w="0" w:type="dxa"/>
            </w:tcMar>
          </w:tcPr>
          <w:p w14:paraId="1D80B6B4" w14:textId="77777777" w:rsidR="007E7656" w:rsidRDefault="007E7656" w:rsidP="00312F84"/>
        </w:tc>
        <w:tc>
          <w:tcPr>
            <w:tcW w:w="80" w:type="dxa"/>
            <w:tcMar>
              <w:left w:w="0" w:type="dxa"/>
              <w:right w:w="60" w:type="dxa"/>
            </w:tcMar>
            <w:vAlign w:val="bottom"/>
          </w:tcPr>
          <w:p w14:paraId="6DEDCC10" w14:textId="77777777" w:rsidR="007E7656" w:rsidRDefault="007E7656" w:rsidP="00312F84">
            <w:pPr>
              <w:keepNext/>
              <w:keepLines/>
              <w:spacing w:before="40" w:after="40"/>
            </w:pPr>
          </w:p>
        </w:tc>
        <w:tc>
          <w:tcPr>
            <w:tcW w:w="1276" w:type="dxa"/>
            <w:tcMar>
              <w:left w:w="0" w:type="dxa"/>
              <w:right w:w="0" w:type="dxa"/>
            </w:tcMar>
            <w:vAlign w:val="bottom"/>
          </w:tcPr>
          <w:p w14:paraId="56BA764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503,116</w:t>
            </w:r>
          </w:p>
        </w:tc>
        <w:tc>
          <w:tcPr>
            <w:tcW w:w="64" w:type="dxa"/>
            <w:tcMar>
              <w:left w:w="0" w:type="dxa"/>
              <w:right w:w="0" w:type="dxa"/>
            </w:tcMar>
          </w:tcPr>
          <w:p w14:paraId="4A575994" w14:textId="77777777" w:rsidR="007E7656" w:rsidRDefault="007E7656" w:rsidP="00312F84"/>
        </w:tc>
      </w:tr>
      <w:tr w:rsidR="007E7656" w14:paraId="326CD75B" w14:textId="77777777" w:rsidTr="00312F84">
        <w:trPr>
          <w:trHeight w:hRule="exact" w:val="240"/>
          <w:jc w:val="center"/>
        </w:trPr>
        <w:tc>
          <w:tcPr>
            <w:tcW w:w="7440" w:type="dxa"/>
            <w:tcMar>
              <w:left w:w="420" w:type="dxa"/>
              <w:right w:w="40" w:type="dxa"/>
            </w:tcMar>
          </w:tcPr>
          <w:p w14:paraId="6D70899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Accounts payable</w:t>
            </w:r>
          </w:p>
        </w:tc>
        <w:tc>
          <w:tcPr>
            <w:tcW w:w="80" w:type="dxa"/>
            <w:tcMar>
              <w:left w:w="0" w:type="dxa"/>
              <w:right w:w="0" w:type="dxa"/>
            </w:tcMar>
          </w:tcPr>
          <w:p w14:paraId="115C9B71" w14:textId="77777777" w:rsidR="007E7656" w:rsidRDefault="007E7656" w:rsidP="00312F84">
            <w:pPr>
              <w:keepNext/>
              <w:keepLines/>
              <w:spacing w:before="40" w:after="40"/>
            </w:pPr>
          </w:p>
        </w:tc>
        <w:tc>
          <w:tcPr>
            <w:tcW w:w="1236" w:type="dxa"/>
            <w:tcMar>
              <w:left w:w="0" w:type="dxa"/>
              <w:right w:w="0" w:type="dxa"/>
            </w:tcMar>
            <w:vAlign w:val="bottom"/>
          </w:tcPr>
          <w:p w14:paraId="28C3E92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56,526</w:t>
            </w:r>
          </w:p>
        </w:tc>
        <w:tc>
          <w:tcPr>
            <w:tcW w:w="64" w:type="dxa"/>
            <w:tcMar>
              <w:left w:w="0" w:type="dxa"/>
              <w:right w:w="0" w:type="dxa"/>
            </w:tcMar>
          </w:tcPr>
          <w:p w14:paraId="7ED3A832" w14:textId="77777777" w:rsidR="007E7656" w:rsidRDefault="007E7656" w:rsidP="00312F84"/>
        </w:tc>
        <w:tc>
          <w:tcPr>
            <w:tcW w:w="80" w:type="dxa"/>
            <w:tcMar>
              <w:left w:w="0" w:type="dxa"/>
              <w:right w:w="60" w:type="dxa"/>
            </w:tcMar>
            <w:vAlign w:val="bottom"/>
          </w:tcPr>
          <w:p w14:paraId="18E8871E" w14:textId="77777777" w:rsidR="007E7656" w:rsidRDefault="007E7656" w:rsidP="00312F84">
            <w:pPr>
              <w:keepNext/>
              <w:keepLines/>
              <w:spacing w:before="40" w:after="40"/>
            </w:pPr>
          </w:p>
        </w:tc>
        <w:tc>
          <w:tcPr>
            <w:tcW w:w="1276" w:type="dxa"/>
            <w:tcMar>
              <w:left w:w="0" w:type="dxa"/>
              <w:right w:w="0" w:type="dxa"/>
            </w:tcMar>
            <w:vAlign w:val="bottom"/>
          </w:tcPr>
          <w:p w14:paraId="2B94549B"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69,415</w:t>
            </w:r>
          </w:p>
        </w:tc>
        <w:tc>
          <w:tcPr>
            <w:tcW w:w="64" w:type="dxa"/>
            <w:tcMar>
              <w:left w:w="0" w:type="dxa"/>
              <w:right w:w="0" w:type="dxa"/>
            </w:tcMar>
          </w:tcPr>
          <w:p w14:paraId="747E7574" w14:textId="77777777" w:rsidR="007E7656" w:rsidRDefault="007E7656" w:rsidP="00312F84"/>
        </w:tc>
      </w:tr>
      <w:tr w:rsidR="007E7656" w14:paraId="46F00C0A" w14:textId="77777777" w:rsidTr="00312F84">
        <w:trPr>
          <w:trHeight w:hRule="exact" w:val="240"/>
          <w:jc w:val="center"/>
        </w:trPr>
        <w:tc>
          <w:tcPr>
            <w:tcW w:w="7440" w:type="dxa"/>
            <w:tcMar>
              <w:left w:w="420" w:type="dxa"/>
              <w:right w:w="40" w:type="dxa"/>
            </w:tcMar>
          </w:tcPr>
          <w:p w14:paraId="148E8D6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Fair value of derivative instruments - current</w:t>
            </w:r>
          </w:p>
        </w:tc>
        <w:tc>
          <w:tcPr>
            <w:tcW w:w="80" w:type="dxa"/>
            <w:tcMar>
              <w:left w:w="0" w:type="dxa"/>
              <w:right w:w="0" w:type="dxa"/>
            </w:tcMar>
          </w:tcPr>
          <w:p w14:paraId="3BD3B655" w14:textId="77777777" w:rsidR="007E7656" w:rsidRDefault="007E7656" w:rsidP="00312F84">
            <w:pPr>
              <w:keepNext/>
              <w:keepLines/>
              <w:spacing w:before="40" w:after="40"/>
            </w:pPr>
          </w:p>
        </w:tc>
        <w:tc>
          <w:tcPr>
            <w:tcW w:w="1236" w:type="dxa"/>
            <w:tcMar>
              <w:left w:w="0" w:type="dxa"/>
              <w:right w:w="0" w:type="dxa"/>
            </w:tcMar>
            <w:vAlign w:val="bottom"/>
          </w:tcPr>
          <w:p w14:paraId="4406B5C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148,224</w:t>
            </w:r>
          </w:p>
        </w:tc>
        <w:tc>
          <w:tcPr>
            <w:tcW w:w="64" w:type="dxa"/>
            <w:tcMar>
              <w:left w:w="0" w:type="dxa"/>
              <w:right w:w="0" w:type="dxa"/>
            </w:tcMar>
          </w:tcPr>
          <w:p w14:paraId="507806B4" w14:textId="77777777" w:rsidR="007E7656" w:rsidRDefault="007E7656" w:rsidP="00312F84"/>
        </w:tc>
        <w:tc>
          <w:tcPr>
            <w:tcW w:w="80" w:type="dxa"/>
            <w:tcMar>
              <w:left w:w="0" w:type="dxa"/>
              <w:right w:w="60" w:type="dxa"/>
            </w:tcMar>
            <w:vAlign w:val="bottom"/>
          </w:tcPr>
          <w:p w14:paraId="27A613D0" w14:textId="77777777" w:rsidR="007E7656" w:rsidRDefault="007E7656" w:rsidP="00312F84">
            <w:pPr>
              <w:keepNext/>
              <w:keepLines/>
              <w:spacing w:before="40" w:after="40"/>
            </w:pPr>
          </w:p>
        </w:tc>
        <w:tc>
          <w:tcPr>
            <w:tcW w:w="1276" w:type="dxa"/>
            <w:tcMar>
              <w:left w:w="0" w:type="dxa"/>
              <w:right w:w="0" w:type="dxa"/>
            </w:tcMar>
            <w:vAlign w:val="bottom"/>
          </w:tcPr>
          <w:p w14:paraId="2952E60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106,594</w:t>
            </w:r>
          </w:p>
        </w:tc>
        <w:tc>
          <w:tcPr>
            <w:tcW w:w="64" w:type="dxa"/>
            <w:tcMar>
              <w:left w:w="0" w:type="dxa"/>
              <w:right w:w="0" w:type="dxa"/>
            </w:tcMar>
          </w:tcPr>
          <w:p w14:paraId="6C4FA815" w14:textId="77777777" w:rsidR="007E7656" w:rsidRDefault="007E7656" w:rsidP="00312F84"/>
        </w:tc>
      </w:tr>
      <w:tr w:rsidR="007E7656" w14:paraId="7309BED7" w14:textId="77777777" w:rsidTr="00312F84">
        <w:trPr>
          <w:trHeight w:hRule="exact" w:val="240"/>
          <w:jc w:val="center"/>
        </w:trPr>
        <w:tc>
          <w:tcPr>
            <w:tcW w:w="7440" w:type="dxa"/>
            <w:tcMar>
              <w:left w:w="420" w:type="dxa"/>
              <w:right w:w="40" w:type="dxa"/>
            </w:tcMar>
          </w:tcPr>
          <w:p w14:paraId="020AB06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Accrued and other current liabilities</w:t>
            </w:r>
          </w:p>
        </w:tc>
        <w:tc>
          <w:tcPr>
            <w:tcW w:w="80" w:type="dxa"/>
            <w:tcMar>
              <w:left w:w="0" w:type="dxa"/>
              <w:right w:w="0" w:type="dxa"/>
            </w:tcMar>
          </w:tcPr>
          <w:p w14:paraId="6F1D3D6C" w14:textId="77777777" w:rsidR="007E7656" w:rsidRDefault="007E7656" w:rsidP="00312F84">
            <w:pPr>
              <w:keepNext/>
              <w:keepLines/>
              <w:spacing w:before="40" w:after="40"/>
            </w:pPr>
          </w:p>
        </w:tc>
        <w:tc>
          <w:tcPr>
            <w:tcW w:w="1236" w:type="dxa"/>
            <w:tcMar>
              <w:left w:w="0" w:type="dxa"/>
              <w:right w:w="0" w:type="dxa"/>
            </w:tcMar>
            <w:vAlign w:val="bottom"/>
          </w:tcPr>
          <w:p w14:paraId="4FCA3D5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w:t>
            </w:r>
            <w:r w:rsidR="00955C2B">
              <w:rPr>
                <w:rFonts w:ascii="Arial" w:eastAsia="Arial" w:hAnsi="Arial" w:cs="Arial"/>
                <w:color w:val="000000"/>
                <w:sz w:val="16"/>
              </w:rPr>
              <w:t>17</w:t>
            </w:r>
            <w:r>
              <w:rPr>
                <w:rFonts w:ascii="Arial" w:eastAsia="Arial" w:hAnsi="Arial" w:cs="Arial"/>
                <w:color w:val="000000"/>
                <w:sz w:val="16"/>
              </w:rPr>
              <w:t>,</w:t>
            </w:r>
            <w:r w:rsidR="00955C2B">
              <w:rPr>
                <w:rFonts w:ascii="Arial" w:eastAsia="Arial" w:hAnsi="Arial" w:cs="Arial"/>
                <w:color w:val="000000"/>
                <w:sz w:val="16"/>
              </w:rPr>
              <w:t>84</w:t>
            </w:r>
            <w:r>
              <w:rPr>
                <w:rFonts w:ascii="Arial" w:eastAsia="Arial" w:hAnsi="Arial" w:cs="Arial"/>
                <w:color w:val="000000"/>
                <w:sz w:val="16"/>
              </w:rPr>
              <w:t>0</w:t>
            </w:r>
          </w:p>
        </w:tc>
        <w:tc>
          <w:tcPr>
            <w:tcW w:w="64" w:type="dxa"/>
            <w:tcMar>
              <w:left w:w="0" w:type="dxa"/>
              <w:right w:w="0" w:type="dxa"/>
            </w:tcMar>
          </w:tcPr>
          <w:p w14:paraId="1C9F182E" w14:textId="77777777" w:rsidR="007E7656" w:rsidRDefault="007E7656" w:rsidP="00312F84"/>
        </w:tc>
        <w:tc>
          <w:tcPr>
            <w:tcW w:w="80" w:type="dxa"/>
            <w:tcMar>
              <w:left w:w="0" w:type="dxa"/>
              <w:right w:w="60" w:type="dxa"/>
            </w:tcMar>
            <w:vAlign w:val="bottom"/>
          </w:tcPr>
          <w:p w14:paraId="1E6F68B1" w14:textId="77777777" w:rsidR="007E7656" w:rsidRDefault="007E7656" w:rsidP="00312F84">
            <w:pPr>
              <w:keepNext/>
              <w:keepLines/>
              <w:spacing w:before="40" w:after="40"/>
            </w:pPr>
          </w:p>
        </w:tc>
        <w:tc>
          <w:tcPr>
            <w:tcW w:w="1276" w:type="dxa"/>
            <w:tcMar>
              <w:left w:w="0" w:type="dxa"/>
              <w:right w:w="0" w:type="dxa"/>
            </w:tcMar>
            <w:vAlign w:val="bottom"/>
          </w:tcPr>
          <w:p w14:paraId="331008D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263,017</w:t>
            </w:r>
          </w:p>
        </w:tc>
        <w:tc>
          <w:tcPr>
            <w:tcW w:w="64" w:type="dxa"/>
            <w:tcMar>
              <w:left w:w="0" w:type="dxa"/>
              <w:right w:w="0" w:type="dxa"/>
            </w:tcMar>
          </w:tcPr>
          <w:p w14:paraId="092F34D0" w14:textId="77777777" w:rsidR="007E7656" w:rsidRDefault="007E7656" w:rsidP="00312F84"/>
        </w:tc>
      </w:tr>
      <w:tr w:rsidR="007E7656" w14:paraId="3751C815" w14:textId="77777777" w:rsidTr="00312F84">
        <w:trPr>
          <w:trHeight w:hRule="exact" w:val="240"/>
          <w:jc w:val="center"/>
        </w:trPr>
        <w:tc>
          <w:tcPr>
            <w:tcW w:w="7440" w:type="dxa"/>
            <w:tcMar>
              <w:left w:w="420" w:type="dxa"/>
              <w:right w:w="40" w:type="dxa"/>
            </w:tcMar>
          </w:tcPr>
          <w:p w14:paraId="57EB2F8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Income taxes payable</w:t>
            </w:r>
          </w:p>
        </w:tc>
        <w:tc>
          <w:tcPr>
            <w:tcW w:w="80" w:type="dxa"/>
            <w:tcMar>
              <w:left w:w="0" w:type="dxa"/>
              <w:right w:w="0" w:type="dxa"/>
            </w:tcMar>
          </w:tcPr>
          <w:p w14:paraId="748BE7FF" w14:textId="77777777" w:rsidR="007E7656" w:rsidRDefault="007E7656" w:rsidP="00312F84">
            <w:pPr>
              <w:keepNext/>
              <w:keepLines/>
              <w:spacing w:before="40" w:after="40"/>
            </w:pPr>
          </w:p>
        </w:tc>
        <w:tc>
          <w:tcPr>
            <w:tcW w:w="1236" w:type="dxa"/>
            <w:tcMar>
              <w:left w:w="0" w:type="dxa"/>
              <w:right w:w="0" w:type="dxa"/>
            </w:tcMar>
            <w:vAlign w:val="bottom"/>
          </w:tcPr>
          <w:p w14:paraId="36500F2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33,548</w:t>
            </w:r>
          </w:p>
        </w:tc>
        <w:tc>
          <w:tcPr>
            <w:tcW w:w="64" w:type="dxa"/>
            <w:tcMar>
              <w:left w:w="0" w:type="dxa"/>
              <w:right w:w="0" w:type="dxa"/>
            </w:tcMar>
          </w:tcPr>
          <w:p w14:paraId="38634721" w14:textId="77777777" w:rsidR="007E7656" w:rsidRDefault="007E7656" w:rsidP="00312F84"/>
        </w:tc>
        <w:tc>
          <w:tcPr>
            <w:tcW w:w="80" w:type="dxa"/>
            <w:tcMar>
              <w:left w:w="0" w:type="dxa"/>
              <w:right w:w="60" w:type="dxa"/>
            </w:tcMar>
            <w:vAlign w:val="bottom"/>
          </w:tcPr>
          <w:p w14:paraId="53AC9AA6" w14:textId="77777777" w:rsidR="007E7656" w:rsidRDefault="007E7656" w:rsidP="00312F84">
            <w:pPr>
              <w:keepNext/>
              <w:keepLines/>
              <w:spacing w:before="40" w:after="40"/>
            </w:pPr>
          </w:p>
        </w:tc>
        <w:tc>
          <w:tcPr>
            <w:tcW w:w="1276" w:type="dxa"/>
            <w:tcMar>
              <w:left w:w="0" w:type="dxa"/>
              <w:right w:w="0" w:type="dxa"/>
            </w:tcMar>
            <w:vAlign w:val="bottom"/>
          </w:tcPr>
          <w:p w14:paraId="1FB5AE1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30,047</w:t>
            </w:r>
          </w:p>
        </w:tc>
        <w:tc>
          <w:tcPr>
            <w:tcW w:w="64" w:type="dxa"/>
            <w:tcMar>
              <w:left w:w="0" w:type="dxa"/>
              <w:right w:w="0" w:type="dxa"/>
            </w:tcMar>
          </w:tcPr>
          <w:p w14:paraId="17E495C1" w14:textId="77777777" w:rsidR="007E7656" w:rsidRDefault="007E7656" w:rsidP="00312F84"/>
        </w:tc>
      </w:tr>
      <w:tr w:rsidR="007E7656" w14:paraId="74BD0F2B" w14:textId="77777777" w:rsidTr="00312F84">
        <w:trPr>
          <w:trHeight w:hRule="exact" w:val="260"/>
          <w:jc w:val="center"/>
        </w:trPr>
        <w:tc>
          <w:tcPr>
            <w:tcW w:w="7440" w:type="dxa"/>
            <w:tcMar>
              <w:left w:w="60" w:type="dxa"/>
              <w:right w:w="40" w:type="dxa"/>
            </w:tcMar>
          </w:tcPr>
          <w:p w14:paraId="5775A59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current liabilities</w:t>
            </w:r>
          </w:p>
        </w:tc>
        <w:tc>
          <w:tcPr>
            <w:tcW w:w="80" w:type="dxa"/>
            <w:tcMar>
              <w:left w:w="60" w:type="dxa"/>
              <w:right w:w="0" w:type="dxa"/>
            </w:tcMar>
          </w:tcPr>
          <w:p w14:paraId="575E9B7F" w14:textId="77777777" w:rsidR="007E7656" w:rsidRDefault="007E7656" w:rsidP="00312F84">
            <w:pPr>
              <w:keepNext/>
              <w:keepLines/>
              <w:spacing w:before="40" w:after="40"/>
            </w:pPr>
          </w:p>
        </w:tc>
        <w:tc>
          <w:tcPr>
            <w:tcW w:w="1236" w:type="dxa"/>
            <w:tcBorders>
              <w:top w:val="single" w:sz="8" w:space="0" w:color="auto"/>
              <w:bottom w:val="single" w:sz="8" w:space="0" w:color="auto"/>
            </w:tcBorders>
            <w:tcMar>
              <w:left w:w="0" w:type="dxa"/>
              <w:right w:w="0" w:type="dxa"/>
            </w:tcMar>
            <w:vAlign w:val="bottom"/>
          </w:tcPr>
          <w:p w14:paraId="63804AD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9</w:t>
            </w:r>
            <w:r w:rsidR="00955C2B">
              <w:rPr>
                <w:rFonts w:ascii="Arial" w:eastAsia="Arial" w:hAnsi="Arial" w:cs="Arial"/>
                <w:color w:val="000000"/>
                <w:sz w:val="16"/>
              </w:rPr>
              <w:t>09</w:t>
            </w:r>
            <w:r>
              <w:rPr>
                <w:rFonts w:ascii="Arial" w:eastAsia="Arial" w:hAnsi="Arial" w:cs="Arial"/>
                <w:color w:val="000000"/>
                <w:sz w:val="16"/>
              </w:rPr>
              <w:t>,</w:t>
            </w:r>
            <w:r w:rsidR="00955C2B">
              <w:rPr>
                <w:rFonts w:ascii="Arial" w:eastAsia="Arial" w:hAnsi="Arial" w:cs="Arial"/>
                <w:color w:val="000000"/>
                <w:sz w:val="16"/>
              </w:rPr>
              <w:t>75</w:t>
            </w:r>
            <w:r>
              <w:rPr>
                <w:rFonts w:ascii="Arial" w:eastAsia="Arial" w:hAnsi="Arial" w:cs="Arial"/>
                <w:color w:val="000000"/>
                <w:sz w:val="16"/>
              </w:rPr>
              <w:t>4</w:t>
            </w:r>
          </w:p>
        </w:tc>
        <w:tc>
          <w:tcPr>
            <w:tcW w:w="64" w:type="dxa"/>
            <w:tcBorders>
              <w:top w:val="single" w:sz="8" w:space="0" w:color="auto"/>
              <w:bottom w:val="single" w:sz="8" w:space="0" w:color="auto"/>
            </w:tcBorders>
            <w:tcMar>
              <w:left w:w="0" w:type="dxa"/>
              <w:right w:w="0" w:type="dxa"/>
            </w:tcMar>
          </w:tcPr>
          <w:p w14:paraId="4BC36BE0" w14:textId="77777777" w:rsidR="007E7656" w:rsidRDefault="007E7656" w:rsidP="00312F84"/>
        </w:tc>
        <w:tc>
          <w:tcPr>
            <w:tcW w:w="80" w:type="dxa"/>
            <w:tcMar>
              <w:left w:w="0" w:type="dxa"/>
              <w:right w:w="60" w:type="dxa"/>
            </w:tcMar>
            <w:vAlign w:val="bottom"/>
          </w:tcPr>
          <w:p w14:paraId="230E4772" w14:textId="77777777" w:rsidR="007E7656" w:rsidRDefault="007E7656" w:rsidP="00312F84">
            <w:pPr>
              <w:keepNext/>
              <w:keepLines/>
              <w:spacing w:before="40" w:after="40"/>
            </w:pPr>
          </w:p>
        </w:tc>
        <w:tc>
          <w:tcPr>
            <w:tcW w:w="1276" w:type="dxa"/>
            <w:tcBorders>
              <w:top w:val="single" w:sz="8" w:space="0" w:color="auto"/>
              <w:bottom w:val="single" w:sz="8" w:space="0" w:color="auto"/>
            </w:tcBorders>
            <w:tcMar>
              <w:left w:w="0" w:type="dxa"/>
              <w:right w:w="0" w:type="dxa"/>
            </w:tcMar>
            <w:vAlign w:val="bottom"/>
          </w:tcPr>
          <w:p w14:paraId="75D7966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972,189</w:t>
            </w:r>
          </w:p>
        </w:tc>
        <w:tc>
          <w:tcPr>
            <w:tcW w:w="64" w:type="dxa"/>
            <w:tcBorders>
              <w:top w:val="single" w:sz="8" w:space="0" w:color="auto"/>
              <w:bottom w:val="single" w:sz="8" w:space="0" w:color="auto"/>
            </w:tcBorders>
            <w:tcMar>
              <w:left w:w="0" w:type="dxa"/>
              <w:right w:w="0" w:type="dxa"/>
            </w:tcMar>
          </w:tcPr>
          <w:p w14:paraId="6AB31F1A" w14:textId="77777777" w:rsidR="007E7656" w:rsidRDefault="007E7656" w:rsidP="00312F84"/>
        </w:tc>
      </w:tr>
      <w:tr w:rsidR="007E7656" w14:paraId="3F435AAE" w14:textId="77777777" w:rsidTr="007E7656">
        <w:trPr>
          <w:trHeight w:hRule="exact" w:val="220"/>
          <w:jc w:val="center"/>
        </w:trPr>
        <w:tc>
          <w:tcPr>
            <w:tcW w:w="7440" w:type="dxa"/>
            <w:tcMar>
              <w:left w:w="60" w:type="dxa"/>
              <w:right w:w="40" w:type="dxa"/>
            </w:tcMar>
          </w:tcPr>
          <w:p w14:paraId="13FBE5F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Long-term liabilities:</w:t>
            </w:r>
          </w:p>
        </w:tc>
        <w:tc>
          <w:tcPr>
            <w:tcW w:w="80" w:type="dxa"/>
            <w:tcMar>
              <w:left w:w="60" w:type="dxa"/>
              <w:right w:w="0" w:type="dxa"/>
            </w:tcMar>
          </w:tcPr>
          <w:p w14:paraId="41B16289" w14:textId="77777777" w:rsidR="007E7656" w:rsidRDefault="007E7656" w:rsidP="00312F84">
            <w:pPr>
              <w:keepNext/>
              <w:keepLines/>
              <w:spacing w:before="40" w:after="40"/>
            </w:pPr>
          </w:p>
        </w:tc>
        <w:tc>
          <w:tcPr>
            <w:tcW w:w="1236" w:type="dxa"/>
            <w:gridSpan w:val="2"/>
            <w:tcMar>
              <w:left w:w="60" w:type="dxa"/>
              <w:right w:w="0" w:type="dxa"/>
            </w:tcMar>
            <w:vAlign w:val="bottom"/>
          </w:tcPr>
          <w:p w14:paraId="4D1DF1A5" w14:textId="77777777" w:rsidR="007E7656" w:rsidRDefault="007E7656" w:rsidP="00312F84">
            <w:pPr>
              <w:keepNext/>
              <w:keepLines/>
              <w:spacing w:before="40" w:after="40"/>
            </w:pPr>
          </w:p>
        </w:tc>
        <w:tc>
          <w:tcPr>
            <w:tcW w:w="80" w:type="dxa"/>
            <w:tcMar>
              <w:left w:w="60" w:type="dxa"/>
              <w:right w:w="0" w:type="dxa"/>
            </w:tcMar>
            <w:vAlign w:val="bottom"/>
          </w:tcPr>
          <w:p w14:paraId="10CC128C" w14:textId="77777777" w:rsidR="007E7656" w:rsidRDefault="007E7656" w:rsidP="00312F84">
            <w:pPr>
              <w:keepNext/>
              <w:keepLines/>
              <w:spacing w:before="40" w:after="40"/>
            </w:pPr>
          </w:p>
        </w:tc>
        <w:tc>
          <w:tcPr>
            <w:tcW w:w="1276" w:type="dxa"/>
            <w:gridSpan w:val="2"/>
            <w:tcMar>
              <w:left w:w="60" w:type="dxa"/>
              <w:right w:w="0" w:type="dxa"/>
            </w:tcMar>
            <w:vAlign w:val="bottom"/>
          </w:tcPr>
          <w:p w14:paraId="7FF042E5" w14:textId="77777777" w:rsidR="007E7656" w:rsidRDefault="007E7656" w:rsidP="00312F84">
            <w:pPr>
              <w:keepNext/>
              <w:keepLines/>
              <w:spacing w:before="40" w:after="40"/>
            </w:pPr>
          </w:p>
        </w:tc>
      </w:tr>
      <w:tr w:rsidR="007E7656" w14:paraId="2533F25E" w14:textId="77777777" w:rsidTr="00312F84">
        <w:trPr>
          <w:trHeight w:hRule="exact" w:val="240"/>
          <w:jc w:val="center"/>
        </w:trPr>
        <w:tc>
          <w:tcPr>
            <w:tcW w:w="7440" w:type="dxa"/>
            <w:tcMar>
              <w:left w:w="420" w:type="dxa"/>
              <w:right w:w="40" w:type="dxa"/>
            </w:tcMar>
          </w:tcPr>
          <w:p w14:paraId="15FA990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Long-term debt, net of current portion</w:t>
            </w:r>
          </w:p>
        </w:tc>
        <w:tc>
          <w:tcPr>
            <w:tcW w:w="80" w:type="dxa"/>
            <w:tcMar>
              <w:left w:w="0" w:type="dxa"/>
              <w:right w:w="0" w:type="dxa"/>
            </w:tcMar>
          </w:tcPr>
          <w:p w14:paraId="49CE91BE" w14:textId="77777777" w:rsidR="007E7656" w:rsidRDefault="007E7656" w:rsidP="00312F84">
            <w:pPr>
              <w:keepNext/>
              <w:keepLines/>
              <w:spacing w:before="40" w:after="40"/>
            </w:pPr>
          </w:p>
        </w:tc>
        <w:tc>
          <w:tcPr>
            <w:tcW w:w="1236" w:type="dxa"/>
            <w:tcMar>
              <w:left w:w="0" w:type="dxa"/>
              <w:right w:w="0" w:type="dxa"/>
            </w:tcMar>
            <w:vAlign w:val="bottom"/>
          </w:tcPr>
          <w:p w14:paraId="14B9EFD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1,410,557</w:t>
            </w:r>
          </w:p>
        </w:tc>
        <w:tc>
          <w:tcPr>
            <w:tcW w:w="64" w:type="dxa"/>
            <w:tcMar>
              <w:left w:w="0" w:type="dxa"/>
              <w:right w:w="0" w:type="dxa"/>
            </w:tcMar>
          </w:tcPr>
          <w:p w14:paraId="3C326EA2" w14:textId="77777777" w:rsidR="007E7656" w:rsidRDefault="007E7656" w:rsidP="00312F84"/>
        </w:tc>
        <w:tc>
          <w:tcPr>
            <w:tcW w:w="80" w:type="dxa"/>
            <w:tcMar>
              <w:left w:w="0" w:type="dxa"/>
              <w:right w:w="60" w:type="dxa"/>
            </w:tcMar>
            <w:vAlign w:val="bottom"/>
          </w:tcPr>
          <w:p w14:paraId="75CB15CA" w14:textId="77777777" w:rsidR="007E7656" w:rsidRDefault="007E7656" w:rsidP="00312F84">
            <w:pPr>
              <w:keepNext/>
              <w:keepLines/>
              <w:spacing w:before="40" w:after="40"/>
            </w:pPr>
          </w:p>
        </w:tc>
        <w:tc>
          <w:tcPr>
            <w:tcW w:w="1276" w:type="dxa"/>
            <w:tcMar>
              <w:left w:w="0" w:type="dxa"/>
              <w:right w:w="0" w:type="dxa"/>
            </w:tcMar>
            <w:vAlign w:val="bottom"/>
          </w:tcPr>
          <w:p w14:paraId="0B0FD78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1,671,090</w:t>
            </w:r>
          </w:p>
        </w:tc>
        <w:tc>
          <w:tcPr>
            <w:tcW w:w="64" w:type="dxa"/>
            <w:tcMar>
              <w:left w:w="0" w:type="dxa"/>
              <w:right w:w="0" w:type="dxa"/>
            </w:tcMar>
          </w:tcPr>
          <w:p w14:paraId="79CC144E" w14:textId="77777777" w:rsidR="007E7656" w:rsidRDefault="007E7656" w:rsidP="00312F84"/>
        </w:tc>
      </w:tr>
      <w:tr w:rsidR="007E7656" w14:paraId="25E5BAD1" w14:textId="77777777" w:rsidTr="00312F84">
        <w:trPr>
          <w:trHeight w:hRule="exact" w:val="240"/>
          <w:jc w:val="center"/>
        </w:trPr>
        <w:tc>
          <w:tcPr>
            <w:tcW w:w="7440" w:type="dxa"/>
            <w:tcMar>
              <w:left w:w="420" w:type="dxa"/>
              <w:right w:w="40" w:type="dxa"/>
            </w:tcMar>
          </w:tcPr>
          <w:p w14:paraId="54E5C7B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Deferred income taxes</w:t>
            </w:r>
          </w:p>
        </w:tc>
        <w:tc>
          <w:tcPr>
            <w:tcW w:w="80" w:type="dxa"/>
            <w:tcMar>
              <w:left w:w="0" w:type="dxa"/>
              <w:right w:w="0" w:type="dxa"/>
            </w:tcMar>
          </w:tcPr>
          <w:p w14:paraId="0E2B3024" w14:textId="77777777" w:rsidR="007E7656" w:rsidRDefault="007E7656" w:rsidP="00312F84">
            <w:pPr>
              <w:keepNext/>
              <w:keepLines/>
              <w:spacing w:before="40" w:after="40"/>
            </w:pPr>
          </w:p>
        </w:tc>
        <w:tc>
          <w:tcPr>
            <w:tcW w:w="1236" w:type="dxa"/>
            <w:tcMar>
              <w:left w:w="0" w:type="dxa"/>
              <w:right w:w="0" w:type="dxa"/>
            </w:tcMar>
            <w:vAlign w:val="bottom"/>
          </w:tcPr>
          <w:p w14:paraId="29E2903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44,084</w:t>
            </w:r>
          </w:p>
        </w:tc>
        <w:tc>
          <w:tcPr>
            <w:tcW w:w="64" w:type="dxa"/>
            <w:tcMar>
              <w:left w:w="0" w:type="dxa"/>
              <w:right w:w="0" w:type="dxa"/>
            </w:tcMar>
          </w:tcPr>
          <w:p w14:paraId="73C2B410" w14:textId="77777777" w:rsidR="007E7656" w:rsidRDefault="007E7656" w:rsidP="00312F84"/>
        </w:tc>
        <w:tc>
          <w:tcPr>
            <w:tcW w:w="80" w:type="dxa"/>
            <w:tcMar>
              <w:left w:w="0" w:type="dxa"/>
              <w:right w:w="60" w:type="dxa"/>
            </w:tcMar>
            <w:vAlign w:val="bottom"/>
          </w:tcPr>
          <w:p w14:paraId="0F82CB38" w14:textId="77777777" w:rsidR="007E7656" w:rsidRDefault="007E7656" w:rsidP="00312F84">
            <w:pPr>
              <w:keepNext/>
              <w:keepLines/>
              <w:spacing w:before="40" w:after="40"/>
            </w:pPr>
          </w:p>
        </w:tc>
        <w:tc>
          <w:tcPr>
            <w:tcW w:w="1276" w:type="dxa"/>
            <w:tcMar>
              <w:left w:w="0" w:type="dxa"/>
              <w:right w:w="0" w:type="dxa"/>
            </w:tcMar>
            <w:vAlign w:val="bottom"/>
          </w:tcPr>
          <w:p w14:paraId="27BACB2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63,411</w:t>
            </w:r>
          </w:p>
        </w:tc>
        <w:tc>
          <w:tcPr>
            <w:tcW w:w="64" w:type="dxa"/>
            <w:tcMar>
              <w:left w:w="0" w:type="dxa"/>
              <w:right w:w="0" w:type="dxa"/>
            </w:tcMar>
          </w:tcPr>
          <w:p w14:paraId="440F9C23" w14:textId="77777777" w:rsidR="007E7656" w:rsidRDefault="007E7656" w:rsidP="00312F84"/>
        </w:tc>
      </w:tr>
      <w:tr w:rsidR="007E7656" w14:paraId="11FAD14F" w14:textId="77777777" w:rsidTr="00312F84">
        <w:trPr>
          <w:trHeight w:hRule="exact" w:val="240"/>
          <w:jc w:val="center"/>
        </w:trPr>
        <w:tc>
          <w:tcPr>
            <w:tcW w:w="7440" w:type="dxa"/>
            <w:tcMar>
              <w:left w:w="420" w:type="dxa"/>
              <w:right w:w="40" w:type="dxa"/>
            </w:tcMar>
          </w:tcPr>
          <w:p w14:paraId="793C9E1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Fair value of derivative instruments - long-term</w:t>
            </w:r>
          </w:p>
        </w:tc>
        <w:tc>
          <w:tcPr>
            <w:tcW w:w="80" w:type="dxa"/>
            <w:tcMar>
              <w:left w:w="0" w:type="dxa"/>
              <w:right w:w="0" w:type="dxa"/>
            </w:tcMar>
          </w:tcPr>
          <w:p w14:paraId="2588F095" w14:textId="77777777" w:rsidR="007E7656" w:rsidRDefault="007E7656" w:rsidP="00312F84">
            <w:pPr>
              <w:keepNext/>
              <w:keepLines/>
              <w:spacing w:before="40" w:after="40"/>
            </w:pPr>
          </w:p>
        </w:tc>
        <w:tc>
          <w:tcPr>
            <w:tcW w:w="1236" w:type="dxa"/>
            <w:tcMar>
              <w:left w:w="0" w:type="dxa"/>
              <w:right w:w="0" w:type="dxa"/>
            </w:tcMar>
            <w:vAlign w:val="bottom"/>
          </w:tcPr>
          <w:p w14:paraId="1182481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202,899</w:t>
            </w:r>
          </w:p>
        </w:tc>
        <w:tc>
          <w:tcPr>
            <w:tcW w:w="64" w:type="dxa"/>
            <w:tcMar>
              <w:left w:w="0" w:type="dxa"/>
              <w:right w:w="0" w:type="dxa"/>
            </w:tcMar>
          </w:tcPr>
          <w:p w14:paraId="4E146A87" w14:textId="77777777" w:rsidR="007E7656" w:rsidRDefault="007E7656" w:rsidP="00312F84"/>
        </w:tc>
        <w:tc>
          <w:tcPr>
            <w:tcW w:w="80" w:type="dxa"/>
            <w:tcMar>
              <w:left w:w="0" w:type="dxa"/>
              <w:right w:w="60" w:type="dxa"/>
            </w:tcMar>
            <w:vAlign w:val="bottom"/>
          </w:tcPr>
          <w:p w14:paraId="0047A486" w14:textId="77777777" w:rsidR="007E7656" w:rsidRDefault="007E7656" w:rsidP="00312F84">
            <w:pPr>
              <w:keepNext/>
              <w:keepLines/>
              <w:spacing w:before="40" w:after="40"/>
            </w:pPr>
          </w:p>
        </w:tc>
        <w:tc>
          <w:tcPr>
            <w:tcW w:w="1276" w:type="dxa"/>
            <w:tcMar>
              <w:left w:w="0" w:type="dxa"/>
              <w:right w:w="0" w:type="dxa"/>
            </w:tcMar>
            <w:vAlign w:val="bottom"/>
          </w:tcPr>
          <w:p w14:paraId="577F563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317,393</w:t>
            </w:r>
          </w:p>
        </w:tc>
        <w:tc>
          <w:tcPr>
            <w:tcW w:w="64" w:type="dxa"/>
            <w:tcMar>
              <w:left w:w="0" w:type="dxa"/>
              <w:right w:w="0" w:type="dxa"/>
            </w:tcMar>
          </w:tcPr>
          <w:p w14:paraId="4B1C266C" w14:textId="77777777" w:rsidR="007E7656" w:rsidRDefault="007E7656" w:rsidP="00312F84"/>
        </w:tc>
      </w:tr>
      <w:tr w:rsidR="007E7656" w14:paraId="0F373AB5" w14:textId="77777777" w:rsidTr="00312F84">
        <w:trPr>
          <w:trHeight w:hRule="exact" w:val="240"/>
          <w:jc w:val="center"/>
        </w:trPr>
        <w:tc>
          <w:tcPr>
            <w:tcW w:w="7440" w:type="dxa"/>
            <w:tcMar>
              <w:left w:w="420" w:type="dxa"/>
              <w:right w:w="40" w:type="dxa"/>
            </w:tcMar>
          </w:tcPr>
          <w:p w14:paraId="5E3C6F8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long-term liabilities</w:t>
            </w:r>
          </w:p>
        </w:tc>
        <w:tc>
          <w:tcPr>
            <w:tcW w:w="80" w:type="dxa"/>
            <w:tcMar>
              <w:left w:w="0" w:type="dxa"/>
              <w:right w:w="0" w:type="dxa"/>
            </w:tcMar>
          </w:tcPr>
          <w:p w14:paraId="4F8F9836" w14:textId="77777777" w:rsidR="007E7656" w:rsidRDefault="007E7656" w:rsidP="00312F84">
            <w:pPr>
              <w:keepNext/>
              <w:keepLines/>
              <w:spacing w:before="40" w:after="40"/>
            </w:pPr>
          </w:p>
        </w:tc>
        <w:tc>
          <w:tcPr>
            <w:tcW w:w="1236" w:type="dxa"/>
            <w:tcBorders>
              <w:bottom w:val="single" w:sz="8" w:space="0" w:color="auto"/>
            </w:tcBorders>
            <w:tcMar>
              <w:left w:w="0" w:type="dxa"/>
              <w:right w:w="0" w:type="dxa"/>
            </w:tcMar>
            <w:vAlign w:val="bottom"/>
          </w:tcPr>
          <w:p w14:paraId="52CF275B"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w:t>
            </w:r>
            <w:r w:rsidR="00955C2B">
              <w:rPr>
                <w:rFonts w:ascii="Arial" w:eastAsia="Arial" w:hAnsi="Arial" w:cs="Arial"/>
                <w:color w:val="000000"/>
                <w:sz w:val="16"/>
              </w:rPr>
              <w:t>82</w:t>
            </w:r>
            <w:r>
              <w:rPr>
                <w:rFonts w:ascii="Arial" w:eastAsia="Arial" w:hAnsi="Arial" w:cs="Arial"/>
                <w:color w:val="000000"/>
                <w:sz w:val="16"/>
              </w:rPr>
              <w:t>,</w:t>
            </w:r>
            <w:r w:rsidR="00955C2B">
              <w:rPr>
                <w:rFonts w:ascii="Arial" w:eastAsia="Arial" w:hAnsi="Arial" w:cs="Arial"/>
                <w:color w:val="000000"/>
                <w:sz w:val="16"/>
              </w:rPr>
              <w:t>8</w:t>
            </w:r>
            <w:r>
              <w:rPr>
                <w:rFonts w:ascii="Arial" w:eastAsia="Arial" w:hAnsi="Arial" w:cs="Arial"/>
                <w:color w:val="000000"/>
                <w:sz w:val="16"/>
              </w:rPr>
              <w:t>64</w:t>
            </w:r>
          </w:p>
        </w:tc>
        <w:tc>
          <w:tcPr>
            <w:tcW w:w="64" w:type="dxa"/>
            <w:tcBorders>
              <w:bottom w:val="single" w:sz="8" w:space="0" w:color="auto"/>
            </w:tcBorders>
            <w:tcMar>
              <w:left w:w="0" w:type="dxa"/>
              <w:right w:w="0" w:type="dxa"/>
            </w:tcMar>
          </w:tcPr>
          <w:p w14:paraId="7025C2CB" w14:textId="77777777" w:rsidR="007E7656" w:rsidRDefault="007E7656" w:rsidP="00312F84"/>
        </w:tc>
        <w:tc>
          <w:tcPr>
            <w:tcW w:w="80" w:type="dxa"/>
            <w:tcMar>
              <w:left w:w="0" w:type="dxa"/>
              <w:right w:w="60" w:type="dxa"/>
            </w:tcMar>
            <w:vAlign w:val="bottom"/>
          </w:tcPr>
          <w:p w14:paraId="73AEE5CC"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17B2AD4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89,279</w:t>
            </w:r>
          </w:p>
        </w:tc>
        <w:tc>
          <w:tcPr>
            <w:tcW w:w="64" w:type="dxa"/>
            <w:tcBorders>
              <w:bottom w:val="single" w:sz="8" w:space="0" w:color="auto"/>
            </w:tcBorders>
            <w:tcMar>
              <w:left w:w="0" w:type="dxa"/>
              <w:right w:w="0" w:type="dxa"/>
            </w:tcMar>
          </w:tcPr>
          <w:p w14:paraId="3CAE8BD5" w14:textId="77777777" w:rsidR="007E7656" w:rsidRDefault="007E7656" w:rsidP="00312F84"/>
        </w:tc>
      </w:tr>
      <w:tr w:rsidR="007E7656" w14:paraId="0ABDEB53" w14:textId="77777777" w:rsidTr="00312F84">
        <w:trPr>
          <w:trHeight w:hRule="exact" w:val="260"/>
          <w:jc w:val="center"/>
        </w:trPr>
        <w:tc>
          <w:tcPr>
            <w:tcW w:w="7440" w:type="dxa"/>
            <w:tcMar>
              <w:left w:w="60" w:type="dxa"/>
              <w:right w:w="40" w:type="dxa"/>
            </w:tcMar>
          </w:tcPr>
          <w:p w14:paraId="54D3DA7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long-term liabilities</w:t>
            </w:r>
          </w:p>
        </w:tc>
        <w:tc>
          <w:tcPr>
            <w:tcW w:w="80" w:type="dxa"/>
            <w:tcMar>
              <w:left w:w="60" w:type="dxa"/>
              <w:right w:w="0" w:type="dxa"/>
            </w:tcMar>
          </w:tcPr>
          <w:p w14:paraId="5E6FECBA" w14:textId="77777777" w:rsidR="007E7656" w:rsidRDefault="007E7656" w:rsidP="00312F84">
            <w:pPr>
              <w:keepNext/>
              <w:keepLines/>
              <w:spacing w:before="40" w:after="40"/>
            </w:pPr>
          </w:p>
        </w:tc>
        <w:tc>
          <w:tcPr>
            <w:tcW w:w="1236" w:type="dxa"/>
            <w:tcBorders>
              <w:bottom w:val="single" w:sz="8" w:space="0" w:color="auto"/>
            </w:tcBorders>
            <w:tcMar>
              <w:left w:w="0" w:type="dxa"/>
              <w:right w:w="0" w:type="dxa"/>
            </w:tcMar>
            <w:vAlign w:val="bottom"/>
          </w:tcPr>
          <w:p w14:paraId="06D986F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1,8</w:t>
            </w:r>
            <w:r w:rsidR="00955C2B">
              <w:rPr>
                <w:rFonts w:ascii="Arial" w:eastAsia="Arial" w:hAnsi="Arial" w:cs="Arial"/>
                <w:color w:val="000000"/>
                <w:sz w:val="16"/>
              </w:rPr>
              <w:t>40</w:t>
            </w:r>
            <w:r>
              <w:rPr>
                <w:rFonts w:ascii="Arial" w:eastAsia="Arial" w:hAnsi="Arial" w:cs="Arial"/>
                <w:color w:val="000000"/>
                <w:sz w:val="16"/>
              </w:rPr>
              <w:t>,</w:t>
            </w:r>
            <w:r w:rsidR="00955C2B">
              <w:rPr>
                <w:rFonts w:ascii="Arial" w:eastAsia="Arial" w:hAnsi="Arial" w:cs="Arial"/>
                <w:color w:val="000000"/>
                <w:sz w:val="16"/>
              </w:rPr>
              <w:t>4</w:t>
            </w:r>
            <w:r>
              <w:rPr>
                <w:rFonts w:ascii="Arial" w:eastAsia="Arial" w:hAnsi="Arial" w:cs="Arial"/>
                <w:color w:val="000000"/>
                <w:sz w:val="16"/>
              </w:rPr>
              <w:t>04</w:t>
            </w:r>
          </w:p>
        </w:tc>
        <w:tc>
          <w:tcPr>
            <w:tcW w:w="64" w:type="dxa"/>
            <w:tcBorders>
              <w:bottom w:val="single" w:sz="8" w:space="0" w:color="auto"/>
            </w:tcBorders>
            <w:tcMar>
              <w:left w:w="0" w:type="dxa"/>
              <w:right w:w="0" w:type="dxa"/>
            </w:tcMar>
          </w:tcPr>
          <w:p w14:paraId="621AB08D" w14:textId="77777777" w:rsidR="007E7656" w:rsidRDefault="007E7656" w:rsidP="00312F84"/>
        </w:tc>
        <w:tc>
          <w:tcPr>
            <w:tcW w:w="80" w:type="dxa"/>
            <w:tcMar>
              <w:left w:w="0" w:type="dxa"/>
              <w:right w:w="60" w:type="dxa"/>
            </w:tcMar>
            <w:vAlign w:val="bottom"/>
          </w:tcPr>
          <w:p w14:paraId="34F40BBB"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1172DE1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2,141,173</w:t>
            </w:r>
          </w:p>
        </w:tc>
        <w:tc>
          <w:tcPr>
            <w:tcW w:w="64" w:type="dxa"/>
            <w:tcBorders>
              <w:bottom w:val="single" w:sz="8" w:space="0" w:color="auto"/>
            </w:tcBorders>
            <w:tcMar>
              <w:left w:w="0" w:type="dxa"/>
              <w:right w:w="0" w:type="dxa"/>
            </w:tcMar>
          </w:tcPr>
          <w:p w14:paraId="7EBF44C3" w14:textId="77777777" w:rsidR="007E7656" w:rsidRDefault="007E7656" w:rsidP="00312F84"/>
        </w:tc>
      </w:tr>
      <w:tr w:rsidR="007E7656" w14:paraId="64D1DAC4" w14:textId="77777777" w:rsidTr="007E7656">
        <w:trPr>
          <w:trHeight w:hRule="exact" w:val="220"/>
          <w:jc w:val="center"/>
        </w:trPr>
        <w:tc>
          <w:tcPr>
            <w:tcW w:w="7440" w:type="dxa"/>
            <w:tcMar>
              <w:left w:w="60" w:type="dxa"/>
              <w:right w:w="40" w:type="dxa"/>
            </w:tcMar>
          </w:tcPr>
          <w:p w14:paraId="32F973A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Equity:</w:t>
            </w:r>
          </w:p>
        </w:tc>
        <w:tc>
          <w:tcPr>
            <w:tcW w:w="80" w:type="dxa"/>
            <w:tcMar>
              <w:left w:w="60" w:type="dxa"/>
              <w:right w:w="0" w:type="dxa"/>
            </w:tcMar>
          </w:tcPr>
          <w:p w14:paraId="26D64607" w14:textId="77777777" w:rsidR="007E7656" w:rsidRDefault="007E7656" w:rsidP="00312F84">
            <w:pPr>
              <w:keepNext/>
              <w:keepLines/>
              <w:spacing w:before="40" w:after="40"/>
            </w:pPr>
          </w:p>
        </w:tc>
        <w:tc>
          <w:tcPr>
            <w:tcW w:w="1236" w:type="dxa"/>
            <w:gridSpan w:val="2"/>
            <w:tcMar>
              <w:left w:w="60" w:type="dxa"/>
              <w:right w:w="0" w:type="dxa"/>
            </w:tcMar>
            <w:vAlign w:val="bottom"/>
          </w:tcPr>
          <w:p w14:paraId="05494028" w14:textId="77777777" w:rsidR="007E7656" w:rsidRDefault="007E7656" w:rsidP="00312F84">
            <w:pPr>
              <w:keepNext/>
              <w:keepLines/>
              <w:spacing w:before="40" w:after="40"/>
            </w:pPr>
          </w:p>
        </w:tc>
        <w:tc>
          <w:tcPr>
            <w:tcW w:w="80" w:type="dxa"/>
            <w:tcMar>
              <w:left w:w="60" w:type="dxa"/>
              <w:right w:w="0" w:type="dxa"/>
            </w:tcMar>
            <w:vAlign w:val="bottom"/>
          </w:tcPr>
          <w:p w14:paraId="662EE830" w14:textId="77777777" w:rsidR="007E7656" w:rsidRDefault="007E7656" w:rsidP="00312F84">
            <w:pPr>
              <w:keepNext/>
              <w:keepLines/>
              <w:spacing w:before="40" w:after="40"/>
            </w:pPr>
          </w:p>
        </w:tc>
        <w:tc>
          <w:tcPr>
            <w:tcW w:w="1276" w:type="dxa"/>
            <w:gridSpan w:val="2"/>
            <w:tcMar>
              <w:left w:w="60" w:type="dxa"/>
              <w:right w:w="0" w:type="dxa"/>
            </w:tcMar>
            <w:vAlign w:val="bottom"/>
          </w:tcPr>
          <w:p w14:paraId="308E7957" w14:textId="77777777" w:rsidR="007E7656" w:rsidRDefault="007E7656" w:rsidP="00312F84">
            <w:pPr>
              <w:keepNext/>
              <w:keepLines/>
              <w:spacing w:before="40" w:after="40"/>
            </w:pPr>
          </w:p>
        </w:tc>
      </w:tr>
      <w:tr w:rsidR="007E7656" w14:paraId="6C26BF38" w14:textId="77777777" w:rsidTr="00312F84">
        <w:trPr>
          <w:trHeight w:hRule="exact" w:val="260"/>
          <w:jc w:val="center"/>
        </w:trPr>
        <w:tc>
          <w:tcPr>
            <w:tcW w:w="7440" w:type="dxa"/>
            <w:tcMar>
              <w:left w:w="420" w:type="dxa"/>
              <w:right w:w="40" w:type="dxa"/>
            </w:tcMar>
            <w:vAlign w:val="center"/>
          </w:tcPr>
          <w:p w14:paraId="61C27B1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Common shares, EUR .01 par value: Authorized - 410,000 shares, issued - 230,829 shares</w:t>
            </w:r>
          </w:p>
        </w:tc>
        <w:tc>
          <w:tcPr>
            <w:tcW w:w="80" w:type="dxa"/>
            <w:tcMar>
              <w:left w:w="0" w:type="dxa"/>
              <w:right w:w="0" w:type="dxa"/>
            </w:tcMar>
          </w:tcPr>
          <w:p w14:paraId="7CF87AFD" w14:textId="77777777" w:rsidR="007E7656" w:rsidRDefault="007E7656" w:rsidP="00312F84">
            <w:pPr>
              <w:keepNext/>
              <w:keepLines/>
              <w:spacing w:before="40" w:after="40"/>
            </w:pPr>
          </w:p>
        </w:tc>
        <w:tc>
          <w:tcPr>
            <w:tcW w:w="1236" w:type="dxa"/>
            <w:tcMar>
              <w:left w:w="0" w:type="dxa"/>
              <w:right w:w="0" w:type="dxa"/>
            </w:tcMar>
            <w:vAlign w:val="bottom"/>
          </w:tcPr>
          <w:p w14:paraId="63933C1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2,702</w:t>
            </w:r>
          </w:p>
        </w:tc>
        <w:tc>
          <w:tcPr>
            <w:tcW w:w="64" w:type="dxa"/>
            <w:tcMar>
              <w:left w:w="0" w:type="dxa"/>
              <w:right w:w="0" w:type="dxa"/>
            </w:tcMar>
          </w:tcPr>
          <w:p w14:paraId="2275F649" w14:textId="77777777" w:rsidR="007E7656" w:rsidRDefault="007E7656" w:rsidP="00312F84"/>
        </w:tc>
        <w:tc>
          <w:tcPr>
            <w:tcW w:w="80" w:type="dxa"/>
            <w:tcMar>
              <w:left w:w="0" w:type="dxa"/>
              <w:right w:w="60" w:type="dxa"/>
            </w:tcMar>
            <w:vAlign w:val="bottom"/>
          </w:tcPr>
          <w:p w14:paraId="22760884" w14:textId="77777777" w:rsidR="007E7656" w:rsidRDefault="007E7656" w:rsidP="00312F84">
            <w:pPr>
              <w:keepNext/>
              <w:keepLines/>
              <w:spacing w:before="40" w:after="40"/>
            </w:pPr>
          </w:p>
        </w:tc>
        <w:tc>
          <w:tcPr>
            <w:tcW w:w="1276" w:type="dxa"/>
            <w:tcMar>
              <w:left w:w="0" w:type="dxa"/>
              <w:right w:w="0" w:type="dxa"/>
            </w:tcMar>
            <w:vAlign w:val="bottom"/>
          </w:tcPr>
          <w:p w14:paraId="25317A0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2,702</w:t>
            </w:r>
          </w:p>
        </w:tc>
        <w:tc>
          <w:tcPr>
            <w:tcW w:w="64" w:type="dxa"/>
            <w:tcMar>
              <w:left w:w="0" w:type="dxa"/>
              <w:right w:w="0" w:type="dxa"/>
            </w:tcMar>
          </w:tcPr>
          <w:p w14:paraId="76245D93" w14:textId="77777777" w:rsidR="007E7656" w:rsidRDefault="007E7656" w:rsidP="00312F84"/>
        </w:tc>
      </w:tr>
      <w:tr w:rsidR="007E7656" w14:paraId="329A3A2A" w14:textId="77777777" w:rsidTr="00312F84">
        <w:trPr>
          <w:trHeight w:hRule="exact" w:val="260"/>
          <w:jc w:val="center"/>
        </w:trPr>
        <w:tc>
          <w:tcPr>
            <w:tcW w:w="7440" w:type="dxa"/>
            <w:tcMar>
              <w:left w:w="420" w:type="dxa"/>
              <w:right w:w="40" w:type="dxa"/>
            </w:tcMar>
          </w:tcPr>
          <w:p w14:paraId="2582BA1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Additional paid-in capital</w:t>
            </w:r>
          </w:p>
        </w:tc>
        <w:tc>
          <w:tcPr>
            <w:tcW w:w="80" w:type="dxa"/>
            <w:tcMar>
              <w:left w:w="0" w:type="dxa"/>
              <w:right w:w="0" w:type="dxa"/>
            </w:tcMar>
          </w:tcPr>
          <w:p w14:paraId="2328AEE3" w14:textId="77777777" w:rsidR="007E7656" w:rsidRDefault="007E7656" w:rsidP="00312F84">
            <w:pPr>
              <w:keepNext/>
              <w:keepLines/>
              <w:spacing w:before="40" w:after="40"/>
            </w:pPr>
          </w:p>
        </w:tc>
        <w:tc>
          <w:tcPr>
            <w:tcW w:w="1236" w:type="dxa"/>
            <w:tcMar>
              <w:left w:w="0" w:type="dxa"/>
              <w:right w:w="0" w:type="dxa"/>
            </w:tcMar>
            <w:vAlign w:val="bottom"/>
          </w:tcPr>
          <w:p w14:paraId="6ACA015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1,734,421</w:t>
            </w:r>
          </w:p>
        </w:tc>
        <w:tc>
          <w:tcPr>
            <w:tcW w:w="64" w:type="dxa"/>
            <w:tcMar>
              <w:left w:w="0" w:type="dxa"/>
              <w:right w:w="0" w:type="dxa"/>
            </w:tcMar>
          </w:tcPr>
          <w:p w14:paraId="62A286BA" w14:textId="77777777" w:rsidR="007E7656" w:rsidRDefault="007E7656" w:rsidP="00312F84"/>
        </w:tc>
        <w:tc>
          <w:tcPr>
            <w:tcW w:w="80" w:type="dxa"/>
            <w:tcMar>
              <w:left w:w="0" w:type="dxa"/>
              <w:right w:w="60" w:type="dxa"/>
            </w:tcMar>
            <w:vAlign w:val="bottom"/>
          </w:tcPr>
          <w:p w14:paraId="10176DDB" w14:textId="77777777" w:rsidR="007E7656" w:rsidRDefault="007E7656" w:rsidP="00312F84">
            <w:pPr>
              <w:keepNext/>
              <w:keepLines/>
              <w:spacing w:before="40" w:after="40"/>
            </w:pPr>
          </w:p>
        </w:tc>
        <w:tc>
          <w:tcPr>
            <w:tcW w:w="1276" w:type="dxa"/>
            <w:tcMar>
              <w:left w:w="0" w:type="dxa"/>
              <w:right w:w="0" w:type="dxa"/>
            </w:tcMar>
            <w:vAlign w:val="bottom"/>
          </w:tcPr>
          <w:p w14:paraId="6DDE2DB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1,742,191</w:t>
            </w:r>
          </w:p>
        </w:tc>
        <w:tc>
          <w:tcPr>
            <w:tcW w:w="64" w:type="dxa"/>
            <w:tcMar>
              <w:left w:w="0" w:type="dxa"/>
              <w:right w:w="0" w:type="dxa"/>
            </w:tcMar>
          </w:tcPr>
          <w:p w14:paraId="7F8BD5E9" w14:textId="77777777" w:rsidR="007E7656" w:rsidRDefault="007E7656" w:rsidP="00312F84"/>
        </w:tc>
      </w:tr>
      <w:tr w:rsidR="007E7656" w14:paraId="6BF62445" w14:textId="77777777" w:rsidTr="00312F84">
        <w:trPr>
          <w:trHeight w:hRule="exact" w:val="260"/>
          <w:jc w:val="center"/>
        </w:trPr>
        <w:tc>
          <w:tcPr>
            <w:tcW w:w="7440" w:type="dxa"/>
            <w:tcMar>
              <w:left w:w="420" w:type="dxa"/>
              <w:right w:w="40" w:type="dxa"/>
            </w:tcMar>
          </w:tcPr>
          <w:p w14:paraId="61B6341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Retained earnings</w:t>
            </w:r>
          </w:p>
        </w:tc>
        <w:tc>
          <w:tcPr>
            <w:tcW w:w="80" w:type="dxa"/>
            <w:tcMar>
              <w:left w:w="0" w:type="dxa"/>
              <w:right w:w="0" w:type="dxa"/>
            </w:tcMar>
          </w:tcPr>
          <w:p w14:paraId="25F990EE" w14:textId="77777777" w:rsidR="007E7656" w:rsidRDefault="007E7656" w:rsidP="00312F84">
            <w:pPr>
              <w:keepNext/>
              <w:keepLines/>
              <w:spacing w:before="40" w:after="40"/>
            </w:pPr>
          </w:p>
        </w:tc>
        <w:tc>
          <w:tcPr>
            <w:tcW w:w="1236" w:type="dxa"/>
            <w:tcMar>
              <w:left w:w="0" w:type="dxa"/>
              <w:right w:w="0" w:type="dxa"/>
            </w:tcMar>
            <w:vAlign w:val="bottom"/>
          </w:tcPr>
          <w:p w14:paraId="7239B8E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1,371,445</w:t>
            </w:r>
          </w:p>
        </w:tc>
        <w:tc>
          <w:tcPr>
            <w:tcW w:w="64" w:type="dxa"/>
            <w:tcMar>
              <w:left w:w="0" w:type="dxa"/>
              <w:right w:w="0" w:type="dxa"/>
            </w:tcMar>
          </w:tcPr>
          <w:p w14:paraId="2B764EFB" w14:textId="77777777" w:rsidR="007E7656" w:rsidRDefault="007E7656" w:rsidP="00312F84"/>
        </w:tc>
        <w:tc>
          <w:tcPr>
            <w:tcW w:w="80" w:type="dxa"/>
            <w:tcMar>
              <w:left w:w="0" w:type="dxa"/>
              <w:right w:w="60" w:type="dxa"/>
            </w:tcMar>
            <w:vAlign w:val="bottom"/>
          </w:tcPr>
          <w:p w14:paraId="74C0B258" w14:textId="77777777" w:rsidR="007E7656" w:rsidRDefault="007E7656" w:rsidP="00312F84">
            <w:pPr>
              <w:keepNext/>
              <w:keepLines/>
              <w:spacing w:before="40" w:after="40"/>
            </w:pPr>
          </w:p>
        </w:tc>
        <w:tc>
          <w:tcPr>
            <w:tcW w:w="1276" w:type="dxa"/>
            <w:tcMar>
              <w:left w:w="0" w:type="dxa"/>
              <w:right w:w="0" w:type="dxa"/>
            </w:tcMar>
            <w:vAlign w:val="bottom"/>
          </w:tcPr>
          <w:p w14:paraId="1F86DEE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1,379,624</w:t>
            </w:r>
          </w:p>
        </w:tc>
        <w:tc>
          <w:tcPr>
            <w:tcW w:w="64" w:type="dxa"/>
            <w:tcMar>
              <w:left w:w="0" w:type="dxa"/>
              <w:right w:w="0" w:type="dxa"/>
            </w:tcMar>
          </w:tcPr>
          <w:p w14:paraId="1421B3A9" w14:textId="77777777" w:rsidR="007E7656" w:rsidRDefault="007E7656" w:rsidP="00312F84"/>
        </w:tc>
      </w:tr>
      <w:tr w:rsidR="007E7656" w14:paraId="360C43AC" w14:textId="77777777" w:rsidTr="00312F84">
        <w:trPr>
          <w:trHeight w:hRule="exact" w:val="260"/>
          <w:jc w:val="center"/>
        </w:trPr>
        <w:tc>
          <w:tcPr>
            <w:tcW w:w="7440" w:type="dxa"/>
            <w:tcMar>
              <w:left w:w="420" w:type="dxa"/>
              <w:right w:w="40" w:type="dxa"/>
            </w:tcMar>
          </w:tcPr>
          <w:p w14:paraId="5CDA6F0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Accumulated other comprehensive loss</w:t>
            </w:r>
          </w:p>
        </w:tc>
        <w:tc>
          <w:tcPr>
            <w:tcW w:w="80" w:type="dxa"/>
            <w:tcMar>
              <w:left w:w="0" w:type="dxa"/>
              <w:right w:w="0" w:type="dxa"/>
            </w:tcMar>
          </w:tcPr>
          <w:p w14:paraId="42E1C159" w14:textId="77777777" w:rsidR="007E7656" w:rsidRDefault="007E7656" w:rsidP="00312F84">
            <w:pPr>
              <w:keepNext/>
              <w:keepLines/>
              <w:spacing w:before="40" w:after="40"/>
            </w:pPr>
          </w:p>
        </w:tc>
        <w:tc>
          <w:tcPr>
            <w:tcW w:w="1236" w:type="dxa"/>
            <w:tcMar>
              <w:left w:w="0" w:type="dxa"/>
              <w:right w:w="0" w:type="dxa"/>
            </w:tcMar>
            <w:vAlign w:val="bottom"/>
          </w:tcPr>
          <w:p w14:paraId="69C3457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(314,090</w:t>
            </w:r>
          </w:p>
        </w:tc>
        <w:tc>
          <w:tcPr>
            <w:tcW w:w="64" w:type="dxa"/>
            <w:tcMar>
              <w:left w:w="0" w:type="dxa"/>
              <w:right w:w="0" w:type="dxa"/>
            </w:tcMar>
            <w:vAlign w:val="bottom"/>
          </w:tcPr>
          <w:p w14:paraId="034C4FFB"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21A505AF" w14:textId="77777777" w:rsidR="007E7656" w:rsidRDefault="007E7656" w:rsidP="00312F84">
            <w:pPr>
              <w:keepNext/>
              <w:keepLines/>
              <w:spacing w:before="40" w:after="40"/>
            </w:pPr>
          </w:p>
        </w:tc>
        <w:tc>
          <w:tcPr>
            <w:tcW w:w="1276" w:type="dxa"/>
            <w:tcMar>
              <w:left w:w="0" w:type="dxa"/>
              <w:right w:w="0" w:type="dxa"/>
            </w:tcMar>
            <w:vAlign w:val="bottom"/>
          </w:tcPr>
          <w:p w14:paraId="52D7D89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(310,644</w:t>
            </w:r>
          </w:p>
        </w:tc>
        <w:tc>
          <w:tcPr>
            <w:tcW w:w="64" w:type="dxa"/>
            <w:tcMar>
              <w:left w:w="0" w:type="dxa"/>
              <w:right w:w="0" w:type="dxa"/>
            </w:tcMar>
            <w:vAlign w:val="bottom"/>
          </w:tcPr>
          <w:p w14:paraId="3D9C739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78D5DF4A" w14:textId="77777777" w:rsidTr="00312F84">
        <w:trPr>
          <w:trHeight w:hRule="exact" w:val="260"/>
          <w:jc w:val="center"/>
        </w:trPr>
        <w:tc>
          <w:tcPr>
            <w:tcW w:w="7440" w:type="dxa"/>
            <w:tcMar>
              <w:left w:w="60" w:type="dxa"/>
              <w:right w:w="40" w:type="dxa"/>
            </w:tcMar>
            <w:vAlign w:val="bottom"/>
          </w:tcPr>
          <w:p w14:paraId="0F8CFE1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 xml:space="preserve">       Less treasury stock, at cost — 4,359 and 5,320 shares in 2019 and 2018, respectively</w:t>
            </w:r>
          </w:p>
        </w:tc>
        <w:tc>
          <w:tcPr>
            <w:tcW w:w="80" w:type="dxa"/>
            <w:tcMar>
              <w:left w:w="0" w:type="dxa"/>
              <w:right w:w="0" w:type="dxa"/>
            </w:tcMar>
          </w:tcPr>
          <w:p w14:paraId="2EFBB130" w14:textId="77777777" w:rsidR="007E7656" w:rsidRDefault="007E7656" w:rsidP="00312F84">
            <w:pPr>
              <w:keepNext/>
              <w:keepLines/>
              <w:spacing w:before="40" w:after="40"/>
            </w:pPr>
          </w:p>
        </w:tc>
        <w:tc>
          <w:tcPr>
            <w:tcW w:w="1236" w:type="dxa"/>
            <w:tcBorders>
              <w:bottom w:val="single" w:sz="8" w:space="0" w:color="auto"/>
            </w:tcBorders>
            <w:tcMar>
              <w:left w:w="0" w:type="dxa"/>
              <w:right w:w="0" w:type="dxa"/>
            </w:tcMar>
            <w:vAlign w:val="bottom"/>
          </w:tcPr>
          <w:p w14:paraId="08C93E3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(162,087</w:t>
            </w:r>
          </w:p>
        </w:tc>
        <w:tc>
          <w:tcPr>
            <w:tcW w:w="64" w:type="dxa"/>
            <w:tcBorders>
              <w:bottom w:val="single" w:sz="8" w:space="0" w:color="auto"/>
            </w:tcBorders>
            <w:tcMar>
              <w:left w:w="0" w:type="dxa"/>
              <w:right w:w="0" w:type="dxa"/>
            </w:tcMar>
            <w:vAlign w:val="bottom"/>
          </w:tcPr>
          <w:p w14:paraId="2B641A7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3A5855AB"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69DB666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(178,903</w:t>
            </w:r>
          </w:p>
        </w:tc>
        <w:tc>
          <w:tcPr>
            <w:tcW w:w="64" w:type="dxa"/>
            <w:tcBorders>
              <w:bottom w:val="single" w:sz="8" w:space="0" w:color="auto"/>
            </w:tcBorders>
            <w:tcMar>
              <w:left w:w="0" w:type="dxa"/>
              <w:right w:w="0" w:type="dxa"/>
            </w:tcMar>
            <w:vAlign w:val="bottom"/>
          </w:tcPr>
          <w:p w14:paraId="20F52D4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7474E8D0" w14:textId="77777777" w:rsidTr="00312F84">
        <w:trPr>
          <w:trHeight w:hRule="exact" w:val="260"/>
          <w:jc w:val="center"/>
        </w:trPr>
        <w:tc>
          <w:tcPr>
            <w:tcW w:w="7440" w:type="dxa"/>
            <w:tcMar>
              <w:left w:w="60" w:type="dxa"/>
              <w:right w:w="40" w:type="dxa"/>
            </w:tcMar>
          </w:tcPr>
          <w:p w14:paraId="3FE4216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Total equity</w:t>
            </w:r>
          </w:p>
        </w:tc>
        <w:tc>
          <w:tcPr>
            <w:tcW w:w="80" w:type="dxa"/>
            <w:tcMar>
              <w:left w:w="60" w:type="dxa"/>
              <w:right w:w="0" w:type="dxa"/>
            </w:tcMar>
          </w:tcPr>
          <w:p w14:paraId="2DE34311" w14:textId="77777777" w:rsidR="007E7656" w:rsidRDefault="007E7656" w:rsidP="00312F84">
            <w:pPr>
              <w:keepNext/>
              <w:keepLines/>
              <w:spacing w:before="40" w:after="40"/>
            </w:pPr>
          </w:p>
        </w:tc>
        <w:tc>
          <w:tcPr>
            <w:tcW w:w="1236" w:type="dxa"/>
            <w:tcBorders>
              <w:bottom w:val="single" w:sz="8" w:space="0" w:color="auto"/>
            </w:tcBorders>
            <w:tcMar>
              <w:left w:w="0" w:type="dxa"/>
              <w:right w:w="0" w:type="dxa"/>
            </w:tcMar>
            <w:vAlign w:val="bottom"/>
          </w:tcPr>
          <w:p w14:paraId="0290AF4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2,632,391</w:t>
            </w:r>
          </w:p>
        </w:tc>
        <w:tc>
          <w:tcPr>
            <w:tcW w:w="64" w:type="dxa"/>
            <w:tcBorders>
              <w:bottom w:val="single" w:sz="8" w:space="0" w:color="auto"/>
            </w:tcBorders>
            <w:tcMar>
              <w:left w:w="0" w:type="dxa"/>
              <w:right w:w="0" w:type="dxa"/>
            </w:tcMar>
          </w:tcPr>
          <w:p w14:paraId="03A20BCC" w14:textId="77777777" w:rsidR="007E7656" w:rsidRDefault="007E7656" w:rsidP="00312F84"/>
        </w:tc>
        <w:tc>
          <w:tcPr>
            <w:tcW w:w="80" w:type="dxa"/>
            <w:tcMar>
              <w:left w:w="0" w:type="dxa"/>
              <w:right w:w="60" w:type="dxa"/>
            </w:tcMar>
            <w:vAlign w:val="bottom"/>
          </w:tcPr>
          <w:p w14:paraId="7AAB3706"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156ACE9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2,634,970</w:t>
            </w:r>
          </w:p>
        </w:tc>
        <w:tc>
          <w:tcPr>
            <w:tcW w:w="64" w:type="dxa"/>
            <w:tcBorders>
              <w:bottom w:val="single" w:sz="8" w:space="0" w:color="auto"/>
            </w:tcBorders>
            <w:tcMar>
              <w:left w:w="0" w:type="dxa"/>
              <w:right w:w="0" w:type="dxa"/>
            </w:tcMar>
          </w:tcPr>
          <w:p w14:paraId="3D8362DF" w14:textId="77777777" w:rsidR="007E7656" w:rsidRDefault="007E7656" w:rsidP="00312F84"/>
        </w:tc>
      </w:tr>
      <w:tr w:rsidR="007E7656" w14:paraId="4AB7DEBD" w14:textId="77777777" w:rsidTr="00312F84">
        <w:trPr>
          <w:trHeight w:hRule="exact" w:val="260"/>
          <w:jc w:val="center"/>
        </w:trPr>
        <w:tc>
          <w:tcPr>
            <w:tcW w:w="7440" w:type="dxa"/>
            <w:tcMar>
              <w:left w:w="60" w:type="dxa"/>
              <w:right w:w="40" w:type="dxa"/>
            </w:tcMar>
          </w:tcPr>
          <w:p w14:paraId="441471AB" w14:textId="77777777" w:rsidR="007E7656" w:rsidRDefault="007E7656" w:rsidP="00312F84">
            <w:pPr>
              <w:keepLines/>
              <w:spacing w:before="40" w:after="40"/>
              <w:rPr>
                <w:rFonts w:ascii="Arial" w:eastAsia="Arial" w:hAnsi="Arial" w:cs="Arial"/>
                <w:sz w:val="16"/>
              </w:rPr>
            </w:pPr>
            <w:r>
              <w:rPr>
                <w:rFonts w:ascii="Arial" w:eastAsia="Arial" w:hAnsi="Arial" w:cs="Arial"/>
                <w:color w:val="000000"/>
                <w:sz w:val="16"/>
              </w:rPr>
              <w:t>Total liabilities and equity</w:t>
            </w:r>
          </w:p>
        </w:tc>
        <w:tc>
          <w:tcPr>
            <w:tcW w:w="80" w:type="dxa"/>
            <w:tcMar>
              <w:left w:w="60" w:type="dxa"/>
              <w:right w:w="0" w:type="dxa"/>
            </w:tcMar>
          </w:tcPr>
          <w:p w14:paraId="5F597B92" w14:textId="77777777" w:rsidR="007E7656" w:rsidRDefault="007E7656" w:rsidP="00312F84">
            <w:pPr>
              <w:keepLines/>
              <w:spacing w:before="40" w:after="40"/>
            </w:pPr>
          </w:p>
        </w:tc>
        <w:tc>
          <w:tcPr>
            <w:tcW w:w="1236" w:type="dxa"/>
            <w:tcBorders>
              <w:bottom w:val="double" w:sz="4" w:space="0" w:color="auto"/>
            </w:tcBorders>
            <w:tcMar>
              <w:left w:w="0" w:type="dxa"/>
              <w:right w:w="0" w:type="dxa"/>
            </w:tcMar>
            <w:vAlign w:val="bottom"/>
          </w:tcPr>
          <w:p w14:paraId="06E670B3" w14:textId="77777777" w:rsidR="007E7656" w:rsidRDefault="007E7656" w:rsidP="00312F84">
            <w:pPr>
              <w:keepLines/>
              <w:spacing w:before="40" w:after="40"/>
              <w:jc w:val="right"/>
              <w:rPr>
                <w:rFonts w:ascii="Arial" w:eastAsia="Arial" w:hAnsi="Arial" w:cs="Arial"/>
                <w:sz w:val="16"/>
              </w:rPr>
            </w:pPr>
            <w:r>
              <w:rPr>
                <w:rFonts w:ascii="Arial" w:eastAsia="Arial" w:hAnsi="Arial" w:cs="Arial"/>
                <w:color w:val="000000"/>
                <w:sz w:val="16"/>
              </w:rPr>
              <w:t>5,382,549</w:t>
            </w:r>
          </w:p>
        </w:tc>
        <w:tc>
          <w:tcPr>
            <w:tcW w:w="64" w:type="dxa"/>
            <w:tcBorders>
              <w:bottom w:val="double" w:sz="4" w:space="0" w:color="auto"/>
            </w:tcBorders>
            <w:tcMar>
              <w:left w:w="0" w:type="dxa"/>
              <w:right w:w="0" w:type="dxa"/>
            </w:tcMar>
          </w:tcPr>
          <w:p w14:paraId="517E42A4" w14:textId="77777777" w:rsidR="007E7656" w:rsidRDefault="007E7656" w:rsidP="00312F84"/>
        </w:tc>
        <w:tc>
          <w:tcPr>
            <w:tcW w:w="80" w:type="dxa"/>
            <w:tcMar>
              <w:left w:w="0" w:type="dxa"/>
              <w:right w:w="60" w:type="dxa"/>
            </w:tcMar>
            <w:vAlign w:val="bottom"/>
          </w:tcPr>
          <w:p w14:paraId="73CF6F95" w14:textId="77777777" w:rsidR="007E7656" w:rsidRDefault="007E7656" w:rsidP="00312F84">
            <w:pPr>
              <w:keepLines/>
              <w:spacing w:before="40" w:after="40"/>
            </w:pPr>
          </w:p>
        </w:tc>
        <w:tc>
          <w:tcPr>
            <w:tcW w:w="1276" w:type="dxa"/>
            <w:tcBorders>
              <w:bottom w:val="double" w:sz="4" w:space="0" w:color="auto"/>
            </w:tcBorders>
            <w:tcMar>
              <w:left w:w="0" w:type="dxa"/>
              <w:right w:w="0" w:type="dxa"/>
            </w:tcMar>
            <w:vAlign w:val="bottom"/>
          </w:tcPr>
          <w:p w14:paraId="77F89771" w14:textId="77777777" w:rsidR="007E7656" w:rsidRDefault="007E7656" w:rsidP="00312F84">
            <w:pPr>
              <w:keepLines/>
              <w:spacing w:before="40" w:after="40"/>
              <w:jc w:val="right"/>
              <w:rPr>
                <w:rFonts w:ascii="Arial" w:eastAsia="Arial" w:hAnsi="Arial" w:cs="Arial"/>
                <w:sz w:val="16"/>
              </w:rPr>
            </w:pPr>
            <w:r>
              <w:rPr>
                <w:rFonts w:ascii="Arial" w:eastAsia="Arial" w:hAnsi="Arial" w:cs="Arial"/>
                <w:color w:val="000000"/>
                <w:sz w:val="16"/>
              </w:rPr>
              <w:t>5,748,332</w:t>
            </w:r>
          </w:p>
        </w:tc>
        <w:tc>
          <w:tcPr>
            <w:tcW w:w="64" w:type="dxa"/>
            <w:tcBorders>
              <w:bottom w:val="double" w:sz="4" w:space="0" w:color="auto"/>
            </w:tcBorders>
            <w:tcMar>
              <w:left w:w="0" w:type="dxa"/>
              <w:right w:w="0" w:type="dxa"/>
            </w:tcMar>
          </w:tcPr>
          <w:p w14:paraId="16D6D50C" w14:textId="77777777" w:rsidR="007E7656" w:rsidRDefault="007E7656" w:rsidP="00312F84"/>
        </w:tc>
      </w:tr>
    </w:tbl>
    <w:p w14:paraId="0AE8C70A" w14:textId="77777777" w:rsidR="007E7656" w:rsidRDefault="007E7656" w:rsidP="007E7656">
      <w:pPr>
        <w:spacing w:before="100" w:line="288" w:lineRule="auto"/>
        <w:ind w:left="360"/>
        <w:rPr>
          <w:rFonts w:ascii="Arial" w:eastAsia="Arial" w:hAnsi="Arial" w:cs="Arial"/>
          <w:sz w:val="16"/>
        </w:rPr>
      </w:pPr>
    </w:p>
    <w:p w14:paraId="1F287DF6" w14:textId="77777777" w:rsidR="007E7656" w:rsidRDefault="007E7656" w:rsidP="007E7656">
      <w:pPr>
        <w:spacing w:line="288" w:lineRule="auto"/>
        <w:jc w:val="center"/>
        <w:rPr>
          <w:rFonts w:ascii="Arial" w:eastAsia="Arial" w:hAnsi="Arial" w:cs="Arial"/>
          <w:b/>
          <w:sz w:val="16"/>
        </w:rPr>
      </w:pPr>
    </w:p>
    <w:p w14:paraId="6F750A1A" w14:textId="77777777" w:rsidR="007E7656" w:rsidRDefault="007E7656" w:rsidP="007E7656">
      <w:pPr>
        <w:spacing w:line="288" w:lineRule="auto"/>
        <w:jc w:val="center"/>
        <w:rPr>
          <w:rFonts w:ascii="Arial" w:eastAsia="Arial" w:hAnsi="Arial" w:cs="Arial"/>
          <w:b/>
          <w:sz w:val="16"/>
        </w:rPr>
      </w:pPr>
    </w:p>
    <w:p w14:paraId="78116913" w14:textId="77777777" w:rsidR="007E7656" w:rsidRDefault="007E7656" w:rsidP="007E7656">
      <w:pPr>
        <w:spacing w:line="288" w:lineRule="auto"/>
        <w:jc w:val="center"/>
        <w:rPr>
          <w:rFonts w:ascii="Arial" w:eastAsia="Arial" w:hAnsi="Arial" w:cs="Arial"/>
          <w:b/>
          <w:sz w:val="16"/>
        </w:rPr>
      </w:pPr>
    </w:p>
    <w:p w14:paraId="4EF8F1D1" w14:textId="77777777" w:rsidR="007E7656" w:rsidRDefault="007E7656" w:rsidP="007E7656">
      <w:pPr>
        <w:spacing w:line="288" w:lineRule="auto"/>
        <w:jc w:val="center"/>
        <w:rPr>
          <w:rFonts w:ascii="Arial" w:eastAsia="Arial" w:hAnsi="Arial" w:cs="Arial"/>
          <w:b/>
          <w:sz w:val="16"/>
        </w:rPr>
      </w:pPr>
    </w:p>
    <w:p w14:paraId="3F61B8C4" w14:textId="77777777" w:rsidR="007E7656" w:rsidRDefault="007E7656" w:rsidP="007E7656">
      <w:pPr>
        <w:spacing w:line="288" w:lineRule="auto"/>
        <w:jc w:val="center"/>
        <w:rPr>
          <w:rFonts w:ascii="Arial" w:eastAsia="Arial" w:hAnsi="Arial" w:cs="Arial"/>
          <w:b/>
          <w:sz w:val="16"/>
        </w:rPr>
      </w:pPr>
    </w:p>
    <w:p w14:paraId="22FA08E1" w14:textId="77777777" w:rsidR="007E7656" w:rsidRDefault="007E7656" w:rsidP="007E7656">
      <w:pPr>
        <w:spacing w:line="288" w:lineRule="auto"/>
        <w:jc w:val="center"/>
        <w:rPr>
          <w:rFonts w:ascii="Arial" w:eastAsia="Arial" w:hAnsi="Arial" w:cs="Arial"/>
          <w:b/>
          <w:sz w:val="16"/>
        </w:rPr>
      </w:pPr>
    </w:p>
    <w:p w14:paraId="6D3352C3" w14:textId="77777777" w:rsidR="007E7656" w:rsidRDefault="007E7656" w:rsidP="007E7656">
      <w:pPr>
        <w:spacing w:line="288" w:lineRule="auto"/>
        <w:jc w:val="center"/>
        <w:rPr>
          <w:rFonts w:ascii="Arial" w:eastAsia="Arial" w:hAnsi="Arial" w:cs="Arial"/>
          <w:b/>
          <w:sz w:val="16"/>
        </w:rPr>
      </w:pPr>
    </w:p>
    <w:p w14:paraId="64FAF76D" w14:textId="77777777" w:rsidR="007E7656" w:rsidRDefault="007E7656" w:rsidP="007E7656">
      <w:pPr>
        <w:spacing w:line="288" w:lineRule="auto"/>
        <w:jc w:val="center"/>
        <w:rPr>
          <w:rFonts w:ascii="Arial" w:eastAsia="Arial" w:hAnsi="Arial" w:cs="Arial"/>
          <w:b/>
          <w:sz w:val="16"/>
        </w:rPr>
      </w:pPr>
    </w:p>
    <w:p w14:paraId="0AF302B8" w14:textId="77777777" w:rsidR="007E7656" w:rsidRDefault="007E7656" w:rsidP="007E7656">
      <w:pPr>
        <w:spacing w:line="288" w:lineRule="auto"/>
        <w:jc w:val="center"/>
        <w:rPr>
          <w:rFonts w:ascii="Arial" w:eastAsia="Arial" w:hAnsi="Arial" w:cs="Arial"/>
          <w:b/>
          <w:sz w:val="16"/>
        </w:rPr>
      </w:pPr>
    </w:p>
    <w:p w14:paraId="27BBF276" w14:textId="77777777" w:rsidR="007E7656" w:rsidRDefault="007E7656" w:rsidP="007E7656">
      <w:pPr>
        <w:spacing w:line="288" w:lineRule="auto"/>
        <w:jc w:val="center"/>
        <w:rPr>
          <w:rFonts w:ascii="Arial" w:eastAsia="Arial" w:hAnsi="Arial" w:cs="Arial"/>
          <w:b/>
          <w:sz w:val="16"/>
        </w:rPr>
      </w:pPr>
    </w:p>
    <w:p w14:paraId="70515362" w14:textId="77777777" w:rsidR="007E7656" w:rsidRDefault="007E7656" w:rsidP="007E7656">
      <w:pPr>
        <w:spacing w:line="288" w:lineRule="auto"/>
        <w:jc w:val="center"/>
        <w:rPr>
          <w:rFonts w:ascii="Arial" w:eastAsia="Arial" w:hAnsi="Arial" w:cs="Arial"/>
          <w:b/>
          <w:sz w:val="16"/>
        </w:rPr>
      </w:pPr>
    </w:p>
    <w:p w14:paraId="7AF8D17B" w14:textId="77777777" w:rsidR="007E7656" w:rsidRDefault="007E7656" w:rsidP="007E7656">
      <w:pPr>
        <w:spacing w:line="288" w:lineRule="auto"/>
        <w:jc w:val="center"/>
        <w:rPr>
          <w:rFonts w:ascii="Arial" w:eastAsia="Arial" w:hAnsi="Arial" w:cs="Arial"/>
          <w:b/>
          <w:sz w:val="16"/>
        </w:rPr>
      </w:pPr>
    </w:p>
    <w:p w14:paraId="368957B1" w14:textId="77777777" w:rsidR="007E7656" w:rsidRDefault="007E7656" w:rsidP="007E7656">
      <w:pPr>
        <w:spacing w:line="288" w:lineRule="auto"/>
        <w:jc w:val="center"/>
        <w:rPr>
          <w:rFonts w:ascii="Arial" w:eastAsia="Arial" w:hAnsi="Arial" w:cs="Arial"/>
          <w:b/>
        </w:rPr>
      </w:pPr>
      <w:r>
        <w:rPr>
          <w:rFonts w:ascii="Arial" w:eastAsia="Arial" w:hAnsi="Arial" w:cs="Arial"/>
          <w:b/>
        </w:rPr>
        <w:t>QIAGEN N.V.</w:t>
      </w:r>
    </w:p>
    <w:p w14:paraId="4DF5EC74" w14:textId="77777777" w:rsidR="007E7656" w:rsidRDefault="007E7656" w:rsidP="007E7656">
      <w:pPr>
        <w:spacing w:line="288" w:lineRule="auto"/>
        <w:jc w:val="center"/>
        <w:rPr>
          <w:rFonts w:ascii="Arial" w:eastAsia="Arial" w:hAnsi="Arial" w:cs="Arial"/>
          <w:b/>
        </w:rPr>
      </w:pPr>
      <w:r>
        <w:rPr>
          <w:rFonts w:ascii="Arial" w:eastAsia="Arial" w:hAnsi="Arial" w:cs="Arial"/>
          <w:b/>
        </w:rPr>
        <w:t>CONDENSED CONSOLIDATED STATEMENTS OF CASH FLOWS</w:t>
      </w:r>
    </w:p>
    <w:p w14:paraId="6E7CFF18" w14:textId="77777777" w:rsidR="007E7656" w:rsidRDefault="007E7656" w:rsidP="007E7656">
      <w:pPr>
        <w:spacing w:after="140"/>
        <w:jc w:val="center"/>
        <w:rPr>
          <w:rFonts w:ascii="Arial" w:eastAsia="Arial" w:hAnsi="Arial" w:cs="Arial"/>
          <w:b/>
        </w:rPr>
      </w:pPr>
      <w:r>
        <w:rPr>
          <w:rFonts w:ascii="Arial" w:eastAsia="Arial" w:hAnsi="Arial" w:cs="Arial"/>
          <w:b/>
        </w:rPr>
        <w:t>(unaudited)</w:t>
      </w:r>
    </w:p>
    <w:tbl>
      <w:tblPr>
        <w:tblW w:w="10180" w:type="dxa"/>
        <w:jc w:val="center"/>
        <w:tblLayout w:type="fixed"/>
        <w:tblCellMar>
          <w:left w:w="10" w:type="dxa"/>
          <w:right w:w="10" w:type="dxa"/>
        </w:tblCellMar>
        <w:tblLook w:val="04A0" w:firstRow="1" w:lastRow="0" w:firstColumn="1" w:lastColumn="0" w:noHBand="0" w:noVBand="1"/>
      </w:tblPr>
      <w:tblGrid>
        <w:gridCol w:w="7360"/>
        <w:gridCol w:w="80"/>
        <w:gridCol w:w="1256"/>
        <w:gridCol w:w="64"/>
        <w:gridCol w:w="80"/>
        <w:gridCol w:w="1276"/>
        <w:gridCol w:w="64"/>
      </w:tblGrid>
      <w:tr w:rsidR="007E7656" w14:paraId="04F71591" w14:textId="77777777" w:rsidTr="007E7656">
        <w:trPr>
          <w:trHeight w:hRule="exact" w:val="220"/>
          <w:jc w:val="center"/>
        </w:trPr>
        <w:tc>
          <w:tcPr>
            <w:tcW w:w="7360" w:type="dxa"/>
            <w:tcMar>
              <w:left w:w="60" w:type="dxa"/>
              <w:right w:w="0" w:type="dxa"/>
            </w:tcMar>
            <w:vAlign w:val="bottom"/>
          </w:tcPr>
          <w:p w14:paraId="4C533D92" w14:textId="77777777" w:rsidR="007E7656" w:rsidRDefault="007E7656" w:rsidP="00312F84">
            <w:pPr>
              <w:keepNext/>
              <w:keepLines/>
              <w:spacing w:before="40" w:after="40"/>
            </w:pPr>
          </w:p>
        </w:tc>
        <w:tc>
          <w:tcPr>
            <w:tcW w:w="80" w:type="dxa"/>
            <w:tcMar>
              <w:left w:w="60" w:type="dxa"/>
              <w:right w:w="0" w:type="dxa"/>
            </w:tcMar>
            <w:vAlign w:val="bottom"/>
          </w:tcPr>
          <w:p w14:paraId="306DDBA3" w14:textId="77777777" w:rsidR="007E7656" w:rsidRDefault="007E7656" w:rsidP="00312F84">
            <w:pPr>
              <w:keepNext/>
              <w:keepLines/>
              <w:spacing w:before="40" w:after="40"/>
            </w:pPr>
          </w:p>
        </w:tc>
        <w:tc>
          <w:tcPr>
            <w:tcW w:w="2612" w:type="dxa"/>
            <w:gridSpan w:val="5"/>
            <w:tcMar>
              <w:left w:w="60" w:type="dxa"/>
              <w:right w:w="60" w:type="dxa"/>
            </w:tcMar>
            <w:vAlign w:val="bottom"/>
          </w:tcPr>
          <w:p w14:paraId="018FCEA4"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Six months ended June 30,</w:t>
            </w:r>
          </w:p>
        </w:tc>
      </w:tr>
      <w:tr w:rsidR="007E7656" w14:paraId="4CF7C1D4" w14:textId="77777777" w:rsidTr="007E7656">
        <w:trPr>
          <w:trHeight w:hRule="exact" w:val="240"/>
          <w:jc w:val="center"/>
        </w:trPr>
        <w:tc>
          <w:tcPr>
            <w:tcW w:w="7360" w:type="dxa"/>
            <w:tcMar>
              <w:left w:w="60" w:type="dxa"/>
              <w:right w:w="40" w:type="dxa"/>
            </w:tcMar>
            <w:vAlign w:val="bottom"/>
          </w:tcPr>
          <w:p w14:paraId="160300B2" w14:textId="77777777" w:rsidR="007E7656" w:rsidRDefault="007E7656" w:rsidP="00312F84">
            <w:pPr>
              <w:keepNext/>
              <w:keepLines/>
              <w:spacing w:before="40" w:after="40"/>
              <w:rPr>
                <w:rFonts w:ascii="Arial" w:eastAsia="Arial" w:hAnsi="Arial" w:cs="Arial"/>
                <w:b/>
                <w:sz w:val="16"/>
              </w:rPr>
            </w:pPr>
            <w:r>
              <w:rPr>
                <w:rFonts w:ascii="Arial" w:eastAsia="Arial" w:hAnsi="Arial" w:cs="Arial"/>
                <w:b/>
                <w:color w:val="000000"/>
                <w:sz w:val="16"/>
              </w:rPr>
              <w:t>(In $ thousands)</w:t>
            </w:r>
          </w:p>
        </w:tc>
        <w:tc>
          <w:tcPr>
            <w:tcW w:w="80" w:type="dxa"/>
            <w:tcMar>
              <w:left w:w="0" w:type="dxa"/>
              <w:right w:w="0" w:type="dxa"/>
            </w:tcMar>
            <w:vAlign w:val="bottom"/>
          </w:tcPr>
          <w:p w14:paraId="0C3E614D" w14:textId="77777777" w:rsidR="007E7656" w:rsidRDefault="007E7656" w:rsidP="00312F84">
            <w:pPr>
              <w:keepNext/>
              <w:keepLines/>
              <w:spacing w:before="40" w:after="40"/>
            </w:pPr>
          </w:p>
        </w:tc>
        <w:tc>
          <w:tcPr>
            <w:tcW w:w="1256" w:type="dxa"/>
            <w:gridSpan w:val="2"/>
            <w:tcBorders>
              <w:top w:val="single" w:sz="8" w:space="0" w:color="auto"/>
              <w:bottom w:val="single" w:sz="8" w:space="0" w:color="auto"/>
            </w:tcBorders>
            <w:tcMar>
              <w:left w:w="60" w:type="dxa"/>
              <w:right w:w="60" w:type="dxa"/>
            </w:tcMar>
            <w:vAlign w:val="bottom"/>
          </w:tcPr>
          <w:p w14:paraId="502776C2"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2019</w:t>
            </w:r>
          </w:p>
        </w:tc>
        <w:tc>
          <w:tcPr>
            <w:tcW w:w="80" w:type="dxa"/>
            <w:tcBorders>
              <w:top w:val="single" w:sz="8" w:space="0" w:color="auto"/>
            </w:tcBorders>
            <w:tcMar>
              <w:left w:w="0" w:type="dxa"/>
              <w:right w:w="0" w:type="dxa"/>
            </w:tcMar>
            <w:vAlign w:val="bottom"/>
          </w:tcPr>
          <w:p w14:paraId="1503CDD2" w14:textId="77777777" w:rsidR="007E7656" w:rsidRDefault="007E7656" w:rsidP="00312F84">
            <w:pPr>
              <w:keepNext/>
              <w:keepLines/>
              <w:spacing w:before="40" w:after="40"/>
            </w:pPr>
          </w:p>
        </w:tc>
        <w:tc>
          <w:tcPr>
            <w:tcW w:w="1276" w:type="dxa"/>
            <w:gridSpan w:val="2"/>
            <w:tcBorders>
              <w:top w:val="single" w:sz="8" w:space="0" w:color="auto"/>
              <w:bottom w:val="single" w:sz="8" w:space="0" w:color="auto"/>
            </w:tcBorders>
            <w:tcMar>
              <w:left w:w="60" w:type="dxa"/>
              <w:right w:w="60" w:type="dxa"/>
            </w:tcMar>
            <w:vAlign w:val="bottom"/>
          </w:tcPr>
          <w:p w14:paraId="4DFBB912" w14:textId="77777777" w:rsidR="007E7656" w:rsidRDefault="007E7656" w:rsidP="00312F84">
            <w:pPr>
              <w:keepNext/>
              <w:keepLines/>
              <w:spacing w:before="40" w:after="40"/>
              <w:jc w:val="center"/>
              <w:rPr>
                <w:rFonts w:ascii="Arial" w:eastAsia="Arial" w:hAnsi="Arial" w:cs="Arial"/>
                <w:sz w:val="16"/>
              </w:rPr>
            </w:pPr>
            <w:r>
              <w:rPr>
                <w:rFonts w:ascii="Arial" w:eastAsia="Arial" w:hAnsi="Arial" w:cs="Arial"/>
                <w:color w:val="000000"/>
                <w:sz w:val="16"/>
              </w:rPr>
              <w:t>2018</w:t>
            </w:r>
          </w:p>
        </w:tc>
      </w:tr>
      <w:tr w:rsidR="007E7656" w14:paraId="7F920F6C" w14:textId="77777777" w:rsidTr="007E7656">
        <w:trPr>
          <w:trHeight w:hRule="exact" w:val="220"/>
          <w:jc w:val="center"/>
        </w:trPr>
        <w:tc>
          <w:tcPr>
            <w:tcW w:w="7360" w:type="dxa"/>
            <w:tcMar>
              <w:left w:w="60" w:type="dxa"/>
              <w:right w:w="40" w:type="dxa"/>
            </w:tcMar>
          </w:tcPr>
          <w:p w14:paraId="57D3B72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flows from operating activities:</w:t>
            </w:r>
          </w:p>
        </w:tc>
        <w:tc>
          <w:tcPr>
            <w:tcW w:w="80" w:type="dxa"/>
            <w:tcMar>
              <w:left w:w="60" w:type="dxa"/>
              <w:right w:w="0" w:type="dxa"/>
            </w:tcMar>
            <w:vAlign w:val="bottom"/>
          </w:tcPr>
          <w:p w14:paraId="70257A60" w14:textId="77777777" w:rsidR="007E7656" w:rsidRDefault="007E7656" w:rsidP="00312F84">
            <w:pPr>
              <w:keepNext/>
              <w:keepLines/>
              <w:spacing w:before="40" w:after="40"/>
            </w:pPr>
          </w:p>
        </w:tc>
        <w:tc>
          <w:tcPr>
            <w:tcW w:w="1256" w:type="dxa"/>
            <w:gridSpan w:val="2"/>
            <w:tcMar>
              <w:left w:w="60" w:type="dxa"/>
              <w:right w:w="60" w:type="dxa"/>
            </w:tcMar>
            <w:vAlign w:val="bottom"/>
          </w:tcPr>
          <w:p w14:paraId="68D4ABB6" w14:textId="77777777" w:rsidR="007E7656" w:rsidRDefault="007E7656" w:rsidP="00312F84">
            <w:pPr>
              <w:keepNext/>
              <w:keepLines/>
              <w:spacing w:before="40" w:after="40"/>
            </w:pPr>
          </w:p>
        </w:tc>
        <w:tc>
          <w:tcPr>
            <w:tcW w:w="80" w:type="dxa"/>
            <w:tcMar>
              <w:left w:w="60" w:type="dxa"/>
              <w:right w:w="0" w:type="dxa"/>
            </w:tcMar>
            <w:vAlign w:val="bottom"/>
          </w:tcPr>
          <w:p w14:paraId="41CC4241" w14:textId="77777777" w:rsidR="007E7656" w:rsidRDefault="007E7656" w:rsidP="00312F84">
            <w:pPr>
              <w:keepNext/>
              <w:keepLines/>
              <w:spacing w:before="40" w:after="40"/>
            </w:pPr>
          </w:p>
        </w:tc>
        <w:tc>
          <w:tcPr>
            <w:tcW w:w="1276" w:type="dxa"/>
            <w:gridSpan w:val="2"/>
            <w:tcMar>
              <w:left w:w="60" w:type="dxa"/>
              <w:right w:w="0" w:type="dxa"/>
            </w:tcMar>
            <w:vAlign w:val="bottom"/>
          </w:tcPr>
          <w:p w14:paraId="541688FC" w14:textId="77777777" w:rsidR="007E7656" w:rsidRDefault="007E7656" w:rsidP="00312F84">
            <w:pPr>
              <w:keepNext/>
              <w:keepLines/>
              <w:spacing w:before="40" w:after="40"/>
            </w:pPr>
          </w:p>
        </w:tc>
      </w:tr>
      <w:tr w:rsidR="007E7656" w14:paraId="07B8A756" w14:textId="77777777" w:rsidTr="00312F84">
        <w:trPr>
          <w:trHeight w:hRule="exact" w:val="200"/>
          <w:jc w:val="center"/>
        </w:trPr>
        <w:tc>
          <w:tcPr>
            <w:tcW w:w="7360" w:type="dxa"/>
            <w:tcMar>
              <w:left w:w="420" w:type="dxa"/>
              <w:right w:w="40" w:type="dxa"/>
            </w:tcMar>
          </w:tcPr>
          <w:p w14:paraId="2166A74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income</w:t>
            </w:r>
          </w:p>
        </w:tc>
        <w:tc>
          <w:tcPr>
            <w:tcW w:w="80" w:type="dxa"/>
            <w:tcMar>
              <w:left w:w="60" w:type="dxa"/>
              <w:right w:w="0" w:type="dxa"/>
            </w:tcMar>
            <w:vAlign w:val="bottom"/>
          </w:tcPr>
          <w:p w14:paraId="7A2D4BF3" w14:textId="77777777" w:rsidR="007E7656" w:rsidRDefault="007E7656" w:rsidP="00312F84">
            <w:pPr>
              <w:keepNext/>
              <w:keepLines/>
              <w:spacing w:before="40" w:after="40"/>
            </w:pPr>
          </w:p>
        </w:tc>
        <w:tc>
          <w:tcPr>
            <w:tcW w:w="1256" w:type="dxa"/>
            <w:tcMar>
              <w:left w:w="0" w:type="dxa"/>
              <w:right w:w="0" w:type="dxa"/>
            </w:tcMar>
            <w:vAlign w:val="bottom"/>
          </w:tcPr>
          <w:p w14:paraId="36C7A9B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74,248</w:t>
            </w:r>
          </w:p>
        </w:tc>
        <w:tc>
          <w:tcPr>
            <w:tcW w:w="64" w:type="dxa"/>
            <w:tcMar>
              <w:left w:w="0" w:type="dxa"/>
              <w:right w:w="0" w:type="dxa"/>
            </w:tcMar>
          </w:tcPr>
          <w:p w14:paraId="24C6451F" w14:textId="77777777" w:rsidR="007E7656" w:rsidRDefault="007E7656" w:rsidP="00312F84"/>
        </w:tc>
        <w:tc>
          <w:tcPr>
            <w:tcW w:w="80" w:type="dxa"/>
            <w:tcMar>
              <w:left w:w="0" w:type="dxa"/>
              <w:right w:w="60" w:type="dxa"/>
            </w:tcMar>
            <w:vAlign w:val="bottom"/>
          </w:tcPr>
          <w:p w14:paraId="65566ADC" w14:textId="77777777" w:rsidR="007E7656" w:rsidRDefault="007E7656" w:rsidP="00312F84">
            <w:pPr>
              <w:keepNext/>
              <w:keepLines/>
              <w:spacing w:before="40" w:after="40"/>
            </w:pPr>
          </w:p>
        </w:tc>
        <w:tc>
          <w:tcPr>
            <w:tcW w:w="1276" w:type="dxa"/>
            <w:tcMar>
              <w:left w:w="0" w:type="dxa"/>
              <w:right w:w="0" w:type="dxa"/>
            </w:tcMar>
            <w:vAlign w:val="bottom"/>
          </w:tcPr>
          <w:p w14:paraId="3F4E676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69,111</w:t>
            </w:r>
          </w:p>
        </w:tc>
        <w:tc>
          <w:tcPr>
            <w:tcW w:w="64" w:type="dxa"/>
            <w:tcMar>
              <w:left w:w="0" w:type="dxa"/>
              <w:right w:w="0" w:type="dxa"/>
            </w:tcMar>
          </w:tcPr>
          <w:p w14:paraId="3DE14FA1" w14:textId="77777777" w:rsidR="007E7656" w:rsidRDefault="007E7656" w:rsidP="00312F84"/>
        </w:tc>
      </w:tr>
      <w:tr w:rsidR="007E7656" w14:paraId="7FD82917" w14:textId="77777777" w:rsidTr="007E7656">
        <w:trPr>
          <w:trHeight w:hRule="exact" w:val="400"/>
          <w:jc w:val="center"/>
        </w:trPr>
        <w:tc>
          <w:tcPr>
            <w:tcW w:w="7360" w:type="dxa"/>
            <w:tcMar>
              <w:left w:w="420" w:type="dxa"/>
              <w:right w:w="40" w:type="dxa"/>
            </w:tcMar>
            <w:vAlign w:val="center"/>
          </w:tcPr>
          <w:p w14:paraId="51F84B8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Adjustments to reconcile net income to net cash provided by operating activities, net of effects of businesses acquired:</w:t>
            </w:r>
          </w:p>
        </w:tc>
        <w:tc>
          <w:tcPr>
            <w:tcW w:w="80" w:type="dxa"/>
            <w:tcMar>
              <w:left w:w="60" w:type="dxa"/>
              <w:right w:w="0" w:type="dxa"/>
            </w:tcMar>
            <w:vAlign w:val="bottom"/>
          </w:tcPr>
          <w:p w14:paraId="3D769093" w14:textId="77777777" w:rsidR="007E7656" w:rsidRDefault="007E7656" w:rsidP="00312F84">
            <w:pPr>
              <w:keepNext/>
              <w:keepLines/>
              <w:spacing w:before="40" w:after="40"/>
            </w:pPr>
          </w:p>
        </w:tc>
        <w:tc>
          <w:tcPr>
            <w:tcW w:w="1256" w:type="dxa"/>
            <w:gridSpan w:val="2"/>
            <w:tcMar>
              <w:left w:w="60" w:type="dxa"/>
              <w:right w:w="0" w:type="dxa"/>
            </w:tcMar>
            <w:vAlign w:val="bottom"/>
          </w:tcPr>
          <w:p w14:paraId="08952E06" w14:textId="77777777" w:rsidR="007E7656" w:rsidRDefault="007E7656" w:rsidP="00312F84">
            <w:pPr>
              <w:keepNext/>
              <w:keepLines/>
              <w:spacing w:before="40" w:after="40"/>
            </w:pPr>
          </w:p>
        </w:tc>
        <w:tc>
          <w:tcPr>
            <w:tcW w:w="80" w:type="dxa"/>
            <w:tcMar>
              <w:left w:w="60" w:type="dxa"/>
              <w:right w:w="0" w:type="dxa"/>
            </w:tcMar>
            <w:vAlign w:val="bottom"/>
          </w:tcPr>
          <w:p w14:paraId="5E134EC1" w14:textId="77777777" w:rsidR="007E7656" w:rsidRDefault="007E7656" w:rsidP="00312F84">
            <w:pPr>
              <w:keepNext/>
              <w:keepLines/>
              <w:spacing w:before="40" w:after="40"/>
            </w:pPr>
          </w:p>
        </w:tc>
        <w:tc>
          <w:tcPr>
            <w:tcW w:w="1276" w:type="dxa"/>
            <w:gridSpan w:val="2"/>
            <w:tcMar>
              <w:left w:w="60" w:type="dxa"/>
              <w:right w:w="0" w:type="dxa"/>
            </w:tcMar>
            <w:vAlign w:val="bottom"/>
          </w:tcPr>
          <w:p w14:paraId="25C13342" w14:textId="77777777" w:rsidR="007E7656" w:rsidRDefault="007E7656" w:rsidP="00312F84">
            <w:pPr>
              <w:keepNext/>
              <w:keepLines/>
              <w:spacing w:before="40" w:after="40"/>
            </w:pPr>
          </w:p>
        </w:tc>
      </w:tr>
      <w:tr w:rsidR="007E7656" w14:paraId="61C4F168" w14:textId="77777777" w:rsidTr="00312F84">
        <w:trPr>
          <w:trHeight w:hRule="exact" w:val="220"/>
          <w:jc w:val="center"/>
        </w:trPr>
        <w:tc>
          <w:tcPr>
            <w:tcW w:w="7360" w:type="dxa"/>
            <w:tcMar>
              <w:left w:w="780" w:type="dxa"/>
              <w:right w:w="40" w:type="dxa"/>
            </w:tcMar>
          </w:tcPr>
          <w:p w14:paraId="22AD477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Depreciation and amortization</w:t>
            </w:r>
          </w:p>
        </w:tc>
        <w:tc>
          <w:tcPr>
            <w:tcW w:w="80" w:type="dxa"/>
            <w:tcMar>
              <w:left w:w="60" w:type="dxa"/>
              <w:right w:w="0" w:type="dxa"/>
            </w:tcMar>
            <w:vAlign w:val="bottom"/>
          </w:tcPr>
          <w:p w14:paraId="6C9AD66C" w14:textId="77777777" w:rsidR="007E7656" w:rsidRDefault="007E7656" w:rsidP="00312F84">
            <w:pPr>
              <w:keepNext/>
              <w:keepLines/>
              <w:spacing w:before="40" w:after="40"/>
            </w:pPr>
          </w:p>
        </w:tc>
        <w:tc>
          <w:tcPr>
            <w:tcW w:w="1256" w:type="dxa"/>
            <w:tcMar>
              <w:left w:w="0" w:type="dxa"/>
              <w:right w:w="0" w:type="dxa"/>
            </w:tcMar>
            <w:vAlign w:val="bottom"/>
          </w:tcPr>
          <w:p w14:paraId="0B20F0A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121,625</w:t>
            </w:r>
          </w:p>
        </w:tc>
        <w:tc>
          <w:tcPr>
            <w:tcW w:w="64" w:type="dxa"/>
            <w:tcMar>
              <w:left w:w="0" w:type="dxa"/>
              <w:right w:w="0" w:type="dxa"/>
            </w:tcMar>
          </w:tcPr>
          <w:p w14:paraId="09BD4DF4" w14:textId="77777777" w:rsidR="007E7656" w:rsidRDefault="007E7656" w:rsidP="00312F84"/>
        </w:tc>
        <w:tc>
          <w:tcPr>
            <w:tcW w:w="80" w:type="dxa"/>
            <w:tcMar>
              <w:left w:w="0" w:type="dxa"/>
              <w:right w:w="60" w:type="dxa"/>
            </w:tcMar>
            <w:vAlign w:val="bottom"/>
          </w:tcPr>
          <w:p w14:paraId="3E6432DA" w14:textId="77777777" w:rsidR="007E7656" w:rsidRDefault="007E7656" w:rsidP="00312F84">
            <w:pPr>
              <w:keepNext/>
              <w:keepLines/>
              <w:spacing w:before="40" w:after="40"/>
            </w:pPr>
          </w:p>
        </w:tc>
        <w:tc>
          <w:tcPr>
            <w:tcW w:w="1276" w:type="dxa"/>
            <w:tcMar>
              <w:left w:w="0" w:type="dxa"/>
              <w:right w:w="0" w:type="dxa"/>
            </w:tcMar>
            <w:vAlign w:val="bottom"/>
          </w:tcPr>
          <w:p w14:paraId="24FFAB4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107,609</w:t>
            </w:r>
          </w:p>
        </w:tc>
        <w:tc>
          <w:tcPr>
            <w:tcW w:w="64" w:type="dxa"/>
            <w:tcMar>
              <w:left w:w="0" w:type="dxa"/>
              <w:right w:w="0" w:type="dxa"/>
            </w:tcMar>
          </w:tcPr>
          <w:p w14:paraId="7F5B0467" w14:textId="77777777" w:rsidR="007E7656" w:rsidRDefault="007E7656" w:rsidP="00312F84"/>
        </w:tc>
      </w:tr>
      <w:tr w:rsidR="007E7656" w14:paraId="3C07EB25" w14:textId="77777777" w:rsidTr="00312F84">
        <w:trPr>
          <w:trHeight w:hRule="exact" w:val="220"/>
          <w:jc w:val="center"/>
        </w:trPr>
        <w:tc>
          <w:tcPr>
            <w:tcW w:w="7360" w:type="dxa"/>
            <w:tcMar>
              <w:left w:w="780" w:type="dxa"/>
              <w:right w:w="40" w:type="dxa"/>
            </w:tcMar>
          </w:tcPr>
          <w:p w14:paraId="5B6E04B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Non-cash impairments</w:t>
            </w:r>
          </w:p>
        </w:tc>
        <w:tc>
          <w:tcPr>
            <w:tcW w:w="80" w:type="dxa"/>
            <w:tcMar>
              <w:left w:w="60" w:type="dxa"/>
              <w:right w:w="0" w:type="dxa"/>
            </w:tcMar>
            <w:vAlign w:val="bottom"/>
          </w:tcPr>
          <w:p w14:paraId="26B7A378" w14:textId="77777777" w:rsidR="007E7656" w:rsidRDefault="007E7656" w:rsidP="00312F84">
            <w:pPr>
              <w:keepNext/>
              <w:keepLines/>
              <w:spacing w:before="40" w:after="40"/>
            </w:pPr>
          </w:p>
        </w:tc>
        <w:tc>
          <w:tcPr>
            <w:tcW w:w="1256" w:type="dxa"/>
            <w:tcMar>
              <w:left w:w="0" w:type="dxa"/>
              <w:right w:w="0" w:type="dxa"/>
            </w:tcMar>
            <w:vAlign w:val="bottom"/>
          </w:tcPr>
          <w:p w14:paraId="6E06F4E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1,258</w:t>
            </w:r>
          </w:p>
        </w:tc>
        <w:tc>
          <w:tcPr>
            <w:tcW w:w="64" w:type="dxa"/>
            <w:tcMar>
              <w:left w:w="0" w:type="dxa"/>
              <w:right w:w="0" w:type="dxa"/>
            </w:tcMar>
          </w:tcPr>
          <w:p w14:paraId="1BEE389B" w14:textId="77777777" w:rsidR="007E7656" w:rsidRDefault="007E7656" w:rsidP="00312F84"/>
        </w:tc>
        <w:tc>
          <w:tcPr>
            <w:tcW w:w="80" w:type="dxa"/>
            <w:tcMar>
              <w:left w:w="0" w:type="dxa"/>
              <w:right w:w="60" w:type="dxa"/>
            </w:tcMar>
            <w:vAlign w:val="bottom"/>
          </w:tcPr>
          <w:p w14:paraId="1CFE615C" w14:textId="77777777" w:rsidR="007E7656" w:rsidRDefault="007E7656" w:rsidP="00312F84">
            <w:pPr>
              <w:keepNext/>
              <w:keepLines/>
              <w:spacing w:before="40" w:after="40"/>
            </w:pPr>
          </w:p>
        </w:tc>
        <w:tc>
          <w:tcPr>
            <w:tcW w:w="1276" w:type="dxa"/>
            <w:tcMar>
              <w:left w:w="0" w:type="dxa"/>
              <w:right w:w="0" w:type="dxa"/>
            </w:tcMar>
            <w:vAlign w:val="bottom"/>
          </w:tcPr>
          <w:p w14:paraId="65E9D21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10,644</w:t>
            </w:r>
          </w:p>
        </w:tc>
        <w:tc>
          <w:tcPr>
            <w:tcW w:w="64" w:type="dxa"/>
            <w:tcMar>
              <w:left w:w="0" w:type="dxa"/>
              <w:right w:w="0" w:type="dxa"/>
            </w:tcMar>
          </w:tcPr>
          <w:p w14:paraId="562DF474" w14:textId="77777777" w:rsidR="007E7656" w:rsidRDefault="007E7656" w:rsidP="00312F84"/>
        </w:tc>
      </w:tr>
      <w:tr w:rsidR="007E7656" w14:paraId="4F3C50BA" w14:textId="77777777" w:rsidTr="00312F84">
        <w:trPr>
          <w:trHeight w:hRule="exact" w:val="220"/>
          <w:jc w:val="center"/>
        </w:trPr>
        <w:tc>
          <w:tcPr>
            <w:tcW w:w="7360" w:type="dxa"/>
            <w:tcMar>
              <w:left w:w="780" w:type="dxa"/>
              <w:right w:w="40" w:type="dxa"/>
            </w:tcMar>
          </w:tcPr>
          <w:p w14:paraId="16D4BE9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Amortization of debt discount and issuance costs</w:t>
            </w:r>
          </w:p>
        </w:tc>
        <w:tc>
          <w:tcPr>
            <w:tcW w:w="80" w:type="dxa"/>
            <w:tcMar>
              <w:left w:w="0" w:type="dxa"/>
              <w:right w:w="0" w:type="dxa"/>
            </w:tcMar>
            <w:vAlign w:val="bottom"/>
          </w:tcPr>
          <w:p w14:paraId="7AA059A7" w14:textId="77777777" w:rsidR="007E7656" w:rsidRDefault="007E7656" w:rsidP="00312F84">
            <w:pPr>
              <w:keepNext/>
              <w:keepLines/>
              <w:spacing w:before="40" w:after="40"/>
            </w:pPr>
          </w:p>
        </w:tc>
        <w:tc>
          <w:tcPr>
            <w:tcW w:w="1256" w:type="dxa"/>
            <w:tcMar>
              <w:left w:w="0" w:type="dxa"/>
              <w:right w:w="0" w:type="dxa"/>
            </w:tcMar>
            <w:vAlign w:val="bottom"/>
          </w:tcPr>
          <w:p w14:paraId="749C61B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21,576</w:t>
            </w:r>
          </w:p>
        </w:tc>
        <w:tc>
          <w:tcPr>
            <w:tcW w:w="64" w:type="dxa"/>
            <w:tcMar>
              <w:left w:w="0" w:type="dxa"/>
              <w:right w:w="0" w:type="dxa"/>
            </w:tcMar>
          </w:tcPr>
          <w:p w14:paraId="2E5D81AC" w14:textId="77777777" w:rsidR="007E7656" w:rsidRDefault="007E7656" w:rsidP="00312F84"/>
        </w:tc>
        <w:tc>
          <w:tcPr>
            <w:tcW w:w="80" w:type="dxa"/>
            <w:tcMar>
              <w:left w:w="0" w:type="dxa"/>
              <w:right w:w="60" w:type="dxa"/>
            </w:tcMar>
            <w:vAlign w:val="bottom"/>
          </w:tcPr>
          <w:p w14:paraId="54447561" w14:textId="77777777" w:rsidR="007E7656" w:rsidRDefault="007E7656" w:rsidP="00312F84">
            <w:pPr>
              <w:keepNext/>
              <w:keepLines/>
              <w:spacing w:before="40" w:after="40"/>
            </w:pPr>
          </w:p>
        </w:tc>
        <w:tc>
          <w:tcPr>
            <w:tcW w:w="1276" w:type="dxa"/>
            <w:tcMar>
              <w:left w:w="0" w:type="dxa"/>
              <w:right w:w="0" w:type="dxa"/>
            </w:tcMar>
            <w:vAlign w:val="bottom"/>
          </w:tcPr>
          <w:p w14:paraId="6157F88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16,950</w:t>
            </w:r>
          </w:p>
        </w:tc>
        <w:tc>
          <w:tcPr>
            <w:tcW w:w="64" w:type="dxa"/>
            <w:tcMar>
              <w:left w:w="0" w:type="dxa"/>
              <w:right w:w="0" w:type="dxa"/>
            </w:tcMar>
          </w:tcPr>
          <w:p w14:paraId="06E661A3" w14:textId="77777777" w:rsidR="007E7656" w:rsidRDefault="007E7656" w:rsidP="00312F84"/>
        </w:tc>
      </w:tr>
      <w:tr w:rsidR="007E7656" w14:paraId="43719516" w14:textId="77777777" w:rsidTr="00312F84">
        <w:trPr>
          <w:trHeight w:hRule="exact" w:val="220"/>
          <w:jc w:val="center"/>
        </w:trPr>
        <w:tc>
          <w:tcPr>
            <w:tcW w:w="7360" w:type="dxa"/>
            <w:tcMar>
              <w:left w:w="780" w:type="dxa"/>
              <w:right w:w="40" w:type="dxa"/>
            </w:tcMar>
          </w:tcPr>
          <w:p w14:paraId="57F1D75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Share-based compensation expense</w:t>
            </w:r>
          </w:p>
        </w:tc>
        <w:tc>
          <w:tcPr>
            <w:tcW w:w="80" w:type="dxa"/>
            <w:tcMar>
              <w:left w:w="0" w:type="dxa"/>
              <w:right w:w="0" w:type="dxa"/>
            </w:tcMar>
            <w:vAlign w:val="bottom"/>
          </w:tcPr>
          <w:p w14:paraId="73DF3AC2" w14:textId="77777777" w:rsidR="007E7656" w:rsidRDefault="007E7656" w:rsidP="00312F84">
            <w:pPr>
              <w:keepNext/>
              <w:keepLines/>
              <w:spacing w:before="40" w:after="40"/>
            </w:pPr>
          </w:p>
        </w:tc>
        <w:tc>
          <w:tcPr>
            <w:tcW w:w="1256" w:type="dxa"/>
            <w:tcMar>
              <w:left w:w="0" w:type="dxa"/>
              <w:right w:w="0" w:type="dxa"/>
            </w:tcMar>
            <w:vAlign w:val="bottom"/>
          </w:tcPr>
          <w:p w14:paraId="55DE24F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23,210</w:t>
            </w:r>
          </w:p>
        </w:tc>
        <w:tc>
          <w:tcPr>
            <w:tcW w:w="64" w:type="dxa"/>
            <w:tcMar>
              <w:left w:w="0" w:type="dxa"/>
              <w:right w:w="0" w:type="dxa"/>
            </w:tcMar>
          </w:tcPr>
          <w:p w14:paraId="463D7871" w14:textId="77777777" w:rsidR="007E7656" w:rsidRDefault="007E7656" w:rsidP="00312F84"/>
        </w:tc>
        <w:tc>
          <w:tcPr>
            <w:tcW w:w="80" w:type="dxa"/>
            <w:tcMar>
              <w:left w:w="0" w:type="dxa"/>
              <w:right w:w="60" w:type="dxa"/>
            </w:tcMar>
            <w:vAlign w:val="bottom"/>
          </w:tcPr>
          <w:p w14:paraId="3F4256ED" w14:textId="77777777" w:rsidR="007E7656" w:rsidRDefault="007E7656" w:rsidP="00312F84">
            <w:pPr>
              <w:keepNext/>
              <w:keepLines/>
              <w:spacing w:before="40" w:after="40"/>
            </w:pPr>
          </w:p>
        </w:tc>
        <w:tc>
          <w:tcPr>
            <w:tcW w:w="1276" w:type="dxa"/>
            <w:tcMar>
              <w:left w:w="0" w:type="dxa"/>
              <w:right w:w="0" w:type="dxa"/>
            </w:tcMar>
            <w:vAlign w:val="bottom"/>
          </w:tcPr>
          <w:p w14:paraId="6F0D8DB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19,273</w:t>
            </w:r>
          </w:p>
        </w:tc>
        <w:tc>
          <w:tcPr>
            <w:tcW w:w="64" w:type="dxa"/>
            <w:tcMar>
              <w:left w:w="0" w:type="dxa"/>
              <w:right w:w="0" w:type="dxa"/>
            </w:tcMar>
          </w:tcPr>
          <w:p w14:paraId="7601F06E" w14:textId="77777777" w:rsidR="007E7656" w:rsidRDefault="007E7656" w:rsidP="00312F84"/>
        </w:tc>
      </w:tr>
      <w:tr w:rsidR="007E7656" w14:paraId="4035000E" w14:textId="77777777" w:rsidTr="00312F84">
        <w:trPr>
          <w:trHeight w:hRule="exact" w:val="220"/>
          <w:jc w:val="center"/>
        </w:trPr>
        <w:tc>
          <w:tcPr>
            <w:tcW w:w="7360" w:type="dxa"/>
            <w:tcMar>
              <w:left w:w="780" w:type="dxa"/>
              <w:right w:w="40" w:type="dxa"/>
            </w:tcMar>
          </w:tcPr>
          <w:p w14:paraId="777140D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Deferred income taxes</w:t>
            </w:r>
          </w:p>
        </w:tc>
        <w:tc>
          <w:tcPr>
            <w:tcW w:w="80" w:type="dxa"/>
            <w:tcMar>
              <w:left w:w="0" w:type="dxa"/>
              <w:right w:w="0" w:type="dxa"/>
            </w:tcMar>
            <w:vAlign w:val="bottom"/>
          </w:tcPr>
          <w:p w14:paraId="4ED13565" w14:textId="77777777" w:rsidR="007E7656" w:rsidRDefault="007E7656" w:rsidP="00312F84">
            <w:pPr>
              <w:keepNext/>
              <w:keepLines/>
              <w:spacing w:before="40" w:after="40"/>
            </w:pPr>
          </w:p>
        </w:tc>
        <w:tc>
          <w:tcPr>
            <w:tcW w:w="1256" w:type="dxa"/>
            <w:tcMar>
              <w:left w:w="0" w:type="dxa"/>
              <w:right w:w="0" w:type="dxa"/>
            </w:tcMar>
            <w:vAlign w:val="bottom"/>
          </w:tcPr>
          <w:p w14:paraId="4AFA540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(7,319</w:t>
            </w:r>
          </w:p>
        </w:tc>
        <w:tc>
          <w:tcPr>
            <w:tcW w:w="64" w:type="dxa"/>
            <w:tcMar>
              <w:left w:w="0" w:type="dxa"/>
              <w:right w:w="0" w:type="dxa"/>
            </w:tcMar>
            <w:vAlign w:val="bottom"/>
          </w:tcPr>
          <w:p w14:paraId="0075B54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3EB85BDB" w14:textId="77777777" w:rsidR="007E7656" w:rsidRDefault="007E7656" w:rsidP="00312F84">
            <w:pPr>
              <w:keepNext/>
              <w:keepLines/>
              <w:spacing w:before="40" w:after="40"/>
            </w:pPr>
          </w:p>
        </w:tc>
        <w:tc>
          <w:tcPr>
            <w:tcW w:w="1276" w:type="dxa"/>
            <w:tcMar>
              <w:left w:w="0" w:type="dxa"/>
              <w:right w:w="0" w:type="dxa"/>
            </w:tcMar>
            <w:vAlign w:val="bottom"/>
          </w:tcPr>
          <w:p w14:paraId="41A8AC1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3,325</w:t>
            </w:r>
          </w:p>
        </w:tc>
        <w:tc>
          <w:tcPr>
            <w:tcW w:w="64" w:type="dxa"/>
            <w:tcMar>
              <w:left w:w="0" w:type="dxa"/>
              <w:right w:w="0" w:type="dxa"/>
            </w:tcMar>
          </w:tcPr>
          <w:p w14:paraId="7EDEB0E3" w14:textId="77777777" w:rsidR="007E7656" w:rsidRDefault="007E7656" w:rsidP="00312F84"/>
        </w:tc>
      </w:tr>
      <w:tr w:rsidR="007E7656" w14:paraId="0479C9E8" w14:textId="77777777" w:rsidTr="00312F84">
        <w:trPr>
          <w:trHeight w:hRule="exact" w:val="220"/>
          <w:jc w:val="center"/>
        </w:trPr>
        <w:tc>
          <w:tcPr>
            <w:tcW w:w="7360" w:type="dxa"/>
            <w:tcMar>
              <w:left w:w="780" w:type="dxa"/>
              <w:right w:w="40" w:type="dxa"/>
            </w:tcMar>
          </w:tcPr>
          <w:p w14:paraId="4C50023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Loss (gain) on marketable securities</w:t>
            </w:r>
          </w:p>
        </w:tc>
        <w:tc>
          <w:tcPr>
            <w:tcW w:w="80" w:type="dxa"/>
            <w:tcMar>
              <w:left w:w="60" w:type="dxa"/>
              <w:right w:w="0" w:type="dxa"/>
            </w:tcMar>
            <w:vAlign w:val="bottom"/>
          </w:tcPr>
          <w:p w14:paraId="3471A563" w14:textId="77777777" w:rsidR="007E7656" w:rsidRDefault="007E7656" w:rsidP="00312F84">
            <w:pPr>
              <w:keepNext/>
              <w:keepLines/>
              <w:spacing w:before="40" w:after="40"/>
            </w:pPr>
          </w:p>
        </w:tc>
        <w:tc>
          <w:tcPr>
            <w:tcW w:w="1256" w:type="dxa"/>
            <w:tcMar>
              <w:left w:w="0" w:type="dxa"/>
              <w:right w:w="0" w:type="dxa"/>
            </w:tcMar>
            <w:vAlign w:val="bottom"/>
          </w:tcPr>
          <w:p w14:paraId="06E2A3A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897</w:t>
            </w:r>
          </w:p>
        </w:tc>
        <w:tc>
          <w:tcPr>
            <w:tcW w:w="64" w:type="dxa"/>
            <w:tcMar>
              <w:left w:w="0" w:type="dxa"/>
              <w:right w:w="0" w:type="dxa"/>
            </w:tcMar>
          </w:tcPr>
          <w:p w14:paraId="3FAD0B98" w14:textId="77777777" w:rsidR="007E7656" w:rsidRDefault="007E7656" w:rsidP="00312F84"/>
        </w:tc>
        <w:tc>
          <w:tcPr>
            <w:tcW w:w="80" w:type="dxa"/>
            <w:tcMar>
              <w:left w:w="0" w:type="dxa"/>
              <w:right w:w="60" w:type="dxa"/>
            </w:tcMar>
            <w:vAlign w:val="bottom"/>
          </w:tcPr>
          <w:p w14:paraId="6CA29C75" w14:textId="77777777" w:rsidR="007E7656" w:rsidRDefault="007E7656" w:rsidP="00312F84">
            <w:pPr>
              <w:keepNext/>
              <w:keepLines/>
              <w:spacing w:before="40" w:after="40"/>
            </w:pPr>
          </w:p>
        </w:tc>
        <w:tc>
          <w:tcPr>
            <w:tcW w:w="1276" w:type="dxa"/>
            <w:tcMar>
              <w:left w:w="0" w:type="dxa"/>
              <w:right w:w="0" w:type="dxa"/>
            </w:tcMar>
            <w:vAlign w:val="bottom"/>
          </w:tcPr>
          <w:p w14:paraId="3559375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(3,007</w:t>
            </w:r>
          </w:p>
        </w:tc>
        <w:tc>
          <w:tcPr>
            <w:tcW w:w="64" w:type="dxa"/>
            <w:tcMar>
              <w:left w:w="0" w:type="dxa"/>
              <w:right w:w="0" w:type="dxa"/>
            </w:tcMar>
            <w:vAlign w:val="bottom"/>
          </w:tcPr>
          <w:p w14:paraId="3AAC710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FE563F" w14:paraId="440F1CA5" w14:textId="77777777" w:rsidTr="00312F84">
        <w:trPr>
          <w:trHeight w:hRule="exact" w:val="220"/>
          <w:jc w:val="center"/>
        </w:trPr>
        <w:tc>
          <w:tcPr>
            <w:tcW w:w="7360" w:type="dxa"/>
            <w:tcMar>
              <w:left w:w="780" w:type="dxa"/>
              <w:right w:w="40" w:type="dxa"/>
            </w:tcMar>
          </w:tcPr>
          <w:p w14:paraId="4F437603" w14:textId="77777777" w:rsidR="00FE563F" w:rsidRDefault="00FE563F" w:rsidP="00312F84">
            <w:pPr>
              <w:keepNext/>
              <w:keepLines/>
              <w:spacing w:before="40" w:after="40"/>
              <w:rPr>
                <w:rFonts w:ascii="Arial" w:eastAsia="Arial" w:hAnsi="Arial" w:cs="Arial"/>
                <w:color w:val="000000"/>
                <w:sz w:val="16"/>
              </w:rPr>
            </w:pPr>
            <w:r>
              <w:rPr>
                <w:rFonts w:ascii="Arial" w:eastAsia="Arial" w:hAnsi="Arial" w:cs="Arial"/>
                <w:color w:val="000000"/>
                <w:sz w:val="16"/>
              </w:rPr>
              <w:t>Reversals of contingent consideration</w:t>
            </w:r>
          </w:p>
        </w:tc>
        <w:tc>
          <w:tcPr>
            <w:tcW w:w="80" w:type="dxa"/>
            <w:tcMar>
              <w:left w:w="60" w:type="dxa"/>
              <w:right w:w="0" w:type="dxa"/>
            </w:tcMar>
            <w:vAlign w:val="bottom"/>
          </w:tcPr>
          <w:p w14:paraId="6A133BC9" w14:textId="77777777" w:rsidR="00FE563F" w:rsidRDefault="00FE563F" w:rsidP="00312F84">
            <w:pPr>
              <w:keepNext/>
              <w:keepLines/>
              <w:spacing w:before="40" w:after="40"/>
            </w:pPr>
          </w:p>
        </w:tc>
        <w:tc>
          <w:tcPr>
            <w:tcW w:w="1256" w:type="dxa"/>
            <w:tcMar>
              <w:left w:w="0" w:type="dxa"/>
              <w:right w:w="0" w:type="dxa"/>
            </w:tcMar>
            <w:vAlign w:val="bottom"/>
          </w:tcPr>
          <w:p w14:paraId="7EE98108" w14:textId="77777777" w:rsidR="00FE563F" w:rsidRDefault="00FE563F" w:rsidP="00312F84">
            <w:pPr>
              <w:keepNext/>
              <w:keepLines/>
              <w:spacing w:before="40" w:after="40"/>
              <w:jc w:val="right"/>
              <w:rPr>
                <w:rFonts w:ascii="Arial" w:eastAsia="Arial" w:hAnsi="Arial" w:cs="Arial"/>
                <w:color w:val="000000"/>
                <w:sz w:val="16"/>
              </w:rPr>
            </w:pPr>
            <w:r>
              <w:rPr>
                <w:rFonts w:ascii="Arial" w:eastAsia="Arial" w:hAnsi="Arial" w:cs="Arial"/>
                <w:color w:val="000000"/>
                <w:sz w:val="16"/>
              </w:rPr>
              <w:t>(7,433</w:t>
            </w:r>
          </w:p>
        </w:tc>
        <w:tc>
          <w:tcPr>
            <w:tcW w:w="64" w:type="dxa"/>
            <w:tcMar>
              <w:left w:w="0" w:type="dxa"/>
              <w:right w:w="0" w:type="dxa"/>
            </w:tcMar>
          </w:tcPr>
          <w:p w14:paraId="5F080923" w14:textId="77777777" w:rsidR="00FE563F" w:rsidRDefault="00FE563F" w:rsidP="00312F84">
            <w:r>
              <w:t>)</w:t>
            </w:r>
          </w:p>
        </w:tc>
        <w:tc>
          <w:tcPr>
            <w:tcW w:w="80" w:type="dxa"/>
            <w:tcMar>
              <w:left w:w="0" w:type="dxa"/>
              <w:right w:w="60" w:type="dxa"/>
            </w:tcMar>
            <w:vAlign w:val="bottom"/>
          </w:tcPr>
          <w:p w14:paraId="52538005" w14:textId="77777777" w:rsidR="00FE563F" w:rsidRDefault="00FE563F" w:rsidP="00312F84">
            <w:pPr>
              <w:keepNext/>
              <w:keepLines/>
              <w:spacing w:before="40" w:after="40"/>
            </w:pPr>
          </w:p>
        </w:tc>
        <w:tc>
          <w:tcPr>
            <w:tcW w:w="1276" w:type="dxa"/>
            <w:tcMar>
              <w:left w:w="0" w:type="dxa"/>
              <w:right w:w="0" w:type="dxa"/>
            </w:tcMar>
            <w:vAlign w:val="bottom"/>
          </w:tcPr>
          <w:p w14:paraId="686326C4" w14:textId="77777777" w:rsidR="00FE563F" w:rsidRDefault="00FE563F" w:rsidP="00312F84">
            <w:pPr>
              <w:keepNext/>
              <w:keepLines/>
              <w:spacing w:before="40" w:after="40"/>
              <w:jc w:val="right"/>
              <w:rPr>
                <w:rFonts w:ascii="Arial" w:eastAsia="Arial" w:hAnsi="Arial" w:cs="Arial"/>
                <w:color w:val="000000"/>
                <w:sz w:val="16"/>
              </w:rPr>
            </w:pPr>
            <w:r>
              <w:rPr>
                <w:rFonts w:ascii="Arial" w:eastAsia="Arial" w:hAnsi="Arial" w:cs="Arial"/>
                <w:color w:val="000000"/>
                <w:sz w:val="16"/>
              </w:rPr>
              <w:t>—</w:t>
            </w:r>
          </w:p>
        </w:tc>
        <w:tc>
          <w:tcPr>
            <w:tcW w:w="64" w:type="dxa"/>
            <w:tcMar>
              <w:left w:w="0" w:type="dxa"/>
              <w:right w:w="0" w:type="dxa"/>
            </w:tcMar>
            <w:vAlign w:val="bottom"/>
          </w:tcPr>
          <w:p w14:paraId="3ED31D12" w14:textId="77777777" w:rsidR="00FE563F" w:rsidRDefault="00FE563F" w:rsidP="00312F84">
            <w:pPr>
              <w:keepNext/>
              <w:keepLines/>
              <w:spacing w:before="40" w:after="40"/>
              <w:rPr>
                <w:rFonts w:ascii="Arial" w:eastAsia="Arial" w:hAnsi="Arial" w:cs="Arial"/>
                <w:color w:val="000000"/>
                <w:sz w:val="16"/>
              </w:rPr>
            </w:pPr>
          </w:p>
        </w:tc>
      </w:tr>
      <w:tr w:rsidR="007E7656" w14:paraId="5E7D20D1" w14:textId="77777777" w:rsidTr="00312F84">
        <w:trPr>
          <w:trHeight w:hRule="exact" w:val="220"/>
          <w:jc w:val="center"/>
        </w:trPr>
        <w:tc>
          <w:tcPr>
            <w:tcW w:w="7360" w:type="dxa"/>
            <w:tcMar>
              <w:left w:w="780" w:type="dxa"/>
              <w:right w:w="40" w:type="dxa"/>
            </w:tcMar>
          </w:tcPr>
          <w:p w14:paraId="12CACF5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items, net including fair value changes in derivatives</w:t>
            </w:r>
          </w:p>
        </w:tc>
        <w:tc>
          <w:tcPr>
            <w:tcW w:w="80" w:type="dxa"/>
            <w:tcMar>
              <w:left w:w="60" w:type="dxa"/>
              <w:right w:w="0" w:type="dxa"/>
            </w:tcMar>
            <w:vAlign w:val="bottom"/>
          </w:tcPr>
          <w:p w14:paraId="0982126F" w14:textId="77777777" w:rsidR="007E7656" w:rsidRDefault="007E7656" w:rsidP="00312F84">
            <w:pPr>
              <w:keepNext/>
              <w:keepLines/>
              <w:spacing w:before="40" w:after="40"/>
            </w:pPr>
          </w:p>
        </w:tc>
        <w:tc>
          <w:tcPr>
            <w:tcW w:w="1256" w:type="dxa"/>
            <w:tcMar>
              <w:left w:w="0" w:type="dxa"/>
              <w:right w:w="0" w:type="dxa"/>
            </w:tcMar>
            <w:vAlign w:val="bottom"/>
          </w:tcPr>
          <w:p w14:paraId="5E09D22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(5,250</w:t>
            </w:r>
          </w:p>
        </w:tc>
        <w:tc>
          <w:tcPr>
            <w:tcW w:w="64" w:type="dxa"/>
            <w:tcMar>
              <w:left w:w="0" w:type="dxa"/>
              <w:right w:w="0" w:type="dxa"/>
            </w:tcMar>
            <w:vAlign w:val="bottom"/>
          </w:tcPr>
          <w:p w14:paraId="39D064A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0AB355BC" w14:textId="77777777" w:rsidR="007E7656" w:rsidRDefault="007E7656" w:rsidP="00312F84">
            <w:pPr>
              <w:keepNext/>
              <w:keepLines/>
              <w:spacing w:before="40" w:after="40"/>
            </w:pPr>
          </w:p>
        </w:tc>
        <w:tc>
          <w:tcPr>
            <w:tcW w:w="1276" w:type="dxa"/>
            <w:tcMar>
              <w:left w:w="0" w:type="dxa"/>
              <w:right w:w="0" w:type="dxa"/>
            </w:tcMar>
            <w:vAlign w:val="bottom"/>
          </w:tcPr>
          <w:p w14:paraId="1CECBDB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(11,283</w:t>
            </w:r>
          </w:p>
        </w:tc>
        <w:tc>
          <w:tcPr>
            <w:tcW w:w="64" w:type="dxa"/>
            <w:tcMar>
              <w:left w:w="0" w:type="dxa"/>
              <w:right w:w="0" w:type="dxa"/>
            </w:tcMar>
            <w:vAlign w:val="bottom"/>
          </w:tcPr>
          <w:p w14:paraId="413662E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3E2E604A" w14:textId="77777777" w:rsidTr="007E7656">
        <w:trPr>
          <w:trHeight w:hRule="exact" w:val="220"/>
          <w:jc w:val="center"/>
        </w:trPr>
        <w:tc>
          <w:tcPr>
            <w:tcW w:w="7360" w:type="dxa"/>
            <w:tcMar>
              <w:left w:w="780" w:type="dxa"/>
              <w:right w:w="40" w:type="dxa"/>
            </w:tcMar>
          </w:tcPr>
          <w:p w14:paraId="0160D72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changes in operating assets and liabilities:</w:t>
            </w:r>
          </w:p>
        </w:tc>
        <w:tc>
          <w:tcPr>
            <w:tcW w:w="80" w:type="dxa"/>
            <w:tcMar>
              <w:left w:w="60" w:type="dxa"/>
              <w:right w:w="0" w:type="dxa"/>
            </w:tcMar>
            <w:vAlign w:val="bottom"/>
          </w:tcPr>
          <w:p w14:paraId="7B2ADC37" w14:textId="77777777" w:rsidR="007E7656" w:rsidRDefault="007E7656" w:rsidP="00312F84">
            <w:pPr>
              <w:keepNext/>
              <w:keepLines/>
              <w:spacing w:before="40" w:after="40"/>
            </w:pPr>
          </w:p>
        </w:tc>
        <w:tc>
          <w:tcPr>
            <w:tcW w:w="1256" w:type="dxa"/>
            <w:gridSpan w:val="2"/>
            <w:tcMar>
              <w:left w:w="60" w:type="dxa"/>
              <w:right w:w="0" w:type="dxa"/>
            </w:tcMar>
            <w:vAlign w:val="bottom"/>
          </w:tcPr>
          <w:p w14:paraId="364F1D26" w14:textId="77777777" w:rsidR="007E7656" w:rsidRDefault="007E7656" w:rsidP="00312F84">
            <w:pPr>
              <w:keepNext/>
              <w:keepLines/>
              <w:spacing w:before="40" w:after="40"/>
            </w:pPr>
          </w:p>
        </w:tc>
        <w:tc>
          <w:tcPr>
            <w:tcW w:w="80" w:type="dxa"/>
            <w:tcMar>
              <w:left w:w="60" w:type="dxa"/>
              <w:right w:w="0" w:type="dxa"/>
            </w:tcMar>
            <w:vAlign w:val="bottom"/>
          </w:tcPr>
          <w:p w14:paraId="141E00DE" w14:textId="77777777" w:rsidR="007E7656" w:rsidRDefault="007E7656" w:rsidP="00312F84">
            <w:pPr>
              <w:keepNext/>
              <w:keepLines/>
              <w:spacing w:before="40" w:after="40"/>
            </w:pPr>
          </w:p>
        </w:tc>
        <w:tc>
          <w:tcPr>
            <w:tcW w:w="1276" w:type="dxa"/>
            <w:gridSpan w:val="2"/>
            <w:tcMar>
              <w:left w:w="60" w:type="dxa"/>
              <w:right w:w="0" w:type="dxa"/>
            </w:tcMar>
            <w:vAlign w:val="bottom"/>
          </w:tcPr>
          <w:p w14:paraId="5E13F1C1" w14:textId="77777777" w:rsidR="007E7656" w:rsidRDefault="007E7656" w:rsidP="00312F84">
            <w:pPr>
              <w:keepNext/>
              <w:keepLines/>
              <w:spacing w:before="40" w:after="40"/>
            </w:pPr>
          </w:p>
        </w:tc>
      </w:tr>
      <w:tr w:rsidR="007E7656" w14:paraId="7296980A" w14:textId="77777777" w:rsidTr="00312F84">
        <w:trPr>
          <w:trHeight w:hRule="exact" w:val="200"/>
          <w:jc w:val="center"/>
        </w:trPr>
        <w:tc>
          <w:tcPr>
            <w:tcW w:w="7360" w:type="dxa"/>
            <w:tcMar>
              <w:left w:w="1260" w:type="dxa"/>
              <w:right w:w="40" w:type="dxa"/>
            </w:tcMar>
          </w:tcPr>
          <w:p w14:paraId="1430D54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Accounts receivable</w:t>
            </w:r>
          </w:p>
        </w:tc>
        <w:tc>
          <w:tcPr>
            <w:tcW w:w="80" w:type="dxa"/>
            <w:tcMar>
              <w:left w:w="0" w:type="dxa"/>
              <w:right w:w="0" w:type="dxa"/>
            </w:tcMar>
            <w:vAlign w:val="bottom"/>
          </w:tcPr>
          <w:p w14:paraId="307372FE" w14:textId="77777777" w:rsidR="007E7656" w:rsidRDefault="007E7656" w:rsidP="00312F84">
            <w:pPr>
              <w:keepNext/>
              <w:keepLines/>
              <w:spacing w:before="40" w:after="40"/>
            </w:pPr>
          </w:p>
        </w:tc>
        <w:tc>
          <w:tcPr>
            <w:tcW w:w="1256" w:type="dxa"/>
            <w:tcMar>
              <w:left w:w="0" w:type="dxa"/>
              <w:right w:w="0" w:type="dxa"/>
            </w:tcMar>
            <w:vAlign w:val="bottom"/>
          </w:tcPr>
          <w:p w14:paraId="580F3E7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(16,291</w:t>
            </w:r>
          </w:p>
        </w:tc>
        <w:tc>
          <w:tcPr>
            <w:tcW w:w="64" w:type="dxa"/>
            <w:tcMar>
              <w:left w:w="0" w:type="dxa"/>
              <w:right w:w="0" w:type="dxa"/>
            </w:tcMar>
            <w:vAlign w:val="bottom"/>
          </w:tcPr>
          <w:p w14:paraId="5BDBF39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201C763E" w14:textId="77777777" w:rsidR="007E7656" w:rsidRDefault="007E7656" w:rsidP="00312F84">
            <w:pPr>
              <w:keepNext/>
              <w:keepLines/>
              <w:spacing w:before="40" w:after="40"/>
            </w:pPr>
          </w:p>
        </w:tc>
        <w:tc>
          <w:tcPr>
            <w:tcW w:w="1276" w:type="dxa"/>
            <w:tcMar>
              <w:left w:w="0" w:type="dxa"/>
              <w:right w:w="0" w:type="dxa"/>
            </w:tcMar>
            <w:vAlign w:val="bottom"/>
          </w:tcPr>
          <w:p w14:paraId="7EF0FD9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1,087</w:t>
            </w:r>
          </w:p>
        </w:tc>
        <w:tc>
          <w:tcPr>
            <w:tcW w:w="64" w:type="dxa"/>
            <w:tcMar>
              <w:left w:w="0" w:type="dxa"/>
              <w:right w:w="0" w:type="dxa"/>
            </w:tcMar>
          </w:tcPr>
          <w:p w14:paraId="7E3C83BB" w14:textId="77777777" w:rsidR="007E7656" w:rsidRDefault="007E7656" w:rsidP="00312F84"/>
        </w:tc>
      </w:tr>
      <w:tr w:rsidR="007E7656" w14:paraId="308E3C5B" w14:textId="77777777" w:rsidTr="00312F84">
        <w:trPr>
          <w:trHeight w:hRule="exact" w:val="200"/>
          <w:jc w:val="center"/>
        </w:trPr>
        <w:tc>
          <w:tcPr>
            <w:tcW w:w="7360" w:type="dxa"/>
            <w:tcMar>
              <w:left w:w="1260" w:type="dxa"/>
              <w:right w:w="40" w:type="dxa"/>
            </w:tcMar>
          </w:tcPr>
          <w:p w14:paraId="1653A24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Inventories</w:t>
            </w:r>
          </w:p>
        </w:tc>
        <w:tc>
          <w:tcPr>
            <w:tcW w:w="80" w:type="dxa"/>
            <w:tcMar>
              <w:left w:w="0" w:type="dxa"/>
              <w:right w:w="0" w:type="dxa"/>
            </w:tcMar>
            <w:vAlign w:val="bottom"/>
          </w:tcPr>
          <w:p w14:paraId="218483BD" w14:textId="77777777" w:rsidR="007E7656" w:rsidRDefault="007E7656" w:rsidP="00312F84">
            <w:pPr>
              <w:keepNext/>
              <w:keepLines/>
              <w:spacing w:before="40" w:after="40"/>
            </w:pPr>
          </w:p>
        </w:tc>
        <w:tc>
          <w:tcPr>
            <w:tcW w:w="1256" w:type="dxa"/>
            <w:tcMar>
              <w:left w:w="0" w:type="dxa"/>
              <w:right w:w="0" w:type="dxa"/>
            </w:tcMar>
            <w:vAlign w:val="bottom"/>
          </w:tcPr>
          <w:p w14:paraId="73BEA14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(15,672</w:t>
            </w:r>
          </w:p>
        </w:tc>
        <w:tc>
          <w:tcPr>
            <w:tcW w:w="64" w:type="dxa"/>
            <w:tcMar>
              <w:left w:w="0" w:type="dxa"/>
              <w:right w:w="0" w:type="dxa"/>
            </w:tcMar>
            <w:vAlign w:val="bottom"/>
          </w:tcPr>
          <w:p w14:paraId="733D324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0DBE846B" w14:textId="77777777" w:rsidR="007E7656" w:rsidRDefault="007E7656" w:rsidP="00312F84">
            <w:pPr>
              <w:keepNext/>
              <w:keepLines/>
              <w:spacing w:before="40" w:after="40"/>
            </w:pPr>
          </w:p>
        </w:tc>
        <w:tc>
          <w:tcPr>
            <w:tcW w:w="1276" w:type="dxa"/>
            <w:tcMar>
              <w:left w:w="0" w:type="dxa"/>
              <w:right w:w="0" w:type="dxa"/>
            </w:tcMar>
            <w:vAlign w:val="bottom"/>
          </w:tcPr>
          <w:p w14:paraId="60EAC06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(19,344</w:t>
            </w:r>
          </w:p>
        </w:tc>
        <w:tc>
          <w:tcPr>
            <w:tcW w:w="64" w:type="dxa"/>
            <w:tcMar>
              <w:left w:w="0" w:type="dxa"/>
              <w:right w:w="0" w:type="dxa"/>
            </w:tcMar>
            <w:vAlign w:val="bottom"/>
          </w:tcPr>
          <w:p w14:paraId="28E33C5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7E5AD1DB" w14:textId="77777777" w:rsidTr="00312F84">
        <w:trPr>
          <w:trHeight w:hRule="exact" w:val="200"/>
          <w:jc w:val="center"/>
        </w:trPr>
        <w:tc>
          <w:tcPr>
            <w:tcW w:w="7360" w:type="dxa"/>
            <w:tcMar>
              <w:left w:w="1260" w:type="dxa"/>
              <w:right w:w="40" w:type="dxa"/>
            </w:tcMar>
          </w:tcPr>
          <w:p w14:paraId="5BAE40BB"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Prepaid expenses and other current assets</w:t>
            </w:r>
          </w:p>
        </w:tc>
        <w:tc>
          <w:tcPr>
            <w:tcW w:w="80" w:type="dxa"/>
            <w:tcMar>
              <w:left w:w="0" w:type="dxa"/>
              <w:right w:w="0" w:type="dxa"/>
            </w:tcMar>
            <w:vAlign w:val="bottom"/>
          </w:tcPr>
          <w:p w14:paraId="46F61F53" w14:textId="77777777" w:rsidR="007E7656" w:rsidRDefault="007E7656" w:rsidP="00312F84">
            <w:pPr>
              <w:keepNext/>
              <w:keepLines/>
              <w:spacing w:before="40" w:after="40"/>
            </w:pPr>
          </w:p>
        </w:tc>
        <w:tc>
          <w:tcPr>
            <w:tcW w:w="1256" w:type="dxa"/>
            <w:tcMar>
              <w:left w:w="0" w:type="dxa"/>
              <w:right w:w="0" w:type="dxa"/>
            </w:tcMar>
            <w:vAlign w:val="bottom"/>
          </w:tcPr>
          <w:p w14:paraId="6B1C816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656</w:t>
            </w:r>
          </w:p>
        </w:tc>
        <w:tc>
          <w:tcPr>
            <w:tcW w:w="64" w:type="dxa"/>
            <w:tcMar>
              <w:left w:w="0" w:type="dxa"/>
              <w:right w:w="0" w:type="dxa"/>
            </w:tcMar>
          </w:tcPr>
          <w:p w14:paraId="3F9C31FE" w14:textId="77777777" w:rsidR="007E7656" w:rsidRDefault="007E7656" w:rsidP="00312F84"/>
        </w:tc>
        <w:tc>
          <w:tcPr>
            <w:tcW w:w="80" w:type="dxa"/>
            <w:tcMar>
              <w:left w:w="0" w:type="dxa"/>
              <w:right w:w="60" w:type="dxa"/>
            </w:tcMar>
            <w:vAlign w:val="bottom"/>
          </w:tcPr>
          <w:p w14:paraId="6636A953" w14:textId="77777777" w:rsidR="007E7656" w:rsidRDefault="007E7656" w:rsidP="00312F84">
            <w:pPr>
              <w:keepNext/>
              <w:keepLines/>
              <w:spacing w:before="40" w:after="40"/>
            </w:pPr>
          </w:p>
        </w:tc>
        <w:tc>
          <w:tcPr>
            <w:tcW w:w="1276" w:type="dxa"/>
            <w:tcMar>
              <w:left w:w="0" w:type="dxa"/>
              <w:right w:w="0" w:type="dxa"/>
            </w:tcMar>
            <w:vAlign w:val="bottom"/>
          </w:tcPr>
          <w:p w14:paraId="5A0ABD0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w:t>
            </w:r>
          </w:p>
        </w:tc>
        <w:tc>
          <w:tcPr>
            <w:tcW w:w="64" w:type="dxa"/>
            <w:tcMar>
              <w:left w:w="0" w:type="dxa"/>
              <w:right w:w="0" w:type="dxa"/>
            </w:tcMar>
          </w:tcPr>
          <w:p w14:paraId="69019FC2" w14:textId="77777777" w:rsidR="007E7656" w:rsidRDefault="007E7656" w:rsidP="00312F84"/>
        </w:tc>
      </w:tr>
      <w:tr w:rsidR="007E7656" w14:paraId="5490E98A" w14:textId="77777777" w:rsidTr="00312F84">
        <w:trPr>
          <w:trHeight w:hRule="exact" w:val="200"/>
          <w:jc w:val="center"/>
        </w:trPr>
        <w:tc>
          <w:tcPr>
            <w:tcW w:w="7360" w:type="dxa"/>
            <w:tcMar>
              <w:left w:w="1260" w:type="dxa"/>
              <w:right w:w="40" w:type="dxa"/>
            </w:tcMar>
          </w:tcPr>
          <w:p w14:paraId="7D31AC7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long-term assets</w:t>
            </w:r>
          </w:p>
        </w:tc>
        <w:tc>
          <w:tcPr>
            <w:tcW w:w="80" w:type="dxa"/>
            <w:tcMar>
              <w:left w:w="60" w:type="dxa"/>
              <w:right w:w="0" w:type="dxa"/>
            </w:tcMar>
            <w:vAlign w:val="bottom"/>
          </w:tcPr>
          <w:p w14:paraId="75B2B024" w14:textId="77777777" w:rsidR="007E7656" w:rsidRDefault="007E7656" w:rsidP="00312F84">
            <w:pPr>
              <w:keepNext/>
              <w:keepLines/>
              <w:spacing w:before="40" w:after="40"/>
            </w:pPr>
          </w:p>
        </w:tc>
        <w:tc>
          <w:tcPr>
            <w:tcW w:w="1256" w:type="dxa"/>
            <w:tcMar>
              <w:left w:w="0" w:type="dxa"/>
              <w:right w:w="0" w:type="dxa"/>
            </w:tcMar>
            <w:vAlign w:val="bottom"/>
          </w:tcPr>
          <w:p w14:paraId="631C3D9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376</w:t>
            </w:r>
          </w:p>
        </w:tc>
        <w:tc>
          <w:tcPr>
            <w:tcW w:w="64" w:type="dxa"/>
            <w:tcMar>
              <w:left w:w="0" w:type="dxa"/>
              <w:right w:w="0" w:type="dxa"/>
            </w:tcMar>
          </w:tcPr>
          <w:p w14:paraId="4D7425C5" w14:textId="77777777" w:rsidR="007E7656" w:rsidRDefault="007E7656" w:rsidP="00312F84"/>
        </w:tc>
        <w:tc>
          <w:tcPr>
            <w:tcW w:w="80" w:type="dxa"/>
            <w:tcMar>
              <w:left w:w="0" w:type="dxa"/>
              <w:right w:w="60" w:type="dxa"/>
            </w:tcMar>
            <w:vAlign w:val="bottom"/>
          </w:tcPr>
          <w:p w14:paraId="7BD9D4D3" w14:textId="77777777" w:rsidR="007E7656" w:rsidRDefault="007E7656" w:rsidP="00312F84">
            <w:pPr>
              <w:keepNext/>
              <w:keepLines/>
              <w:spacing w:before="40" w:after="40"/>
            </w:pPr>
          </w:p>
        </w:tc>
        <w:tc>
          <w:tcPr>
            <w:tcW w:w="1276" w:type="dxa"/>
            <w:tcMar>
              <w:left w:w="0" w:type="dxa"/>
              <w:right w:w="0" w:type="dxa"/>
            </w:tcMar>
            <w:vAlign w:val="bottom"/>
          </w:tcPr>
          <w:p w14:paraId="6EC68FD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(30,718</w:t>
            </w:r>
          </w:p>
        </w:tc>
        <w:tc>
          <w:tcPr>
            <w:tcW w:w="64" w:type="dxa"/>
            <w:tcMar>
              <w:left w:w="0" w:type="dxa"/>
              <w:right w:w="0" w:type="dxa"/>
            </w:tcMar>
            <w:vAlign w:val="bottom"/>
          </w:tcPr>
          <w:p w14:paraId="52885E2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6F005A85" w14:textId="77777777" w:rsidTr="00312F84">
        <w:trPr>
          <w:trHeight w:hRule="exact" w:val="200"/>
          <w:jc w:val="center"/>
        </w:trPr>
        <w:tc>
          <w:tcPr>
            <w:tcW w:w="7360" w:type="dxa"/>
            <w:tcMar>
              <w:left w:w="1260" w:type="dxa"/>
              <w:right w:w="40" w:type="dxa"/>
            </w:tcMar>
          </w:tcPr>
          <w:p w14:paraId="565C382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Accounts payable</w:t>
            </w:r>
          </w:p>
        </w:tc>
        <w:tc>
          <w:tcPr>
            <w:tcW w:w="80" w:type="dxa"/>
            <w:tcMar>
              <w:left w:w="60" w:type="dxa"/>
              <w:right w:w="0" w:type="dxa"/>
            </w:tcMar>
            <w:vAlign w:val="bottom"/>
          </w:tcPr>
          <w:p w14:paraId="2AE26ADC" w14:textId="77777777" w:rsidR="007E7656" w:rsidRDefault="007E7656" w:rsidP="00312F84">
            <w:pPr>
              <w:keepNext/>
              <w:keepLines/>
              <w:spacing w:before="40" w:after="40"/>
            </w:pPr>
          </w:p>
        </w:tc>
        <w:tc>
          <w:tcPr>
            <w:tcW w:w="1256" w:type="dxa"/>
            <w:tcMar>
              <w:left w:w="0" w:type="dxa"/>
              <w:right w:w="0" w:type="dxa"/>
            </w:tcMar>
            <w:vAlign w:val="bottom"/>
          </w:tcPr>
          <w:p w14:paraId="4B2A531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(10,600</w:t>
            </w:r>
          </w:p>
        </w:tc>
        <w:tc>
          <w:tcPr>
            <w:tcW w:w="64" w:type="dxa"/>
            <w:tcMar>
              <w:left w:w="0" w:type="dxa"/>
              <w:right w:w="0" w:type="dxa"/>
            </w:tcMar>
            <w:vAlign w:val="bottom"/>
          </w:tcPr>
          <w:p w14:paraId="31C252A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06EA8EF8" w14:textId="77777777" w:rsidR="007E7656" w:rsidRDefault="007E7656" w:rsidP="00312F84">
            <w:pPr>
              <w:keepNext/>
              <w:keepLines/>
              <w:spacing w:before="40" w:after="40"/>
            </w:pPr>
          </w:p>
        </w:tc>
        <w:tc>
          <w:tcPr>
            <w:tcW w:w="1276" w:type="dxa"/>
            <w:tcMar>
              <w:left w:w="0" w:type="dxa"/>
              <w:right w:w="0" w:type="dxa"/>
            </w:tcMar>
            <w:vAlign w:val="bottom"/>
          </w:tcPr>
          <w:p w14:paraId="6F7B649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w:t>
            </w:r>
          </w:p>
        </w:tc>
        <w:tc>
          <w:tcPr>
            <w:tcW w:w="64" w:type="dxa"/>
            <w:tcMar>
              <w:left w:w="0" w:type="dxa"/>
              <w:right w:w="0" w:type="dxa"/>
            </w:tcMar>
            <w:vAlign w:val="bottom"/>
          </w:tcPr>
          <w:p w14:paraId="6BCE939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60D03A12" w14:textId="77777777" w:rsidTr="00312F84">
        <w:trPr>
          <w:trHeight w:hRule="exact" w:val="200"/>
          <w:jc w:val="center"/>
        </w:trPr>
        <w:tc>
          <w:tcPr>
            <w:tcW w:w="7360" w:type="dxa"/>
            <w:tcMar>
              <w:left w:w="1260" w:type="dxa"/>
              <w:right w:w="40" w:type="dxa"/>
            </w:tcMar>
          </w:tcPr>
          <w:p w14:paraId="7B9DA4B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Accrued and other current liabilities</w:t>
            </w:r>
          </w:p>
        </w:tc>
        <w:tc>
          <w:tcPr>
            <w:tcW w:w="80" w:type="dxa"/>
            <w:tcMar>
              <w:left w:w="0" w:type="dxa"/>
              <w:right w:w="0" w:type="dxa"/>
            </w:tcMar>
            <w:vAlign w:val="bottom"/>
          </w:tcPr>
          <w:p w14:paraId="69C4D8D2" w14:textId="77777777" w:rsidR="007E7656" w:rsidRDefault="007E7656" w:rsidP="00312F84">
            <w:pPr>
              <w:keepNext/>
              <w:keepLines/>
              <w:spacing w:before="40" w:after="40"/>
            </w:pPr>
          </w:p>
        </w:tc>
        <w:tc>
          <w:tcPr>
            <w:tcW w:w="1256" w:type="dxa"/>
            <w:tcMar>
              <w:left w:w="0" w:type="dxa"/>
              <w:right w:w="0" w:type="dxa"/>
            </w:tcMar>
            <w:vAlign w:val="bottom"/>
          </w:tcPr>
          <w:p w14:paraId="3FBED01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(41,945</w:t>
            </w:r>
          </w:p>
        </w:tc>
        <w:tc>
          <w:tcPr>
            <w:tcW w:w="64" w:type="dxa"/>
            <w:tcMar>
              <w:left w:w="0" w:type="dxa"/>
              <w:right w:w="0" w:type="dxa"/>
            </w:tcMar>
            <w:vAlign w:val="bottom"/>
          </w:tcPr>
          <w:p w14:paraId="16431B5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277BB50A" w14:textId="77777777" w:rsidR="007E7656" w:rsidRDefault="007E7656" w:rsidP="00312F84">
            <w:pPr>
              <w:keepNext/>
              <w:keepLines/>
              <w:spacing w:before="40" w:after="40"/>
            </w:pPr>
          </w:p>
        </w:tc>
        <w:tc>
          <w:tcPr>
            <w:tcW w:w="1276" w:type="dxa"/>
            <w:tcMar>
              <w:left w:w="0" w:type="dxa"/>
              <w:right w:w="0" w:type="dxa"/>
            </w:tcMar>
            <w:vAlign w:val="bottom"/>
          </w:tcPr>
          <w:p w14:paraId="4FDD0677"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11,246</w:t>
            </w:r>
          </w:p>
        </w:tc>
        <w:tc>
          <w:tcPr>
            <w:tcW w:w="64" w:type="dxa"/>
            <w:tcMar>
              <w:left w:w="0" w:type="dxa"/>
              <w:right w:w="0" w:type="dxa"/>
            </w:tcMar>
          </w:tcPr>
          <w:p w14:paraId="6D4DE828" w14:textId="77777777" w:rsidR="007E7656" w:rsidRDefault="007E7656" w:rsidP="00312F84"/>
        </w:tc>
      </w:tr>
      <w:tr w:rsidR="007E7656" w14:paraId="5723F090" w14:textId="77777777" w:rsidTr="00312F84">
        <w:trPr>
          <w:trHeight w:hRule="exact" w:val="200"/>
          <w:jc w:val="center"/>
        </w:trPr>
        <w:tc>
          <w:tcPr>
            <w:tcW w:w="7360" w:type="dxa"/>
            <w:tcMar>
              <w:left w:w="1260" w:type="dxa"/>
              <w:right w:w="40" w:type="dxa"/>
            </w:tcMar>
          </w:tcPr>
          <w:p w14:paraId="2F50A1F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Income taxes</w:t>
            </w:r>
          </w:p>
        </w:tc>
        <w:tc>
          <w:tcPr>
            <w:tcW w:w="80" w:type="dxa"/>
            <w:tcMar>
              <w:left w:w="0" w:type="dxa"/>
              <w:right w:w="0" w:type="dxa"/>
            </w:tcMar>
            <w:vAlign w:val="bottom"/>
          </w:tcPr>
          <w:p w14:paraId="4362BAB4" w14:textId="77777777" w:rsidR="007E7656" w:rsidRDefault="007E7656" w:rsidP="00312F84">
            <w:pPr>
              <w:keepNext/>
              <w:keepLines/>
              <w:spacing w:before="40" w:after="40"/>
            </w:pPr>
          </w:p>
        </w:tc>
        <w:tc>
          <w:tcPr>
            <w:tcW w:w="1256" w:type="dxa"/>
            <w:tcMar>
              <w:left w:w="0" w:type="dxa"/>
              <w:right w:w="0" w:type="dxa"/>
            </w:tcMar>
            <w:vAlign w:val="bottom"/>
          </w:tcPr>
          <w:p w14:paraId="3DA15EC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(13,113</w:t>
            </w:r>
          </w:p>
        </w:tc>
        <w:tc>
          <w:tcPr>
            <w:tcW w:w="64" w:type="dxa"/>
            <w:tcMar>
              <w:left w:w="0" w:type="dxa"/>
              <w:right w:w="0" w:type="dxa"/>
            </w:tcMar>
            <w:vAlign w:val="bottom"/>
          </w:tcPr>
          <w:p w14:paraId="72BE253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03A7049B" w14:textId="77777777" w:rsidR="007E7656" w:rsidRDefault="007E7656" w:rsidP="00312F84">
            <w:pPr>
              <w:keepNext/>
              <w:keepLines/>
              <w:spacing w:before="40" w:after="40"/>
            </w:pPr>
          </w:p>
        </w:tc>
        <w:tc>
          <w:tcPr>
            <w:tcW w:w="1276" w:type="dxa"/>
            <w:tcMar>
              <w:left w:w="0" w:type="dxa"/>
              <w:right w:w="0" w:type="dxa"/>
            </w:tcMar>
            <w:vAlign w:val="bottom"/>
          </w:tcPr>
          <w:p w14:paraId="39685C6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(8,411</w:t>
            </w:r>
          </w:p>
        </w:tc>
        <w:tc>
          <w:tcPr>
            <w:tcW w:w="64" w:type="dxa"/>
            <w:tcMar>
              <w:left w:w="0" w:type="dxa"/>
              <w:right w:w="0" w:type="dxa"/>
            </w:tcMar>
            <w:vAlign w:val="bottom"/>
          </w:tcPr>
          <w:p w14:paraId="73AD370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6E823FA6" w14:textId="77777777" w:rsidTr="00312F84">
        <w:trPr>
          <w:trHeight w:hRule="exact" w:val="200"/>
          <w:jc w:val="center"/>
        </w:trPr>
        <w:tc>
          <w:tcPr>
            <w:tcW w:w="7360" w:type="dxa"/>
            <w:tcMar>
              <w:left w:w="1260" w:type="dxa"/>
              <w:right w:w="40" w:type="dxa"/>
            </w:tcMar>
          </w:tcPr>
          <w:p w14:paraId="18D09E01" w14:textId="77777777" w:rsidR="007E7656" w:rsidRDefault="007E7656" w:rsidP="00312F84">
            <w:pPr>
              <w:keepNext/>
              <w:keepLines/>
              <w:spacing w:before="30" w:after="30"/>
              <w:rPr>
                <w:rFonts w:ascii="Arial" w:eastAsia="Arial" w:hAnsi="Arial" w:cs="Arial"/>
                <w:sz w:val="16"/>
              </w:rPr>
            </w:pPr>
            <w:r>
              <w:rPr>
                <w:rFonts w:ascii="Arial" w:eastAsia="Arial" w:hAnsi="Arial" w:cs="Arial"/>
                <w:color w:val="000000"/>
                <w:sz w:val="16"/>
              </w:rPr>
              <w:t>Other long-term liabilities</w:t>
            </w:r>
          </w:p>
        </w:tc>
        <w:tc>
          <w:tcPr>
            <w:tcW w:w="80" w:type="dxa"/>
            <w:tcMar>
              <w:left w:w="60" w:type="dxa"/>
              <w:right w:w="0" w:type="dxa"/>
            </w:tcMar>
            <w:vAlign w:val="bottom"/>
          </w:tcPr>
          <w:p w14:paraId="164A501A" w14:textId="77777777" w:rsidR="007E7656" w:rsidRDefault="007E7656" w:rsidP="00312F84">
            <w:pPr>
              <w:keepNext/>
              <w:keepLines/>
              <w:spacing w:before="40" w:after="40"/>
            </w:pPr>
          </w:p>
        </w:tc>
        <w:tc>
          <w:tcPr>
            <w:tcW w:w="1256" w:type="dxa"/>
            <w:tcBorders>
              <w:bottom w:val="single" w:sz="8" w:space="0" w:color="auto"/>
            </w:tcBorders>
            <w:tcMar>
              <w:left w:w="0" w:type="dxa"/>
              <w:right w:w="0" w:type="dxa"/>
            </w:tcMar>
            <w:vAlign w:val="bottom"/>
          </w:tcPr>
          <w:p w14:paraId="3BEFB0B7" w14:textId="77777777" w:rsidR="007E7656" w:rsidRDefault="007E7656" w:rsidP="00312F84">
            <w:pPr>
              <w:keepNext/>
              <w:keepLines/>
              <w:spacing w:before="30" w:after="30"/>
              <w:jc w:val="right"/>
              <w:rPr>
                <w:rFonts w:ascii="Arial" w:eastAsia="Arial" w:hAnsi="Arial" w:cs="Arial"/>
                <w:sz w:val="16"/>
              </w:rPr>
            </w:pPr>
            <w:r>
              <w:rPr>
                <w:rFonts w:ascii="Arial" w:eastAsia="Arial" w:hAnsi="Arial" w:cs="Arial"/>
                <w:color w:val="000000"/>
                <w:sz w:val="16"/>
              </w:rPr>
              <w:t>993</w:t>
            </w:r>
          </w:p>
        </w:tc>
        <w:tc>
          <w:tcPr>
            <w:tcW w:w="64" w:type="dxa"/>
            <w:tcBorders>
              <w:bottom w:val="single" w:sz="8" w:space="0" w:color="auto"/>
            </w:tcBorders>
            <w:tcMar>
              <w:left w:w="0" w:type="dxa"/>
              <w:right w:w="0" w:type="dxa"/>
            </w:tcMar>
          </w:tcPr>
          <w:p w14:paraId="755B29F4" w14:textId="77777777" w:rsidR="007E7656" w:rsidRDefault="007E7656" w:rsidP="00312F84"/>
        </w:tc>
        <w:tc>
          <w:tcPr>
            <w:tcW w:w="80" w:type="dxa"/>
            <w:tcMar>
              <w:left w:w="0" w:type="dxa"/>
              <w:right w:w="60" w:type="dxa"/>
            </w:tcMar>
            <w:vAlign w:val="bottom"/>
          </w:tcPr>
          <w:p w14:paraId="45656ECD"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5F587D5F" w14:textId="77777777" w:rsidR="007E7656" w:rsidRDefault="007E7656" w:rsidP="00312F84">
            <w:pPr>
              <w:keepNext/>
              <w:keepLines/>
              <w:spacing w:before="30" w:after="30"/>
              <w:jc w:val="right"/>
              <w:rPr>
                <w:rFonts w:ascii="Arial" w:eastAsia="Arial" w:hAnsi="Arial" w:cs="Arial"/>
                <w:sz w:val="16"/>
              </w:rPr>
            </w:pPr>
            <w:r>
              <w:rPr>
                <w:rFonts w:ascii="Arial" w:eastAsia="Arial" w:hAnsi="Arial" w:cs="Arial"/>
                <w:color w:val="000000"/>
                <w:sz w:val="16"/>
              </w:rPr>
              <w:t>(239</w:t>
            </w:r>
          </w:p>
        </w:tc>
        <w:tc>
          <w:tcPr>
            <w:tcW w:w="64" w:type="dxa"/>
            <w:tcBorders>
              <w:bottom w:val="single" w:sz="8" w:space="0" w:color="auto"/>
            </w:tcBorders>
            <w:tcMar>
              <w:left w:w="0" w:type="dxa"/>
              <w:right w:w="0" w:type="dxa"/>
            </w:tcMar>
            <w:vAlign w:val="bottom"/>
          </w:tcPr>
          <w:p w14:paraId="60CE899D" w14:textId="77777777" w:rsidR="007E7656" w:rsidRDefault="007E7656" w:rsidP="00312F84">
            <w:pPr>
              <w:keepNext/>
              <w:keepLines/>
              <w:spacing w:before="30" w:after="30"/>
              <w:rPr>
                <w:rFonts w:ascii="Arial" w:eastAsia="Arial" w:hAnsi="Arial" w:cs="Arial"/>
                <w:sz w:val="16"/>
              </w:rPr>
            </w:pPr>
            <w:r>
              <w:rPr>
                <w:rFonts w:ascii="Arial" w:eastAsia="Arial" w:hAnsi="Arial" w:cs="Arial"/>
                <w:color w:val="000000"/>
                <w:sz w:val="16"/>
              </w:rPr>
              <w:t>)</w:t>
            </w:r>
          </w:p>
        </w:tc>
      </w:tr>
      <w:tr w:rsidR="007E7656" w14:paraId="3453D016" w14:textId="77777777" w:rsidTr="00312F84">
        <w:trPr>
          <w:trHeight w:hRule="exact" w:val="240"/>
          <w:jc w:val="center"/>
        </w:trPr>
        <w:tc>
          <w:tcPr>
            <w:tcW w:w="7360" w:type="dxa"/>
            <w:tcMar>
              <w:left w:w="60" w:type="dxa"/>
              <w:right w:w="40" w:type="dxa"/>
            </w:tcMar>
          </w:tcPr>
          <w:p w14:paraId="15D0A79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cash provided by operating activities</w:t>
            </w:r>
          </w:p>
        </w:tc>
        <w:tc>
          <w:tcPr>
            <w:tcW w:w="80" w:type="dxa"/>
            <w:tcMar>
              <w:left w:w="60" w:type="dxa"/>
              <w:right w:w="0" w:type="dxa"/>
            </w:tcMar>
            <w:vAlign w:val="bottom"/>
          </w:tcPr>
          <w:p w14:paraId="00B8F44A" w14:textId="77777777" w:rsidR="007E7656" w:rsidRDefault="007E7656" w:rsidP="00312F84">
            <w:pPr>
              <w:keepNext/>
              <w:keepLines/>
              <w:spacing w:before="40" w:after="40"/>
            </w:pPr>
          </w:p>
        </w:tc>
        <w:tc>
          <w:tcPr>
            <w:tcW w:w="1256" w:type="dxa"/>
            <w:tcBorders>
              <w:top w:val="single" w:sz="8" w:space="0" w:color="auto"/>
              <w:bottom w:val="single" w:sz="8" w:space="0" w:color="auto"/>
            </w:tcBorders>
            <w:tcMar>
              <w:left w:w="0" w:type="dxa"/>
              <w:right w:w="0" w:type="dxa"/>
            </w:tcMar>
            <w:vAlign w:val="bottom"/>
          </w:tcPr>
          <w:p w14:paraId="52807E7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127,216</w:t>
            </w:r>
          </w:p>
        </w:tc>
        <w:tc>
          <w:tcPr>
            <w:tcW w:w="64" w:type="dxa"/>
            <w:tcBorders>
              <w:top w:val="single" w:sz="8" w:space="0" w:color="auto"/>
              <w:bottom w:val="single" w:sz="8" w:space="0" w:color="auto"/>
            </w:tcBorders>
            <w:tcMar>
              <w:left w:w="0" w:type="dxa"/>
              <w:right w:w="0" w:type="dxa"/>
            </w:tcMar>
          </w:tcPr>
          <w:p w14:paraId="2680954B" w14:textId="77777777" w:rsidR="007E7656" w:rsidRDefault="007E7656" w:rsidP="00312F84"/>
        </w:tc>
        <w:tc>
          <w:tcPr>
            <w:tcW w:w="80" w:type="dxa"/>
            <w:tcMar>
              <w:left w:w="0" w:type="dxa"/>
              <w:right w:w="60" w:type="dxa"/>
            </w:tcMar>
            <w:vAlign w:val="bottom"/>
          </w:tcPr>
          <w:p w14:paraId="2DEC1911" w14:textId="77777777" w:rsidR="007E7656" w:rsidRDefault="007E7656" w:rsidP="00312F84">
            <w:pPr>
              <w:keepNext/>
              <w:keepLines/>
              <w:spacing w:before="40" w:after="40"/>
            </w:pPr>
          </w:p>
        </w:tc>
        <w:tc>
          <w:tcPr>
            <w:tcW w:w="1276" w:type="dxa"/>
            <w:tcBorders>
              <w:top w:val="single" w:sz="8" w:space="0" w:color="auto"/>
              <w:bottom w:val="single" w:sz="8" w:space="0" w:color="auto"/>
            </w:tcBorders>
            <w:tcMar>
              <w:left w:w="0" w:type="dxa"/>
              <w:right w:w="0" w:type="dxa"/>
            </w:tcMar>
            <w:vAlign w:val="bottom"/>
          </w:tcPr>
          <w:p w14:paraId="558A6B3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166,238</w:t>
            </w:r>
          </w:p>
        </w:tc>
        <w:tc>
          <w:tcPr>
            <w:tcW w:w="64" w:type="dxa"/>
            <w:tcBorders>
              <w:top w:val="single" w:sz="8" w:space="0" w:color="auto"/>
              <w:bottom w:val="single" w:sz="8" w:space="0" w:color="auto"/>
            </w:tcBorders>
            <w:tcMar>
              <w:left w:w="0" w:type="dxa"/>
              <w:right w:w="0" w:type="dxa"/>
            </w:tcMar>
          </w:tcPr>
          <w:p w14:paraId="3A3F956A" w14:textId="77777777" w:rsidR="007E7656" w:rsidRDefault="007E7656" w:rsidP="00312F84"/>
        </w:tc>
      </w:tr>
      <w:tr w:rsidR="007E7656" w14:paraId="2C06847E" w14:textId="77777777" w:rsidTr="007E7656">
        <w:trPr>
          <w:trHeight w:hRule="exact" w:val="220"/>
          <w:jc w:val="center"/>
        </w:trPr>
        <w:tc>
          <w:tcPr>
            <w:tcW w:w="7360" w:type="dxa"/>
            <w:tcMar>
              <w:left w:w="60" w:type="dxa"/>
              <w:right w:w="40" w:type="dxa"/>
            </w:tcMar>
          </w:tcPr>
          <w:p w14:paraId="0E62A7E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flows from investing activities:</w:t>
            </w:r>
          </w:p>
        </w:tc>
        <w:tc>
          <w:tcPr>
            <w:tcW w:w="80" w:type="dxa"/>
            <w:tcMar>
              <w:left w:w="60" w:type="dxa"/>
              <w:right w:w="0" w:type="dxa"/>
            </w:tcMar>
            <w:vAlign w:val="bottom"/>
          </w:tcPr>
          <w:p w14:paraId="79CFD61A" w14:textId="77777777" w:rsidR="007E7656" w:rsidRDefault="007E7656" w:rsidP="00312F84">
            <w:pPr>
              <w:keepNext/>
              <w:keepLines/>
              <w:spacing w:before="40" w:after="40"/>
            </w:pPr>
          </w:p>
        </w:tc>
        <w:tc>
          <w:tcPr>
            <w:tcW w:w="1256" w:type="dxa"/>
            <w:gridSpan w:val="2"/>
            <w:tcMar>
              <w:left w:w="60" w:type="dxa"/>
              <w:right w:w="0" w:type="dxa"/>
            </w:tcMar>
            <w:vAlign w:val="bottom"/>
          </w:tcPr>
          <w:p w14:paraId="3555A273" w14:textId="77777777" w:rsidR="007E7656" w:rsidRDefault="007E7656" w:rsidP="00312F84">
            <w:pPr>
              <w:keepNext/>
              <w:keepLines/>
              <w:spacing w:before="40" w:after="40"/>
            </w:pPr>
          </w:p>
        </w:tc>
        <w:tc>
          <w:tcPr>
            <w:tcW w:w="80" w:type="dxa"/>
            <w:tcMar>
              <w:left w:w="60" w:type="dxa"/>
              <w:right w:w="0" w:type="dxa"/>
            </w:tcMar>
            <w:vAlign w:val="bottom"/>
          </w:tcPr>
          <w:p w14:paraId="3145EB1F" w14:textId="77777777" w:rsidR="007E7656" w:rsidRDefault="007E7656" w:rsidP="00312F84">
            <w:pPr>
              <w:keepNext/>
              <w:keepLines/>
              <w:spacing w:before="40" w:after="40"/>
            </w:pPr>
          </w:p>
        </w:tc>
        <w:tc>
          <w:tcPr>
            <w:tcW w:w="1276" w:type="dxa"/>
            <w:gridSpan w:val="2"/>
            <w:tcMar>
              <w:left w:w="60" w:type="dxa"/>
              <w:right w:w="0" w:type="dxa"/>
            </w:tcMar>
            <w:vAlign w:val="bottom"/>
          </w:tcPr>
          <w:p w14:paraId="6259D9D4" w14:textId="77777777" w:rsidR="007E7656" w:rsidRDefault="007E7656" w:rsidP="00312F84">
            <w:pPr>
              <w:keepNext/>
              <w:keepLines/>
              <w:spacing w:before="40" w:after="40"/>
            </w:pPr>
          </w:p>
        </w:tc>
      </w:tr>
      <w:tr w:rsidR="007E7656" w14:paraId="71169E43" w14:textId="77777777" w:rsidTr="00312F84">
        <w:trPr>
          <w:trHeight w:hRule="exact" w:val="220"/>
          <w:jc w:val="center"/>
        </w:trPr>
        <w:tc>
          <w:tcPr>
            <w:tcW w:w="7360" w:type="dxa"/>
            <w:tcMar>
              <w:left w:w="420" w:type="dxa"/>
              <w:right w:w="40" w:type="dxa"/>
            </w:tcMar>
          </w:tcPr>
          <w:p w14:paraId="11158D8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Purchases of property, plant and equipment</w:t>
            </w:r>
          </w:p>
        </w:tc>
        <w:tc>
          <w:tcPr>
            <w:tcW w:w="80" w:type="dxa"/>
            <w:tcMar>
              <w:left w:w="60" w:type="dxa"/>
              <w:right w:w="0" w:type="dxa"/>
            </w:tcMar>
            <w:vAlign w:val="bottom"/>
          </w:tcPr>
          <w:p w14:paraId="02E3068E" w14:textId="77777777" w:rsidR="007E7656" w:rsidRDefault="007E7656" w:rsidP="00312F84">
            <w:pPr>
              <w:keepNext/>
              <w:keepLines/>
              <w:spacing w:before="40" w:after="40"/>
            </w:pPr>
          </w:p>
        </w:tc>
        <w:tc>
          <w:tcPr>
            <w:tcW w:w="1256" w:type="dxa"/>
            <w:tcMar>
              <w:left w:w="0" w:type="dxa"/>
              <w:right w:w="0" w:type="dxa"/>
            </w:tcMar>
            <w:vAlign w:val="bottom"/>
          </w:tcPr>
          <w:p w14:paraId="5A7F23E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(54,359</w:t>
            </w:r>
          </w:p>
        </w:tc>
        <w:tc>
          <w:tcPr>
            <w:tcW w:w="64" w:type="dxa"/>
            <w:tcMar>
              <w:left w:w="0" w:type="dxa"/>
              <w:right w:w="0" w:type="dxa"/>
            </w:tcMar>
            <w:vAlign w:val="bottom"/>
          </w:tcPr>
          <w:p w14:paraId="5A90C56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7EF226FB" w14:textId="77777777" w:rsidR="007E7656" w:rsidRDefault="007E7656" w:rsidP="00312F84">
            <w:pPr>
              <w:keepNext/>
              <w:keepLines/>
              <w:spacing w:before="40" w:after="40"/>
            </w:pPr>
          </w:p>
        </w:tc>
        <w:tc>
          <w:tcPr>
            <w:tcW w:w="1276" w:type="dxa"/>
            <w:tcMar>
              <w:left w:w="0" w:type="dxa"/>
              <w:right w:w="0" w:type="dxa"/>
            </w:tcMar>
            <w:vAlign w:val="bottom"/>
          </w:tcPr>
          <w:p w14:paraId="2ACE633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(42,866</w:t>
            </w:r>
          </w:p>
        </w:tc>
        <w:tc>
          <w:tcPr>
            <w:tcW w:w="64" w:type="dxa"/>
            <w:tcMar>
              <w:left w:w="0" w:type="dxa"/>
              <w:right w:w="0" w:type="dxa"/>
            </w:tcMar>
            <w:vAlign w:val="bottom"/>
          </w:tcPr>
          <w:p w14:paraId="4AC134E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FE563F" w14:paraId="78401314" w14:textId="77777777" w:rsidTr="00312F84">
        <w:trPr>
          <w:trHeight w:hRule="exact" w:val="220"/>
          <w:jc w:val="center"/>
        </w:trPr>
        <w:tc>
          <w:tcPr>
            <w:tcW w:w="7360" w:type="dxa"/>
            <w:tcMar>
              <w:left w:w="420" w:type="dxa"/>
              <w:right w:w="40" w:type="dxa"/>
            </w:tcMar>
          </w:tcPr>
          <w:p w14:paraId="0BC25A38" w14:textId="77777777" w:rsidR="00FE563F" w:rsidRDefault="00FE563F" w:rsidP="00312F84">
            <w:pPr>
              <w:keepNext/>
              <w:keepLines/>
              <w:spacing w:before="40" w:after="40"/>
              <w:rPr>
                <w:rFonts w:ascii="Arial" w:eastAsia="Arial" w:hAnsi="Arial" w:cs="Arial"/>
                <w:color w:val="000000"/>
                <w:sz w:val="16"/>
              </w:rPr>
            </w:pPr>
            <w:r>
              <w:rPr>
                <w:rFonts w:ascii="Arial" w:eastAsia="Arial" w:hAnsi="Arial" w:cs="Arial"/>
                <w:color w:val="000000"/>
                <w:sz w:val="16"/>
              </w:rPr>
              <w:t>Proceeds from sale of equipment</w:t>
            </w:r>
          </w:p>
        </w:tc>
        <w:tc>
          <w:tcPr>
            <w:tcW w:w="80" w:type="dxa"/>
            <w:tcMar>
              <w:left w:w="60" w:type="dxa"/>
              <w:right w:w="0" w:type="dxa"/>
            </w:tcMar>
            <w:vAlign w:val="bottom"/>
          </w:tcPr>
          <w:p w14:paraId="3A0BBCC8" w14:textId="77777777" w:rsidR="00FE563F" w:rsidRDefault="00FE563F" w:rsidP="00312F84">
            <w:pPr>
              <w:keepNext/>
              <w:keepLines/>
              <w:spacing w:before="40" w:after="40"/>
            </w:pPr>
          </w:p>
        </w:tc>
        <w:tc>
          <w:tcPr>
            <w:tcW w:w="1256" w:type="dxa"/>
            <w:tcMar>
              <w:left w:w="0" w:type="dxa"/>
              <w:right w:w="0" w:type="dxa"/>
            </w:tcMar>
            <w:vAlign w:val="bottom"/>
          </w:tcPr>
          <w:p w14:paraId="6F562576" w14:textId="77777777" w:rsidR="00FE563F" w:rsidRDefault="00FE563F" w:rsidP="00312F84">
            <w:pPr>
              <w:keepNext/>
              <w:keepLines/>
              <w:spacing w:before="40" w:after="40"/>
              <w:jc w:val="right"/>
              <w:rPr>
                <w:rFonts w:ascii="Arial" w:eastAsia="Arial" w:hAnsi="Arial" w:cs="Arial"/>
                <w:color w:val="000000"/>
                <w:sz w:val="16"/>
              </w:rPr>
            </w:pPr>
            <w:r>
              <w:rPr>
                <w:rFonts w:ascii="Arial" w:eastAsia="Arial" w:hAnsi="Arial" w:cs="Arial"/>
                <w:color w:val="000000"/>
                <w:sz w:val="16"/>
              </w:rPr>
              <w:t>—</w:t>
            </w:r>
          </w:p>
        </w:tc>
        <w:tc>
          <w:tcPr>
            <w:tcW w:w="64" w:type="dxa"/>
            <w:tcMar>
              <w:left w:w="0" w:type="dxa"/>
              <w:right w:w="0" w:type="dxa"/>
            </w:tcMar>
            <w:vAlign w:val="bottom"/>
          </w:tcPr>
          <w:p w14:paraId="56E813C8" w14:textId="77777777" w:rsidR="00FE563F" w:rsidRDefault="00FE563F" w:rsidP="00312F84">
            <w:pPr>
              <w:keepNext/>
              <w:keepLines/>
              <w:spacing w:before="40" w:after="40"/>
              <w:rPr>
                <w:rFonts w:ascii="Arial" w:eastAsia="Arial" w:hAnsi="Arial" w:cs="Arial"/>
                <w:color w:val="000000"/>
                <w:sz w:val="16"/>
              </w:rPr>
            </w:pPr>
          </w:p>
        </w:tc>
        <w:tc>
          <w:tcPr>
            <w:tcW w:w="80" w:type="dxa"/>
            <w:tcMar>
              <w:left w:w="0" w:type="dxa"/>
              <w:right w:w="60" w:type="dxa"/>
            </w:tcMar>
            <w:vAlign w:val="bottom"/>
          </w:tcPr>
          <w:p w14:paraId="204BB97F" w14:textId="77777777" w:rsidR="00FE563F" w:rsidRDefault="00FE563F" w:rsidP="00312F84">
            <w:pPr>
              <w:keepNext/>
              <w:keepLines/>
              <w:spacing w:before="40" w:after="40"/>
            </w:pPr>
          </w:p>
        </w:tc>
        <w:tc>
          <w:tcPr>
            <w:tcW w:w="1276" w:type="dxa"/>
            <w:tcMar>
              <w:left w:w="0" w:type="dxa"/>
              <w:right w:w="0" w:type="dxa"/>
            </w:tcMar>
            <w:vAlign w:val="bottom"/>
          </w:tcPr>
          <w:p w14:paraId="14180ED0" w14:textId="77777777" w:rsidR="00FE563F" w:rsidRDefault="00FE563F" w:rsidP="00312F84">
            <w:pPr>
              <w:keepNext/>
              <w:keepLines/>
              <w:spacing w:before="40" w:after="40"/>
              <w:jc w:val="right"/>
              <w:rPr>
                <w:rFonts w:ascii="Arial" w:eastAsia="Arial" w:hAnsi="Arial" w:cs="Arial"/>
                <w:color w:val="000000"/>
                <w:sz w:val="16"/>
              </w:rPr>
            </w:pPr>
            <w:r>
              <w:rPr>
                <w:rFonts w:ascii="Arial" w:eastAsia="Arial" w:hAnsi="Arial" w:cs="Arial"/>
                <w:color w:val="000000"/>
                <w:sz w:val="16"/>
              </w:rPr>
              <w:t>7</w:t>
            </w:r>
          </w:p>
        </w:tc>
        <w:tc>
          <w:tcPr>
            <w:tcW w:w="64" w:type="dxa"/>
            <w:tcMar>
              <w:left w:w="0" w:type="dxa"/>
              <w:right w:w="0" w:type="dxa"/>
            </w:tcMar>
            <w:vAlign w:val="bottom"/>
          </w:tcPr>
          <w:p w14:paraId="79FCF496" w14:textId="77777777" w:rsidR="00FE563F" w:rsidRDefault="00FE563F" w:rsidP="00312F84">
            <w:pPr>
              <w:keepNext/>
              <w:keepLines/>
              <w:spacing w:before="40" w:after="40"/>
              <w:rPr>
                <w:rFonts w:ascii="Arial" w:eastAsia="Arial" w:hAnsi="Arial" w:cs="Arial"/>
                <w:color w:val="000000"/>
                <w:sz w:val="16"/>
              </w:rPr>
            </w:pPr>
          </w:p>
        </w:tc>
      </w:tr>
      <w:tr w:rsidR="007E7656" w14:paraId="20483011" w14:textId="77777777" w:rsidTr="00312F84">
        <w:trPr>
          <w:trHeight w:hRule="exact" w:val="220"/>
          <w:jc w:val="center"/>
        </w:trPr>
        <w:tc>
          <w:tcPr>
            <w:tcW w:w="7360" w:type="dxa"/>
            <w:tcMar>
              <w:left w:w="420" w:type="dxa"/>
              <w:right w:w="40" w:type="dxa"/>
            </w:tcMar>
          </w:tcPr>
          <w:p w14:paraId="4D28D86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Purchases of intangible assets</w:t>
            </w:r>
          </w:p>
        </w:tc>
        <w:tc>
          <w:tcPr>
            <w:tcW w:w="80" w:type="dxa"/>
            <w:tcMar>
              <w:left w:w="60" w:type="dxa"/>
              <w:right w:w="0" w:type="dxa"/>
            </w:tcMar>
            <w:vAlign w:val="bottom"/>
          </w:tcPr>
          <w:p w14:paraId="3301F3A8" w14:textId="77777777" w:rsidR="007E7656" w:rsidRDefault="007E7656" w:rsidP="00312F84">
            <w:pPr>
              <w:keepNext/>
              <w:keepLines/>
              <w:spacing w:before="40" w:after="40"/>
            </w:pPr>
          </w:p>
        </w:tc>
        <w:tc>
          <w:tcPr>
            <w:tcW w:w="1256" w:type="dxa"/>
            <w:tcMar>
              <w:left w:w="0" w:type="dxa"/>
              <w:right w:w="0" w:type="dxa"/>
            </w:tcMar>
            <w:vAlign w:val="bottom"/>
          </w:tcPr>
          <w:p w14:paraId="6CED358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(134,434</w:t>
            </w:r>
          </w:p>
        </w:tc>
        <w:tc>
          <w:tcPr>
            <w:tcW w:w="64" w:type="dxa"/>
            <w:tcMar>
              <w:left w:w="0" w:type="dxa"/>
              <w:right w:w="0" w:type="dxa"/>
            </w:tcMar>
            <w:vAlign w:val="bottom"/>
          </w:tcPr>
          <w:p w14:paraId="632AFFB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03A0E594" w14:textId="77777777" w:rsidR="007E7656" w:rsidRDefault="007E7656" w:rsidP="00312F84">
            <w:pPr>
              <w:keepNext/>
              <w:keepLines/>
              <w:spacing w:before="40" w:after="40"/>
            </w:pPr>
          </w:p>
        </w:tc>
        <w:tc>
          <w:tcPr>
            <w:tcW w:w="1276" w:type="dxa"/>
            <w:tcMar>
              <w:left w:w="0" w:type="dxa"/>
              <w:right w:w="0" w:type="dxa"/>
            </w:tcMar>
            <w:vAlign w:val="bottom"/>
          </w:tcPr>
          <w:p w14:paraId="4E9406E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(23,542</w:t>
            </w:r>
          </w:p>
        </w:tc>
        <w:tc>
          <w:tcPr>
            <w:tcW w:w="64" w:type="dxa"/>
            <w:tcMar>
              <w:left w:w="0" w:type="dxa"/>
              <w:right w:w="0" w:type="dxa"/>
            </w:tcMar>
            <w:vAlign w:val="bottom"/>
          </w:tcPr>
          <w:p w14:paraId="1FDA99B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1A7C8A3B" w14:textId="77777777" w:rsidTr="00312F84">
        <w:trPr>
          <w:trHeight w:hRule="exact" w:val="220"/>
          <w:jc w:val="center"/>
        </w:trPr>
        <w:tc>
          <w:tcPr>
            <w:tcW w:w="7360" w:type="dxa"/>
            <w:tcMar>
              <w:left w:w="420" w:type="dxa"/>
              <w:right w:w="40" w:type="dxa"/>
            </w:tcMar>
          </w:tcPr>
          <w:p w14:paraId="0C68B83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Purchases of investments, net</w:t>
            </w:r>
          </w:p>
        </w:tc>
        <w:tc>
          <w:tcPr>
            <w:tcW w:w="80" w:type="dxa"/>
            <w:tcMar>
              <w:left w:w="60" w:type="dxa"/>
              <w:right w:w="0" w:type="dxa"/>
            </w:tcMar>
            <w:vAlign w:val="bottom"/>
          </w:tcPr>
          <w:p w14:paraId="286F1C99" w14:textId="77777777" w:rsidR="007E7656" w:rsidRDefault="007E7656" w:rsidP="00312F84">
            <w:pPr>
              <w:keepNext/>
              <w:keepLines/>
              <w:spacing w:before="40" w:after="40"/>
            </w:pPr>
          </w:p>
        </w:tc>
        <w:tc>
          <w:tcPr>
            <w:tcW w:w="1256" w:type="dxa"/>
            <w:tcMar>
              <w:left w:w="0" w:type="dxa"/>
              <w:right w:w="0" w:type="dxa"/>
            </w:tcMar>
            <w:vAlign w:val="bottom"/>
          </w:tcPr>
          <w:p w14:paraId="49A8E98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(4,385</w:t>
            </w:r>
          </w:p>
        </w:tc>
        <w:tc>
          <w:tcPr>
            <w:tcW w:w="64" w:type="dxa"/>
            <w:tcMar>
              <w:left w:w="0" w:type="dxa"/>
              <w:right w:w="0" w:type="dxa"/>
            </w:tcMar>
            <w:vAlign w:val="bottom"/>
          </w:tcPr>
          <w:p w14:paraId="7013D8F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4477CF1A" w14:textId="77777777" w:rsidR="007E7656" w:rsidRDefault="007E7656" w:rsidP="00312F84">
            <w:pPr>
              <w:keepNext/>
              <w:keepLines/>
              <w:spacing w:before="40" w:after="40"/>
            </w:pPr>
          </w:p>
        </w:tc>
        <w:tc>
          <w:tcPr>
            <w:tcW w:w="1276" w:type="dxa"/>
            <w:tcMar>
              <w:left w:w="0" w:type="dxa"/>
              <w:right w:w="0" w:type="dxa"/>
            </w:tcMar>
            <w:vAlign w:val="bottom"/>
          </w:tcPr>
          <w:p w14:paraId="4351020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(15,625</w:t>
            </w:r>
          </w:p>
        </w:tc>
        <w:tc>
          <w:tcPr>
            <w:tcW w:w="64" w:type="dxa"/>
            <w:tcMar>
              <w:left w:w="0" w:type="dxa"/>
              <w:right w:w="0" w:type="dxa"/>
            </w:tcMar>
            <w:vAlign w:val="bottom"/>
          </w:tcPr>
          <w:p w14:paraId="15C7510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0148F912" w14:textId="77777777" w:rsidTr="00312F84">
        <w:trPr>
          <w:trHeight w:hRule="exact" w:val="220"/>
          <w:jc w:val="center"/>
        </w:trPr>
        <w:tc>
          <w:tcPr>
            <w:tcW w:w="7360" w:type="dxa"/>
            <w:tcMar>
              <w:left w:w="420" w:type="dxa"/>
              <w:right w:w="40" w:type="dxa"/>
            </w:tcMar>
          </w:tcPr>
          <w:p w14:paraId="36CFC99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paid for acquisitions, net of cash acquired</w:t>
            </w:r>
          </w:p>
        </w:tc>
        <w:tc>
          <w:tcPr>
            <w:tcW w:w="80" w:type="dxa"/>
            <w:tcMar>
              <w:left w:w="0" w:type="dxa"/>
              <w:right w:w="0" w:type="dxa"/>
            </w:tcMar>
            <w:vAlign w:val="bottom"/>
          </w:tcPr>
          <w:p w14:paraId="5C7626C8" w14:textId="77777777" w:rsidR="007E7656" w:rsidRDefault="007E7656" w:rsidP="00312F84">
            <w:pPr>
              <w:keepNext/>
              <w:keepLines/>
              <w:spacing w:before="40" w:after="40"/>
            </w:pPr>
          </w:p>
        </w:tc>
        <w:tc>
          <w:tcPr>
            <w:tcW w:w="1256" w:type="dxa"/>
            <w:tcMar>
              <w:left w:w="0" w:type="dxa"/>
              <w:right w:w="0" w:type="dxa"/>
            </w:tcMar>
            <w:vAlign w:val="bottom"/>
          </w:tcPr>
          <w:p w14:paraId="3BBAC0F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(24,371</w:t>
            </w:r>
          </w:p>
        </w:tc>
        <w:tc>
          <w:tcPr>
            <w:tcW w:w="64" w:type="dxa"/>
            <w:tcMar>
              <w:left w:w="0" w:type="dxa"/>
              <w:right w:w="0" w:type="dxa"/>
            </w:tcMar>
            <w:vAlign w:val="bottom"/>
          </w:tcPr>
          <w:p w14:paraId="0688A1D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42B46E3F" w14:textId="77777777" w:rsidR="007E7656" w:rsidRDefault="007E7656" w:rsidP="00312F84">
            <w:pPr>
              <w:keepNext/>
              <w:keepLines/>
              <w:spacing w:before="40" w:after="40"/>
            </w:pPr>
          </w:p>
        </w:tc>
        <w:tc>
          <w:tcPr>
            <w:tcW w:w="1276" w:type="dxa"/>
            <w:tcMar>
              <w:left w:w="0" w:type="dxa"/>
              <w:right w:w="0" w:type="dxa"/>
            </w:tcMar>
            <w:vAlign w:val="bottom"/>
          </w:tcPr>
          <w:p w14:paraId="1EF63DE1"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(172,831</w:t>
            </w:r>
          </w:p>
        </w:tc>
        <w:tc>
          <w:tcPr>
            <w:tcW w:w="64" w:type="dxa"/>
            <w:tcMar>
              <w:left w:w="0" w:type="dxa"/>
              <w:right w:w="0" w:type="dxa"/>
            </w:tcMar>
            <w:vAlign w:val="bottom"/>
          </w:tcPr>
          <w:p w14:paraId="67B0B62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27032B94" w14:textId="77777777" w:rsidTr="00312F84">
        <w:trPr>
          <w:trHeight w:hRule="exact" w:val="220"/>
          <w:jc w:val="center"/>
        </w:trPr>
        <w:tc>
          <w:tcPr>
            <w:tcW w:w="7360" w:type="dxa"/>
            <w:tcMar>
              <w:left w:w="420" w:type="dxa"/>
              <w:right w:w="40" w:type="dxa"/>
            </w:tcMar>
          </w:tcPr>
          <w:p w14:paraId="6787E78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Purchases of short-term investments</w:t>
            </w:r>
          </w:p>
        </w:tc>
        <w:tc>
          <w:tcPr>
            <w:tcW w:w="80" w:type="dxa"/>
            <w:tcMar>
              <w:left w:w="0" w:type="dxa"/>
              <w:right w:w="0" w:type="dxa"/>
            </w:tcMar>
            <w:vAlign w:val="bottom"/>
          </w:tcPr>
          <w:p w14:paraId="63CA0487" w14:textId="77777777" w:rsidR="007E7656" w:rsidRDefault="007E7656" w:rsidP="00312F84">
            <w:pPr>
              <w:keepNext/>
              <w:keepLines/>
              <w:spacing w:before="40" w:after="40"/>
            </w:pPr>
          </w:p>
        </w:tc>
        <w:tc>
          <w:tcPr>
            <w:tcW w:w="1256" w:type="dxa"/>
            <w:tcMar>
              <w:left w:w="0" w:type="dxa"/>
              <w:right w:w="0" w:type="dxa"/>
            </w:tcMar>
            <w:vAlign w:val="bottom"/>
          </w:tcPr>
          <w:p w14:paraId="581C963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(181,696</w:t>
            </w:r>
          </w:p>
        </w:tc>
        <w:tc>
          <w:tcPr>
            <w:tcW w:w="64" w:type="dxa"/>
            <w:tcMar>
              <w:left w:w="0" w:type="dxa"/>
              <w:right w:w="0" w:type="dxa"/>
            </w:tcMar>
            <w:vAlign w:val="bottom"/>
          </w:tcPr>
          <w:p w14:paraId="5BBBC0C1"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4CDE80DB" w14:textId="77777777" w:rsidR="007E7656" w:rsidRDefault="007E7656" w:rsidP="00312F84">
            <w:pPr>
              <w:keepNext/>
              <w:keepLines/>
              <w:spacing w:before="40" w:after="40"/>
            </w:pPr>
          </w:p>
        </w:tc>
        <w:tc>
          <w:tcPr>
            <w:tcW w:w="1276" w:type="dxa"/>
            <w:tcMar>
              <w:left w:w="0" w:type="dxa"/>
              <w:right w:w="0" w:type="dxa"/>
            </w:tcMar>
            <w:vAlign w:val="bottom"/>
          </w:tcPr>
          <w:p w14:paraId="0F023C1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(176,289</w:t>
            </w:r>
          </w:p>
        </w:tc>
        <w:tc>
          <w:tcPr>
            <w:tcW w:w="64" w:type="dxa"/>
            <w:tcMar>
              <w:left w:w="0" w:type="dxa"/>
              <w:right w:w="0" w:type="dxa"/>
            </w:tcMar>
            <w:vAlign w:val="bottom"/>
          </w:tcPr>
          <w:p w14:paraId="63C8BCE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5649DBEF" w14:textId="77777777" w:rsidTr="00312F84">
        <w:trPr>
          <w:trHeight w:hRule="exact" w:val="220"/>
          <w:jc w:val="center"/>
        </w:trPr>
        <w:tc>
          <w:tcPr>
            <w:tcW w:w="7360" w:type="dxa"/>
            <w:tcMar>
              <w:left w:w="420" w:type="dxa"/>
              <w:right w:w="40" w:type="dxa"/>
            </w:tcMar>
          </w:tcPr>
          <w:p w14:paraId="3FABA1C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Proceeds from redemptions of short-term investments</w:t>
            </w:r>
          </w:p>
        </w:tc>
        <w:tc>
          <w:tcPr>
            <w:tcW w:w="80" w:type="dxa"/>
            <w:tcMar>
              <w:left w:w="0" w:type="dxa"/>
              <w:right w:w="0" w:type="dxa"/>
            </w:tcMar>
            <w:vAlign w:val="bottom"/>
          </w:tcPr>
          <w:p w14:paraId="366B6242" w14:textId="77777777" w:rsidR="007E7656" w:rsidRDefault="007E7656" w:rsidP="00312F84">
            <w:pPr>
              <w:keepNext/>
              <w:keepLines/>
              <w:spacing w:before="40" w:after="40"/>
            </w:pPr>
          </w:p>
        </w:tc>
        <w:tc>
          <w:tcPr>
            <w:tcW w:w="1256" w:type="dxa"/>
            <w:tcMar>
              <w:left w:w="0" w:type="dxa"/>
              <w:right w:w="0" w:type="dxa"/>
            </w:tcMar>
            <w:vAlign w:val="bottom"/>
          </w:tcPr>
          <w:p w14:paraId="50A5529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254,734</w:t>
            </w:r>
          </w:p>
        </w:tc>
        <w:tc>
          <w:tcPr>
            <w:tcW w:w="64" w:type="dxa"/>
            <w:tcMar>
              <w:left w:w="0" w:type="dxa"/>
              <w:right w:w="0" w:type="dxa"/>
            </w:tcMar>
          </w:tcPr>
          <w:p w14:paraId="715D87A6" w14:textId="77777777" w:rsidR="007E7656" w:rsidRDefault="007E7656" w:rsidP="00312F84"/>
        </w:tc>
        <w:tc>
          <w:tcPr>
            <w:tcW w:w="80" w:type="dxa"/>
            <w:tcMar>
              <w:left w:w="0" w:type="dxa"/>
              <w:right w:w="60" w:type="dxa"/>
            </w:tcMar>
            <w:vAlign w:val="bottom"/>
          </w:tcPr>
          <w:p w14:paraId="2C29D8A0" w14:textId="77777777" w:rsidR="007E7656" w:rsidRDefault="007E7656" w:rsidP="00312F84">
            <w:pPr>
              <w:keepNext/>
              <w:keepLines/>
              <w:spacing w:before="40" w:after="40"/>
            </w:pPr>
          </w:p>
        </w:tc>
        <w:tc>
          <w:tcPr>
            <w:tcW w:w="1276" w:type="dxa"/>
            <w:tcMar>
              <w:left w:w="0" w:type="dxa"/>
              <w:right w:w="0" w:type="dxa"/>
            </w:tcMar>
            <w:vAlign w:val="bottom"/>
          </w:tcPr>
          <w:p w14:paraId="5C684C90"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311,700</w:t>
            </w:r>
          </w:p>
        </w:tc>
        <w:tc>
          <w:tcPr>
            <w:tcW w:w="64" w:type="dxa"/>
            <w:tcMar>
              <w:left w:w="0" w:type="dxa"/>
              <w:right w:w="0" w:type="dxa"/>
            </w:tcMar>
          </w:tcPr>
          <w:p w14:paraId="284E135F" w14:textId="77777777" w:rsidR="007E7656" w:rsidRDefault="007E7656" w:rsidP="00312F84"/>
        </w:tc>
      </w:tr>
      <w:tr w:rsidR="007E7656" w14:paraId="28C8BBB3" w14:textId="77777777" w:rsidTr="00312F84">
        <w:trPr>
          <w:trHeight w:hRule="exact" w:val="220"/>
          <w:jc w:val="center"/>
        </w:trPr>
        <w:tc>
          <w:tcPr>
            <w:tcW w:w="7360" w:type="dxa"/>
            <w:tcMar>
              <w:left w:w="420" w:type="dxa"/>
              <w:right w:w="40" w:type="dxa"/>
            </w:tcMar>
          </w:tcPr>
          <w:p w14:paraId="6A87310B"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received (paid) for collateral asset</w:t>
            </w:r>
          </w:p>
        </w:tc>
        <w:tc>
          <w:tcPr>
            <w:tcW w:w="80" w:type="dxa"/>
            <w:tcMar>
              <w:left w:w="0" w:type="dxa"/>
              <w:right w:w="0" w:type="dxa"/>
            </w:tcMar>
            <w:vAlign w:val="bottom"/>
          </w:tcPr>
          <w:p w14:paraId="5F716F4D" w14:textId="77777777" w:rsidR="007E7656" w:rsidRDefault="007E7656" w:rsidP="00312F84">
            <w:pPr>
              <w:keepNext/>
              <w:keepLines/>
              <w:spacing w:before="40" w:after="40"/>
            </w:pPr>
          </w:p>
        </w:tc>
        <w:tc>
          <w:tcPr>
            <w:tcW w:w="1256" w:type="dxa"/>
            <w:tcMar>
              <w:left w:w="0" w:type="dxa"/>
              <w:right w:w="0" w:type="dxa"/>
            </w:tcMar>
            <w:vAlign w:val="bottom"/>
          </w:tcPr>
          <w:p w14:paraId="1DC7C3E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16,150</w:t>
            </w:r>
          </w:p>
        </w:tc>
        <w:tc>
          <w:tcPr>
            <w:tcW w:w="64" w:type="dxa"/>
            <w:tcMar>
              <w:left w:w="0" w:type="dxa"/>
              <w:right w:w="0" w:type="dxa"/>
            </w:tcMar>
          </w:tcPr>
          <w:p w14:paraId="13B4249B" w14:textId="77777777" w:rsidR="007E7656" w:rsidRDefault="007E7656" w:rsidP="00312F84"/>
        </w:tc>
        <w:tc>
          <w:tcPr>
            <w:tcW w:w="80" w:type="dxa"/>
            <w:tcMar>
              <w:left w:w="0" w:type="dxa"/>
              <w:right w:w="60" w:type="dxa"/>
            </w:tcMar>
            <w:vAlign w:val="bottom"/>
          </w:tcPr>
          <w:p w14:paraId="00ED090E" w14:textId="77777777" w:rsidR="007E7656" w:rsidRDefault="007E7656" w:rsidP="00312F84">
            <w:pPr>
              <w:keepNext/>
              <w:keepLines/>
              <w:spacing w:before="40" w:after="40"/>
            </w:pPr>
          </w:p>
        </w:tc>
        <w:tc>
          <w:tcPr>
            <w:tcW w:w="1276" w:type="dxa"/>
            <w:tcMar>
              <w:left w:w="0" w:type="dxa"/>
              <w:right w:w="0" w:type="dxa"/>
            </w:tcMar>
            <w:vAlign w:val="bottom"/>
          </w:tcPr>
          <w:p w14:paraId="2081212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(17,362</w:t>
            </w:r>
          </w:p>
        </w:tc>
        <w:tc>
          <w:tcPr>
            <w:tcW w:w="64" w:type="dxa"/>
            <w:tcMar>
              <w:left w:w="0" w:type="dxa"/>
              <w:right w:w="0" w:type="dxa"/>
            </w:tcMar>
            <w:vAlign w:val="bottom"/>
          </w:tcPr>
          <w:p w14:paraId="14E17817"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2C5E6B99" w14:textId="77777777" w:rsidTr="00312F84">
        <w:trPr>
          <w:trHeight w:hRule="exact" w:val="220"/>
          <w:jc w:val="center"/>
        </w:trPr>
        <w:tc>
          <w:tcPr>
            <w:tcW w:w="7360" w:type="dxa"/>
            <w:tcMar>
              <w:left w:w="420" w:type="dxa"/>
              <w:right w:w="40" w:type="dxa"/>
            </w:tcMar>
          </w:tcPr>
          <w:p w14:paraId="37D579B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investing activities</w:t>
            </w:r>
          </w:p>
        </w:tc>
        <w:tc>
          <w:tcPr>
            <w:tcW w:w="80" w:type="dxa"/>
            <w:tcMar>
              <w:left w:w="0" w:type="dxa"/>
              <w:right w:w="0" w:type="dxa"/>
            </w:tcMar>
            <w:vAlign w:val="bottom"/>
          </w:tcPr>
          <w:p w14:paraId="13AC103B" w14:textId="77777777" w:rsidR="007E7656" w:rsidRDefault="007E7656" w:rsidP="00312F84">
            <w:pPr>
              <w:keepNext/>
              <w:keepLines/>
              <w:spacing w:before="40" w:after="40"/>
            </w:pPr>
          </w:p>
        </w:tc>
        <w:tc>
          <w:tcPr>
            <w:tcW w:w="1256" w:type="dxa"/>
            <w:tcBorders>
              <w:bottom w:val="single" w:sz="8" w:space="0" w:color="auto"/>
            </w:tcBorders>
            <w:tcMar>
              <w:left w:w="0" w:type="dxa"/>
              <w:right w:w="0" w:type="dxa"/>
            </w:tcMar>
            <w:vAlign w:val="bottom"/>
          </w:tcPr>
          <w:p w14:paraId="4AF76B05"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w:t>
            </w:r>
          </w:p>
        </w:tc>
        <w:tc>
          <w:tcPr>
            <w:tcW w:w="64" w:type="dxa"/>
            <w:tcBorders>
              <w:bottom w:val="single" w:sz="8" w:space="0" w:color="auto"/>
            </w:tcBorders>
            <w:tcMar>
              <w:left w:w="0" w:type="dxa"/>
              <w:right w:w="0" w:type="dxa"/>
            </w:tcMar>
          </w:tcPr>
          <w:p w14:paraId="10D17284" w14:textId="77777777" w:rsidR="007E7656" w:rsidRDefault="007E7656" w:rsidP="00312F84"/>
        </w:tc>
        <w:tc>
          <w:tcPr>
            <w:tcW w:w="80" w:type="dxa"/>
            <w:tcMar>
              <w:left w:w="0" w:type="dxa"/>
              <w:right w:w="60" w:type="dxa"/>
            </w:tcMar>
            <w:vAlign w:val="bottom"/>
          </w:tcPr>
          <w:p w14:paraId="4E22E14F" w14:textId="77777777" w:rsidR="007E7656" w:rsidRDefault="007E7656" w:rsidP="00312F84">
            <w:pPr>
              <w:keepNext/>
              <w:keepLines/>
              <w:spacing w:before="40" w:after="40"/>
            </w:pPr>
          </w:p>
        </w:tc>
        <w:tc>
          <w:tcPr>
            <w:tcW w:w="1276" w:type="dxa"/>
            <w:tcBorders>
              <w:bottom w:val="single" w:sz="8" w:space="0" w:color="auto"/>
            </w:tcBorders>
            <w:tcMar>
              <w:left w:w="0" w:type="dxa"/>
              <w:right w:w="0" w:type="dxa"/>
            </w:tcMar>
            <w:vAlign w:val="bottom"/>
          </w:tcPr>
          <w:p w14:paraId="2B2A65B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(57</w:t>
            </w:r>
          </w:p>
        </w:tc>
        <w:tc>
          <w:tcPr>
            <w:tcW w:w="64" w:type="dxa"/>
            <w:tcBorders>
              <w:bottom w:val="single" w:sz="8" w:space="0" w:color="auto"/>
            </w:tcBorders>
            <w:tcMar>
              <w:left w:w="0" w:type="dxa"/>
              <w:right w:w="0" w:type="dxa"/>
            </w:tcMar>
            <w:vAlign w:val="bottom"/>
          </w:tcPr>
          <w:p w14:paraId="148E264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1A180DCD" w14:textId="77777777" w:rsidTr="00312F84">
        <w:trPr>
          <w:trHeight w:hRule="exact" w:val="220"/>
          <w:jc w:val="center"/>
        </w:trPr>
        <w:tc>
          <w:tcPr>
            <w:tcW w:w="7360" w:type="dxa"/>
            <w:tcMar>
              <w:left w:w="60" w:type="dxa"/>
              <w:right w:w="40" w:type="dxa"/>
            </w:tcMar>
          </w:tcPr>
          <w:p w14:paraId="3D529A3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cash (used in) provided by investing activities</w:t>
            </w:r>
          </w:p>
        </w:tc>
        <w:tc>
          <w:tcPr>
            <w:tcW w:w="80" w:type="dxa"/>
            <w:tcMar>
              <w:left w:w="60" w:type="dxa"/>
              <w:right w:w="0" w:type="dxa"/>
            </w:tcMar>
            <w:vAlign w:val="bottom"/>
          </w:tcPr>
          <w:p w14:paraId="24F2C3FD" w14:textId="77777777" w:rsidR="007E7656" w:rsidRDefault="007E7656" w:rsidP="00312F84">
            <w:pPr>
              <w:keepNext/>
              <w:keepLines/>
              <w:spacing w:before="40" w:after="40"/>
            </w:pPr>
          </w:p>
        </w:tc>
        <w:tc>
          <w:tcPr>
            <w:tcW w:w="1256" w:type="dxa"/>
            <w:tcBorders>
              <w:top w:val="single" w:sz="8" w:space="0" w:color="auto"/>
              <w:bottom w:val="single" w:sz="8" w:space="0" w:color="auto"/>
            </w:tcBorders>
            <w:tcMar>
              <w:left w:w="0" w:type="dxa"/>
              <w:right w:w="0" w:type="dxa"/>
            </w:tcMar>
            <w:vAlign w:val="bottom"/>
          </w:tcPr>
          <w:p w14:paraId="1055877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(128,351</w:t>
            </w:r>
          </w:p>
        </w:tc>
        <w:tc>
          <w:tcPr>
            <w:tcW w:w="64" w:type="dxa"/>
            <w:tcBorders>
              <w:top w:val="single" w:sz="8" w:space="0" w:color="auto"/>
              <w:bottom w:val="single" w:sz="8" w:space="0" w:color="auto"/>
            </w:tcBorders>
            <w:tcMar>
              <w:left w:w="0" w:type="dxa"/>
              <w:right w:w="0" w:type="dxa"/>
            </w:tcMar>
            <w:vAlign w:val="bottom"/>
          </w:tcPr>
          <w:p w14:paraId="3C3BCAA9"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5CDA7FB9" w14:textId="77777777" w:rsidR="007E7656" w:rsidRDefault="007E7656" w:rsidP="00312F84">
            <w:pPr>
              <w:keepNext/>
              <w:keepLines/>
              <w:spacing w:before="40" w:after="40"/>
            </w:pPr>
          </w:p>
        </w:tc>
        <w:tc>
          <w:tcPr>
            <w:tcW w:w="1276" w:type="dxa"/>
            <w:tcBorders>
              <w:top w:val="single" w:sz="8" w:space="0" w:color="auto"/>
              <w:bottom w:val="single" w:sz="8" w:space="0" w:color="auto"/>
            </w:tcBorders>
            <w:tcMar>
              <w:left w:w="0" w:type="dxa"/>
              <w:right w:w="0" w:type="dxa"/>
            </w:tcMar>
            <w:vAlign w:val="bottom"/>
          </w:tcPr>
          <w:p w14:paraId="4562BD3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(120,471</w:t>
            </w:r>
          </w:p>
        </w:tc>
        <w:tc>
          <w:tcPr>
            <w:tcW w:w="64" w:type="dxa"/>
            <w:tcBorders>
              <w:top w:val="single" w:sz="8" w:space="0" w:color="auto"/>
              <w:bottom w:val="single" w:sz="8" w:space="0" w:color="auto"/>
            </w:tcBorders>
            <w:tcMar>
              <w:left w:w="0" w:type="dxa"/>
              <w:right w:w="0" w:type="dxa"/>
            </w:tcMar>
            <w:vAlign w:val="bottom"/>
          </w:tcPr>
          <w:p w14:paraId="7802AF9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0427914A" w14:textId="77777777" w:rsidTr="007E7656">
        <w:trPr>
          <w:trHeight w:hRule="exact" w:val="220"/>
          <w:jc w:val="center"/>
        </w:trPr>
        <w:tc>
          <w:tcPr>
            <w:tcW w:w="7360" w:type="dxa"/>
            <w:tcMar>
              <w:left w:w="60" w:type="dxa"/>
              <w:right w:w="40" w:type="dxa"/>
            </w:tcMar>
          </w:tcPr>
          <w:p w14:paraId="27D63D6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flows from financing activities:</w:t>
            </w:r>
          </w:p>
        </w:tc>
        <w:tc>
          <w:tcPr>
            <w:tcW w:w="80" w:type="dxa"/>
            <w:tcMar>
              <w:left w:w="60" w:type="dxa"/>
              <w:right w:w="0" w:type="dxa"/>
            </w:tcMar>
            <w:vAlign w:val="bottom"/>
          </w:tcPr>
          <w:p w14:paraId="60FD65CA" w14:textId="77777777" w:rsidR="007E7656" w:rsidRDefault="007E7656" w:rsidP="00312F84">
            <w:pPr>
              <w:keepNext/>
              <w:keepLines/>
              <w:spacing w:before="40" w:after="40"/>
            </w:pPr>
          </w:p>
        </w:tc>
        <w:tc>
          <w:tcPr>
            <w:tcW w:w="1256" w:type="dxa"/>
            <w:gridSpan w:val="2"/>
            <w:tcMar>
              <w:left w:w="60" w:type="dxa"/>
              <w:right w:w="0" w:type="dxa"/>
            </w:tcMar>
            <w:vAlign w:val="bottom"/>
          </w:tcPr>
          <w:p w14:paraId="7436CF05" w14:textId="77777777" w:rsidR="007E7656" w:rsidRDefault="007E7656" w:rsidP="00312F84">
            <w:pPr>
              <w:keepNext/>
              <w:keepLines/>
              <w:spacing w:before="40" w:after="40"/>
            </w:pPr>
          </w:p>
        </w:tc>
        <w:tc>
          <w:tcPr>
            <w:tcW w:w="80" w:type="dxa"/>
            <w:tcMar>
              <w:left w:w="60" w:type="dxa"/>
              <w:right w:w="0" w:type="dxa"/>
            </w:tcMar>
            <w:vAlign w:val="bottom"/>
          </w:tcPr>
          <w:p w14:paraId="75B0EE72" w14:textId="77777777" w:rsidR="007E7656" w:rsidRDefault="007E7656" w:rsidP="00312F84">
            <w:pPr>
              <w:keepNext/>
              <w:keepLines/>
              <w:spacing w:before="40" w:after="40"/>
            </w:pPr>
          </w:p>
        </w:tc>
        <w:tc>
          <w:tcPr>
            <w:tcW w:w="1276" w:type="dxa"/>
            <w:gridSpan w:val="2"/>
            <w:tcMar>
              <w:left w:w="60" w:type="dxa"/>
              <w:right w:w="0" w:type="dxa"/>
            </w:tcMar>
            <w:vAlign w:val="bottom"/>
          </w:tcPr>
          <w:p w14:paraId="1FB88087" w14:textId="77777777" w:rsidR="007E7656" w:rsidRDefault="007E7656" w:rsidP="00312F84">
            <w:pPr>
              <w:keepNext/>
              <w:keepLines/>
              <w:spacing w:before="40" w:after="40"/>
            </w:pPr>
          </w:p>
        </w:tc>
      </w:tr>
      <w:tr w:rsidR="007E7656" w14:paraId="3661AD0F" w14:textId="77777777" w:rsidTr="00312F84">
        <w:trPr>
          <w:trHeight w:hRule="exact" w:val="220"/>
          <w:jc w:val="center"/>
        </w:trPr>
        <w:tc>
          <w:tcPr>
            <w:tcW w:w="7360" w:type="dxa"/>
            <w:tcMar>
              <w:left w:w="420" w:type="dxa"/>
              <w:right w:w="40" w:type="dxa"/>
            </w:tcMar>
          </w:tcPr>
          <w:p w14:paraId="7CFD79F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Repayment of long-term debt</w:t>
            </w:r>
          </w:p>
        </w:tc>
        <w:tc>
          <w:tcPr>
            <w:tcW w:w="80" w:type="dxa"/>
            <w:tcMar>
              <w:left w:w="60" w:type="dxa"/>
              <w:right w:w="0" w:type="dxa"/>
            </w:tcMar>
            <w:vAlign w:val="bottom"/>
          </w:tcPr>
          <w:p w14:paraId="233D7192" w14:textId="77777777" w:rsidR="007E7656" w:rsidRDefault="007E7656" w:rsidP="00312F84">
            <w:pPr>
              <w:keepNext/>
              <w:keepLines/>
              <w:spacing w:before="40" w:after="40"/>
            </w:pPr>
          </w:p>
        </w:tc>
        <w:tc>
          <w:tcPr>
            <w:tcW w:w="1256" w:type="dxa"/>
            <w:tcMar>
              <w:left w:w="0" w:type="dxa"/>
              <w:right w:w="0" w:type="dxa"/>
            </w:tcMar>
            <w:vAlign w:val="bottom"/>
          </w:tcPr>
          <w:p w14:paraId="073AAA5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(433,400</w:t>
            </w:r>
          </w:p>
        </w:tc>
        <w:tc>
          <w:tcPr>
            <w:tcW w:w="64" w:type="dxa"/>
            <w:tcMar>
              <w:left w:w="0" w:type="dxa"/>
              <w:right w:w="0" w:type="dxa"/>
            </w:tcMar>
            <w:vAlign w:val="bottom"/>
          </w:tcPr>
          <w:p w14:paraId="70A6475D"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360CA09D" w14:textId="77777777" w:rsidR="007E7656" w:rsidRDefault="007E7656" w:rsidP="00312F84">
            <w:pPr>
              <w:keepNext/>
              <w:keepLines/>
              <w:spacing w:before="40" w:after="40"/>
            </w:pPr>
          </w:p>
        </w:tc>
        <w:tc>
          <w:tcPr>
            <w:tcW w:w="1276" w:type="dxa"/>
            <w:tcMar>
              <w:left w:w="0" w:type="dxa"/>
              <w:right w:w="0" w:type="dxa"/>
            </w:tcMar>
            <w:vAlign w:val="bottom"/>
          </w:tcPr>
          <w:p w14:paraId="1D7A7B2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w:t>
            </w:r>
          </w:p>
        </w:tc>
        <w:tc>
          <w:tcPr>
            <w:tcW w:w="64" w:type="dxa"/>
            <w:tcMar>
              <w:left w:w="0" w:type="dxa"/>
              <w:right w:w="0" w:type="dxa"/>
            </w:tcMar>
          </w:tcPr>
          <w:p w14:paraId="7ED46CDF" w14:textId="77777777" w:rsidR="007E7656" w:rsidRDefault="007E7656" w:rsidP="00312F84"/>
        </w:tc>
      </w:tr>
      <w:tr w:rsidR="007E7656" w14:paraId="0C7A7F78" w14:textId="77777777" w:rsidTr="00312F84">
        <w:trPr>
          <w:trHeight w:hRule="exact" w:val="220"/>
          <w:jc w:val="center"/>
        </w:trPr>
        <w:tc>
          <w:tcPr>
            <w:tcW w:w="7360" w:type="dxa"/>
            <w:tcMar>
              <w:left w:w="420" w:type="dxa"/>
              <w:right w:w="40" w:type="dxa"/>
            </w:tcMar>
          </w:tcPr>
          <w:p w14:paraId="5C38F0A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Principal payments on capital leases</w:t>
            </w:r>
          </w:p>
        </w:tc>
        <w:tc>
          <w:tcPr>
            <w:tcW w:w="80" w:type="dxa"/>
            <w:tcMar>
              <w:left w:w="60" w:type="dxa"/>
              <w:right w:w="0" w:type="dxa"/>
            </w:tcMar>
            <w:vAlign w:val="bottom"/>
          </w:tcPr>
          <w:p w14:paraId="0F749567" w14:textId="77777777" w:rsidR="007E7656" w:rsidRDefault="007E7656" w:rsidP="00312F84">
            <w:pPr>
              <w:keepNext/>
              <w:keepLines/>
              <w:spacing w:before="40" w:after="40"/>
            </w:pPr>
          </w:p>
        </w:tc>
        <w:tc>
          <w:tcPr>
            <w:tcW w:w="1256" w:type="dxa"/>
            <w:tcMar>
              <w:left w:w="0" w:type="dxa"/>
              <w:right w:w="0" w:type="dxa"/>
            </w:tcMar>
            <w:vAlign w:val="bottom"/>
          </w:tcPr>
          <w:p w14:paraId="0694516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w:t>
            </w:r>
          </w:p>
        </w:tc>
        <w:tc>
          <w:tcPr>
            <w:tcW w:w="64" w:type="dxa"/>
            <w:tcMar>
              <w:left w:w="0" w:type="dxa"/>
              <w:right w:w="0" w:type="dxa"/>
            </w:tcMar>
          </w:tcPr>
          <w:p w14:paraId="0302E297" w14:textId="77777777" w:rsidR="007E7656" w:rsidRDefault="007E7656" w:rsidP="00312F84"/>
        </w:tc>
        <w:tc>
          <w:tcPr>
            <w:tcW w:w="80" w:type="dxa"/>
            <w:tcMar>
              <w:left w:w="0" w:type="dxa"/>
              <w:right w:w="60" w:type="dxa"/>
            </w:tcMar>
            <w:vAlign w:val="bottom"/>
          </w:tcPr>
          <w:p w14:paraId="20BB60FF" w14:textId="77777777" w:rsidR="007E7656" w:rsidRDefault="007E7656" w:rsidP="00312F84">
            <w:pPr>
              <w:keepNext/>
              <w:keepLines/>
              <w:spacing w:before="40" w:after="40"/>
            </w:pPr>
          </w:p>
        </w:tc>
        <w:tc>
          <w:tcPr>
            <w:tcW w:w="1276" w:type="dxa"/>
            <w:tcMar>
              <w:left w:w="0" w:type="dxa"/>
              <w:right w:w="0" w:type="dxa"/>
            </w:tcMar>
            <w:vAlign w:val="bottom"/>
          </w:tcPr>
          <w:p w14:paraId="4F84DB93"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(657</w:t>
            </w:r>
          </w:p>
        </w:tc>
        <w:tc>
          <w:tcPr>
            <w:tcW w:w="64" w:type="dxa"/>
            <w:tcMar>
              <w:left w:w="0" w:type="dxa"/>
              <w:right w:w="0" w:type="dxa"/>
            </w:tcMar>
            <w:vAlign w:val="bottom"/>
          </w:tcPr>
          <w:p w14:paraId="36E8651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4E006EAB" w14:textId="77777777" w:rsidTr="00312F84">
        <w:trPr>
          <w:trHeight w:hRule="exact" w:val="220"/>
          <w:jc w:val="center"/>
        </w:trPr>
        <w:tc>
          <w:tcPr>
            <w:tcW w:w="7360" w:type="dxa"/>
            <w:tcMar>
              <w:left w:w="420" w:type="dxa"/>
              <w:right w:w="40" w:type="dxa"/>
            </w:tcMar>
          </w:tcPr>
          <w:p w14:paraId="5278D1D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Proceeds from issuance of common shares</w:t>
            </w:r>
          </w:p>
        </w:tc>
        <w:tc>
          <w:tcPr>
            <w:tcW w:w="80" w:type="dxa"/>
            <w:tcMar>
              <w:left w:w="60" w:type="dxa"/>
              <w:right w:w="0" w:type="dxa"/>
            </w:tcMar>
            <w:vAlign w:val="bottom"/>
          </w:tcPr>
          <w:p w14:paraId="00172E9A" w14:textId="77777777" w:rsidR="007E7656" w:rsidRDefault="007E7656" w:rsidP="00312F84">
            <w:pPr>
              <w:keepNext/>
              <w:keepLines/>
              <w:spacing w:before="40" w:after="40"/>
            </w:pPr>
          </w:p>
        </w:tc>
        <w:tc>
          <w:tcPr>
            <w:tcW w:w="1256" w:type="dxa"/>
            <w:tcMar>
              <w:left w:w="0" w:type="dxa"/>
              <w:right w:w="0" w:type="dxa"/>
            </w:tcMar>
            <w:vAlign w:val="bottom"/>
          </w:tcPr>
          <w:p w14:paraId="1463895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1,689</w:t>
            </w:r>
          </w:p>
        </w:tc>
        <w:tc>
          <w:tcPr>
            <w:tcW w:w="64" w:type="dxa"/>
            <w:tcMar>
              <w:left w:w="0" w:type="dxa"/>
              <w:right w:w="0" w:type="dxa"/>
            </w:tcMar>
          </w:tcPr>
          <w:p w14:paraId="49987558" w14:textId="77777777" w:rsidR="007E7656" w:rsidRDefault="007E7656" w:rsidP="00312F84"/>
        </w:tc>
        <w:tc>
          <w:tcPr>
            <w:tcW w:w="80" w:type="dxa"/>
            <w:tcMar>
              <w:left w:w="0" w:type="dxa"/>
              <w:right w:w="60" w:type="dxa"/>
            </w:tcMar>
            <w:vAlign w:val="bottom"/>
          </w:tcPr>
          <w:p w14:paraId="78DA94F0" w14:textId="77777777" w:rsidR="007E7656" w:rsidRDefault="007E7656" w:rsidP="00312F84">
            <w:pPr>
              <w:keepNext/>
              <w:keepLines/>
              <w:spacing w:before="40" w:after="40"/>
            </w:pPr>
          </w:p>
        </w:tc>
        <w:tc>
          <w:tcPr>
            <w:tcW w:w="1276" w:type="dxa"/>
            <w:tcMar>
              <w:left w:w="0" w:type="dxa"/>
              <w:right w:w="0" w:type="dxa"/>
            </w:tcMar>
            <w:vAlign w:val="bottom"/>
          </w:tcPr>
          <w:p w14:paraId="7490BF5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1,286</w:t>
            </w:r>
          </w:p>
        </w:tc>
        <w:tc>
          <w:tcPr>
            <w:tcW w:w="64" w:type="dxa"/>
            <w:tcMar>
              <w:left w:w="0" w:type="dxa"/>
              <w:right w:w="0" w:type="dxa"/>
            </w:tcMar>
          </w:tcPr>
          <w:p w14:paraId="700A1625" w14:textId="77777777" w:rsidR="007E7656" w:rsidRDefault="007E7656" w:rsidP="00312F84"/>
        </w:tc>
      </w:tr>
      <w:tr w:rsidR="007E7656" w14:paraId="446ECA5B" w14:textId="77777777" w:rsidTr="00312F84">
        <w:trPr>
          <w:trHeight w:hRule="exact" w:val="220"/>
          <w:jc w:val="center"/>
        </w:trPr>
        <w:tc>
          <w:tcPr>
            <w:tcW w:w="7360" w:type="dxa"/>
            <w:tcMar>
              <w:left w:w="420" w:type="dxa"/>
              <w:right w:w="40" w:type="dxa"/>
            </w:tcMar>
          </w:tcPr>
          <w:p w14:paraId="01A27F40"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Tax withholding related to vesting of stock awards</w:t>
            </w:r>
          </w:p>
        </w:tc>
        <w:tc>
          <w:tcPr>
            <w:tcW w:w="80" w:type="dxa"/>
            <w:tcMar>
              <w:left w:w="60" w:type="dxa"/>
              <w:right w:w="0" w:type="dxa"/>
            </w:tcMar>
            <w:vAlign w:val="bottom"/>
          </w:tcPr>
          <w:p w14:paraId="51F867A8" w14:textId="77777777" w:rsidR="007E7656" w:rsidRDefault="007E7656" w:rsidP="00312F84">
            <w:pPr>
              <w:keepNext/>
              <w:keepLines/>
              <w:spacing w:before="40" w:after="40"/>
            </w:pPr>
          </w:p>
        </w:tc>
        <w:tc>
          <w:tcPr>
            <w:tcW w:w="1256" w:type="dxa"/>
            <w:tcMar>
              <w:left w:w="0" w:type="dxa"/>
              <w:right w:w="0" w:type="dxa"/>
            </w:tcMar>
            <w:vAlign w:val="bottom"/>
          </w:tcPr>
          <w:p w14:paraId="41AD74B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(17,172</w:t>
            </w:r>
          </w:p>
        </w:tc>
        <w:tc>
          <w:tcPr>
            <w:tcW w:w="64" w:type="dxa"/>
            <w:tcMar>
              <w:left w:w="0" w:type="dxa"/>
              <w:right w:w="0" w:type="dxa"/>
            </w:tcMar>
            <w:vAlign w:val="bottom"/>
          </w:tcPr>
          <w:p w14:paraId="3663903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24A11C06" w14:textId="77777777" w:rsidR="007E7656" w:rsidRDefault="007E7656" w:rsidP="00312F84">
            <w:pPr>
              <w:keepNext/>
              <w:keepLines/>
              <w:spacing w:before="40" w:after="40"/>
            </w:pPr>
          </w:p>
        </w:tc>
        <w:tc>
          <w:tcPr>
            <w:tcW w:w="1276" w:type="dxa"/>
            <w:tcMar>
              <w:left w:w="0" w:type="dxa"/>
              <w:right w:w="0" w:type="dxa"/>
            </w:tcMar>
            <w:vAlign w:val="bottom"/>
          </w:tcPr>
          <w:p w14:paraId="53BCDDEE"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w:t>
            </w:r>
          </w:p>
        </w:tc>
        <w:tc>
          <w:tcPr>
            <w:tcW w:w="64" w:type="dxa"/>
            <w:tcMar>
              <w:left w:w="0" w:type="dxa"/>
              <w:right w:w="0" w:type="dxa"/>
            </w:tcMar>
          </w:tcPr>
          <w:p w14:paraId="0F9AE5CE" w14:textId="77777777" w:rsidR="007E7656" w:rsidRDefault="007E7656" w:rsidP="00312F84"/>
        </w:tc>
      </w:tr>
      <w:tr w:rsidR="007E7656" w14:paraId="756B7ABB" w14:textId="77777777" w:rsidTr="00312F84">
        <w:trPr>
          <w:trHeight w:hRule="exact" w:val="220"/>
          <w:jc w:val="center"/>
        </w:trPr>
        <w:tc>
          <w:tcPr>
            <w:tcW w:w="7360" w:type="dxa"/>
            <w:tcMar>
              <w:left w:w="420" w:type="dxa"/>
              <w:right w:w="40" w:type="dxa"/>
            </w:tcMar>
          </w:tcPr>
          <w:p w14:paraId="6955D99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Purchase of treasury shares</w:t>
            </w:r>
          </w:p>
        </w:tc>
        <w:tc>
          <w:tcPr>
            <w:tcW w:w="80" w:type="dxa"/>
            <w:tcMar>
              <w:left w:w="60" w:type="dxa"/>
              <w:right w:w="0" w:type="dxa"/>
            </w:tcMar>
            <w:vAlign w:val="bottom"/>
          </w:tcPr>
          <w:p w14:paraId="1D88D869" w14:textId="77777777" w:rsidR="007E7656" w:rsidRDefault="007E7656" w:rsidP="00312F84">
            <w:pPr>
              <w:keepNext/>
              <w:keepLines/>
              <w:spacing w:before="40" w:after="40"/>
            </w:pPr>
          </w:p>
        </w:tc>
        <w:tc>
          <w:tcPr>
            <w:tcW w:w="1256" w:type="dxa"/>
            <w:tcMar>
              <w:left w:w="0" w:type="dxa"/>
              <w:right w:w="0" w:type="dxa"/>
            </w:tcMar>
            <w:vAlign w:val="bottom"/>
          </w:tcPr>
          <w:p w14:paraId="25E2FF3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(74,394</w:t>
            </w:r>
          </w:p>
        </w:tc>
        <w:tc>
          <w:tcPr>
            <w:tcW w:w="64" w:type="dxa"/>
            <w:tcMar>
              <w:left w:w="0" w:type="dxa"/>
              <w:right w:w="0" w:type="dxa"/>
            </w:tcMar>
            <w:vAlign w:val="bottom"/>
          </w:tcPr>
          <w:p w14:paraId="106607B3"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35421746" w14:textId="77777777" w:rsidR="007E7656" w:rsidRDefault="007E7656" w:rsidP="00312F84">
            <w:pPr>
              <w:keepNext/>
              <w:keepLines/>
              <w:spacing w:before="40" w:after="40"/>
            </w:pPr>
          </w:p>
        </w:tc>
        <w:tc>
          <w:tcPr>
            <w:tcW w:w="1276" w:type="dxa"/>
            <w:tcMar>
              <w:left w:w="0" w:type="dxa"/>
              <w:right w:w="0" w:type="dxa"/>
            </w:tcMar>
            <w:vAlign w:val="bottom"/>
          </w:tcPr>
          <w:p w14:paraId="4383A99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(20,782</w:t>
            </w:r>
          </w:p>
        </w:tc>
        <w:tc>
          <w:tcPr>
            <w:tcW w:w="64" w:type="dxa"/>
            <w:tcMar>
              <w:left w:w="0" w:type="dxa"/>
              <w:right w:w="0" w:type="dxa"/>
            </w:tcMar>
            <w:vAlign w:val="bottom"/>
          </w:tcPr>
          <w:p w14:paraId="2D0D61B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7BDEE3A0" w14:textId="77777777" w:rsidTr="00312F84">
        <w:trPr>
          <w:trHeight w:hRule="exact" w:val="220"/>
          <w:jc w:val="center"/>
        </w:trPr>
        <w:tc>
          <w:tcPr>
            <w:tcW w:w="7360" w:type="dxa"/>
            <w:tcMar>
              <w:left w:w="420" w:type="dxa"/>
              <w:right w:w="40" w:type="dxa"/>
            </w:tcMar>
          </w:tcPr>
          <w:p w14:paraId="3750476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Other financing activities</w:t>
            </w:r>
          </w:p>
        </w:tc>
        <w:tc>
          <w:tcPr>
            <w:tcW w:w="80" w:type="dxa"/>
            <w:tcMar>
              <w:left w:w="60" w:type="dxa"/>
              <w:right w:w="0" w:type="dxa"/>
            </w:tcMar>
            <w:vAlign w:val="bottom"/>
          </w:tcPr>
          <w:p w14:paraId="1DD1053B" w14:textId="77777777" w:rsidR="007E7656" w:rsidRDefault="007E7656" w:rsidP="00312F84">
            <w:pPr>
              <w:keepNext/>
              <w:keepLines/>
              <w:spacing w:before="40" w:after="40"/>
            </w:pPr>
          </w:p>
        </w:tc>
        <w:tc>
          <w:tcPr>
            <w:tcW w:w="1256" w:type="dxa"/>
            <w:tcMar>
              <w:left w:w="0" w:type="dxa"/>
              <w:right w:w="0" w:type="dxa"/>
            </w:tcMar>
            <w:vAlign w:val="bottom"/>
          </w:tcPr>
          <w:p w14:paraId="76C259BC"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(10,822</w:t>
            </w:r>
          </w:p>
        </w:tc>
        <w:tc>
          <w:tcPr>
            <w:tcW w:w="64" w:type="dxa"/>
            <w:tcMar>
              <w:left w:w="0" w:type="dxa"/>
              <w:right w:w="0" w:type="dxa"/>
            </w:tcMar>
            <w:vAlign w:val="bottom"/>
          </w:tcPr>
          <w:p w14:paraId="18F96F12"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3426BD10" w14:textId="77777777" w:rsidR="007E7656" w:rsidRDefault="007E7656" w:rsidP="00312F84">
            <w:pPr>
              <w:keepNext/>
              <w:keepLines/>
              <w:spacing w:before="40" w:after="40"/>
            </w:pPr>
          </w:p>
        </w:tc>
        <w:tc>
          <w:tcPr>
            <w:tcW w:w="1276" w:type="dxa"/>
            <w:tcMar>
              <w:left w:w="0" w:type="dxa"/>
              <w:right w:w="0" w:type="dxa"/>
            </w:tcMar>
            <w:vAlign w:val="bottom"/>
          </w:tcPr>
          <w:p w14:paraId="4D2FD92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(5,219</w:t>
            </w:r>
          </w:p>
        </w:tc>
        <w:tc>
          <w:tcPr>
            <w:tcW w:w="64" w:type="dxa"/>
            <w:tcMar>
              <w:left w:w="0" w:type="dxa"/>
              <w:right w:w="0" w:type="dxa"/>
            </w:tcMar>
            <w:vAlign w:val="bottom"/>
          </w:tcPr>
          <w:p w14:paraId="3FAA1B1C"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3D6ABE4F" w14:textId="77777777" w:rsidTr="00312F84">
        <w:trPr>
          <w:trHeight w:hRule="exact" w:val="240"/>
          <w:jc w:val="center"/>
        </w:trPr>
        <w:tc>
          <w:tcPr>
            <w:tcW w:w="7360" w:type="dxa"/>
            <w:tcMar>
              <w:left w:w="60" w:type="dxa"/>
              <w:right w:w="40" w:type="dxa"/>
            </w:tcMar>
          </w:tcPr>
          <w:p w14:paraId="30CF64E4"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cash used in financing activities</w:t>
            </w:r>
          </w:p>
        </w:tc>
        <w:tc>
          <w:tcPr>
            <w:tcW w:w="80" w:type="dxa"/>
            <w:tcMar>
              <w:left w:w="60" w:type="dxa"/>
              <w:right w:w="0" w:type="dxa"/>
            </w:tcMar>
            <w:vAlign w:val="bottom"/>
          </w:tcPr>
          <w:p w14:paraId="1F5E4ABC" w14:textId="77777777" w:rsidR="007E7656" w:rsidRDefault="007E7656" w:rsidP="00312F84">
            <w:pPr>
              <w:keepNext/>
              <w:keepLines/>
              <w:spacing w:before="40" w:after="40"/>
            </w:pPr>
          </w:p>
        </w:tc>
        <w:tc>
          <w:tcPr>
            <w:tcW w:w="1256" w:type="dxa"/>
            <w:tcBorders>
              <w:top w:val="single" w:sz="8" w:space="0" w:color="auto"/>
              <w:bottom w:val="single" w:sz="8" w:space="0" w:color="auto"/>
            </w:tcBorders>
            <w:tcMar>
              <w:left w:w="0" w:type="dxa"/>
              <w:right w:w="0" w:type="dxa"/>
            </w:tcMar>
            <w:vAlign w:val="bottom"/>
          </w:tcPr>
          <w:p w14:paraId="7F65C1D8"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(534,099</w:t>
            </w:r>
          </w:p>
        </w:tc>
        <w:tc>
          <w:tcPr>
            <w:tcW w:w="64" w:type="dxa"/>
            <w:tcBorders>
              <w:top w:val="single" w:sz="8" w:space="0" w:color="auto"/>
              <w:bottom w:val="single" w:sz="8" w:space="0" w:color="auto"/>
            </w:tcBorders>
            <w:tcMar>
              <w:left w:w="0" w:type="dxa"/>
              <w:right w:w="0" w:type="dxa"/>
            </w:tcMar>
            <w:vAlign w:val="bottom"/>
          </w:tcPr>
          <w:p w14:paraId="7DCA7A78"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5BC9494D" w14:textId="77777777" w:rsidR="007E7656" w:rsidRDefault="007E7656" w:rsidP="00312F84">
            <w:pPr>
              <w:keepNext/>
              <w:keepLines/>
              <w:spacing w:before="40" w:after="40"/>
            </w:pPr>
          </w:p>
        </w:tc>
        <w:tc>
          <w:tcPr>
            <w:tcW w:w="1276" w:type="dxa"/>
            <w:tcBorders>
              <w:top w:val="single" w:sz="8" w:space="0" w:color="auto"/>
              <w:bottom w:val="single" w:sz="8" w:space="0" w:color="auto"/>
            </w:tcBorders>
            <w:tcMar>
              <w:left w:w="0" w:type="dxa"/>
              <w:right w:w="0" w:type="dxa"/>
            </w:tcMar>
            <w:vAlign w:val="bottom"/>
          </w:tcPr>
          <w:p w14:paraId="540DE49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(25,372</w:t>
            </w:r>
          </w:p>
        </w:tc>
        <w:tc>
          <w:tcPr>
            <w:tcW w:w="64" w:type="dxa"/>
            <w:tcBorders>
              <w:top w:val="single" w:sz="8" w:space="0" w:color="auto"/>
              <w:bottom w:val="single" w:sz="8" w:space="0" w:color="auto"/>
            </w:tcBorders>
            <w:tcMar>
              <w:left w:w="0" w:type="dxa"/>
              <w:right w:w="0" w:type="dxa"/>
            </w:tcMar>
            <w:vAlign w:val="bottom"/>
          </w:tcPr>
          <w:p w14:paraId="34084C7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6299BFCE" w14:textId="77777777" w:rsidTr="00312F84">
        <w:trPr>
          <w:trHeight w:hRule="exact" w:val="220"/>
          <w:jc w:val="center"/>
        </w:trPr>
        <w:tc>
          <w:tcPr>
            <w:tcW w:w="7360" w:type="dxa"/>
            <w:tcMar>
              <w:left w:w="420" w:type="dxa"/>
              <w:right w:w="40" w:type="dxa"/>
            </w:tcMar>
          </w:tcPr>
          <w:p w14:paraId="4313BC4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Effect of exchange rate changes on cash and cash equivalents</w:t>
            </w:r>
          </w:p>
        </w:tc>
        <w:tc>
          <w:tcPr>
            <w:tcW w:w="80" w:type="dxa"/>
            <w:tcMar>
              <w:left w:w="60" w:type="dxa"/>
              <w:right w:w="0" w:type="dxa"/>
            </w:tcMar>
            <w:vAlign w:val="bottom"/>
          </w:tcPr>
          <w:p w14:paraId="672BF3D8" w14:textId="77777777" w:rsidR="007E7656" w:rsidRDefault="007E7656" w:rsidP="00312F84">
            <w:pPr>
              <w:keepNext/>
              <w:keepLines/>
              <w:spacing w:before="40" w:after="40"/>
            </w:pPr>
          </w:p>
        </w:tc>
        <w:tc>
          <w:tcPr>
            <w:tcW w:w="1256" w:type="dxa"/>
            <w:tcMar>
              <w:left w:w="0" w:type="dxa"/>
              <w:right w:w="0" w:type="dxa"/>
            </w:tcMar>
            <w:vAlign w:val="bottom"/>
          </w:tcPr>
          <w:p w14:paraId="1C369AC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771</w:t>
            </w:r>
          </w:p>
        </w:tc>
        <w:tc>
          <w:tcPr>
            <w:tcW w:w="64" w:type="dxa"/>
            <w:tcMar>
              <w:left w:w="0" w:type="dxa"/>
              <w:right w:w="0" w:type="dxa"/>
            </w:tcMar>
          </w:tcPr>
          <w:p w14:paraId="75DDBBE8" w14:textId="77777777" w:rsidR="007E7656" w:rsidRDefault="007E7656" w:rsidP="00312F84"/>
        </w:tc>
        <w:tc>
          <w:tcPr>
            <w:tcW w:w="80" w:type="dxa"/>
            <w:tcMar>
              <w:left w:w="0" w:type="dxa"/>
              <w:right w:w="60" w:type="dxa"/>
            </w:tcMar>
            <w:vAlign w:val="bottom"/>
          </w:tcPr>
          <w:p w14:paraId="567EA2C6" w14:textId="77777777" w:rsidR="007E7656" w:rsidRDefault="007E7656" w:rsidP="00312F84">
            <w:pPr>
              <w:keepNext/>
              <w:keepLines/>
              <w:spacing w:before="40" w:after="40"/>
            </w:pPr>
          </w:p>
        </w:tc>
        <w:tc>
          <w:tcPr>
            <w:tcW w:w="1276" w:type="dxa"/>
            <w:tcMar>
              <w:left w:w="0" w:type="dxa"/>
              <w:right w:w="0" w:type="dxa"/>
            </w:tcMar>
            <w:vAlign w:val="bottom"/>
          </w:tcPr>
          <w:p w14:paraId="53376A8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(3,696</w:t>
            </w:r>
          </w:p>
        </w:tc>
        <w:tc>
          <w:tcPr>
            <w:tcW w:w="64" w:type="dxa"/>
            <w:tcMar>
              <w:left w:w="0" w:type="dxa"/>
              <w:right w:w="0" w:type="dxa"/>
            </w:tcMar>
            <w:vAlign w:val="bottom"/>
          </w:tcPr>
          <w:p w14:paraId="0FFFC79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4B1E8264" w14:textId="77777777" w:rsidTr="00312F84">
        <w:trPr>
          <w:trHeight w:hRule="exact" w:val="220"/>
          <w:jc w:val="center"/>
        </w:trPr>
        <w:tc>
          <w:tcPr>
            <w:tcW w:w="7360" w:type="dxa"/>
            <w:tcMar>
              <w:left w:w="60" w:type="dxa"/>
              <w:right w:w="40" w:type="dxa"/>
            </w:tcMar>
          </w:tcPr>
          <w:p w14:paraId="3F601FA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(decrease) increase in cash and cash equivalents</w:t>
            </w:r>
          </w:p>
        </w:tc>
        <w:tc>
          <w:tcPr>
            <w:tcW w:w="80" w:type="dxa"/>
            <w:tcMar>
              <w:left w:w="60" w:type="dxa"/>
              <w:right w:w="0" w:type="dxa"/>
            </w:tcMar>
            <w:vAlign w:val="bottom"/>
          </w:tcPr>
          <w:p w14:paraId="65AAE6AA" w14:textId="77777777" w:rsidR="007E7656" w:rsidRDefault="007E7656" w:rsidP="00312F84">
            <w:pPr>
              <w:keepNext/>
              <w:keepLines/>
              <w:spacing w:before="40" w:after="40"/>
            </w:pPr>
          </w:p>
        </w:tc>
        <w:tc>
          <w:tcPr>
            <w:tcW w:w="1256" w:type="dxa"/>
            <w:tcMar>
              <w:left w:w="0" w:type="dxa"/>
              <w:right w:w="0" w:type="dxa"/>
            </w:tcMar>
            <w:vAlign w:val="bottom"/>
          </w:tcPr>
          <w:p w14:paraId="685FECE9"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(534,463</w:t>
            </w:r>
          </w:p>
        </w:tc>
        <w:tc>
          <w:tcPr>
            <w:tcW w:w="64" w:type="dxa"/>
            <w:tcMar>
              <w:left w:w="0" w:type="dxa"/>
              <w:right w:w="0" w:type="dxa"/>
            </w:tcMar>
            <w:vAlign w:val="bottom"/>
          </w:tcPr>
          <w:p w14:paraId="431088B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6C5A187E" w14:textId="77777777" w:rsidR="007E7656" w:rsidRDefault="007E7656" w:rsidP="00312F84">
            <w:pPr>
              <w:keepNext/>
              <w:keepLines/>
              <w:spacing w:before="40" w:after="40"/>
            </w:pPr>
          </w:p>
        </w:tc>
        <w:tc>
          <w:tcPr>
            <w:tcW w:w="1276" w:type="dxa"/>
            <w:tcMar>
              <w:left w:w="0" w:type="dxa"/>
              <w:right w:w="0" w:type="dxa"/>
            </w:tcMar>
            <w:vAlign w:val="bottom"/>
          </w:tcPr>
          <w:p w14:paraId="576A7A3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16,699</w:t>
            </w:r>
          </w:p>
        </w:tc>
        <w:tc>
          <w:tcPr>
            <w:tcW w:w="64" w:type="dxa"/>
            <w:tcMar>
              <w:left w:w="0" w:type="dxa"/>
              <w:right w:w="0" w:type="dxa"/>
            </w:tcMar>
          </w:tcPr>
          <w:p w14:paraId="2ADF1467" w14:textId="77777777" w:rsidR="007E7656" w:rsidRDefault="007E7656" w:rsidP="00312F84"/>
        </w:tc>
      </w:tr>
      <w:tr w:rsidR="007E7656" w14:paraId="2F0B8C24" w14:textId="77777777" w:rsidTr="00312F84">
        <w:trPr>
          <w:trHeight w:hRule="exact" w:val="220"/>
          <w:jc w:val="center"/>
        </w:trPr>
        <w:tc>
          <w:tcPr>
            <w:tcW w:w="7360" w:type="dxa"/>
            <w:tcMar>
              <w:left w:w="60" w:type="dxa"/>
              <w:right w:w="40" w:type="dxa"/>
            </w:tcMar>
          </w:tcPr>
          <w:p w14:paraId="6C7D2166"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Cash and cash equivalents, beginning of period</w:t>
            </w:r>
          </w:p>
        </w:tc>
        <w:tc>
          <w:tcPr>
            <w:tcW w:w="80" w:type="dxa"/>
            <w:tcMar>
              <w:left w:w="60" w:type="dxa"/>
              <w:right w:w="0" w:type="dxa"/>
            </w:tcMar>
            <w:vAlign w:val="bottom"/>
          </w:tcPr>
          <w:p w14:paraId="1777358D" w14:textId="77777777" w:rsidR="007E7656" w:rsidRDefault="007E7656" w:rsidP="00312F84">
            <w:pPr>
              <w:keepNext/>
              <w:keepLines/>
              <w:spacing w:before="40" w:after="40"/>
            </w:pPr>
          </w:p>
        </w:tc>
        <w:tc>
          <w:tcPr>
            <w:tcW w:w="1256" w:type="dxa"/>
            <w:tcMar>
              <w:left w:w="0" w:type="dxa"/>
              <w:right w:w="0" w:type="dxa"/>
            </w:tcMar>
            <w:vAlign w:val="bottom"/>
          </w:tcPr>
          <w:p w14:paraId="534E207D"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1,159,079</w:t>
            </w:r>
          </w:p>
        </w:tc>
        <w:tc>
          <w:tcPr>
            <w:tcW w:w="64" w:type="dxa"/>
            <w:tcMar>
              <w:left w:w="0" w:type="dxa"/>
              <w:right w:w="0" w:type="dxa"/>
            </w:tcMar>
          </w:tcPr>
          <w:p w14:paraId="77413313" w14:textId="77777777" w:rsidR="007E7656" w:rsidRDefault="007E7656" w:rsidP="00312F84"/>
        </w:tc>
        <w:tc>
          <w:tcPr>
            <w:tcW w:w="80" w:type="dxa"/>
            <w:tcMar>
              <w:left w:w="0" w:type="dxa"/>
              <w:right w:w="60" w:type="dxa"/>
            </w:tcMar>
            <w:vAlign w:val="bottom"/>
          </w:tcPr>
          <w:p w14:paraId="1B514DAD" w14:textId="77777777" w:rsidR="007E7656" w:rsidRDefault="007E7656" w:rsidP="00312F84">
            <w:pPr>
              <w:keepNext/>
              <w:keepLines/>
              <w:spacing w:before="40" w:after="40"/>
            </w:pPr>
          </w:p>
        </w:tc>
        <w:tc>
          <w:tcPr>
            <w:tcW w:w="1276" w:type="dxa"/>
            <w:tcMar>
              <w:left w:w="0" w:type="dxa"/>
              <w:right w:w="0" w:type="dxa"/>
            </w:tcMar>
            <w:vAlign w:val="bottom"/>
          </w:tcPr>
          <w:p w14:paraId="191D9D5F"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657,714</w:t>
            </w:r>
          </w:p>
        </w:tc>
        <w:tc>
          <w:tcPr>
            <w:tcW w:w="64" w:type="dxa"/>
            <w:tcMar>
              <w:left w:w="0" w:type="dxa"/>
              <w:right w:w="0" w:type="dxa"/>
            </w:tcMar>
          </w:tcPr>
          <w:p w14:paraId="202B0FD8" w14:textId="77777777" w:rsidR="007E7656" w:rsidRDefault="007E7656" w:rsidP="00312F84"/>
        </w:tc>
      </w:tr>
      <w:tr w:rsidR="007E7656" w14:paraId="41FA90FE" w14:textId="77777777" w:rsidTr="00312F84">
        <w:trPr>
          <w:trHeight w:hRule="exact" w:val="220"/>
          <w:jc w:val="center"/>
        </w:trPr>
        <w:tc>
          <w:tcPr>
            <w:tcW w:w="7360" w:type="dxa"/>
            <w:tcMar>
              <w:left w:w="60" w:type="dxa"/>
              <w:right w:w="40" w:type="dxa"/>
            </w:tcMar>
          </w:tcPr>
          <w:p w14:paraId="690BFD2B" w14:textId="77777777" w:rsidR="007E7656" w:rsidRDefault="007E7656" w:rsidP="00312F84">
            <w:pPr>
              <w:keepNext/>
              <w:keepLines/>
              <w:spacing w:before="30" w:after="30"/>
              <w:rPr>
                <w:rFonts w:ascii="Arial" w:eastAsia="Arial" w:hAnsi="Arial" w:cs="Arial"/>
                <w:sz w:val="16"/>
              </w:rPr>
            </w:pPr>
            <w:r>
              <w:rPr>
                <w:rFonts w:ascii="Arial" w:eastAsia="Arial" w:hAnsi="Arial" w:cs="Arial"/>
                <w:color w:val="000000"/>
                <w:sz w:val="16"/>
              </w:rPr>
              <w:t>Cash and cash equivalents, end of period</w:t>
            </w:r>
          </w:p>
        </w:tc>
        <w:tc>
          <w:tcPr>
            <w:tcW w:w="80" w:type="dxa"/>
            <w:tcMar>
              <w:left w:w="60" w:type="dxa"/>
              <w:right w:w="0" w:type="dxa"/>
            </w:tcMar>
            <w:vAlign w:val="bottom"/>
          </w:tcPr>
          <w:p w14:paraId="0BFC4E64" w14:textId="77777777" w:rsidR="007E7656" w:rsidRDefault="007E7656" w:rsidP="00312F84">
            <w:pPr>
              <w:keepNext/>
              <w:keepLines/>
              <w:spacing w:before="40" w:after="40"/>
            </w:pPr>
          </w:p>
        </w:tc>
        <w:tc>
          <w:tcPr>
            <w:tcW w:w="1256" w:type="dxa"/>
            <w:tcBorders>
              <w:top w:val="single" w:sz="8" w:space="0" w:color="auto"/>
              <w:bottom w:val="double" w:sz="4" w:space="0" w:color="auto"/>
            </w:tcBorders>
            <w:tcMar>
              <w:left w:w="0" w:type="dxa"/>
              <w:right w:w="0" w:type="dxa"/>
            </w:tcMar>
            <w:vAlign w:val="center"/>
          </w:tcPr>
          <w:p w14:paraId="6957F7CA" w14:textId="77777777" w:rsidR="007E7656" w:rsidRDefault="007E7656" w:rsidP="00312F84">
            <w:pPr>
              <w:keepNext/>
              <w:keepLines/>
              <w:spacing w:before="30" w:after="30"/>
              <w:jc w:val="right"/>
              <w:rPr>
                <w:rFonts w:ascii="Arial" w:eastAsia="Arial" w:hAnsi="Arial" w:cs="Arial"/>
                <w:sz w:val="16"/>
              </w:rPr>
            </w:pPr>
            <w:r>
              <w:rPr>
                <w:rFonts w:ascii="Arial" w:eastAsia="Arial" w:hAnsi="Arial" w:cs="Arial"/>
                <w:color w:val="000000"/>
                <w:sz w:val="16"/>
              </w:rPr>
              <w:t>624,616</w:t>
            </w:r>
          </w:p>
        </w:tc>
        <w:tc>
          <w:tcPr>
            <w:tcW w:w="64" w:type="dxa"/>
            <w:tcBorders>
              <w:top w:val="single" w:sz="8" w:space="0" w:color="auto"/>
              <w:bottom w:val="double" w:sz="4" w:space="0" w:color="auto"/>
            </w:tcBorders>
            <w:tcMar>
              <w:left w:w="0" w:type="dxa"/>
              <w:right w:w="0" w:type="dxa"/>
            </w:tcMar>
          </w:tcPr>
          <w:p w14:paraId="6EC9F9B0" w14:textId="77777777" w:rsidR="007E7656" w:rsidRDefault="007E7656" w:rsidP="00312F84"/>
        </w:tc>
        <w:tc>
          <w:tcPr>
            <w:tcW w:w="80" w:type="dxa"/>
            <w:tcMar>
              <w:left w:w="0" w:type="dxa"/>
              <w:right w:w="60" w:type="dxa"/>
            </w:tcMar>
            <w:vAlign w:val="bottom"/>
          </w:tcPr>
          <w:p w14:paraId="557CD810" w14:textId="77777777" w:rsidR="007E7656" w:rsidRDefault="007E7656" w:rsidP="00312F84">
            <w:pPr>
              <w:keepNext/>
              <w:keepLines/>
              <w:spacing w:before="40" w:after="40"/>
            </w:pPr>
          </w:p>
        </w:tc>
        <w:tc>
          <w:tcPr>
            <w:tcW w:w="1276" w:type="dxa"/>
            <w:tcBorders>
              <w:top w:val="single" w:sz="8" w:space="0" w:color="auto"/>
              <w:bottom w:val="double" w:sz="4" w:space="0" w:color="auto"/>
            </w:tcBorders>
            <w:tcMar>
              <w:left w:w="0" w:type="dxa"/>
              <w:right w:w="0" w:type="dxa"/>
            </w:tcMar>
            <w:vAlign w:val="center"/>
          </w:tcPr>
          <w:p w14:paraId="3179B2DB" w14:textId="77777777" w:rsidR="007E7656" w:rsidRDefault="007E7656" w:rsidP="00312F84">
            <w:pPr>
              <w:keepNext/>
              <w:keepLines/>
              <w:spacing w:before="30" w:after="30"/>
              <w:jc w:val="right"/>
              <w:rPr>
                <w:rFonts w:ascii="Arial" w:eastAsia="Arial" w:hAnsi="Arial" w:cs="Arial"/>
                <w:sz w:val="16"/>
              </w:rPr>
            </w:pPr>
            <w:r>
              <w:rPr>
                <w:rFonts w:ascii="Arial" w:eastAsia="Arial" w:hAnsi="Arial" w:cs="Arial"/>
                <w:color w:val="000000"/>
                <w:sz w:val="16"/>
              </w:rPr>
              <w:t>674,413</w:t>
            </w:r>
          </w:p>
        </w:tc>
        <w:tc>
          <w:tcPr>
            <w:tcW w:w="64" w:type="dxa"/>
            <w:tcBorders>
              <w:top w:val="single" w:sz="8" w:space="0" w:color="auto"/>
              <w:bottom w:val="double" w:sz="4" w:space="0" w:color="auto"/>
            </w:tcBorders>
            <w:tcMar>
              <w:left w:w="0" w:type="dxa"/>
              <w:right w:w="0" w:type="dxa"/>
            </w:tcMar>
          </w:tcPr>
          <w:p w14:paraId="24CF5B9E" w14:textId="77777777" w:rsidR="007E7656" w:rsidRDefault="007E7656" w:rsidP="00312F84"/>
        </w:tc>
      </w:tr>
      <w:tr w:rsidR="007E7656" w14:paraId="3961B964" w14:textId="77777777" w:rsidTr="007E7656">
        <w:trPr>
          <w:trHeight w:hRule="exact" w:val="80"/>
          <w:jc w:val="center"/>
        </w:trPr>
        <w:tc>
          <w:tcPr>
            <w:tcW w:w="7360" w:type="dxa"/>
            <w:tcMar>
              <w:left w:w="60" w:type="dxa"/>
              <w:right w:w="0" w:type="dxa"/>
            </w:tcMar>
          </w:tcPr>
          <w:p w14:paraId="44993CE3" w14:textId="77777777" w:rsidR="007E7656" w:rsidRDefault="007E7656" w:rsidP="00312F84">
            <w:pPr>
              <w:keepNext/>
              <w:keepLines/>
            </w:pPr>
          </w:p>
        </w:tc>
        <w:tc>
          <w:tcPr>
            <w:tcW w:w="80" w:type="dxa"/>
            <w:tcMar>
              <w:left w:w="60" w:type="dxa"/>
              <w:right w:w="0" w:type="dxa"/>
            </w:tcMar>
            <w:vAlign w:val="bottom"/>
          </w:tcPr>
          <w:p w14:paraId="45C1976C" w14:textId="77777777" w:rsidR="007E7656" w:rsidRDefault="007E7656" w:rsidP="00312F84">
            <w:pPr>
              <w:keepNext/>
              <w:keepLines/>
            </w:pPr>
          </w:p>
        </w:tc>
        <w:tc>
          <w:tcPr>
            <w:tcW w:w="1256" w:type="dxa"/>
            <w:gridSpan w:val="2"/>
            <w:tcMar>
              <w:left w:w="0" w:type="dxa"/>
              <w:right w:w="60" w:type="dxa"/>
            </w:tcMar>
            <w:vAlign w:val="bottom"/>
          </w:tcPr>
          <w:p w14:paraId="2EDAE499" w14:textId="77777777" w:rsidR="007E7656" w:rsidRDefault="007E7656" w:rsidP="00312F84">
            <w:pPr>
              <w:keepNext/>
              <w:keepLines/>
            </w:pPr>
          </w:p>
        </w:tc>
        <w:tc>
          <w:tcPr>
            <w:tcW w:w="80" w:type="dxa"/>
            <w:tcMar>
              <w:left w:w="0" w:type="dxa"/>
              <w:right w:w="60" w:type="dxa"/>
            </w:tcMar>
            <w:vAlign w:val="bottom"/>
          </w:tcPr>
          <w:p w14:paraId="1E809DAC" w14:textId="77777777" w:rsidR="007E7656" w:rsidRDefault="007E7656" w:rsidP="00312F84">
            <w:pPr>
              <w:keepNext/>
              <w:keepLines/>
            </w:pPr>
          </w:p>
        </w:tc>
        <w:tc>
          <w:tcPr>
            <w:tcW w:w="1276" w:type="dxa"/>
            <w:gridSpan w:val="2"/>
            <w:tcMar>
              <w:left w:w="0" w:type="dxa"/>
              <w:right w:w="60" w:type="dxa"/>
            </w:tcMar>
            <w:vAlign w:val="bottom"/>
          </w:tcPr>
          <w:p w14:paraId="472D8C07" w14:textId="77777777" w:rsidR="007E7656" w:rsidRDefault="007E7656" w:rsidP="00312F84">
            <w:pPr>
              <w:keepNext/>
              <w:keepLines/>
            </w:pPr>
          </w:p>
        </w:tc>
      </w:tr>
      <w:tr w:rsidR="007E7656" w14:paraId="1ACAE17D" w14:textId="77777777" w:rsidTr="007E7656">
        <w:trPr>
          <w:trHeight w:hRule="exact" w:val="220"/>
          <w:jc w:val="center"/>
        </w:trPr>
        <w:tc>
          <w:tcPr>
            <w:tcW w:w="7360" w:type="dxa"/>
            <w:tcMar>
              <w:left w:w="60" w:type="dxa"/>
              <w:right w:w="40" w:type="dxa"/>
            </w:tcMar>
          </w:tcPr>
          <w:p w14:paraId="75120ACA" w14:textId="77777777" w:rsidR="007E7656" w:rsidRDefault="007E7656" w:rsidP="00312F84">
            <w:pPr>
              <w:keepNext/>
              <w:keepLines/>
              <w:spacing w:before="40" w:after="40"/>
              <w:rPr>
                <w:rFonts w:ascii="Arial" w:eastAsia="Arial" w:hAnsi="Arial" w:cs="Arial"/>
                <w:sz w:val="16"/>
              </w:rPr>
            </w:pPr>
            <w:r>
              <w:rPr>
                <w:rFonts w:ascii="Arial" w:eastAsia="Arial" w:hAnsi="Arial" w:cs="Arial"/>
                <w:sz w:val="16"/>
              </w:rPr>
              <w:t>Reconciliation of Free Cash Flow</w:t>
            </w:r>
            <w:r>
              <w:rPr>
                <w:rFonts w:ascii="Arial" w:eastAsia="Arial" w:hAnsi="Arial" w:cs="Arial"/>
                <w:sz w:val="16"/>
                <w:vertAlign w:val="superscript"/>
              </w:rPr>
              <w:t>(1)</w:t>
            </w:r>
          </w:p>
        </w:tc>
        <w:tc>
          <w:tcPr>
            <w:tcW w:w="80" w:type="dxa"/>
            <w:tcMar>
              <w:left w:w="60" w:type="dxa"/>
              <w:right w:w="0" w:type="dxa"/>
            </w:tcMar>
            <w:vAlign w:val="bottom"/>
          </w:tcPr>
          <w:p w14:paraId="5034E2F0" w14:textId="77777777" w:rsidR="007E7656" w:rsidRDefault="007E7656" w:rsidP="00312F84">
            <w:pPr>
              <w:keepNext/>
              <w:keepLines/>
              <w:spacing w:before="40" w:after="40"/>
            </w:pPr>
          </w:p>
        </w:tc>
        <w:tc>
          <w:tcPr>
            <w:tcW w:w="1256" w:type="dxa"/>
            <w:gridSpan w:val="2"/>
            <w:tcMar>
              <w:left w:w="0" w:type="dxa"/>
              <w:right w:w="60" w:type="dxa"/>
            </w:tcMar>
            <w:vAlign w:val="bottom"/>
          </w:tcPr>
          <w:p w14:paraId="17F2FF43" w14:textId="77777777" w:rsidR="007E7656" w:rsidRDefault="007E7656" w:rsidP="00312F84">
            <w:pPr>
              <w:keepNext/>
              <w:keepLines/>
              <w:spacing w:before="40" w:after="40"/>
            </w:pPr>
          </w:p>
        </w:tc>
        <w:tc>
          <w:tcPr>
            <w:tcW w:w="80" w:type="dxa"/>
            <w:tcMar>
              <w:left w:w="0" w:type="dxa"/>
              <w:right w:w="60" w:type="dxa"/>
            </w:tcMar>
            <w:vAlign w:val="bottom"/>
          </w:tcPr>
          <w:p w14:paraId="60375A4C" w14:textId="77777777" w:rsidR="007E7656" w:rsidRDefault="007E7656" w:rsidP="00312F84">
            <w:pPr>
              <w:keepNext/>
              <w:keepLines/>
              <w:spacing w:before="40" w:after="40"/>
            </w:pPr>
          </w:p>
        </w:tc>
        <w:tc>
          <w:tcPr>
            <w:tcW w:w="1276" w:type="dxa"/>
            <w:gridSpan w:val="2"/>
            <w:tcMar>
              <w:left w:w="0" w:type="dxa"/>
              <w:right w:w="60" w:type="dxa"/>
            </w:tcMar>
            <w:vAlign w:val="bottom"/>
          </w:tcPr>
          <w:p w14:paraId="468FEED9" w14:textId="77777777" w:rsidR="007E7656" w:rsidRDefault="007E7656" w:rsidP="00312F84">
            <w:pPr>
              <w:keepNext/>
              <w:keepLines/>
              <w:spacing w:before="40" w:after="40"/>
            </w:pPr>
          </w:p>
        </w:tc>
      </w:tr>
      <w:tr w:rsidR="007E7656" w14:paraId="74E52406" w14:textId="77777777" w:rsidTr="00312F84">
        <w:trPr>
          <w:trHeight w:hRule="exact" w:val="220"/>
          <w:jc w:val="center"/>
        </w:trPr>
        <w:tc>
          <w:tcPr>
            <w:tcW w:w="7360" w:type="dxa"/>
            <w:tcMar>
              <w:left w:w="60" w:type="dxa"/>
              <w:right w:w="40" w:type="dxa"/>
            </w:tcMar>
          </w:tcPr>
          <w:p w14:paraId="7439260A"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Net cash provided by operating activities</w:t>
            </w:r>
          </w:p>
        </w:tc>
        <w:tc>
          <w:tcPr>
            <w:tcW w:w="80" w:type="dxa"/>
            <w:tcMar>
              <w:left w:w="60" w:type="dxa"/>
              <w:right w:w="0" w:type="dxa"/>
            </w:tcMar>
            <w:vAlign w:val="bottom"/>
          </w:tcPr>
          <w:p w14:paraId="4F753F39" w14:textId="77777777" w:rsidR="007E7656" w:rsidRDefault="007E7656" w:rsidP="00312F84">
            <w:pPr>
              <w:keepNext/>
              <w:keepLines/>
              <w:spacing w:before="40" w:after="40"/>
            </w:pPr>
          </w:p>
        </w:tc>
        <w:tc>
          <w:tcPr>
            <w:tcW w:w="1256" w:type="dxa"/>
            <w:tcMar>
              <w:left w:w="0" w:type="dxa"/>
              <w:right w:w="0" w:type="dxa"/>
            </w:tcMar>
            <w:vAlign w:val="bottom"/>
          </w:tcPr>
          <w:p w14:paraId="600755A2"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127,216</w:t>
            </w:r>
          </w:p>
        </w:tc>
        <w:tc>
          <w:tcPr>
            <w:tcW w:w="64" w:type="dxa"/>
            <w:tcMar>
              <w:left w:w="0" w:type="dxa"/>
              <w:right w:w="0" w:type="dxa"/>
            </w:tcMar>
          </w:tcPr>
          <w:p w14:paraId="146CFF39" w14:textId="77777777" w:rsidR="007E7656" w:rsidRDefault="007E7656" w:rsidP="00312F84"/>
        </w:tc>
        <w:tc>
          <w:tcPr>
            <w:tcW w:w="80" w:type="dxa"/>
            <w:tcMar>
              <w:left w:w="0" w:type="dxa"/>
              <w:right w:w="60" w:type="dxa"/>
            </w:tcMar>
            <w:vAlign w:val="bottom"/>
          </w:tcPr>
          <w:p w14:paraId="3487D93E" w14:textId="77777777" w:rsidR="007E7656" w:rsidRDefault="007E7656" w:rsidP="00312F84">
            <w:pPr>
              <w:keepNext/>
              <w:keepLines/>
              <w:spacing w:before="40" w:after="40"/>
            </w:pPr>
          </w:p>
        </w:tc>
        <w:tc>
          <w:tcPr>
            <w:tcW w:w="1276" w:type="dxa"/>
            <w:tcMar>
              <w:left w:w="0" w:type="dxa"/>
              <w:right w:w="0" w:type="dxa"/>
            </w:tcMar>
            <w:vAlign w:val="bottom"/>
          </w:tcPr>
          <w:p w14:paraId="5AA5E774"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166,238</w:t>
            </w:r>
          </w:p>
        </w:tc>
        <w:tc>
          <w:tcPr>
            <w:tcW w:w="64" w:type="dxa"/>
            <w:tcMar>
              <w:left w:w="0" w:type="dxa"/>
              <w:right w:w="0" w:type="dxa"/>
            </w:tcMar>
          </w:tcPr>
          <w:p w14:paraId="29AD355E" w14:textId="77777777" w:rsidR="007E7656" w:rsidRDefault="007E7656" w:rsidP="00312F84"/>
        </w:tc>
      </w:tr>
      <w:tr w:rsidR="007E7656" w14:paraId="02C680AC" w14:textId="77777777" w:rsidTr="00312F84">
        <w:trPr>
          <w:trHeight w:hRule="exact" w:val="220"/>
          <w:jc w:val="center"/>
        </w:trPr>
        <w:tc>
          <w:tcPr>
            <w:tcW w:w="7360" w:type="dxa"/>
            <w:tcMar>
              <w:left w:w="60" w:type="dxa"/>
              <w:right w:w="40" w:type="dxa"/>
            </w:tcMar>
          </w:tcPr>
          <w:p w14:paraId="15A3E1F5"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Purchases of property, plant and equipment</w:t>
            </w:r>
          </w:p>
        </w:tc>
        <w:tc>
          <w:tcPr>
            <w:tcW w:w="80" w:type="dxa"/>
            <w:tcMar>
              <w:left w:w="60" w:type="dxa"/>
              <w:right w:w="0" w:type="dxa"/>
            </w:tcMar>
            <w:vAlign w:val="bottom"/>
          </w:tcPr>
          <w:p w14:paraId="4B203D82" w14:textId="77777777" w:rsidR="007E7656" w:rsidRDefault="007E7656" w:rsidP="00312F84">
            <w:pPr>
              <w:keepNext/>
              <w:keepLines/>
              <w:spacing w:before="40" w:after="40"/>
            </w:pPr>
          </w:p>
        </w:tc>
        <w:tc>
          <w:tcPr>
            <w:tcW w:w="1256" w:type="dxa"/>
            <w:tcMar>
              <w:left w:w="0" w:type="dxa"/>
              <w:right w:w="0" w:type="dxa"/>
            </w:tcMar>
            <w:vAlign w:val="bottom"/>
          </w:tcPr>
          <w:p w14:paraId="2EE48556"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(54,359</w:t>
            </w:r>
          </w:p>
        </w:tc>
        <w:tc>
          <w:tcPr>
            <w:tcW w:w="64" w:type="dxa"/>
            <w:tcMar>
              <w:left w:w="0" w:type="dxa"/>
              <w:right w:w="0" w:type="dxa"/>
            </w:tcMar>
            <w:vAlign w:val="bottom"/>
          </w:tcPr>
          <w:p w14:paraId="0FDBF74E"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c>
          <w:tcPr>
            <w:tcW w:w="80" w:type="dxa"/>
            <w:tcMar>
              <w:left w:w="0" w:type="dxa"/>
              <w:right w:w="60" w:type="dxa"/>
            </w:tcMar>
            <w:vAlign w:val="bottom"/>
          </w:tcPr>
          <w:p w14:paraId="04AB349F" w14:textId="77777777" w:rsidR="007E7656" w:rsidRDefault="007E7656" w:rsidP="00312F84">
            <w:pPr>
              <w:keepNext/>
              <w:keepLines/>
              <w:spacing w:before="40" w:after="40"/>
            </w:pPr>
          </w:p>
        </w:tc>
        <w:tc>
          <w:tcPr>
            <w:tcW w:w="1276" w:type="dxa"/>
            <w:tcMar>
              <w:left w:w="0" w:type="dxa"/>
              <w:right w:w="0" w:type="dxa"/>
            </w:tcMar>
            <w:vAlign w:val="bottom"/>
          </w:tcPr>
          <w:p w14:paraId="370E5D9A" w14:textId="77777777" w:rsidR="007E7656" w:rsidRDefault="007E7656" w:rsidP="00312F84">
            <w:pPr>
              <w:keepNext/>
              <w:keepLines/>
              <w:spacing w:before="40" w:after="40"/>
              <w:jc w:val="right"/>
              <w:rPr>
                <w:rFonts w:ascii="Arial" w:eastAsia="Arial" w:hAnsi="Arial" w:cs="Arial"/>
                <w:sz w:val="16"/>
              </w:rPr>
            </w:pPr>
            <w:r>
              <w:rPr>
                <w:rFonts w:ascii="Arial" w:eastAsia="Arial" w:hAnsi="Arial" w:cs="Arial"/>
                <w:color w:val="000000"/>
                <w:sz w:val="16"/>
              </w:rPr>
              <w:t>(42,866</w:t>
            </w:r>
          </w:p>
        </w:tc>
        <w:tc>
          <w:tcPr>
            <w:tcW w:w="64" w:type="dxa"/>
            <w:tcMar>
              <w:left w:w="0" w:type="dxa"/>
              <w:right w:w="0" w:type="dxa"/>
            </w:tcMar>
            <w:vAlign w:val="bottom"/>
          </w:tcPr>
          <w:p w14:paraId="3D29AC5F" w14:textId="77777777" w:rsidR="007E7656" w:rsidRDefault="007E7656" w:rsidP="00312F84">
            <w:pPr>
              <w:keepNext/>
              <w:keepLines/>
              <w:spacing w:before="40" w:after="40"/>
              <w:rPr>
                <w:rFonts w:ascii="Arial" w:eastAsia="Arial" w:hAnsi="Arial" w:cs="Arial"/>
                <w:sz w:val="16"/>
              </w:rPr>
            </w:pPr>
            <w:r>
              <w:rPr>
                <w:rFonts w:ascii="Arial" w:eastAsia="Arial" w:hAnsi="Arial" w:cs="Arial"/>
                <w:color w:val="000000"/>
                <w:sz w:val="16"/>
              </w:rPr>
              <w:t>)</w:t>
            </w:r>
          </w:p>
        </w:tc>
      </w:tr>
      <w:tr w:rsidR="007E7656" w14:paraId="5CB12304" w14:textId="77777777" w:rsidTr="00312F84">
        <w:trPr>
          <w:trHeight w:hRule="exact" w:val="220"/>
          <w:jc w:val="center"/>
        </w:trPr>
        <w:tc>
          <w:tcPr>
            <w:tcW w:w="7360" w:type="dxa"/>
            <w:tcMar>
              <w:left w:w="60" w:type="dxa"/>
              <w:right w:w="40" w:type="dxa"/>
            </w:tcMar>
          </w:tcPr>
          <w:p w14:paraId="1442F6E4" w14:textId="77777777" w:rsidR="007E7656" w:rsidRDefault="007E7656" w:rsidP="00312F84">
            <w:pPr>
              <w:keepLines/>
              <w:spacing w:before="30" w:after="30"/>
              <w:rPr>
                <w:rFonts w:ascii="Arial" w:eastAsia="Arial" w:hAnsi="Arial" w:cs="Arial"/>
                <w:sz w:val="16"/>
              </w:rPr>
            </w:pPr>
            <w:r>
              <w:rPr>
                <w:rFonts w:ascii="Arial" w:eastAsia="Arial" w:hAnsi="Arial" w:cs="Arial"/>
                <w:color w:val="000000"/>
                <w:sz w:val="16"/>
              </w:rPr>
              <w:t>Free Cash Flow</w:t>
            </w:r>
          </w:p>
        </w:tc>
        <w:tc>
          <w:tcPr>
            <w:tcW w:w="80" w:type="dxa"/>
            <w:tcMar>
              <w:left w:w="60" w:type="dxa"/>
              <w:right w:w="0" w:type="dxa"/>
            </w:tcMar>
            <w:vAlign w:val="bottom"/>
          </w:tcPr>
          <w:p w14:paraId="68064957" w14:textId="77777777" w:rsidR="007E7656" w:rsidRDefault="007E7656" w:rsidP="00312F84">
            <w:pPr>
              <w:keepLines/>
              <w:spacing w:before="40" w:after="40"/>
            </w:pPr>
          </w:p>
        </w:tc>
        <w:tc>
          <w:tcPr>
            <w:tcW w:w="1256" w:type="dxa"/>
            <w:tcBorders>
              <w:top w:val="single" w:sz="8" w:space="0" w:color="auto"/>
              <w:bottom w:val="double" w:sz="4" w:space="0" w:color="auto"/>
            </w:tcBorders>
            <w:tcMar>
              <w:left w:w="0" w:type="dxa"/>
              <w:right w:w="0" w:type="dxa"/>
            </w:tcMar>
            <w:vAlign w:val="bottom"/>
          </w:tcPr>
          <w:p w14:paraId="54388E82" w14:textId="77777777" w:rsidR="007E7656" w:rsidRDefault="007E7656" w:rsidP="00312F84">
            <w:pPr>
              <w:keepLines/>
              <w:spacing w:before="30" w:after="30"/>
              <w:jc w:val="right"/>
              <w:rPr>
                <w:rFonts w:ascii="Arial" w:eastAsia="Arial" w:hAnsi="Arial" w:cs="Arial"/>
                <w:sz w:val="16"/>
              </w:rPr>
            </w:pPr>
            <w:r>
              <w:rPr>
                <w:rFonts w:ascii="Arial" w:eastAsia="Arial" w:hAnsi="Arial" w:cs="Arial"/>
                <w:color w:val="000000"/>
                <w:sz w:val="16"/>
              </w:rPr>
              <w:t>72,857</w:t>
            </w:r>
          </w:p>
        </w:tc>
        <w:tc>
          <w:tcPr>
            <w:tcW w:w="64" w:type="dxa"/>
            <w:tcBorders>
              <w:top w:val="single" w:sz="8" w:space="0" w:color="auto"/>
              <w:bottom w:val="double" w:sz="4" w:space="0" w:color="auto"/>
            </w:tcBorders>
            <w:tcMar>
              <w:left w:w="0" w:type="dxa"/>
              <w:right w:w="0" w:type="dxa"/>
            </w:tcMar>
          </w:tcPr>
          <w:p w14:paraId="18BFED64" w14:textId="77777777" w:rsidR="007E7656" w:rsidRDefault="007E7656" w:rsidP="00312F84"/>
        </w:tc>
        <w:tc>
          <w:tcPr>
            <w:tcW w:w="80" w:type="dxa"/>
            <w:tcMar>
              <w:left w:w="0" w:type="dxa"/>
              <w:right w:w="60" w:type="dxa"/>
            </w:tcMar>
            <w:vAlign w:val="bottom"/>
          </w:tcPr>
          <w:p w14:paraId="1602D8D7" w14:textId="77777777" w:rsidR="007E7656" w:rsidRDefault="007E7656" w:rsidP="00312F84">
            <w:pPr>
              <w:keepLines/>
              <w:spacing w:before="40" w:after="40"/>
            </w:pPr>
          </w:p>
        </w:tc>
        <w:tc>
          <w:tcPr>
            <w:tcW w:w="1276" w:type="dxa"/>
            <w:tcBorders>
              <w:top w:val="single" w:sz="8" w:space="0" w:color="auto"/>
              <w:bottom w:val="double" w:sz="4" w:space="0" w:color="auto"/>
            </w:tcBorders>
            <w:tcMar>
              <w:left w:w="0" w:type="dxa"/>
              <w:right w:w="0" w:type="dxa"/>
            </w:tcMar>
            <w:vAlign w:val="bottom"/>
          </w:tcPr>
          <w:p w14:paraId="06457CD6" w14:textId="77777777" w:rsidR="007E7656" w:rsidRDefault="007E7656" w:rsidP="00312F84">
            <w:pPr>
              <w:keepLines/>
              <w:spacing w:before="30" w:after="30"/>
              <w:jc w:val="right"/>
              <w:rPr>
                <w:rFonts w:ascii="Arial" w:eastAsia="Arial" w:hAnsi="Arial" w:cs="Arial"/>
                <w:sz w:val="16"/>
              </w:rPr>
            </w:pPr>
            <w:r>
              <w:rPr>
                <w:rFonts w:ascii="Arial" w:eastAsia="Arial" w:hAnsi="Arial" w:cs="Arial"/>
                <w:color w:val="000000"/>
                <w:sz w:val="16"/>
              </w:rPr>
              <w:t>123,372</w:t>
            </w:r>
          </w:p>
        </w:tc>
        <w:tc>
          <w:tcPr>
            <w:tcW w:w="64" w:type="dxa"/>
            <w:tcBorders>
              <w:top w:val="single" w:sz="8" w:space="0" w:color="auto"/>
              <w:bottom w:val="double" w:sz="4" w:space="0" w:color="auto"/>
            </w:tcBorders>
            <w:tcMar>
              <w:left w:w="0" w:type="dxa"/>
              <w:right w:w="0" w:type="dxa"/>
            </w:tcMar>
          </w:tcPr>
          <w:p w14:paraId="32D2D138" w14:textId="77777777" w:rsidR="007E7656" w:rsidRDefault="007E7656" w:rsidP="00312F84"/>
        </w:tc>
      </w:tr>
    </w:tbl>
    <w:p w14:paraId="129929D8" w14:textId="77777777" w:rsidR="007E7656" w:rsidRDefault="007E7656" w:rsidP="007E7656">
      <w:pPr>
        <w:spacing w:before="40" w:line="288" w:lineRule="auto"/>
        <w:rPr>
          <w:rFonts w:ascii="Arial" w:eastAsia="Arial" w:hAnsi="Arial" w:cs="Arial"/>
          <w:sz w:val="16"/>
        </w:rPr>
      </w:pPr>
      <w:r>
        <w:rPr>
          <w:rFonts w:ascii="Arial" w:eastAsia="Arial" w:hAnsi="Arial" w:cs="Arial"/>
          <w:sz w:val="16"/>
        </w:rPr>
        <w:t>(1)</w:t>
      </w:r>
      <w:r>
        <w:rPr>
          <w:rFonts w:ascii="Arial" w:eastAsia="Arial" w:hAnsi="Arial" w:cs="Arial"/>
          <w:sz w:val="16"/>
          <w:vertAlign w:val="superscript"/>
        </w:rPr>
        <w:t xml:space="preserve"> </w:t>
      </w:r>
      <w:r>
        <w:rPr>
          <w:rFonts w:ascii="Arial" w:eastAsia="Arial" w:hAnsi="Arial" w:cs="Arial"/>
          <w:sz w:val="16"/>
        </w:rPr>
        <w:t>Free cash flow is a non-GAAP financial measure and is calculated from cash provided by operations reduced by purchases of property, plant and equipment. QIAGEN believes this is a common financial measure useful to further evaluate the results of operations.</w:t>
      </w:r>
    </w:p>
    <w:p w14:paraId="18E711B2" w14:textId="77777777" w:rsidR="007E7656" w:rsidRPr="003E2FDB" w:rsidRDefault="007E7656">
      <w:pPr>
        <w:rPr>
          <w:rStyle w:val="Hyperlink"/>
          <w:rFonts w:ascii="Arial" w:eastAsia="Arial" w:hAnsi="Arial" w:cs="Arial"/>
          <w:u w:color="0000FF"/>
        </w:rPr>
      </w:pPr>
    </w:p>
    <w:sectPr w:rsidR="007E7656" w:rsidRPr="003E2FDB" w:rsidSect="006077F9">
      <w:headerReference w:type="default" r:id="rId10"/>
      <w:footerReference w:type="default" r:id="rId11"/>
      <w:pgSz w:w="11952" w:h="16848"/>
      <w:pgMar w:top="1440" w:right="1037" w:bottom="860" w:left="990" w:header="432" w:footer="440" w:gutter="0"/>
      <w:pgNumType w:chapSep="period"/>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3B8435" w14:textId="77777777" w:rsidR="00F554B8" w:rsidRDefault="00F554B8">
      <w:r>
        <w:separator/>
      </w:r>
    </w:p>
  </w:endnote>
  <w:endnote w:type="continuationSeparator" w:id="0">
    <w:p w14:paraId="2BD18C28" w14:textId="77777777" w:rsidR="00F554B8" w:rsidRDefault="00F554B8">
      <w:r>
        <w:continuationSeparator/>
      </w:r>
    </w:p>
  </w:endnote>
  <w:endnote w:type="continuationNotice" w:id="1">
    <w:p w14:paraId="49573B2E" w14:textId="77777777" w:rsidR="00F554B8" w:rsidRDefault="00F55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1733804"/>
      <w:docPartObj>
        <w:docPartGallery w:val="Page Numbers (Bottom of Page)"/>
        <w:docPartUnique/>
      </w:docPartObj>
    </w:sdtPr>
    <w:sdtEndPr>
      <w:rPr>
        <w:rFonts w:ascii="Arial" w:hAnsi="Arial" w:cs="Arial"/>
        <w:noProof/>
      </w:rPr>
    </w:sdtEndPr>
    <w:sdtContent>
      <w:p w14:paraId="12DBDB9D" w14:textId="77777777" w:rsidR="002F3994" w:rsidRPr="0069102A" w:rsidRDefault="002F3994">
        <w:pPr>
          <w:pStyle w:val="Fuzeile"/>
          <w:jc w:val="right"/>
          <w:rPr>
            <w:rFonts w:ascii="Arial" w:hAnsi="Arial" w:cs="Arial"/>
          </w:rPr>
        </w:pPr>
        <w:r w:rsidRPr="0069102A">
          <w:rPr>
            <w:rFonts w:ascii="Arial" w:hAnsi="Arial" w:cs="Arial"/>
          </w:rPr>
          <w:fldChar w:fldCharType="begin"/>
        </w:r>
        <w:r w:rsidRPr="0069102A">
          <w:rPr>
            <w:rFonts w:ascii="Arial" w:hAnsi="Arial" w:cs="Arial"/>
          </w:rPr>
          <w:instrText xml:space="preserve"> PAGE   \* MERGEFORMAT </w:instrText>
        </w:r>
        <w:r w:rsidRPr="0069102A">
          <w:rPr>
            <w:rFonts w:ascii="Arial" w:hAnsi="Arial" w:cs="Arial"/>
          </w:rPr>
          <w:fldChar w:fldCharType="separate"/>
        </w:r>
        <w:r>
          <w:rPr>
            <w:rFonts w:ascii="Arial" w:hAnsi="Arial" w:cs="Arial"/>
            <w:noProof/>
          </w:rPr>
          <w:t>1</w:t>
        </w:r>
        <w:r w:rsidRPr="0069102A">
          <w:rPr>
            <w:rFonts w:ascii="Arial" w:hAnsi="Arial" w:cs="Arial"/>
            <w:noProof/>
          </w:rPr>
          <w:fldChar w:fldCharType="end"/>
        </w:r>
      </w:p>
    </w:sdtContent>
  </w:sdt>
  <w:p w14:paraId="1784E490" w14:textId="77777777" w:rsidR="002F3994" w:rsidRDefault="002F3994">
    <w:pPr>
      <w:spacing w:line="288" w:lineRule="auto"/>
      <w:rPr>
        <w:rFonts w:ascii="Arial" w:eastAsia="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CC31" w14:textId="77777777" w:rsidR="00F554B8" w:rsidRDefault="00F554B8">
      <w:r>
        <w:separator/>
      </w:r>
    </w:p>
  </w:footnote>
  <w:footnote w:type="continuationSeparator" w:id="0">
    <w:p w14:paraId="71953CF8" w14:textId="77777777" w:rsidR="00F554B8" w:rsidRDefault="00F554B8">
      <w:r>
        <w:continuationSeparator/>
      </w:r>
    </w:p>
  </w:footnote>
  <w:footnote w:type="continuationNotice" w:id="1">
    <w:p w14:paraId="0E86ED77" w14:textId="77777777" w:rsidR="00F554B8" w:rsidRDefault="00F554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AA92D" w14:textId="77777777" w:rsidR="002F3994" w:rsidRPr="00813776" w:rsidRDefault="002F3994" w:rsidP="002F325B">
    <w:pPr>
      <w:spacing w:line="288" w:lineRule="auto"/>
      <w:jc w:val="right"/>
      <w:rPr>
        <w:rFonts w:ascii="Arial" w:eastAsia="Arial" w:hAnsi="Arial" w:cs="Arial"/>
        <w:color w:val="FF0000"/>
        <w:sz w:val="28"/>
      </w:rPr>
    </w:pPr>
    <w:r w:rsidRPr="000770B7">
      <w:rPr>
        <w:noProof/>
        <w:color w:val="FF0000"/>
        <w:sz w:val="32"/>
        <w:szCs w:val="24"/>
        <w:lang w:eastAsia="en-US"/>
      </w:rPr>
      <w:drawing>
        <wp:anchor distT="0" distB="0" distL="114300" distR="114300" simplePos="0" relativeHeight="251661312" behindDoc="1" locked="0" layoutInCell="1" allowOverlap="1" wp14:anchorId="6AC99C5B" wp14:editId="53803BDB">
          <wp:simplePos x="0" y="0"/>
          <wp:positionH relativeFrom="margin">
            <wp:posOffset>-628650</wp:posOffset>
          </wp:positionH>
          <wp:positionV relativeFrom="page">
            <wp:posOffset>100965</wp:posOffset>
          </wp:positionV>
          <wp:extent cx="7823835" cy="101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1016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C4B4D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AF8C3C0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0A4A43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00C35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0682A4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40B0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209E4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D6708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8099A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DEF7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7717E53"/>
    <w:multiLevelType w:val="multilevel"/>
    <w:tmpl w:val="15523FA8"/>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18384D9A"/>
    <w:multiLevelType w:val="hybridMultilevel"/>
    <w:tmpl w:val="8CF2BC4A"/>
    <w:lvl w:ilvl="0" w:tplc="04090003">
      <w:start w:val="1"/>
      <w:numFmt w:val="bullet"/>
      <w:lvlText w:val="o"/>
      <w:lvlJc w:val="left"/>
      <w:pPr>
        <w:ind w:hanging="360"/>
      </w:pPr>
      <w:rPr>
        <w:rFonts w:ascii="Courier New" w:hAnsi="Courier New" w:cs="Courier New"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12" w15:restartNumberingAfterBreak="0">
    <w:nsid w:val="1E5B520B"/>
    <w:multiLevelType w:val="multilevel"/>
    <w:tmpl w:val="7DCC78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E9C7AD1"/>
    <w:multiLevelType w:val="hybridMultilevel"/>
    <w:tmpl w:val="F1923186"/>
    <w:lvl w:ilvl="0" w:tplc="722677BA">
      <w:start w:val="1"/>
      <w:numFmt w:val="bullet"/>
      <w:lvlText w:val="• "/>
      <w:lvlJc w:val="left"/>
      <w:pPr>
        <w:ind w:hanging="360"/>
      </w:pPr>
    </w:lvl>
    <w:lvl w:ilvl="1" w:tplc="97923352">
      <w:numFmt w:val="decimal"/>
      <w:lvlText w:val=""/>
      <w:lvlJc w:val="left"/>
    </w:lvl>
    <w:lvl w:ilvl="2" w:tplc="193C6376">
      <w:numFmt w:val="decimal"/>
      <w:lvlText w:val=""/>
      <w:lvlJc w:val="left"/>
    </w:lvl>
    <w:lvl w:ilvl="3" w:tplc="0C2A2B94">
      <w:numFmt w:val="decimal"/>
      <w:lvlText w:val=""/>
      <w:lvlJc w:val="left"/>
    </w:lvl>
    <w:lvl w:ilvl="4" w:tplc="114E2676">
      <w:numFmt w:val="decimal"/>
      <w:lvlText w:val=""/>
      <w:lvlJc w:val="left"/>
    </w:lvl>
    <w:lvl w:ilvl="5" w:tplc="C9A202CA">
      <w:numFmt w:val="decimal"/>
      <w:lvlText w:val=""/>
      <w:lvlJc w:val="left"/>
    </w:lvl>
    <w:lvl w:ilvl="6" w:tplc="3D5202DC">
      <w:numFmt w:val="decimal"/>
      <w:lvlText w:val=""/>
      <w:lvlJc w:val="left"/>
    </w:lvl>
    <w:lvl w:ilvl="7" w:tplc="1B169026">
      <w:numFmt w:val="decimal"/>
      <w:lvlText w:val=""/>
      <w:lvlJc w:val="left"/>
    </w:lvl>
    <w:lvl w:ilvl="8" w:tplc="A36ABC6E">
      <w:numFmt w:val="decimal"/>
      <w:lvlText w:val=""/>
      <w:lvlJc w:val="left"/>
    </w:lvl>
  </w:abstractNum>
  <w:abstractNum w:abstractNumId="14" w15:restartNumberingAfterBreak="0">
    <w:nsid w:val="2AF12393"/>
    <w:multiLevelType w:val="multilevel"/>
    <w:tmpl w:val="F9B2B252"/>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o"/>
      <w:lvlJc w:val="left"/>
      <w:pPr>
        <w:tabs>
          <w:tab w:val="num" w:pos="2520"/>
        </w:tabs>
        <w:ind w:left="2520" w:hanging="360"/>
      </w:pPr>
      <w:rPr>
        <w:rFonts w:ascii="Courier New" w:hAnsi="Courier New" w:cs="Courier New"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3D1A6066"/>
    <w:multiLevelType w:val="hybridMultilevel"/>
    <w:tmpl w:val="0ACA488A"/>
    <w:lvl w:ilvl="0" w:tplc="4482A95A">
      <w:start w:val="1"/>
      <w:numFmt w:val="bullet"/>
      <w:lvlText w:val="• "/>
      <w:lvlJc w:val="left"/>
      <w:pPr>
        <w:ind w:hanging="360"/>
      </w:pPr>
    </w:lvl>
    <w:lvl w:ilvl="1" w:tplc="5A06251C">
      <w:numFmt w:val="decimal"/>
      <w:lvlText w:val=""/>
      <w:lvlJc w:val="left"/>
    </w:lvl>
    <w:lvl w:ilvl="2" w:tplc="EE28186C">
      <w:numFmt w:val="decimal"/>
      <w:lvlText w:val=""/>
      <w:lvlJc w:val="left"/>
    </w:lvl>
    <w:lvl w:ilvl="3" w:tplc="2B5835D8">
      <w:numFmt w:val="decimal"/>
      <w:lvlText w:val=""/>
      <w:lvlJc w:val="left"/>
    </w:lvl>
    <w:lvl w:ilvl="4" w:tplc="269693CE">
      <w:numFmt w:val="decimal"/>
      <w:lvlText w:val=""/>
      <w:lvlJc w:val="left"/>
    </w:lvl>
    <w:lvl w:ilvl="5" w:tplc="F3EE97A8">
      <w:numFmt w:val="decimal"/>
      <w:lvlText w:val=""/>
      <w:lvlJc w:val="left"/>
    </w:lvl>
    <w:lvl w:ilvl="6" w:tplc="A042961A">
      <w:numFmt w:val="decimal"/>
      <w:lvlText w:val=""/>
      <w:lvlJc w:val="left"/>
    </w:lvl>
    <w:lvl w:ilvl="7" w:tplc="0FCEB454">
      <w:numFmt w:val="decimal"/>
      <w:lvlText w:val=""/>
      <w:lvlJc w:val="left"/>
    </w:lvl>
    <w:lvl w:ilvl="8" w:tplc="A1A0EDAE">
      <w:numFmt w:val="decimal"/>
      <w:lvlText w:val=""/>
      <w:lvlJc w:val="left"/>
    </w:lvl>
  </w:abstractNum>
  <w:abstractNum w:abstractNumId="16" w15:restartNumberingAfterBreak="0">
    <w:nsid w:val="41B75C84"/>
    <w:multiLevelType w:val="hybridMultilevel"/>
    <w:tmpl w:val="87E27EFC"/>
    <w:lvl w:ilvl="0" w:tplc="04090001">
      <w:start w:val="1"/>
      <w:numFmt w:val="bullet"/>
      <w:lvlText w:val=""/>
      <w:lvlJc w:val="left"/>
      <w:pPr>
        <w:ind w:hanging="360"/>
      </w:pPr>
      <w:rPr>
        <w:rFonts w:ascii="Symbol" w:hAnsi="Symbol" w:hint="default"/>
      </w:rPr>
    </w:lvl>
    <w:lvl w:ilvl="1" w:tplc="FA286F14">
      <w:start w:val="1"/>
      <w:numFmt w:val="decimalEnclosedCircle"/>
      <w:lvlText w:val="◦ "/>
      <w:lvlJc w:val="left"/>
      <w:pPr>
        <w:ind w:hanging="360"/>
      </w:pPr>
    </w:lvl>
    <w:lvl w:ilvl="2" w:tplc="C60AFB84">
      <w:numFmt w:val="decimal"/>
      <w:lvlText w:val=""/>
      <w:lvlJc w:val="left"/>
    </w:lvl>
    <w:lvl w:ilvl="3" w:tplc="BD5CF208">
      <w:numFmt w:val="decimal"/>
      <w:lvlText w:val=""/>
      <w:lvlJc w:val="left"/>
    </w:lvl>
    <w:lvl w:ilvl="4" w:tplc="A764430C">
      <w:numFmt w:val="decimal"/>
      <w:lvlText w:val=""/>
      <w:lvlJc w:val="left"/>
    </w:lvl>
    <w:lvl w:ilvl="5" w:tplc="A46AF214">
      <w:numFmt w:val="decimal"/>
      <w:lvlText w:val=""/>
      <w:lvlJc w:val="left"/>
    </w:lvl>
    <w:lvl w:ilvl="6" w:tplc="9098AE64">
      <w:numFmt w:val="decimal"/>
      <w:lvlText w:val=""/>
      <w:lvlJc w:val="left"/>
    </w:lvl>
    <w:lvl w:ilvl="7" w:tplc="B19E7B44">
      <w:numFmt w:val="decimal"/>
      <w:lvlText w:val=""/>
      <w:lvlJc w:val="left"/>
    </w:lvl>
    <w:lvl w:ilvl="8" w:tplc="5D4A3AC6">
      <w:numFmt w:val="decimal"/>
      <w:lvlText w:val=""/>
      <w:lvlJc w:val="left"/>
    </w:lvl>
  </w:abstractNum>
  <w:abstractNum w:abstractNumId="17" w15:restartNumberingAfterBreak="0">
    <w:nsid w:val="50F0495A"/>
    <w:multiLevelType w:val="multilevel"/>
    <w:tmpl w:val="8BC0E40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56862BE4"/>
    <w:multiLevelType w:val="hybridMultilevel"/>
    <w:tmpl w:val="FBEC3D44"/>
    <w:lvl w:ilvl="0" w:tplc="A26EC55A">
      <w:start w:val="1"/>
      <w:numFmt w:val="bullet"/>
      <w:lvlText w:val="• "/>
      <w:lvlJc w:val="left"/>
      <w:pPr>
        <w:ind w:hanging="360"/>
      </w:pPr>
    </w:lvl>
    <w:lvl w:ilvl="1" w:tplc="94701EDA">
      <w:numFmt w:val="decimal"/>
      <w:lvlText w:val=""/>
      <w:lvlJc w:val="left"/>
    </w:lvl>
    <w:lvl w:ilvl="2" w:tplc="193EBD2E">
      <w:numFmt w:val="decimal"/>
      <w:lvlText w:val=""/>
      <w:lvlJc w:val="left"/>
    </w:lvl>
    <w:lvl w:ilvl="3" w:tplc="FDF8A66C">
      <w:numFmt w:val="decimal"/>
      <w:lvlText w:val=""/>
      <w:lvlJc w:val="left"/>
    </w:lvl>
    <w:lvl w:ilvl="4" w:tplc="FCB657A0">
      <w:numFmt w:val="decimal"/>
      <w:lvlText w:val=""/>
      <w:lvlJc w:val="left"/>
    </w:lvl>
    <w:lvl w:ilvl="5" w:tplc="06F411C6">
      <w:numFmt w:val="decimal"/>
      <w:lvlText w:val=""/>
      <w:lvlJc w:val="left"/>
    </w:lvl>
    <w:lvl w:ilvl="6" w:tplc="46B05F1C">
      <w:numFmt w:val="decimal"/>
      <w:lvlText w:val=""/>
      <w:lvlJc w:val="left"/>
    </w:lvl>
    <w:lvl w:ilvl="7" w:tplc="50CE6080">
      <w:numFmt w:val="decimal"/>
      <w:lvlText w:val=""/>
      <w:lvlJc w:val="left"/>
    </w:lvl>
    <w:lvl w:ilvl="8" w:tplc="7D328E86">
      <w:numFmt w:val="decimal"/>
      <w:lvlText w:val=""/>
      <w:lvlJc w:val="left"/>
    </w:lvl>
  </w:abstractNum>
  <w:abstractNum w:abstractNumId="19" w15:restartNumberingAfterBreak="0">
    <w:nsid w:val="5A3438EA"/>
    <w:multiLevelType w:val="hybridMultilevel"/>
    <w:tmpl w:val="4CA817A6"/>
    <w:lvl w:ilvl="0" w:tplc="04090003">
      <w:start w:val="1"/>
      <w:numFmt w:val="bullet"/>
      <w:lvlText w:val="o"/>
      <w:lvlJc w:val="left"/>
      <w:pPr>
        <w:ind w:hanging="360"/>
      </w:pPr>
      <w:rPr>
        <w:rFonts w:ascii="Courier New" w:hAnsi="Courier New" w:cs="Courier New"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0" w15:restartNumberingAfterBreak="0">
    <w:nsid w:val="5C781F0C"/>
    <w:multiLevelType w:val="hybridMultilevel"/>
    <w:tmpl w:val="B4747EF6"/>
    <w:lvl w:ilvl="0" w:tplc="04090001">
      <w:start w:val="1"/>
      <w:numFmt w:val="bullet"/>
      <w:lvlText w:val=""/>
      <w:lvlJc w:val="left"/>
      <w:pPr>
        <w:ind w:hanging="360"/>
      </w:pPr>
      <w:rPr>
        <w:rFonts w:ascii="Symbol" w:hAnsi="Symbol" w:hint="default"/>
      </w:rPr>
    </w:lvl>
    <w:lvl w:ilvl="1" w:tplc="04090001">
      <w:start w:val="1"/>
      <w:numFmt w:val="bullet"/>
      <w:lvlText w:val=""/>
      <w:lvlJc w:val="left"/>
      <w:rPr>
        <w:rFonts w:ascii="Symbol" w:hAnsi="Symbol" w:hint="default"/>
      </w:rPr>
    </w:lvl>
    <w:lvl w:ilvl="2" w:tplc="B7C20260">
      <w:numFmt w:val="decimal"/>
      <w:lvlText w:val=""/>
      <w:lvlJc w:val="left"/>
    </w:lvl>
    <w:lvl w:ilvl="3" w:tplc="5EFC6F9C">
      <w:numFmt w:val="decimal"/>
      <w:lvlText w:val=""/>
      <w:lvlJc w:val="left"/>
    </w:lvl>
    <w:lvl w:ilvl="4" w:tplc="29C6F95A">
      <w:numFmt w:val="decimal"/>
      <w:lvlText w:val=""/>
      <w:lvlJc w:val="left"/>
    </w:lvl>
    <w:lvl w:ilvl="5" w:tplc="797627D4">
      <w:numFmt w:val="decimal"/>
      <w:lvlText w:val=""/>
      <w:lvlJc w:val="left"/>
    </w:lvl>
    <w:lvl w:ilvl="6" w:tplc="4EFA237A">
      <w:numFmt w:val="decimal"/>
      <w:lvlText w:val=""/>
      <w:lvlJc w:val="left"/>
    </w:lvl>
    <w:lvl w:ilvl="7" w:tplc="5F9C752A">
      <w:numFmt w:val="decimal"/>
      <w:lvlText w:val=""/>
      <w:lvlJc w:val="left"/>
    </w:lvl>
    <w:lvl w:ilvl="8" w:tplc="2D1CE466">
      <w:numFmt w:val="decimal"/>
      <w:lvlText w:val=""/>
      <w:lvlJc w:val="left"/>
    </w:lvl>
  </w:abstractNum>
  <w:abstractNum w:abstractNumId="21" w15:restartNumberingAfterBreak="0">
    <w:nsid w:val="5EE655C0"/>
    <w:multiLevelType w:val="hybridMultilevel"/>
    <w:tmpl w:val="E190E53C"/>
    <w:lvl w:ilvl="0" w:tplc="D4A206FC">
      <w:start w:val="1"/>
      <w:numFmt w:val="decimal"/>
      <w:lvlText w:val="(%1)"/>
      <w:lvlJc w:val="left"/>
      <w:pPr>
        <w:tabs>
          <w:tab w:val="num" w:pos="720"/>
        </w:tabs>
        <w:ind w:left="720" w:hanging="360"/>
      </w:pPr>
    </w:lvl>
    <w:lvl w:ilvl="1" w:tplc="4754F58C" w:tentative="1">
      <w:start w:val="1"/>
      <w:numFmt w:val="decimal"/>
      <w:lvlText w:val="(%2)"/>
      <w:lvlJc w:val="left"/>
      <w:pPr>
        <w:tabs>
          <w:tab w:val="num" w:pos="1440"/>
        </w:tabs>
        <w:ind w:left="1440" w:hanging="360"/>
      </w:pPr>
    </w:lvl>
    <w:lvl w:ilvl="2" w:tplc="B56ED400" w:tentative="1">
      <w:start w:val="1"/>
      <w:numFmt w:val="decimal"/>
      <w:lvlText w:val="(%3)"/>
      <w:lvlJc w:val="left"/>
      <w:pPr>
        <w:tabs>
          <w:tab w:val="num" w:pos="2160"/>
        </w:tabs>
        <w:ind w:left="2160" w:hanging="360"/>
      </w:pPr>
    </w:lvl>
    <w:lvl w:ilvl="3" w:tplc="9A9A9F2A" w:tentative="1">
      <w:start w:val="1"/>
      <w:numFmt w:val="decimal"/>
      <w:lvlText w:val="(%4)"/>
      <w:lvlJc w:val="left"/>
      <w:pPr>
        <w:tabs>
          <w:tab w:val="num" w:pos="2880"/>
        </w:tabs>
        <w:ind w:left="2880" w:hanging="360"/>
      </w:pPr>
    </w:lvl>
    <w:lvl w:ilvl="4" w:tplc="B8808CF6" w:tentative="1">
      <w:start w:val="1"/>
      <w:numFmt w:val="decimal"/>
      <w:lvlText w:val="(%5)"/>
      <w:lvlJc w:val="left"/>
      <w:pPr>
        <w:tabs>
          <w:tab w:val="num" w:pos="3600"/>
        </w:tabs>
        <w:ind w:left="3600" w:hanging="360"/>
      </w:pPr>
    </w:lvl>
    <w:lvl w:ilvl="5" w:tplc="6520F618" w:tentative="1">
      <w:start w:val="1"/>
      <w:numFmt w:val="decimal"/>
      <w:lvlText w:val="(%6)"/>
      <w:lvlJc w:val="left"/>
      <w:pPr>
        <w:tabs>
          <w:tab w:val="num" w:pos="4320"/>
        </w:tabs>
        <w:ind w:left="4320" w:hanging="360"/>
      </w:pPr>
    </w:lvl>
    <w:lvl w:ilvl="6" w:tplc="B1C0C4BC" w:tentative="1">
      <w:start w:val="1"/>
      <w:numFmt w:val="decimal"/>
      <w:lvlText w:val="(%7)"/>
      <w:lvlJc w:val="left"/>
      <w:pPr>
        <w:tabs>
          <w:tab w:val="num" w:pos="5040"/>
        </w:tabs>
        <w:ind w:left="5040" w:hanging="360"/>
      </w:pPr>
    </w:lvl>
    <w:lvl w:ilvl="7" w:tplc="DABA91EE" w:tentative="1">
      <w:start w:val="1"/>
      <w:numFmt w:val="decimal"/>
      <w:lvlText w:val="(%8)"/>
      <w:lvlJc w:val="left"/>
      <w:pPr>
        <w:tabs>
          <w:tab w:val="num" w:pos="5760"/>
        </w:tabs>
        <w:ind w:left="5760" w:hanging="360"/>
      </w:pPr>
    </w:lvl>
    <w:lvl w:ilvl="8" w:tplc="DB387884" w:tentative="1">
      <w:start w:val="1"/>
      <w:numFmt w:val="decimal"/>
      <w:lvlText w:val="(%9)"/>
      <w:lvlJc w:val="left"/>
      <w:pPr>
        <w:tabs>
          <w:tab w:val="num" w:pos="6480"/>
        </w:tabs>
        <w:ind w:left="6480" w:hanging="360"/>
      </w:pPr>
    </w:lvl>
  </w:abstractNum>
  <w:abstractNum w:abstractNumId="22" w15:restartNumberingAfterBreak="0">
    <w:nsid w:val="66D1346E"/>
    <w:multiLevelType w:val="multilevel"/>
    <w:tmpl w:val="639E2374"/>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757E5C"/>
    <w:multiLevelType w:val="hybridMultilevel"/>
    <w:tmpl w:val="EB4A149E"/>
    <w:lvl w:ilvl="0" w:tplc="04090001">
      <w:start w:val="1"/>
      <w:numFmt w:val="bullet"/>
      <w:lvlText w:val=""/>
      <w:lvlJc w:val="left"/>
      <w:pPr>
        <w:ind w:hanging="360"/>
      </w:pPr>
      <w:rPr>
        <w:rFonts w:ascii="Symbol" w:hAnsi="Symbol" w:hint="default"/>
        <w:sz w:val="24"/>
        <w:szCs w:val="24"/>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4" w15:restartNumberingAfterBreak="0">
    <w:nsid w:val="70163B4C"/>
    <w:multiLevelType w:val="hybridMultilevel"/>
    <w:tmpl w:val="2402AB30"/>
    <w:lvl w:ilvl="0" w:tplc="E5FE08E2">
      <w:start w:val="1"/>
      <w:numFmt w:val="bullet"/>
      <w:lvlText w:val="• "/>
      <w:lvlJc w:val="left"/>
      <w:pPr>
        <w:ind w:hanging="360"/>
      </w:pPr>
    </w:lvl>
    <w:lvl w:ilvl="1" w:tplc="2C7046C8">
      <w:numFmt w:val="decimal"/>
      <w:lvlText w:val=""/>
      <w:lvlJc w:val="left"/>
    </w:lvl>
    <w:lvl w:ilvl="2" w:tplc="CB6A4572">
      <w:numFmt w:val="decimal"/>
      <w:lvlText w:val=""/>
      <w:lvlJc w:val="left"/>
    </w:lvl>
    <w:lvl w:ilvl="3" w:tplc="BC406B22">
      <w:numFmt w:val="decimal"/>
      <w:lvlText w:val=""/>
      <w:lvlJc w:val="left"/>
    </w:lvl>
    <w:lvl w:ilvl="4" w:tplc="7486DBB8">
      <w:numFmt w:val="decimal"/>
      <w:lvlText w:val=""/>
      <w:lvlJc w:val="left"/>
    </w:lvl>
    <w:lvl w:ilvl="5" w:tplc="A72CE68A">
      <w:numFmt w:val="decimal"/>
      <w:lvlText w:val=""/>
      <w:lvlJc w:val="left"/>
    </w:lvl>
    <w:lvl w:ilvl="6" w:tplc="FECC94F4">
      <w:numFmt w:val="decimal"/>
      <w:lvlText w:val=""/>
      <w:lvlJc w:val="left"/>
    </w:lvl>
    <w:lvl w:ilvl="7" w:tplc="B8BCA0FC">
      <w:numFmt w:val="decimal"/>
      <w:lvlText w:val=""/>
      <w:lvlJc w:val="left"/>
    </w:lvl>
    <w:lvl w:ilvl="8" w:tplc="5C70C624">
      <w:numFmt w:val="decimal"/>
      <w:lvlText w:val=""/>
      <w:lvlJc w:val="left"/>
    </w:lvl>
  </w:abstractNum>
  <w:abstractNum w:abstractNumId="25" w15:restartNumberingAfterBreak="0">
    <w:nsid w:val="79131B52"/>
    <w:multiLevelType w:val="multilevel"/>
    <w:tmpl w:val="B88EBA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C730E62"/>
    <w:multiLevelType w:val="hybridMultilevel"/>
    <w:tmpl w:val="3CB42E26"/>
    <w:lvl w:ilvl="0" w:tplc="04090001">
      <w:start w:val="1"/>
      <w:numFmt w:val="bullet"/>
      <w:lvlText w:val=""/>
      <w:lvlJc w:val="left"/>
      <w:pPr>
        <w:ind w:hanging="360"/>
      </w:pPr>
      <w:rPr>
        <w:rFonts w:ascii="Symbol" w:hAnsi="Symbol" w:hint="default"/>
      </w:rPr>
    </w:lvl>
    <w:lvl w:ilvl="1" w:tplc="C1BA9294">
      <w:numFmt w:val="decimal"/>
      <w:lvlText w:val=""/>
      <w:lvlJc w:val="left"/>
    </w:lvl>
    <w:lvl w:ilvl="2" w:tplc="E3FA84C4">
      <w:numFmt w:val="decimal"/>
      <w:lvlText w:val=""/>
      <w:lvlJc w:val="left"/>
    </w:lvl>
    <w:lvl w:ilvl="3" w:tplc="B656AD3E">
      <w:numFmt w:val="decimal"/>
      <w:lvlText w:val=""/>
      <w:lvlJc w:val="left"/>
    </w:lvl>
    <w:lvl w:ilvl="4" w:tplc="98CEB24A">
      <w:numFmt w:val="decimal"/>
      <w:lvlText w:val=""/>
      <w:lvlJc w:val="left"/>
    </w:lvl>
    <w:lvl w:ilvl="5" w:tplc="66E49F80">
      <w:numFmt w:val="decimal"/>
      <w:lvlText w:val=""/>
      <w:lvlJc w:val="left"/>
    </w:lvl>
    <w:lvl w:ilvl="6" w:tplc="902ED416">
      <w:numFmt w:val="decimal"/>
      <w:lvlText w:val=""/>
      <w:lvlJc w:val="left"/>
    </w:lvl>
    <w:lvl w:ilvl="7" w:tplc="11D0DFD0">
      <w:numFmt w:val="decimal"/>
      <w:lvlText w:val=""/>
      <w:lvlJc w:val="left"/>
    </w:lvl>
    <w:lvl w:ilvl="8" w:tplc="DE6A11E6">
      <w:numFmt w:val="decimal"/>
      <w:lvlText w:val=""/>
      <w:lvlJc w:val="left"/>
    </w:lvl>
  </w:abstractNum>
  <w:abstractNum w:abstractNumId="27" w15:restartNumberingAfterBreak="0">
    <w:nsid w:val="7FE30111"/>
    <w:multiLevelType w:val="hybridMultilevel"/>
    <w:tmpl w:val="124A1C4C"/>
    <w:lvl w:ilvl="0" w:tplc="14624EB8">
      <w:start w:val="1"/>
      <w:numFmt w:val="bullet"/>
      <w:lvlText w:val="• "/>
      <w:lvlJc w:val="left"/>
      <w:pPr>
        <w:ind w:hanging="360"/>
      </w:pPr>
    </w:lvl>
    <w:lvl w:ilvl="1" w:tplc="7102FE2C">
      <w:start w:val="1"/>
      <w:numFmt w:val="decimalEnclosedCircle"/>
      <w:lvlText w:val="◦ "/>
      <w:lvlJc w:val="left"/>
      <w:pPr>
        <w:ind w:hanging="360"/>
      </w:pPr>
    </w:lvl>
    <w:lvl w:ilvl="2" w:tplc="8DEE47B2">
      <w:numFmt w:val="decimal"/>
      <w:lvlText w:val=""/>
      <w:lvlJc w:val="left"/>
    </w:lvl>
    <w:lvl w:ilvl="3" w:tplc="00703862">
      <w:numFmt w:val="decimal"/>
      <w:lvlText w:val=""/>
      <w:lvlJc w:val="left"/>
    </w:lvl>
    <w:lvl w:ilvl="4" w:tplc="60FAB5B8">
      <w:numFmt w:val="decimal"/>
      <w:lvlText w:val=""/>
      <w:lvlJc w:val="left"/>
    </w:lvl>
    <w:lvl w:ilvl="5" w:tplc="EA660AE6">
      <w:numFmt w:val="decimal"/>
      <w:lvlText w:val=""/>
      <w:lvlJc w:val="left"/>
    </w:lvl>
    <w:lvl w:ilvl="6" w:tplc="7618F79C">
      <w:numFmt w:val="decimal"/>
      <w:lvlText w:val=""/>
      <w:lvlJc w:val="left"/>
    </w:lvl>
    <w:lvl w:ilvl="7" w:tplc="DA962C02">
      <w:numFmt w:val="decimal"/>
      <w:lvlText w:val=""/>
      <w:lvlJc w:val="left"/>
    </w:lvl>
    <w:lvl w:ilvl="8" w:tplc="BEA082F0">
      <w:numFmt w:val="decimal"/>
      <w:lvlText w:val=""/>
      <w:lvlJc w:val="left"/>
    </w:lvl>
  </w:abstractNum>
  <w:num w:numId="1">
    <w:abstractNumId w:val="27"/>
  </w:num>
  <w:num w:numId="2">
    <w:abstractNumId w:val="18"/>
  </w:num>
  <w:num w:numId="3">
    <w:abstractNumId w:val="13"/>
  </w:num>
  <w:num w:numId="4">
    <w:abstractNumId w:val="15"/>
  </w:num>
  <w:num w:numId="5">
    <w:abstractNumId w:val="24"/>
  </w:num>
  <w:num w:numId="6">
    <w:abstractNumId w:val="20"/>
  </w:num>
  <w:num w:numId="7">
    <w:abstractNumId w:val="16"/>
  </w:num>
  <w:num w:numId="8">
    <w:abstractNumId w:val="26"/>
  </w:num>
  <w:num w:numId="9">
    <w:abstractNumId w:val="19"/>
  </w:num>
  <w:num w:numId="10">
    <w:abstractNumId w:val="11"/>
  </w:num>
  <w:num w:numId="11">
    <w:abstractNumId w:val="22"/>
  </w:num>
  <w:num w:numId="12">
    <w:abstractNumId w:val="10"/>
  </w:num>
  <w:num w:numId="13">
    <w:abstractNumId w:val="14"/>
  </w:num>
  <w:num w:numId="14">
    <w:abstractNumId w:val="21"/>
  </w:num>
  <w:num w:numId="15">
    <w:abstractNumId w:val="23"/>
  </w:num>
  <w:num w:numId="16">
    <w:abstractNumId w:val="12"/>
  </w:num>
  <w:num w:numId="17">
    <w:abstractNumId w:val="17"/>
  </w:num>
  <w:num w:numId="18">
    <w:abstractNumId w:val="25"/>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DAzMzE3MrI0tTQyMzFQ0lEKTi0uzszPAykwMqgFAEEwWZQtAAAA"/>
  </w:docVars>
  <w:rsids>
    <w:rsidRoot w:val="007306DE"/>
    <w:rsid w:val="0000487D"/>
    <w:rsid w:val="000049F4"/>
    <w:rsid w:val="00013DC5"/>
    <w:rsid w:val="00014683"/>
    <w:rsid w:val="00024BC8"/>
    <w:rsid w:val="000300D9"/>
    <w:rsid w:val="00033548"/>
    <w:rsid w:val="00035567"/>
    <w:rsid w:val="00037D2E"/>
    <w:rsid w:val="00044CAC"/>
    <w:rsid w:val="00052054"/>
    <w:rsid w:val="00054326"/>
    <w:rsid w:val="00054BA7"/>
    <w:rsid w:val="00057F3F"/>
    <w:rsid w:val="0006435B"/>
    <w:rsid w:val="000648BC"/>
    <w:rsid w:val="0007055D"/>
    <w:rsid w:val="00070938"/>
    <w:rsid w:val="000735AF"/>
    <w:rsid w:val="00073BF2"/>
    <w:rsid w:val="00073ED8"/>
    <w:rsid w:val="000770B7"/>
    <w:rsid w:val="00080742"/>
    <w:rsid w:val="00083120"/>
    <w:rsid w:val="000838F3"/>
    <w:rsid w:val="00086CAE"/>
    <w:rsid w:val="00093B05"/>
    <w:rsid w:val="00094192"/>
    <w:rsid w:val="00097804"/>
    <w:rsid w:val="000A1182"/>
    <w:rsid w:val="000A3E3B"/>
    <w:rsid w:val="000B06FE"/>
    <w:rsid w:val="000B1162"/>
    <w:rsid w:val="000B4CCF"/>
    <w:rsid w:val="000B64BA"/>
    <w:rsid w:val="000C1101"/>
    <w:rsid w:val="000C4A29"/>
    <w:rsid w:val="000E4B8D"/>
    <w:rsid w:val="000E7BB8"/>
    <w:rsid w:val="000F2114"/>
    <w:rsid w:val="000F5003"/>
    <w:rsid w:val="000F51FA"/>
    <w:rsid w:val="000F531F"/>
    <w:rsid w:val="001132C1"/>
    <w:rsid w:val="001139E3"/>
    <w:rsid w:val="001154FE"/>
    <w:rsid w:val="0011638E"/>
    <w:rsid w:val="00117A12"/>
    <w:rsid w:val="00121538"/>
    <w:rsid w:val="001225C5"/>
    <w:rsid w:val="0012308D"/>
    <w:rsid w:val="00133102"/>
    <w:rsid w:val="00145622"/>
    <w:rsid w:val="00145F37"/>
    <w:rsid w:val="001477F1"/>
    <w:rsid w:val="0015253D"/>
    <w:rsid w:val="001528D6"/>
    <w:rsid w:val="001535C7"/>
    <w:rsid w:val="00163B71"/>
    <w:rsid w:val="00166DB1"/>
    <w:rsid w:val="001721AB"/>
    <w:rsid w:val="001735A4"/>
    <w:rsid w:val="0017693F"/>
    <w:rsid w:val="00177F7A"/>
    <w:rsid w:val="00195994"/>
    <w:rsid w:val="001A208D"/>
    <w:rsid w:val="001A3C74"/>
    <w:rsid w:val="001A7D32"/>
    <w:rsid w:val="001B0493"/>
    <w:rsid w:val="001B48B7"/>
    <w:rsid w:val="001B5A3E"/>
    <w:rsid w:val="001B5B64"/>
    <w:rsid w:val="001C0528"/>
    <w:rsid w:val="001C7FC1"/>
    <w:rsid w:val="001D0EA9"/>
    <w:rsid w:val="001D6434"/>
    <w:rsid w:val="0020377F"/>
    <w:rsid w:val="0021153A"/>
    <w:rsid w:val="002160F4"/>
    <w:rsid w:val="002247F6"/>
    <w:rsid w:val="0023004B"/>
    <w:rsid w:val="00235296"/>
    <w:rsid w:val="00241EAD"/>
    <w:rsid w:val="0024369B"/>
    <w:rsid w:val="002479D5"/>
    <w:rsid w:val="00251667"/>
    <w:rsid w:val="00251D53"/>
    <w:rsid w:val="00252034"/>
    <w:rsid w:val="002563FA"/>
    <w:rsid w:val="00257117"/>
    <w:rsid w:val="002644E9"/>
    <w:rsid w:val="00270A60"/>
    <w:rsid w:val="002737A7"/>
    <w:rsid w:val="00274EF0"/>
    <w:rsid w:val="0028049F"/>
    <w:rsid w:val="00286BDD"/>
    <w:rsid w:val="002873EE"/>
    <w:rsid w:val="00291F0A"/>
    <w:rsid w:val="00292737"/>
    <w:rsid w:val="00294B52"/>
    <w:rsid w:val="002A2246"/>
    <w:rsid w:val="002A7D5E"/>
    <w:rsid w:val="002B229C"/>
    <w:rsid w:val="002B27E6"/>
    <w:rsid w:val="002B6E69"/>
    <w:rsid w:val="002B6EAB"/>
    <w:rsid w:val="002C2EC6"/>
    <w:rsid w:val="002C551A"/>
    <w:rsid w:val="002D1FCC"/>
    <w:rsid w:val="002D3C49"/>
    <w:rsid w:val="002D5359"/>
    <w:rsid w:val="002D70E9"/>
    <w:rsid w:val="002D72C0"/>
    <w:rsid w:val="002E25E1"/>
    <w:rsid w:val="002E2787"/>
    <w:rsid w:val="002E5A2D"/>
    <w:rsid w:val="002F0286"/>
    <w:rsid w:val="002F0FB0"/>
    <w:rsid w:val="002F325B"/>
    <w:rsid w:val="002F34D6"/>
    <w:rsid w:val="002F3994"/>
    <w:rsid w:val="002F3CF3"/>
    <w:rsid w:val="002F5BCC"/>
    <w:rsid w:val="002F7643"/>
    <w:rsid w:val="00304F19"/>
    <w:rsid w:val="00311B78"/>
    <w:rsid w:val="003125A2"/>
    <w:rsid w:val="00312F84"/>
    <w:rsid w:val="0031658F"/>
    <w:rsid w:val="00317DF2"/>
    <w:rsid w:val="00321B8E"/>
    <w:rsid w:val="00321EA2"/>
    <w:rsid w:val="00323276"/>
    <w:rsid w:val="00323EFB"/>
    <w:rsid w:val="0032687A"/>
    <w:rsid w:val="00327D53"/>
    <w:rsid w:val="003400CF"/>
    <w:rsid w:val="00343851"/>
    <w:rsid w:val="00350118"/>
    <w:rsid w:val="00355ED9"/>
    <w:rsid w:val="00360071"/>
    <w:rsid w:val="00364C03"/>
    <w:rsid w:val="00364EA5"/>
    <w:rsid w:val="003650BE"/>
    <w:rsid w:val="0037135E"/>
    <w:rsid w:val="00372D10"/>
    <w:rsid w:val="00376AC2"/>
    <w:rsid w:val="00381FA1"/>
    <w:rsid w:val="00386AF5"/>
    <w:rsid w:val="00392A95"/>
    <w:rsid w:val="003A12CA"/>
    <w:rsid w:val="003A5FBE"/>
    <w:rsid w:val="003A7A2A"/>
    <w:rsid w:val="003B0293"/>
    <w:rsid w:val="003B11C6"/>
    <w:rsid w:val="003B1B4F"/>
    <w:rsid w:val="003B2EB2"/>
    <w:rsid w:val="003B3596"/>
    <w:rsid w:val="003B4246"/>
    <w:rsid w:val="003B7676"/>
    <w:rsid w:val="003B7983"/>
    <w:rsid w:val="003C31C6"/>
    <w:rsid w:val="003C5CD1"/>
    <w:rsid w:val="003D3AFF"/>
    <w:rsid w:val="003D5FAF"/>
    <w:rsid w:val="003D6625"/>
    <w:rsid w:val="003E072F"/>
    <w:rsid w:val="003E2FDB"/>
    <w:rsid w:val="003F4D31"/>
    <w:rsid w:val="003F5CA0"/>
    <w:rsid w:val="00401027"/>
    <w:rsid w:val="00402FB4"/>
    <w:rsid w:val="00403F96"/>
    <w:rsid w:val="004118D0"/>
    <w:rsid w:val="004179E1"/>
    <w:rsid w:val="00423684"/>
    <w:rsid w:val="00430142"/>
    <w:rsid w:val="0043139B"/>
    <w:rsid w:val="00433121"/>
    <w:rsid w:val="004370AF"/>
    <w:rsid w:val="00441376"/>
    <w:rsid w:val="0044166D"/>
    <w:rsid w:val="00443011"/>
    <w:rsid w:val="00446A3F"/>
    <w:rsid w:val="00452332"/>
    <w:rsid w:val="00452BAD"/>
    <w:rsid w:val="00454BE4"/>
    <w:rsid w:val="00454CBE"/>
    <w:rsid w:val="0047727D"/>
    <w:rsid w:val="00482380"/>
    <w:rsid w:val="00482A79"/>
    <w:rsid w:val="00483794"/>
    <w:rsid w:val="004932CB"/>
    <w:rsid w:val="004A36CB"/>
    <w:rsid w:val="004A7CC1"/>
    <w:rsid w:val="004B5264"/>
    <w:rsid w:val="004C19C0"/>
    <w:rsid w:val="004C36E1"/>
    <w:rsid w:val="004C3F03"/>
    <w:rsid w:val="004D3B87"/>
    <w:rsid w:val="004D52F0"/>
    <w:rsid w:val="004E27E9"/>
    <w:rsid w:val="004E2ACD"/>
    <w:rsid w:val="004E6778"/>
    <w:rsid w:val="004F3F9D"/>
    <w:rsid w:val="004F627C"/>
    <w:rsid w:val="00504AFB"/>
    <w:rsid w:val="00507380"/>
    <w:rsid w:val="00507827"/>
    <w:rsid w:val="00512AFE"/>
    <w:rsid w:val="005155B4"/>
    <w:rsid w:val="0051741C"/>
    <w:rsid w:val="005216B6"/>
    <w:rsid w:val="00527072"/>
    <w:rsid w:val="0054258F"/>
    <w:rsid w:val="005448C8"/>
    <w:rsid w:val="005478D2"/>
    <w:rsid w:val="00552BA4"/>
    <w:rsid w:val="00552D68"/>
    <w:rsid w:val="00553065"/>
    <w:rsid w:val="00554BB3"/>
    <w:rsid w:val="00555CC8"/>
    <w:rsid w:val="0056094E"/>
    <w:rsid w:val="00562975"/>
    <w:rsid w:val="00575664"/>
    <w:rsid w:val="00580CA1"/>
    <w:rsid w:val="0058351B"/>
    <w:rsid w:val="00584937"/>
    <w:rsid w:val="005948EE"/>
    <w:rsid w:val="005951F4"/>
    <w:rsid w:val="00596346"/>
    <w:rsid w:val="00596834"/>
    <w:rsid w:val="005A757F"/>
    <w:rsid w:val="005B1CFA"/>
    <w:rsid w:val="005B2DA8"/>
    <w:rsid w:val="005B4986"/>
    <w:rsid w:val="005B7D38"/>
    <w:rsid w:val="005B7EEA"/>
    <w:rsid w:val="005C069E"/>
    <w:rsid w:val="005C16C4"/>
    <w:rsid w:val="005C369D"/>
    <w:rsid w:val="005C5796"/>
    <w:rsid w:val="005C5EBC"/>
    <w:rsid w:val="005C734E"/>
    <w:rsid w:val="005C7942"/>
    <w:rsid w:val="005D1EB2"/>
    <w:rsid w:val="005F6534"/>
    <w:rsid w:val="006002F0"/>
    <w:rsid w:val="00601444"/>
    <w:rsid w:val="006077F9"/>
    <w:rsid w:val="0062087B"/>
    <w:rsid w:val="00620CD1"/>
    <w:rsid w:val="00620D31"/>
    <w:rsid w:val="00624792"/>
    <w:rsid w:val="00642083"/>
    <w:rsid w:val="00643A64"/>
    <w:rsid w:val="00645D17"/>
    <w:rsid w:val="00651F76"/>
    <w:rsid w:val="00652913"/>
    <w:rsid w:val="006675E5"/>
    <w:rsid w:val="00670CBD"/>
    <w:rsid w:val="006719BB"/>
    <w:rsid w:val="00674AED"/>
    <w:rsid w:val="006750AF"/>
    <w:rsid w:val="00675CFF"/>
    <w:rsid w:val="00676F3C"/>
    <w:rsid w:val="00677587"/>
    <w:rsid w:val="0067791E"/>
    <w:rsid w:val="00680803"/>
    <w:rsid w:val="00681C03"/>
    <w:rsid w:val="00683D10"/>
    <w:rsid w:val="0069039D"/>
    <w:rsid w:val="0069102A"/>
    <w:rsid w:val="00695209"/>
    <w:rsid w:val="006B0B8F"/>
    <w:rsid w:val="006C4D79"/>
    <w:rsid w:val="006C676E"/>
    <w:rsid w:val="006E404F"/>
    <w:rsid w:val="006F1F1F"/>
    <w:rsid w:val="006F3673"/>
    <w:rsid w:val="006F39E3"/>
    <w:rsid w:val="006F45C9"/>
    <w:rsid w:val="006F49B9"/>
    <w:rsid w:val="006F752F"/>
    <w:rsid w:val="00702581"/>
    <w:rsid w:val="007105F2"/>
    <w:rsid w:val="007230BD"/>
    <w:rsid w:val="007237D4"/>
    <w:rsid w:val="00727F08"/>
    <w:rsid w:val="007306DE"/>
    <w:rsid w:val="007309EC"/>
    <w:rsid w:val="00734046"/>
    <w:rsid w:val="0073475A"/>
    <w:rsid w:val="00734ABB"/>
    <w:rsid w:val="00737DD6"/>
    <w:rsid w:val="00740700"/>
    <w:rsid w:val="00743DDE"/>
    <w:rsid w:val="007636E4"/>
    <w:rsid w:val="00771070"/>
    <w:rsid w:val="00776180"/>
    <w:rsid w:val="00776302"/>
    <w:rsid w:val="0078325D"/>
    <w:rsid w:val="0078636C"/>
    <w:rsid w:val="00787512"/>
    <w:rsid w:val="007904F2"/>
    <w:rsid w:val="007B205D"/>
    <w:rsid w:val="007B36C2"/>
    <w:rsid w:val="007D5CB5"/>
    <w:rsid w:val="007E6160"/>
    <w:rsid w:val="007E7656"/>
    <w:rsid w:val="007F1560"/>
    <w:rsid w:val="007F32E4"/>
    <w:rsid w:val="007F553C"/>
    <w:rsid w:val="007F6C1A"/>
    <w:rsid w:val="0080183F"/>
    <w:rsid w:val="0080241A"/>
    <w:rsid w:val="00807A93"/>
    <w:rsid w:val="00807EDB"/>
    <w:rsid w:val="00813776"/>
    <w:rsid w:val="008152D0"/>
    <w:rsid w:val="00816F80"/>
    <w:rsid w:val="0081760C"/>
    <w:rsid w:val="00825F97"/>
    <w:rsid w:val="008308F6"/>
    <w:rsid w:val="00830ECF"/>
    <w:rsid w:val="00833206"/>
    <w:rsid w:val="00835A2D"/>
    <w:rsid w:val="008457A8"/>
    <w:rsid w:val="00845B1B"/>
    <w:rsid w:val="0084665C"/>
    <w:rsid w:val="00851C14"/>
    <w:rsid w:val="00865A85"/>
    <w:rsid w:val="008677BA"/>
    <w:rsid w:val="008739F0"/>
    <w:rsid w:val="00873BBA"/>
    <w:rsid w:val="00875625"/>
    <w:rsid w:val="00876DBE"/>
    <w:rsid w:val="00880EE1"/>
    <w:rsid w:val="00882349"/>
    <w:rsid w:val="0089179B"/>
    <w:rsid w:val="0089670F"/>
    <w:rsid w:val="00896C8C"/>
    <w:rsid w:val="008A315D"/>
    <w:rsid w:val="008A4A9E"/>
    <w:rsid w:val="008B553D"/>
    <w:rsid w:val="008C37E4"/>
    <w:rsid w:val="008C4BA3"/>
    <w:rsid w:val="008C6E08"/>
    <w:rsid w:val="008D0A05"/>
    <w:rsid w:val="008D47DC"/>
    <w:rsid w:val="008D502F"/>
    <w:rsid w:val="008E6C1B"/>
    <w:rsid w:val="008F2E2F"/>
    <w:rsid w:val="0091018D"/>
    <w:rsid w:val="009114F8"/>
    <w:rsid w:val="009135BF"/>
    <w:rsid w:val="00915A3C"/>
    <w:rsid w:val="00915E63"/>
    <w:rsid w:val="00922A81"/>
    <w:rsid w:val="009254F2"/>
    <w:rsid w:val="0093483A"/>
    <w:rsid w:val="00940FAD"/>
    <w:rsid w:val="00943294"/>
    <w:rsid w:val="0094409D"/>
    <w:rsid w:val="009448ED"/>
    <w:rsid w:val="0095064D"/>
    <w:rsid w:val="00953C43"/>
    <w:rsid w:val="00955C2B"/>
    <w:rsid w:val="00956F4F"/>
    <w:rsid w:val="00957158"/>
    <w:rsid w:val="00957E6F"/>
    <w:rsid w:val="009612D6"/>
    <w:rsid w:val="00961E6C"/>
    <w:rsid w:val="00966087"/>
    <w:rsid w:val="009676D4"/>
    <w:rsid w:val="0097054F"/>
    <w:rsid w:val="00971816"/>
    <w:rsid w:val="00972289"/>
    <w:rsid w:val="00973A4C"/>
    <w:rsid w:val="00975391"/>
    <w:rsid w:val="00976150"/>
    <w:rsid w:val="00980498"/>
    <w:rsid w:val="00982074"/>
    <w:rsid w:val="00982BE8"/>
    <w:rsid w:val="00984CED"/>
    <w:rsid w:val="00991A03"/>
    <w:rsid w:val="009A52F6"/>
    <w:rsid w:val="009B34CC"/>
    <w:rsid w:val="009B5F6A"/>
    <w:rsid w:val="009C06E3"/>
    <w:rsid w:val="009C0915"/>
    <w:rsid w:val="009C4741"/>
    <w:rsid w:val="009C4E4A"/>
    <w:rsid w:val="009C4F11"/>
    <w:rsid w:val="009C5780"/>
    <w:rsid w:val="009D22A5"/>
    <w:rsid w:val="009D7367"/>
    <w:rsid w:val="009E097E"/>
    <w:rsid w:val="009E64C3"/>
    <w:rsid w:val="009E78F6"/>
    <w:rsid w:val="00A00CB1"/>
    <w:rsid w:val="00A00E14"/>
    <w:rsid w:val="00A01776"/>
    <w:rsid w:val="00A04CD2"/>
    <w:rsid w:val="00A16501"/>
    <w:rsid w:val="00A176A9"/>
    <w:rsid w:val="00A26E02"/>
    <w:rsid w:val="00A3212A"/>
    <w:rsid w:val="00A32A6E"/>
    <w:rsid w:val="00A51540"/>
    <w:rsid w:val="00A51EC5"/>
    <w:rsid w:val="00A53DEA"/>
    <w:rsid w:val="00A54BCA"/>
    <w:rsid w:val="00A56FE0"/>
    <w:rsid w:val="00A6040B"/>
    <w:rsid w:val="00A60F0C"/>
    <w:rsid w:val="00A711E5"/>
    <w:rsid w:val="00A841E8"/>
    <w:rsid w:val="00A916DF"/>
    <w:rsid w:val="00A91841"/>
    <w:rsid w:val="00A933BF"/>
    <w:rsid w:val="00A9692C"/>
    <w:rsid w:val="00AA4786"/>
    <w:rsid w:val="00AA5002"/>
    <w:rsid w:val="00AB5B41"/>
    <w:rsid w:val="00AB6392"/>
    <w:rsid w:val="00AB7362"/>
    <w:rsid w:val="00AB76B5"/>
    <w:rsid w:val="00AB7F1A"/>
    <w:rsid w:val="00AC586B"/>
    <w:rsid w:val="00AC5C25"/>
    <w:rsid w:val="00AD2142"/>
    <w:rsid w:val="00AD5B19"/>
    <w:rsid w:val="00AE14B6"/>
    <w:rsid w:val="00AE3240"/>
    <w:rsid w:val="00AE6F26"/>
    <w:rsid w:val="00AF72A5"/>
    <w:rsid w:val="00B00AB9"/>
    <w:rsid w:val="00B0487F"/>
    <w:rsid w:val="00B21698"/>
    <w:rsid w:val="00B22E87"/>
    <w:rsid w:val="00B2326E"/>
    <w:rsid w:val="00B23B6C"/>
    <w:rsid w:val="00B27424"/>
    <w:rsid w:val="00B32BE7"/>
    <w:rsid w:val="00B34B2E"/>
    <w:rsid w:val="00B50647"/>
    <w:rsid w:val="00B5408F"/>
    <w:rsid w:val="00B55549"/>
    <w:rsid w:val="00B55A00"/>
    <w:rsid w:val="00B63462"/>
    <w:rsid w:val="00B642FE"/>
    <w:rsid w:val="00B73567"/>
    <w:rsid w:val="00B737FB"/>
    <w:rsid w:val="00B768C2"/>
    <w:rsid w:val="00B7761E"/>
    <w:rsid w:val="00B804BA"/>
    <w:rsid w:val="00B93E77"/>
    <w:rsid w:val="00BB64D3"/>
    <w:rsid w:val="00BC3BE4"/>
    <w:rsid w:val="00BD30E2"/>
    <w:rsid w:val="00BD4D80"/>
    <w:rsid w:val="00BD4FBA"/>
    <w:rsid w:val="00BE1C5A"/>
    <w:rsid w:val="00BF1D55"/>
    <w:rsid w:val="00BF3D9B"/>
    <w:rsid w:val="00BF5626"/>
    <w:rsid w:val="00BF7236"/>
    <w:rsid w:val="00C13B98"/>
    <w:rsid w:val="00C13C09"/>
    <w:rsid w:val="00C14D5E"/>
    <w:rsid w:val="00C2057F"/>
    <w:rsid w:val="00C20C1B"/>
    <w:rsid w:val="00C2284A"/>
    <w:rsid w:val="00C242E7"/>
    <w:rsid w:val="00C258FB"/>
    <w:rsid w:val="00C27E84"/>
    <w:rsid w:val="00C32699"/>
    <w:rsid w:val="00C40EAC"/>
    <w:rsid w:val="00C42F31"/>
    <w:rsid w:val="00C57A44"/>
    <w:rsid w:val="00C708A6"/>
    <w:rsid w:val="00C73A80"/>
    <w:rsid w:val="00C74559"/>
    <w:rsid w:val="00C74BF6"/>
    <w:rsid w:val="00C80CDA"/>
    <w:rsid w:val="00C90370"/>
    <w:rsid w:val="00C91AA7"/>
    <w:rsid w:val="00C97453"/>
    <w:rsid w:val="00CA1871"/>
    <w:rsid w:val="00CA34A4"/>
    <w:rsid w:val="00CA4695"/>
    <w:rsid w:val="00CA4A0D"/>
    <w:rsid w:val="00CA6FF6"/>
    <w:rsid w:val="00CB23F1"/>
    <w:rsid w:val="00CB48CF"/>
    <w:rsid w:val="00CC3CCE"/>
    <w:rsid w:val="00CC4069"/>
    <w:rsid w:val="00CC7116"/>
    <w:rsid w:val="00CC7C09"/>
    <w:rsid w:val="00CD08BF"/>
    <w:rsid w:val="00CE2886"/>
    <w:rsid w:val="00CE7C1C"/>
    <w:rsid w:val="00CF6914"/>
    <w:rsid w:val="00CF7077"/>
    <w:rsid w:val="00D00097"/>
    <w:rsid w:val="00D04571"/>
    <w:rsid w:val="00D069B6"/>
    <w:rsid w:val="00D0710B"/>
    <w:rsid w:val="00D07434"/>
    <w:rsid w:val="00D10CA5"/>
    <w:rsid w:val="00D13B02"/>
    <w:rsid w:val="00D16D4B"/>
    <w:rsid w:val="00D22484"/>
    <w:rsid w:val="00D22558"/>
    <w:rsid w:val="00D322E9"/>
    <w:rsid w:val="00D33B0A"/>
    <w:rsid w:val="00D358E4"/>
    <w:rsid w:val="00D36BA9"/>
    <w:rsid w:val="00D52B3C"/>
    <w:rsid w:val="00D5316C"/>
    <w:rsid w:val="00D543BD"/>
    <w:rsid w:val="00D54B6D"/>
    <w:rsid w:val="00D55845"/>
    <w:rsid w:val="00D61ABF"/>
    <w:rsid w:val="00D66226"/>
    <w:rsid w:val="00D72C78"/>
    <w:rsid w:val="00D76EA4"/>
    <w:rsid w:val="00D77FA1"/>
    <w:rsid w:val="00D80B2A"/>
    <w:rsid w:val="00D83589"/>
    <w:rsid w:val="00D85AA2"/>
    <w:rsid w:val="00D960F1"/>
    <w:rsid w:val="00D97120"/>
    <w:rsid w:val="00DA44B4"/>
    <w:rsid w:val="00DB0533"/>
    <w:rsid w:val="00DB0751"/>
    <w:rsid w:val="00DB11CC"/>
    <w:rsid w:val="00DB170F"/>
    <w:rsid w:val="00DB4165"/>
    <w:rsid w:val="00DB4D94"/>
    <w:rsid w:val="00DB7C28"/>
    <w:rsid w:val="00DC1C4E"/>
    <w:rsid w:val="00DC3993"/>
    <w:rsid w:val="00DC6A5D"/>
    <w:rsid w:val="00DD5E54"/>
    <w:rsid w:val="00DE04CC"/>
    <w:rsid w:val="00DE70FA"/>
    <w:rsid w:val="00DF48EC"/>
    <w:rsid w:val="00DF5A30"/>
    <w:rsid w:val="00E04061"/>
    <w:rsid w:val="00E10D29"/>
    <w:rsid w:val="00E1392D"/>
    <w:rsid w:val="00E14202"/>
    <w:rsid w:val="00E168BF"/>
    <w:rsid w:val="00E17E58"/>
    <w:rsid w:val="00E22844"/>
    <w:rsid w:val="00E23C95"/>
    <w:rsid w:val="00E30685"/>
    <w:rsid w:val="00E363E3"/>
    <w:rsid w:val="00E470C3"/>
    <w:rsid w:val="00E4748A"/>
    <w:rsid w:val="00E50110"/>
    <w:rsid w:val="00E559DA"/>
    <w:rsid w:val="00E56B0A"/>
    <w:rsid w:val="00E572B9"/>
    <w:rsid w:val="00E629FD"/>
    <w:rsid w:val="00E66B42"/>
    <w:rsid w:val="00E84905"/>
    <w:rsid w:val="00E94B34"/>
    <w:rsid w:val="00E95F76"/>
    <w:rsid w:val="00E96E6F"/>
    <w:rsid w:val="00EA2E7A"/>
    <w:rsid w:val="00EA5E2A"/>
    <w:rsid w:val="00EB3A26"/>
    <w:rsid w:val="00EB5655"/>
    <w:rsid w:val="00EC44D0"/>
    <w:rsid w:val="00EC4B95"/>
    <w:rsid w:val="00EC6B7B"/>
    <w:rsid w:val="00ED2B35"/>
    <w:rsid w:val="00ED47CE"/>
    <w:rsid w:val="00ED622D"/>
    <w:rsid w:val="00ED6327"/>
    <w:rsid w:val="00ED7544"/>
    <w:rsid w:val="00ED7E77"/>
    <w:rsid w:val="00EE359C"/>
    <w:rsid w:val="00EE4CA6"/>
    <w:rsid w:val="00EE646F"/>
    <w:rsid w:val="00EE722B"/>
    <w:rsid w:val="00EF11E7"/>
    <w:rsid w:val="00EF33D7"/>
    <w:rsid w:val="00F05D82"/>
    <w:rsid w:val="00F072CE"/>
    <w:rsid w:val="00F077D6"/>
    <w:rsid w:val="00F167AC"/>
    <w:rsid w:val="00F16E58"/>
    <w:rsid w:val="00F21B76"/>
    <w:rsid w:val="00F23E1A"/>
    <w:rsid w:val="00F25651"/>
    <w:rsid w:val="00F27C39"/>
    <w:rsid w:val="00F322C3"/>
    <w:rsid w:val="00F325D1"/>
    <w:rsid w:val="00F3468A"/>
    <w:rsid w:val="00F40930"/>
    <w:rsid w:val="00F45525"/>
    <w:rsid w:val="00F458E9"/>
    <w:rsid w:val="00F521C1"/>
    <w:rsid w:val="00F52805"/>
    <w:rsid w:val="00F554B8"/>
    <w:rsid w:val="00F60D89"/>
    <w:rsid w:val="00F62DF2"/>
    <w:rsid w:val="00F70890"/>
    <w:rsid w:val="00F72898"/>
    <w:rsid w:val="00F75EB6"/>
    <w:rsid w:val="00F834F0"/>
    <w:rsid w:val="00F83C5A"/>
    <w:rsid w:val="00F850BC"/>
    <w:rsid w:val="00F94326"/>
    <w:rsid w:val="00F9579E"/>
    <w:rsid w:val="00FA6410"/>
    <w:rsid w:val="00FC1687"/>
    <w:rsid w:val="00FC5F5C"/>
    <w:rsid w:val="00FC7DA3"/>
    <w:rsid w:val="00FD4554"/>
    <w:rsid w:val="00FD6CB2"/>
    <w:rsid w:val="00FD6E7B"/>
    <w:rsid w:val="00FE1806"/>
    <w:rsid w:val="00FE4044"/>
    <w:rsid w:val="00FE563F"/>
    <w:rsid w:val="00FE7A70"/>
    <w:rsid w:val="00FF6269"/>
    <w:rsid w:val="00FF69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D71DCD"/>
  <w15:docId w15:val="{CE044865-E1C0-48F1-874F-CC035C75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16"/>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DD5E5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DD5E5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8457A8"/>
    <w:pPr>
      <w:spacing w:before="100" w:beforeAutospacing="1" w:after="100" w:afterAutospacing="1"/>
      <w:outlineLvl w:val="2"/>
    </w:pPr>
    <w:rPr>
      <w:b/>
      <w:bCs/>
      <w:kern w:val="0"/>
      <w:sz w:val="27"/>
      <w:szCs w:val="27"/>
      <w:lang w:eastAsia="en-US"/>
    </w:rPr>
  </w:style>
  <w:style w:type="paragraph" w:styleId="berschrift4">
    <w:name w:val="heading 4"/>
    <w:basedOn w:val="Standard"/>
    <w:next w:val="Standard"/>
    <w:link w:val="berschrift4Zchn"/>
    <w:uiPriority w:val="9"/>
    <w:semiHidden/>
    <w:unhideWhenUsed/>
    <w:qFormat/>
    <w:rsid w:val="00DD5E54"/>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D5E54"/>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D5E54"/>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D5E54"/>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D5E5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D5E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6160"/>
    <w:pPr>
      <w:tabs>
        <w:tab w:val="center" w:pos="4680"/>
        <w:tab w:val="right" w:pos="9360"/>
      </w:tabs>
    </w:pPr>
  </w:style>
  <w:style w:type="character" w:customStyle="1" w:styleId="KopfzeileZchn">
    <w:name w:val="Kopfzeile Zchn"/>
    <w:basedOn w:val="Absatz-Standardschriftart"/>
    <w:link w:val="Kopfzeile"/>
    <w:uiPriority w:val="99"/>
    <w:rsid w:val="007E6160"/>
  </w:style>
  <w:style w:type="paragraph" w:styleId="Fuzeile">
    <w:name w:val="footer"/>
    <w:basedOn w:val="Standard"/>
    <w:link w:val="FuzeileZchn"/>
    <w:uiPriority w:val="99"/>
    <w:unhideWhenUsed/>
    <w:rsid w:val="007E6160"/>
    <w:pPr>
      <w:tabs>
        <w:tab w:val="center" w:pos="4680"/>
        <w:tab w:val="right" w:pos="9360"/>
      </w:tabs>
    </w:pPr>
  </w:style>
  <w:style w:type="character" w:customStyle="1" w:styleId="FuzeileZchn">
    <w:name w:val="Fußzeile Zchn"/>
    <w:basedOn w:val="Absatz-Standardschriftart"/>
    <w:link w:val="Fuzeile"/>
    <w:uiPriority w:val="99"/>
    <w:rsid w:val="007E6160"/>
  </w:style>
  <w:style w:type="paragraph" w:styleId="Listenabsatz">
    <w:name w:val="List Paragraph"/>
    <w:basedOn w:val="Standard"/>
    <w:uiPriority w:val="34"/>
    <w:qFormat/>
    <w:rsid w:val="000B06FE"/>
    <w:pPr>
      <w:spacing w:line="276" w:lineRule="auto"/>
      <w:ind w:left="720"/>
      <w:contextualSpacing/>
    </w:pPr>
    <w:rPr>
      <w:rFonts w:ascii="Arial" w:hAnsi="Arial" w:cs="Arial"/>
      <w:color w:val="000000"/>
      <w:kern w:val="0"/>
      <w:sz w:val="22"/>
      <w:szCs w:val="22"/>
      <w:lang w:eastAsia="en-US"/>
    </w:rPr>
  </w:style>
  <w:style w:type="paragraph" w:styleId="Sprechblasentext">
    <w:name w:val="Balloon Text"/>
    <w:basedOn w:val="Standard"/>
    <w:link w:val="SprechblasentextZchn"/>
    <w:uiPriority w:val="99"/>
    <w:semiHidden/>
    <w:unhideWhenUsed/>
    <w:rsid w:val="002C551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551A"/>
    <w:rPr>
      <w:rFonts w:ascii="Segoe UI" w:hAnsi="Segoe UI" w:cs="Segoe UI"/>
      <w:sz w:val="18"/>
      <w:szCs w:val="18"/>
    </w:rPr>
  </w:style>
  <w:style w:type="character" w:styleId="Kommentarzeichen">
    <w:name w:val="annotation reference"/>
    <w:basedOn w:val="Absatz-Standardschriftart"/>
    <w:uiPriority w:val="99"/>
    <w:semiHidden/>
    <w:unhideWhenUsed/>
    <w:rsid w:val="000A3E3B"/>
    <w:rPr>
      <w:sz w:val="16"/>
      <w:szCs w:val="16"/>
    </w:rPr>
  </w:style>
  <w:style w:type="paragraph" w:styleId="Kommentartext">
    <w:name w:val="annotation text"/>
    <w:basedOn w:val="Standard"/>
    <w:link w:val="KommentartextZchn"/>
    <w:uiPriority w:val="99"/>
    <w:semiHidden/>
    <w:unhideWhenUsed/>
    <w:rsid w:val="000A3E3B"/>
  </w:style>
  <w:style w:type="character" w:customStyle="1" w:styleId="KommentartextZchn">
    <w:name w:val="Kommentartext Zchn"/>
    <w:basedOn w:val="Absatz-Standardschriftart"/>
    <w:link w:val="Kommentartext"/>
    <w:uiPriority w:val="99"/>
    <w:semiHidden/>
    <w:rsid w:val="000A3E3B"/>
  </w:style>
  <w:style w:type="paragraph" w:styleId="Kommentarthema">
    <w:name w:val="annotation subject"/>
    <w:basedOn w:val="Kommentartext"/>
    <w:next w:val="Kommentartext"/>
    <w:link w:val="KommentarthemaZchn"/>
    <w:uiPriority w:val="99"/>
    <w:semiHidden/>
    <w:unhideWhenUsed/>
    <w:rsid w:val="000A3E3B"/>
    <w:rPr>
      <w:b/>
      <w:bCs/>
    </w:rPr>
  </w:style>
  <w:style w:type="character" w:customStyle="1" w:styleId="KommentarthemaZchn">
    <w:name w:val="Kommentarthema Zchn"/>
    <w:basedOn w:val="KommentartextZchn"/>
    <w:link w:val="Kommentarthema"/>
    <w:uiPriority w:val="99"/>
    <w:semiHidden/>
    <w:rsid w:val="000A3E3B"/>
    <w:rPr>
      <w:b/>
      <w:bCs/>
    </w:rPr>
  </w:style>
  <w:style w:type="character" w:styleId="Hyperlink">
    <w:name w:val="Hyperlink"/>
    <w:basedOn w:val="Absatz-Standardschriftart"/>
    <w:uiPriority w:val="99"/>
    <w:unhideWhenUsed/>
    <w:rsid w:val="00CB23F1"/>
    <w:rPr>
      <w:color w:val="0563C1" w:themeColor="hyperlink"/>
      <w:u w:val="single"/>
    </w:rPr>
  </w:style>
  <w:style w:type="character" w:customStyle="1" w:styleId="UnresolvedMention1">
    <w:name w:val="Unresolved Mention1"/>
    <w:basedOn w:val="Absatz-Standardschriftart"/>
    <w:uiPriority w:val="99"/>
    <w:semiHidden/>
    <w:unhideWhenUsed/>
    <w:rsid w:val="00CB23F1"/>
    <w:rPr>
      <w:color w:val="808080"/>
      <w:shd w:val="clear" w:color="auto" w:fill="E6E6E6"/>
    </w:rPr>
  </w:style>
  <w:style w:type="character" w:styleId="Hervorhebung">
    <w:name w:val="Emphasis"/>
    <w:basedOn w:val="Absatz-Standardschriftart"/>
    <w:uiPriority w:val="20"/>
    <w:qFormat/>
    <w:rsid w:val="008457A8"/>
    <w:rPr>
      <w:i/>
      <w:iCs/>
    </w:rPr>
  </w:style>
  <w:style w:type="character" w:customStyle="1" w:styleId="berschrift3Zchn">
    <w:name w:val="Überschrift 3 Zchn"/>
    <w:basedOn w:val="Absatz-Standardschriftart"/>
    <w:link w:val="berschrift3"/>
    <w:uiPriority w:val="9"/>
    <w:rsid w:val="008457A8"/>
    <w:rPr>
      <w:b/>
      <w:bCs/>
      <w:kern w:val="0"/>
      <w:sz w:val="27"/>
      <w:szCs w:val="27"/>
      <w:lang w:eastAsia="en-US"/>
    </w:rPr>
  </w:style>
  <w:style w:type="paragraph" w:styleId="berarbeitung">
    <w:name w:val="Revision"/>
    <w:hidden/>
    <w:uiPriority w:val="99"/>
    <w:semiHidden/>
    <w:rsid w:val="00E66B42"/>
  </w:style>
  <w:style w:type="paragraph" w:styleId="StandardWeb">
    <w:name w:val="Normal (Web)"/>
    <w:basedOn w:val="Standard"/>
    <w:uiPriority w:val="99"/>
    <w:semiHidden/>
    <w:unhideWhenUsed/>
    <w:rsid w:val="001D0EA9"/>
    <w:pPr>
      <w:spacing w:before="100" w:beforeAutospacing="1" w:after="100" w:afterAutospacing="1"/>
    </w:pPr>
    <w:rPr>
      <w:kern w:val="0"/>
      <w:sz w:val="24"/>
      <w:szCs w:val="24"/>
      <w:lang w:eastAsia="en-US"/>
    </w:rPr>
  </w:style>
  <w:style w:type="character" w:customStyle="1" w:styleId="apple-converted-space">
    <w:name w:val="apple-converted-space"/>
    <w:basedOn w:val="Absatz-Standardschriftart"/>
    <w:rsid w:val="001D0EA9"/>
  </w:style>
  <w:style w:type="paragraph" w:styleId="Abbildungsverzeichnis">
    <w:name w:val="table of figures"/>
    <w:basedOn w:val="Standard"/>
    <w:next w:val="Standard"/>
    <w:uiPriority w:val="99"/>
    <w:semiHidden/>
    <w:unhideWhenUsed/>
    <w:rsid w:val="00DD5E54"/>
  </w:style>
  <w:style w:type="paragraph" w:styleId="Anrede">
    <w:name w:val="Salutation"/>
    <w:basedOn w:val="Standard"/>
    <w:next w:val="Standard"/>
    <w:link w:val="AnredeZchn"/>
    <w:uiPriority w:val="99"/>
    <w:semiHidden/>
    <w:unhideWhenUsed/>
    <w:rsid w:val="00DD5E54"/>
  </w:style>
  <w:style w:type="character" w:customStyle="1" w:styleId="AnredeZchn">
    <w:name w:val="Anrede Zchn"/>
    <w:basedOn w:val="Absatz-Standardschriftart"/>
    <w:link w:val="Anrede"/>
    <w:uiPriority w:val="99"/>
    <w:semiHidden/>
    <w:rsid w:val="00DD5E54"/>
  </w:style>
  <w:style w:type="paragraph" w:styleId="Aufzhlungszeichen">
    <w:name w:val="List Bullet"/>
    <w:basedOn w:val="Standard"/>
    <w:uiPriority w:val="99"/>
    <w:semiHidden/>
    <w:unhideWhenUsed/>
    <w:rsid w:val="00DD5E54"/>
    <w:pPr>
      <w:numPr>
        <w:numId w:val="19"/>
      </w:numPr>
      <w:contextualSpacing/>
    </w:pPr>
  </w:style>
  <w:style w:type="paragraph" w:styleId="Aufzhlungszeichen2">
    <w:name w:val="List Bullet 2"/>
    <w:basedOn w:val="Standard"/>
    <w:uiPriority w:val="99"/>
    <w:semiHidden/>
    <w:unhideWhenUsed/>
    <w:rsid w:val="00DD5E54"/>
    <w:pPr>
      <w:numPr>
        <w:numId w:val="20"/>
      </w:numPr>
      <w:contextualSpacing/>
    </w:pPr>
  </w:style>
  <w:style w:type="paragraph" w:styleId="Aufzhlungszeichen3">
    <w:name w:val="List Bullet 3"/>
    <w:basedOn w:val="Standard"/>
    <w:uiPriority w:val="99"/>
    <w:semiHidden/>
    <w:unhideWhenUsed/>
    <w:rsid w:val="00DD5E54"/>
    <w:pPr>
      <w:numPr>
        <w:numId w:val="21"/>
      </w:numPr>
      <w:contextualSpacing/>
    </w:pPr>
  </w:style>
  <w:style w:type="paragraph" w:styleId="Aufzhlungszeichen4">
    <w:name w:val="List Bullet 4"/>
    <w:basedOn w:val="Standard"/>
    <w:uiPriority w:val="99"/>
    <w:semiHidden/>
    <w:unhideWhenUsed/>
    <w:rsid w:val="00DD5E54"/>
    <w:pPr>
      <w:numPr>
        <w:numId w:val="22"/>
      </w:numPr>
      <w:contextualSpacing/>
    </w:pPr>
  </w:style>
  <w:style w:type="paragraph" w:styleId="Aufzhlungszeichen5">
    <w:name w:val="List Bullet 5"/>
    <w:basedOn w:val="Standard"/>
    <w:uiPriority w:val="99"/>
    <w:semiHidden/>
    <w:unhideWhenUsed/>
    <w:rsid w:val="00DD5E54"/>
    <w:pPr>
      <w:numPr>
        <w:numId w:val="23"/>
      </w:numPr>
      <w:contextualSpacing/>
    </w:pPr>
  </w:style>
  <w:style w:type="paragraph" w:styleId="Beschriftung">
    <w:name w:val="caption"/>
    <w:basedOn w:val="Standard"/>
    <w:next w:val="Standard"/>
    <w:uiPriority w:val="35"/>
    <w:semiHidden/>
    <w:unhideWhenUsed/>
    <w:qFormat/>
    <w:rsid w:val="00DD5E54"/>
    <w:pPr>
      <w:spacing w:after="200"/>
    </w:pPr>
    <w:rPr>
      <w:i/>
      <w:iCs/>
      <w:color w:val="44546A" w:themeColor="text2"/>
      <w:sz w:val="18"/>
      <w:szCs w:val="18"/>
    </w:rPr>
  </w:style>
  <w:style w:type="paragraph" w:styleId="Blocktext">
    <w:name w:val="Block Text"/>
    <w:basedOn w:val="Standard"/>
    <w:uiPriority w:val="99"/>
    <w:semiHidden/>
    <w:unhideWhenUsed/>
    <w:rsid w:val="00DD5E54"/>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hAnsiTheme="minorHAnsi" w:cstheme="minorBidi"/>
      <w:i/>
      <w:iCs/>
      <w:color w:val="4472C4" w:themeColor="accent1"/>
    </w:rPr>
  </w:style>
  <w:style w:type="paragraph" w:styleId="Datum">
    <w:name w:val="Date"/>
    <w:basedOn w:val="Standard"/>
    <w:next w:val="Standard"/>
    <w:link w:val="DatumZchn"/>
    <w:uiPriority w:val="99"/>
    <w:semiHidden/>
    <w:unhideWhenUsed/>
    <w:rsid w:val="00DD5E54"/>
  </w:style>
  <w:style w:type="character" w:customStyle="1" w:styleId="DatumZchn">
    <w:name w:val="Datum Zchn"/>
    <w:basedOn w:val="Absatz-Standardschriftart"/>
    <w:link w:val="Datum"/>
    <w:uiPriority w:val="99"/>
    <w:semiHidden/>
    <w:rsid w:val="00DD5E54"/>
  </w:style>
  <w:style w:type="paragraph" w:styleId="Dokumentstruktur">
    <w:name w:val="Document Map"/>
    <w:basedOn w:val="Standard"/>
    <w:link w:val="DokumentstrukturZchn"/>
    <w:uiPriority w:val="99"/>
    <w:semiHidden/>
    <w:unhideWhenUsed/>
    <w:rsid w:val="00DD5E54"/>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DD5E54"/>
    <w:rPr>
      <w:rFonts w:ascii="Segoe UI" w:hAnsi="Segoe UI" w:cs="Segoe UI"/>
      <w:sz w:val="16"/>
      <w:szCs w:val="16"/>
    </w:rPr>
  </w:style>
  <w:style w:type="paragraph" w:styleId="E-Mail-Signatur">
    <w:name w:val="E-mail Signature"/>
    <w:basedOn w:val="Standard"/>
    <w:link w:val="E-Mail-SignaturZchn"/>
    <w:uiPriority w:val="99"/>
    <w:semiHidden/>
    <w:unhideWhenUsed/>
    <w:rsid w:val="00DD5E54"/>
  </w:style>
  <w:style w:type="character" w:customStyle="1" w:styleId="E-Mail-SignaturZchn">
    <w:name w:val="E-Mail-Signatur Zchn"/>
    <w:basedOn w:val="Absatz-Standardschriftart"/>
    <w:link w:val="E-Mail-Signatur"/>
    <w:uiPriority w:val="99"/>
    <w:semiHidden/>
    <w:rsid w:val="00DD5E54"/>
  </w:style>
  <w:style w:type="paragraph" w:styleId="Endnotentext">
    <w:name w:val="endnote text"/>
    <w:basedOn w:val="Standard"/>
    <w:link w:val="EndnotentextZchn"/>
    <w:uiPriority w:val="99"/>
    <w:semiHidden/>
    <w:unhideWhenUsed/>
    <w:rsid w:val="00DD5E54"/>
  </w:style>
  <w:style w:type="character" w:customStyle="1" w:styleId="EndnotentextZchn">
    <w:name w:val="Endnotentext Zchn"/>
    <w:basedOn w:val="Absatz-Standardschriftart"/>
    <w:link w:val="Endnotentext"/>
    <w:uiPriority w:val="99"/>
    <w:semiHidden/>
    <w:rsid w:val="00DD5E54"/>
  </w:style>
  <w:style w:type="paragraph" w:styleId="Fu-Endnotenberschrift">
    <w:name w:val="Note Heading"/>
    <w:basedOn w:val="Standard"/>
    <w:next w:val="Standard"/>
    <w:link w:val="Fu-EndnotenberschriftZchn"/>
    <w:uiPriority w:val="99"/>
    <w:semiHidden/>
    <w:unhideWhenUsed/>
    <w:rsid w:val="00DD5E54"/>
  </w:style>
  <w:style w:type="character" w:customStyle="1" w:styleId="Fu-EndnotenberschriftZchn">
    <w:name w:val="Fuß/-Endnotenüberschrift Zchn"/>
    <w:basedOn w:val="Absatz-Standardschriftart"/>
    <w:link w:val="Fu-Endnotenberschrift"/>
    <w:uiPriority w:val="99"/>
    <w:semiHidden/>
    <w:rsid w:val="00DD5E54"/>
  </w:style>
  <w:style w:type="paragraph" w:styleId="Funotentext">
    <w:name w:val="footnote text"/>
    <w:basedOn w:val="Standard"/>
    <w:link w:val="FunotentextZchn"/>
    <w:uiPriority w:val="99"/>
    <w:semiHidden/>
    <w:unhideWhenUsed/>
    <w:rsid w:val="00DD5E54"/>
  </w:style>
  <w:style w:type="character" w:customStyle="1" w:styleId="FunotentextZchn">
    <w:name w:val="Fußnotentext Zchn"/>
    <w:basedOn w:val="Absatz-Standardschriftart"/>
    <w:link w:val="Funotentext"/>
    <w:uiPriority w:val="99"/>
    <w:semiHidden/>
    <w:rsid w:val="00DD5E54"/>
  </w:style>
  <w:style w:type="paragraph" w:styleId="Gruformel">
    <w:name w:val="Closing"/>
    <w:basedOn w:val="Standard"/>
    <w:link w:val="GruformelZchn"/>
    <w:uiPriority w:val="99"/>
    <w:semiHidden/>
    <w:unhideWhenUsed/>
    <w:rsid w:val="00DD5E54"/>
    <w:pPr>
      <w:ind w:left="4252"/>
    </w:pPr>
  </w:style>
  <w:style w:type="character" w:customStyle="1" w:styleId="GruformelZchn">
    <w:name w:val="Grußformel Zchn"/>
    <w:basedOn w:val="Absatz-Standardschriftart"/>
    <w:link w:val="Gruformel"/>
    <w:uiPriority w:val="99"/>
    <w:semiHidden/>
    <w:rsid w:val="00DD5E54"/>
  </w:style>
  <w:style w:type="paragraph" w:styleId="HTMLAdresse">
    <w:name w:val="HTML Address"/>
    <w:basedOn w:val="Standard"/>
    <w:link w:val="HTMLAdresseZchn"/>
    <w:uiPriority w:val="99"/>
    <w:semiHidden/>
    <w:unhideWhenUsed/>
    <w:rsid w:val="00DD5E54"/>
    <w:rPr>
      <w:i/>
      <w:iCs/>
    </w:rPr>
  </w:style>
  <w:style w:type="character" w:customStyle="1" w:styleId="HTMLAdresseZchn">
    <w:name w:val="HTML Adresse Zchn"/>
    <w:basedOn w:val="Absatz-Standardschriftart"/>
    <w:link w:val="HTMLAdresse"/>
    <w:uiPriority w:val="99"/>
    <w:semiHidden/>
    <w:rsid w:val="00DD5E54"/>
    <w:rPr>
      <w:i/>
      <w:iCs/>
    </w:rPr>
  </w:style>
  <w:style w:type="paragraph" w:styleId="HTMLVorformatiert">
    <w:name w:val="HTML Preformatted"/>
    <w:basedOn w:val="Standard"/>
    <w:link w:val="HTMLVorformatiertZchn"/>
    <w:uiPriority w:val="99"/>
    <w:semiHidden/>
    <w:unhideWhenUsed/>
    <w:rsid w:val="00DD5E54"/>
    <w:rPr>
      <w:rFonts w:ascii="Consolas" w:hAnsi="Consolas"/>
    </w:rPr>
  </w:style>
  <w:style w:type="character" w:customStyle="1" w:styleId="HTMLVorformatiertZchn">
    <w:name w:val="HTML Vorformatiert Zchn"/>
    <w:basedOn w:val="Absatz-Standardschriftart"/>
    <w:link w:val="HTMLVorformatiert"/>
    <w:uiPriority w:val="99"/>
    <w:semiHidden/>
    <w:rsid w:val="00DD5E54"/>
    <w:rPr>
      <w:rFonts w:ascii="Consolas" w:hAnsi="Consolas"/>
    </w:rPr>
  </w:style>
  <w:style w:type="paragraph" w:styleId="Index1">
    <w:name w:val="index 1"/>
    <w:basedOn w:val="Standard"/>
    <w:next w:val="Standard"/>
    <w:autoRedefine/>
    <w:uiPriority w:val="99"/>
    <w:semiHidden/>
    <w:unhideWhenUsed/>
    <w:rsid w:val="00DD5E54"/>
    <w:pPr>
      <w:ind w:left="200" w:hanging="200"/>
    </w:pPr>
  </w:style>
  <w:style w:type="paragraph" w:styleId="Index2">
    <w:name w:val="index 2"/>
    <w:basedOn w:val="Standard"/>
    <w:next w:val="Standard"/>
    <w:autoRedefine/>
    <w:uiPriority w:val="99"/>
    <w:semiHidden/>
    <w:unhideWhenUsed/>
    <w:rsid w:val="00DD5E54"/>
    <w:pPr>
      <w:ind w:left="400" w:hanging="200"/>
    </w:pPr>
  </w:style>
  <w:style w:type="paragraph" w:styleId="Index3">
    <w:name w:val="index 3"/>
    <w:basedOn w:val="Standard"/>
    <w:next w:val="Standard"/>
    <w:autoRedefine/>
    <w:uiPriority w:val="99"/>
    <w:semiHidden/>
    <w:unhideWhenUsed/>
    <w:rsid w:val="00DD5E54"/>
    <w:pPr>
      <w:ind w:left="600" w:hanging="200"/>
    </w:pPr>
  </w:style>
  <w:style w:type="paragraph" w:styleId="Index4">
    <w:name w:val="index 4"/>
    <w:basedOn w:val="Standard"/>
    <w:next w:val="Standard"/>
    <w:autoRedefine/>
    <w:uiPriority w:val="99"/>
    <w:semiHidden/>
    <w:unhideWhenUsed/>
    <w:rsid w:val="00DD5E54"/>
    <w:pPr>
      <w:ind w:left="800" w:hanging="200"/>
    </w:pPr>
  </w:style>
  <w:style w:type="paragraph" w:styleId="Index5">
    <w:name w:val="index 5"/>
    <w:basedOn w:val="Standard"/>
    <w:next w:val="Standard"/>
    <w:autoRedefine/>
    <w:uiPriority w:val="99"/>
    <w:semiHidden/>
    <w:unhideWhenUsed/>
    <w:rsid w:val="00DD5E54"/>
    <w:pPr>
      <w:ind w:left="1000" w:hanging="200"/>
    </w:pPr>
  </w:style>
  <w:style w:type="paragraph" w:styleId="Index6">
    <w:name w:val="index 6"/>
    <w:basedOn w:val="Standard"/>
    <w:next w:val="Standard"/>
    <w:autoRedefine/>
    <w:uiPriority w:val="99"/>
    <w:semiHidden/>
    <w:unhideWhenUsed/>
    <w:rsid w:val="00DD5E54"/>
    <w:pPr>
      <w:ind w:left="1200" w:hanging="200"/>
    </w:pPr>
  </w:style>
  <w:style w:type="paragraph" w:styleId="Index7">
    <w:name w:val="index 7"/>
    <w:basedOn w:val="Standard"/>
    <w:next w:val="Standard"/>
    <w:autoRedefine/>
    <w:uiPriority w:val="99"/>
    <w:semiHidden/>
    <w:unhideWhenUsed/>
    <w:rsid w:val="00DD5E54"/>
    <w:pPr>
      <w:ind w:left="1400" w:hanging="200"/>
    </w:pPr>
  </w:style>
  <w:style w:type="paragraph" w:styleId="Index8">
    <w:name w:val="index 8"/>
    <w:basedOn w:val="Standard"/>
    <w:next w:val="Standard"/>
    <w:autoRedefine/>
    <w:uiPriority w:val="99"/>
    <w:semiHidden/>
    <w:unhideWhenUsed/>
    <w:rsid w:val="00DD5E54"/>
    <w:pPr>
      <w:ind w:left="1600" w:hanging="200"/>
    </w:pPr>
  </w:style>
  <w:style w:type="paragraph" w:styleId="Index9">
    <w:name w:val="index 9"/>
    <w:basedOn w:val="Standard"/>
    <w:next w:val="Standard"/>
    <w:autoRedefine/>
    <w:uiPriority w:val="99"/>
    <w:semiHidden/>
    <w:unhideWhenUsed/>
    <w:rsid w:val="00DD5E54"/>
    <w:pPr>
      <w:ind w:left="1800" w:hanging="200"/>
    </w:pPr>
  </w:style>
  <w:style w:type="paragraph" w:styleId="Indexberschrift">
    <w:name w:val="index heading"/>
    <w:basedOn w:val="Standard"/>
    <w:next w:val="Index1"/>
    <w:uiPriority w:val="99"/>
    <w:semiHidden/>
    <w:unhideWhenUsed/>
    <w:rsid w:val="00DD5E54"/>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DD5E5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DD5E54"/>
    <w:pPr>
      <w:outlineLvl w:val="9"/>
    </w:pPr>
  </w:style>
  <w:style w:type="paragraph" w:styleId="IntensivesZitat">
    <w:name w:val="Intense Quote"/>
    <w:basedOn w:val="Standard"/>
    <w:next w:val="Standard"/>
    <w:link w:val="IntensivesZitatZchn"/>
    <w:uiPriority w:val="30"/>
    <w:qFormat/>
    <w:rsid w:val="00DD5E5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DD5E54"/>
    <w:rPr>
      <w:i/>
      <w:iCs/>
      <w:color w:val="4472C4" w:themeColor="accent1"/>
    </w:rPr>
  </w:style>
  <w:style w:type="paragraph" w:styleId="KeinLeerraum">
    <w:name w:val="No Spacing"/>
    <w:uiPriority w:val="1"/>
    <w:qFormat/>
    <w:rsid w:val="00DD5E54"/>
  </w:style>
  <w:style w:type="paragraph" w:styleId="Liste">
    <w:name w:val="List"/>
    <w:basedOn w:val="Standard"/>
    <w:uiPriority w:val="99"/>
    <w:semiHidden/>
    <w:unhideWhenUsed/>
    <w:rsid w:val="00DD5E54"/>
    <w:pPr>
      <w:ind w:left="283" w:hanging="283"/>
      <w:contextualSpacing/>
    </w:pPr>
  </w:style>
  <w:style w:type="paragraph" w:styleId="Liste2">
    <w:name w:val="List 2"/>
    <w:basedOn w:val="Standard"/>
    <w:uiPriority w:val="99"/>
    <w:semiHidden/>
    <w:unhideWhenUsed/>
    <w:rsid w:val="00DD5E54"/>
    <w:pPr>
      <w:ind w:left="566" w:hanging="283"/>
      <w:contextualSpacing/>
    </w:pPr>
  </w:style>
  <w:style w:type="paragraph" w:styleId="Liste3">
    <w:name w:val="List 3"/>
    <w:basedOn w:val="Standard"/>
    <w:uiPriority w:val="99"/>
    <w:semiHidden/>
    <w:unhideWhenUsed/>
    <w:rsid w:val="00DD5E54"/>
    <w:pPr>
      <w:ind w:left="849" w:hanging="283"/>
      <w:contextualSpacing/>
    </w:pPr>
  </w:style>
  <w:style w:type="paragraph" w:styleId="Liste4">
    <w:name w:val="List 4"/>
    <w:basedOn w:val="Standard"/>
    <w:uiPriority w:val="99"/>
    <w:semiHidden/>
    <w:unhideWhenUsed/>
    <w:rsid w:val="00DD5E54"/>
    <w:pPr>
      <w:ind w:left="1132" w:hanging="283"/>
      <w:contextualSpacing/>
    </w:pPr>
  </w:style>
  <w:style w:type="paragraph" w:styleId="Liste5">
    <w:name w:val="List 5"/>
    <w:basedOn w:val="Standard"/>
    <w:uiPriority w:val="99"/>
    <w:semiHidden/>
    <w:unhideWhenUsed/>
    <w:rsid w:val="00DD5E54"/>
    <w:pPr>
      <w:ind w:left="1415" w:hanging="283"/>
      <w:contextualSpacing/>
    </w:pPr>
  </w:style>
  <w:style w:type="paragraph" w:styleId="Listenfortsetzung">
    <w:name w:val="List Continue"/>
    <w:basedOn w:val="Standard"/>
    <w:uiPriority w:val="99"/>
    <w:semiHidden/>
    <w:unhideWhenUsed/>
    <w:rsid w:val="00DD5E54"/>
    <w:pPr>
      <w:spacing w:after="120"/>
      <w:ind w:left="283"/>
      <w:contextualSpacing/>
    </w:pPr>
  </w:style>
  <w:style w:type="paragraph" w:styleId="Listenfortsetzung2">
    <w:name w:val="List Continue 2"/>
    <w:basedOn w:val="Standard"/>
    <w:uiPriority w:val="99"/>
    <w:semiHidden/>
    <w:unhideWhenUsed/>
    <w:rsid w:val="00DD5E54"/>
    <w:pPr>
      <w:spacing w:after="120"/>
      <w:ind w:left="566"/>
      <w:contextualSpacing/>
    </w:pPr>
  </w:style>
  <w:style w:type="paragraph" w:styleId="Listenfortsetzung3">
    <w:name w:val="List Continue 3"/>
    <w:basedOn w:val="Standard"/>
    <w:uiPriority w:val="99"/>
    <w:semiHidden/>
    <w:unhideWhenUsed/>
    <w:rsid w:val="00DD5E54"/>
    <w:pPr>
      <w:spacing w:after="120"/>
      <w:ind w:left="849"/>
      <w:contextualSpacing/>
    </w:pPr>
  </w:style>
  <w:style w:type="paragraph" w:styleId="Listenfortsetzung4">
    <w:name w:val="List Continue 4"/>
    <w:basedOn w:val="Standard"/>
    <w:uiPriority w:val="99"/>
    <w:semiHidden/>
    <w:unhideWhenUsed/>
    <w:rsid w:val="00DD5E54"/>
    <w:pPr>
      <w:spacing w:after="120"/>
      <w:ind w:left="1132"/>
      <w:contextualSpacing/>
    </w:pPr>
  </w:style>
  <w:style w:type="paragraph" w:styleId="Listenfortsetzung5">
    <w:name w:val="List Continue 5"/>
    <w:basedOn w:val="Standard"/>
    <w:uiPriority w:val="99"/>
    <w:semiHidden/>
    <w:unhideWhenUsed/>
    <w:rsid w:val="00DD5E54"/>
    <w:pPr>
      <w:spacing w:after="120"/>
      <w:ind w:left="1415"/>
      <w:contextualSpacing/>
    </w:pPr>
  </w:style>
  <w:style w:type="paragraph" w:styleId="Listennummer">
    <w:name w:val="List Number"/>
    <w:basedOn w:val="Standard"/>
    <w:uiPriority w:val="99"/>
    <w:semiHidden/>
    <w:unhideWhenUsed/>
    <w:rsid w:val="00DD5E54"/>
    <w:pPr>
      <w:numPr>
        <w:numId w:val="24"/>
      </w:numPr>
      <w:contextualSpacing/>
    </w:pPr>
  </w:style>
  <w:style w:type="paragraph" w:styleId="Listennummer2">
    <w:name w:val="List Number 2"/>
    <w:basedOn w:val="Standard"/>
    <w:uiPriority w:val="99"/>
    <w:semiHidden/>
    <w:unhideWhenUsed/>
    <w:rsid w:val="00DD5E54"/>
    <w:pPr>
      <w:numPr>
        <w:numId w:val="25"/>
      </w:numPr>
      <w:contextualSpacing/>
    </w:pPr>
  </w:style>
  <w:style w:type="paragraph" w:styleId="Listennummer3">
    <w:name w:val="List Number 3"/>
    <w:basedOn w:val="Standard"/>
    <w:uiPriority w:val="99"/>
    <w:semiHidden/>
    <w:unhideWhenUsed/>
    <w:rsid w:val="00DD5E54"/>
    <w:pPr>
      <w:numPr>
        <w:numId w:val="26"/>
      </w:numPr>
      <w:contextualSpacing/>
    </w:pPr>
  </w:style>
  <w:style w:type="paragraph" w:styleId="Listennummer4">
    <w:name w:val="List Number 4"/>
    <w:basedOn w:val="Standard"/>
    <w:uiPriority w:val="99"/>
    <w:semiHidden/>
    <w:unhideWhenUsed/>
    <w:rsid w:val="00DD5E54"/>
    <w:pPr>
      <w:numPr>
        <w:numId w:val="27"/>
      </w:numPr>
      <w:contextualSpacing/>
    </w:pPr>
  </w:style>
  <w:style w:type="paragraph" w:styleId="Listennummer5">
    <w:name w:val="List Number 5"/>
    <w:basedOn w:val="Standard"/>
    <w:uiPriority w:val="99"/>
    <w:semiHidden/>
    <w:unhideWhenUsed/>
    <w:rsid w:val="00DD5E54"/>
    <w:pPr>
      <w:numPr>
        <w:numId w:val="28"/>
      </w:numPr>
      <w:contextualSpacing/>
    </w:pPr>
  </w:style>
  <w:style w:type="paragraph" w:styleId="Literaturverzeichnis">
    <w:name w:val="Bibliography"/>
    <w:basedOn w:val="Standard"/>
    <w:next w:val="Standard"/>
    <w:uiPriority w:val="37"/>
    <w:semiHidden/>
    <w:unhideWhenUsed/>
    <w:rsid w:val="00DD5E54"/>
  </w:style>
  <w:style w:type="paragraph" w:styleId="Makrotext">
    <w:name w:val="macro"/>
    <w:link w:val="MakrotextZchn"/>
    <w:uiPriority w:val="99"/>
    <w:semiHidden/>
    <w:unhideWhenUsed/>
    <w:rsid w:val="00DD5E5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DD5E54"/>
    <w:rPr>
      <w:rFonts w:ascii="Consolas" w:hAnsi="Consolas"/>
    </w:rPr>
  </w:style>
  <w:style w:type="paragraph" w:styleId="Nachrichtenkopf">
    <w:name w:val="Message Header"/>
    <w:basedOn w:val="Standard"/>
    <w:link w:val="NachrichtenkopfZchn"/>
    <w:uiPriority w:val="99"/>
    <w:semiHidden/>
    <w:unhideWhenUsed/>
    <w:rsid w:val="00DD5E5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D5E54"/>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DD5E54"/>
    <w:rPr>
      <w:rFonts w:ascii="Consolas" w:hAnsi="Consolas"/>
      <w:sz w:val="21"/>
      <w:szCs w:val="21"/>
    </w:rPr>
  </w:style>
  <w:style w:type="character" w:customStyle="1" w:styleId="NurTextZchn">
    <w:name w:val="Nur Text Zchn"/>
    <w:basedOn w:val="Absatz-Standardschriftart"/>
    <w:link w:val="NurText"/>
    <w:uiPriority w:val="99"/>
    <w:semiHidden/>
    <w:rsid w:val="00DD5E54"/>
    <w:rPr>
      <w:rFonts w:ascii="Consolas" w:hAnsi="Consolas"/>
      <w:sz w:val="21"/>
      <w:szCs w:val="21"/>
    </w:rPr>
  </w:style>
  <w:style w:type="paragraph" w:styleId="Rechtsgrundlagenverzeichnis">
    <w:name w:val="table of authorities"/>
    <w:basedOn w:val="Standard"/>
    <w:next w:val="Standard"/>
    <w:uiPriority w:val="99"/>
    <w:semiHidden/>
    <w:unhideWhenUsed/>
    <w:rsid w:val="00DD5E54"/>
    <w:pPr>
      <w:ind w:left="200" w:hanging="200"/>
    </w:pPr>
  </w:style>
  <w:style w:type="paragraph" w:styleId="RGV-berschrift">
    <w:name w:val="toa heading"/>
    <w:basedOn w:val="Standard"/>
    <w:next w:val="Standard"/>
    <w:uiPriority w:val="99"/>
    <w:semiHidden/>
    <w:unhideWhenUsed/>
    <w:rsid w:val="00DD5E54"/>
    <w:pPr>
      <w:spacing w:before="120"/>
    </w:pPr>
    <w:rPr>
      <w:rFonts w:asciiTheme="majorHAnsi" w:eastAsiaTheme="majorEastAsia" w:hAnsiTheme="majorHAnsi" w:cstheme="majorBidi"/>
      <w:b/>
      <w:bCs/>
      <w:sz w:val="24"/>
      <w:szCs w:val="24"/>
    </w:rPr>
  </w:style>
  <w:style w:type="paragraph" w:styleId="Standardeinzug">
    <w:name w:val="Normal Indent"/>
    <w:basedOn w:val="Standard"/>
    <w:uiPriority w:val="99"/>
    <w:semiHidden/>
    <w:unhideWhenUsed/>
    <w:rsid w:val="00DD5E54"/>
    <w:pPr>
      <w:ind w:left="720"/>
    </w:pPr>
  </w:style>
  <w:style w:type="paragraph" w:styleId="Textkrper">
    <w:name w:val="Body Text"/>
    <w:basedOn w:val="Standard"/>
    <w:link w:val="TextkrperZchn"/>
    <w:uiPriority w:val="99"/>
    <w:semiHidden/>
    <w:unhideWhenUsed/>
    <w:rsid w:val="00DD5E54"/>
    <w:pPr>
      <w:spacing w:after="120"/>
    </w:pPr>
  </w:style>
  <w:style w:type="character" w:customStyle="1" w:styleId="TextkrperZchn">
    <w:name w:val="Textkörper Zchn"/>
    <w:basedOn w:val="Absatz-Standardschriftart"/>
    <w:link w:val="Textkrper"/>
    <w:uiPriority w:val="99"/>
    <w:semiHidden/>
    <w:rsid w:val="00DD5E54"/>
  </w:style>
  <w:style w:type="paragraph" w:styleId="Textkrper2">
    <w:name w:val="Body Text 2"/>
    <w:basedOn w:val="Standard"/>
    <w:link w:val="Textkrper2Zchn"/>
    <w:uiPriority w:val="99"/>
    <w:semiHidden/>
    <w:unhideWhenUsed/>
    <w:rsid w:val="00DD5E54"/>
    <w:pPr>
      <w:spacing w:after="120" w:line="480" w:lineRule="auto"/>
    </w:pPr>
  </w:style>
  <w:style w:type="character" w:customStyle="1" w:styleId="Textkrper2Zchn">
    <w:name w:val="Textkörper 2 Zchn"/>
    <w:basedOn w:val="Absatz-Standardschriftart"/>
    <w:link w:val="Textkrper2"/>
    <w:uiPriority w:val="99"/>
    <w:semiHidden/>
    <w:rsid w:val="00DD5E54"/>
  </w:style>
  <w:style w:type="paragraph" w:styleId="Textkrper3">
    <w:name w:val="Body Text 3"/>
    <w:basedOn w:val="Standard"/>
    <w:link w:val="Textkrper3Zchn"/>
    <w:uiPriority w:val="99"/>
    <w:semiHidden/>
    <w:unhideWhenUsed/>
    <w:rsid w:val="00DD5E54"/>
    <w:pPr>
      <w:spacing w:after="120"/>
    </w:pPr>
    <w:rPr>
      <w:sz w:val="16"/>
      <w:szCs w:val="16"/>
    </w:rPr>
  </w:style>
  <w:style w:type="character" w:customStyle="1" w:styleId="Textkrper3Zchn">
    <w:name w:val="Textkörper 3 Zchn"/>
    <w:basedOn w:val="Absatz-Standardschriftart"/>
    <w:link w:val="Textkrper3"/>
    <w:uiPriority w:val="99"/>
    <w:semiHidden/>
    <w:rsid w:val="00DD5E54"/>
    <w:rPr>
      <w:sz w:val="16"/>
      <w:szCs w:val="16"/>
    </w:rPr>
  </w:style>
  <w:style w:type="paragraph" w:styleId="Textkrper-Einzug2">
    <w:name w:val="Body Text Indent 2"/>
    <w:basedOn w:val="Standard"/>
    <w:link w:val="Textkrper-Einzug2Zchn"/>
    <w:uiPriority w:val="99"/>
    <w:semiHidden/>
    <w:unhideWhenUsed/>
    <w:rsid w:val="00DD5E54"/>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DD5E54"/>
  </w:style>
  <w:style w:type="paragraph" w:styleId="Textkrper-Einzug3">
    <w:name w:val="Body Text Indent 3"/>
    <w:basedOn w:val="Standard"/>
    <w:link w:val="Textkrper-Einzug3Zchn"/>
    <w:uiPriority w:val="99"/>
    <w:semiHidden/>
    <w:unhideWhenUsed/>
    <w:rsid w:val="00DD5E54"/>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DD5E54"/>
    <w:rPr>
      <w:sz w:val="16"/>
      <w:szCs w:val="16"/>
    </w:rPr>
  </w:style>
  <w:style w:type="paragraph" w:styleId="Textkrper-Erstzeileneinzug">
    <w:name w:val="Body Text First Indent"/>
    <w:basedOn w:val="Textkrper"/>
    <w:link w:val="Textkrper-ErstzeileneinzugZchn"/>
    <w:uiPriority w:val="99"/>
    <w:semiHidden/>
    <w:unhideWhenUsed/>
    <w:rsid w:val="00DD5E54"/>
    <w:pPr>
      <w:spacing w:after="0"/>
      <w:ind w:firstLine="360"/>
    </w:pPr>
  </w:style>
  <w:style w:type="character" w:customStyle="1" w:styleId="Textkrper-ErstzeileneinzugZchn">
    <w:name w:val="Textkörper-Erstzeileneinzug Zchn"/>
    <w:basedOn w:val="TextkrperZchn"/>
    <w:link w:val="Textkrper-Erstzeileneinzug"/>
    <w:uiPriority w:val="99"/>
    <w:semiHidden/>
    <w:rsid w:val="00DD5E54"/>
  </w:style>
  <w:style w:type="paragraph" w:styleId="Textkrper-Zeileneinzug">
    <w:name w:val="Body Text Indent"/>
    <w:basedOn w:val="Standard"/>
    <w:link w:val="Textkrper-ZeileneinzugZchn"/>
    <w:uiPriority w:val="99"/>
    <w:semiHidden/>
    <w:unhideWhenUsed/>
    <w:rsid w:val="00DD5E54"/>
    <w:pPr>
      <w:spacing w:after="120"/>
      <w:ind w:left="283"/>
    </w:pPr>
  </w:style>
  <w:style w:type="character" w:customStyle="1" w:styleId="Textkrper-ZeileneinzugZchn">
    <w:name w:val="Textkörper-Zeileneinzug Zchn"/>
    <w:basedOn w:val="Absatz-Standardschriftart"/>
    <w:link w:val="Textkrper-Zeileneinzug"/>
    <w:uiPriority w:val="99"/>
    <w:semiHidden/>
    <w:rsid w:val="00DD5E54"/>
  </w:style>
  <w:style w:type="paragraph" w:styleId="Textkrper-Erstzeileneinzug2">
    <w:name w:val="Body Text First Indent 2"/>
    <w:basedOn w:val="Textkrper-Zeileneinzug"/>
    <w:link w:val="Textkrper-Erstzeileneinzug2Zchn"/>
    <w:uiPriority w:val="99"/>
    <w:semiHidden/>
    <w:unhideWhenUsed/>
    <w:rsid w:val="00DD5E54"/>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DD5E54"/>
  </w:style>
  <w:style w:type="paragraph" w:styleId="Titel">
    <w:name w:val="Title"/>
    <w:basedOn w:val="Standard"/>
    <w:next w:val="Standard"/>
    <w:link w:val="TitelZchn"/>
    <w:uiPriority w:val="10"/>
    <w:qFormat/>
    <w:rsid w:val="00DD5E54"/>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D5E54"/>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semiHidden/>
    <w:rsid w:val="00DD5E54"/>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DD5E54"/>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DD5E54"/>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DD5E54"/>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DD5E54"/>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DD5E54"/>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D5E54"/>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DD5E54"/>
    <w:rPr>
      <w:rFonts w:asciiTheme="majorHAnsi" w:eastAsiaTheme="majorEastAsia" w:hAnsiTheme="majorHAnsi" w:cstheme="majorBidi"/>
    </w:rPr>
  </w:style>
  <w:style w:type="paragraph" w:styleId="Umschlagadresse">
    <w:name w:val="envelope address"/>
    <w:basedOn w:val="Standard"/>
    <w:uiPriority w:val="99"/>
    <w:semiHidden/>
    <w:unhideWhenUsed/>
    <w:rsid w:val="00DD5E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DD5E54"/>
    <w:pPr>
      <w:ind w:left="4252"/>
    </w:pPr>
  </w:style>
  <w:style w:type="character" w:customStyle="1" w:styleId="UnterschriftZchn">
    <w:name w:val="Unterschrift Zchn"/>
    <w:basedOn w:val="Absatz-Standardschriftart"/>
    <w:link w:val="Unterschrift"/>
    <w:uiPriority w:val="99"/>
    <w:semiHidden/>
    <w:rsid w:val="00DD5E54"/>
  </w:style>
  <w:style w:type="paragraph" w:styleId="Untertitel">
    <w:name w:val="Subtitle"/>
    <w:basedOn w:val="Standard"/>
    <w:next w:val="Standard"/>
    <w:link w:val="UntertitelZchn"/>
    <w:uiPriority w:val="11"/>
    <w:qFormat/>
    <w:rsid w:val="00DD5E54"/>
    <w:pPr>
      <w:numPr>
        <w:ilvl w:val="1"/>
      </w:numPr>
      <w:spacing w:after="160"/>
    </w:pPr>
    <w:rPr>
      <w:rFonts w:asciiTheme="minorHAnsi"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D5E54"/>
    <w:rPr>
      <w:rFonts w:asciiTheme="minorHAnsi" w:hAnsiTheme="minorHAnsi" w:cstheme="minorBidi"/>
      <w:color w:val="5A5A5A" w:themeColor="text1" w:themeTint="A5"/>
      <w:spacing w:val="15"/>
      <w:sz w:val="22"/>
      <w:szCs w:val="22"/>
    </w:rPr>
  </w:style>
  <w:style w:type="paragraph" w:styleId="Verzeichnis1">
    <w:name w:val="toc 1"/>
    <w:basedOn w:val="Standard"/>
    <w:next w:val="Standard"/>
    <w:autoRedefine/>
    <w:uiPriority w:val="39"/>
    <w:semiHidden/>
    <w:unhideWhenUsed/>
    <w:rsid w:val="00DD5E54"/>
    <w:pPr>
      <w:spacing w:after="100"/>
    </w:pPr>
  </w:style>
  <w:style w:type="paragraph" w:styleId="Verzeichnis2">
    <w:name w:val="toc 2"/>
    <w:basedOn w:val="Standard"/>
    <w:next w:val="Standard"/>
    <w:autoRedefine/>
    <w:uiPriority w:val="39"/>
    <w:semiHidden/>
    <w:unhideWhenUsed/>
    <w:rsid w:val="00DD5E54"/>
    <w:pPr>
      <w:spacing w:after="100"/>
      <w:ind w:left="200"/>
    </w:pPr>
  </w:style>
  <w:style w:type="paragraph" w:styleId="Verzeichnis3">
    <w:name w:val="toc 3"/>
    <w:basedOn w:val="Standard"/>
    <w:next w:val="Standard"/>
    <w:autoRedefine/>
    <w:uiPriority w:val="39"/>
    <w:semiHidden/>
    <w:unhideWhenUsed/>
    <w:rsid w:val="00DD5E54"/>
    <w:pPr>
      <w:spacing w:after="100"/>
      <w:ind w:left="400"/>
    </w:pPr>
  </w:style>
  <w:style w:type="paragraph" w:styleId="Verzeichnis4">
    <w:name w:val="toc 4"/>
    <w:basedOn w:val="Standard"/>
    <w:next w:val="Standard"/>
    <w:autoRedefine/>
    <w:uiPriority w:val="39"/>
    <w:semiHidden/>
    <w:unhideWhenUsed/>
    <w:rsid w:val="00DD5E54"/>
    <w:pPr>
      <w:spacing w:after="100"/>
      <w:ind w:left="600"/>
    </w:pPr>
  </w:style>
  <w:style w:type="paragraph" w:styleId="Verzeichnis5">
    <w:name w:val="toc 5"/>
    <w:basedOn w:val="Standard"/>
    <w:next w:val="Standard"/>
    <w:autoRedefine/>
    <w:uiPriority w:val="39"/>
    <w:semiHidden/>
    <w:unhideWhenUsed/>
    <w:rsid w:val="00DD5E54"/>
    <w:pPr>
      <w:spacing w:after="100"/>
      <w:ind w:left="800"/>
    </w:pPr>
  </w:style>
  <w:style w:type="paragraph" w:styleId="Verzeichnis6">
    <w:name w:val="toc 6"/>
    <w:basedOn w:val="Standard"/>
    <w:next w:val="Standard"/>
    <w:autoRedefine/>
    <w:uiPriority w:val="39"/>
    <w:semiHidden/>
    <w:unhideWhenUsed/>
    <w:rsid w:val="00DD5E54"/>
    <w:pPr>
      <w:spacing w:after="100"/>
      <w:ind w:left="1000"/>
    </w:pPr>
  </w:style>
  <w:style w:type="paragraph" w:styleId="Verzeichnis7">
    <w:name w:val="toc 7"/>
    <w:basedOn w:val="Standard"/>
    <w:next w:val="Standard"/>
    <w:autoRedefine/>
    <w:uiPriority w:val="39"/>
    <w:semiHidden/>
    <w:unhideWhenUsed/>
    <w:rsid w:val="00DD5E54"/>
    <w:pPr>
      <w:spacing w:after="100"/>
      <w:ind w:left="1200"/>
    </w:pPr>
  </w:style>
  <w:style w:type="paragraph" w:styleId="Verzeichnis8">
    <w:name w:val="toc 8"/>
    <w:basedOn w:val="Standard"/>
    <w:next w:val="Standard"/>
    <w:autoRedefine/>
    <w:uiPriority w:val="39"/>
    <w:semiHidden/>
    <w:unhideWhenUsed/>
    <w:rsid w:val="00DD5E54"/>
    <w:pPr>
      <w:spacing w:after="100"/>
      <w:ind w:left="1400"/>
    </w:pPr>
  </w:style>
  <w:style w:type="paragraph" w:styleId="Verzeichnis9">
    <w:name w:val="toc 9"/>
    <w:basedOn w:val="Standard"/>
    <w:next w:val="Standard"/>
    <w:autoRedefine/>
    <w:uiPriority w:val="39"/>
    <w:semiHidden/>
    <w:unhideWhenUsed/>
    <w:rsid w:val="00DD5E54"/>
    <w:pPr>
      <w:spacing w:after="100"/>
      <w:ind w:left="1600"/>
    </w:pPr>
  </w:style>
  <w:style w:type="paragraph" w:styleId="Zitat">
    <w:name w:val="Quote"/>
    <w:basedOn w:val="Standard"/>
    <w:next w:val="Standard"/>
    <w:link w:val="ZitatZchn"/>
    <w:uiPriority w:val="29"/>
    <w:qFormat/>
    <w:rsid w:val="00DD5E54"/>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DD5E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76428">
      <w:bodyDiv w:val="1"/>
      <w:marLeft w:val="0"/>
      <w:marRight w:val="0"/>
      <w:marTop w:val="0"/>
      <w:marBottom w:val="0"/>
      <w:divBdr>
        <w:top w:val="none" w:sz="0" w:space="0" w:color="auto"/>
        <w:left w:val="none" w:sz="0" w:space="0" w:color="auto"/>
        <w:bottom w:val="none" w:sz="0" w:space="0" w:color="auto"/>
        <w:right w:val="none" w:sz="0" w:space="0" w:color="auto"/>
      </w:divBdr>
    </w:div>
    <w:div w:id="202056773">
      <w:bodyDiv w:val="1"/>
      <w:marLeft w:val="0"/>
      <w:marRight w:val="0"/>
      <w:marTop w:val="0"/>
      <w:marBottom w:val="0"/>
      <w:divBdr>
        <w:top w:val="none" w:sz="0" w:space="0" w:color="auto"/>
        <w:left w:val="none" w:sz="0" w:space="0" w:color="auto"/>
        <w:bottom w:val="none" w:sz="0" w:space="0" w:color="auto"/>
        <w:right w:val="none" w:sz="0" w:space="0" w:color="auto"/>
      </w:divBdr>
    </w:div>
    <w:div w:id="597252994">
      <w:bodyDiv w:val="1"/>
      <w:marLeft w:val="0"/>
      <w:marRight w:val="0"/>
      <w:marTop w:val="0"/>
      <w:marBottom w:val="0"/>
      <w:divBdr>
        <w:top w:val="none" w:sz="0" w:space="0" w:color="auto"/>
        <w:left w:val="none" w:sz="0" w:space="0" w:color="auto"/>
        <w:bottom w:val="none" w:sz="0" w:space="0" w:color="auto"/>
        <w:right w:val="none" w:sz="0" w:space="0" w:color="auto"/>
      </w:divBdr>
    </w:div>
    <w:div w:id="725035011">
      <w:bodyDiv w:val="1"/>
      <w:marLeft w:val="0"/>
      <w:marRight w:val="0"/>
      <w:marTop w:val="0"/>
      <w:marBottom w:val="0"/>
      <w:divBdr>
        <w:top w:val="none" w:sz="0" w:space="0" w:color="auto"/>
        <w:left w:val="none" w:sz="0" w:space="0" w:color="auto"/>
        <w:bottom w:val="none" w:sz="0" w:space="0" w:color="auto"/>
        <w:right w:val="none" w:sz="0" w:space="0" w:color="auto"/>
      </w:divBdr>
    </w:div>
    <w:div w:id="1723211104">
      <w:bodyDiv w:val="1"/>
      <w:marLeft w:val="0"/>
      <w:marRight w:val="0"/>
      <w:marTop w:val="0"/>
      <w:marBottom w:val="0"/>
      <w:divBdr>
        <w:top w:val="none" w:sz="0" w:space="0" w:color="auto"/>
        <w:left w:val="none" w:sz="0" w:space="0" w:color="auto"/>
        <w:bottom w:val="none" w:sz="0" w:space="0" w:color="auto"/>
        <w:right w:val="none" w:sz="0" w:space="0" w:color="auto"/>
      </w:divBdr>
    </w:div>
    <w:div w:id="1938633853">
      <w:bodyDiv w:val="1"/>
      <w:marLeft w:val="0"/>
      <w:marRight w:val="0"/>
      <w:marTop w:val="0"/>
      <w:marBottom w:val="0"/>
      <w:divBdr>
        <w:top w:val="none" w:sz="0" w:space="0" w:color="auto"/>
        <w:left w:val="none" w:sz="0" w:space="0" w:color="auto"/>
        <w:bottom w:val="none" w:sz="0" w:space="0" w:color="auto"/>
        <w:right w:val="none" w:sz="0" w:space="0" w:color="auto"/>
      </w:divBdr>
    </w:div>
    <w:div w:id="1947300504">
      <w:bodyDiv w:val="1"/>
      <w:marLeft w:val="0"/>
      <w:marRight w:val="0"/>
      <w:marTop w:val="0"/>
      <w:marBottom w:val="0"/>
      <w:divBdr>
        <w:top w:val="none" w:sz="0" w:space="0" w:color="auto"/>
        <w:left w:val="none" w:sz="0" w:space="0" w:color="auto"/>
        <w:bottom w:val="none" w:sz="0" w:space="0" w:color="auto"/>
        <w:right w:val="none" w:sz="0" w:space="0" w:color="auto"/>
      </w:divBdr>
    </w:div>
    <w:div w:id="1991521368">
      <w:bodyDiv w:val="1"/>
      <w:marLeft w:val="0"/>
      <w:marRight w:val="0"/>
      <w:marTop w:val="0"/>
      <w:marBottom w:val="0"/>
      <w:divBdr>
        <w:top w:val="none" w:sz="0" w:space="0" w:color="auto"/>
        <w:left w:val="none" w:sz="0" w:space="0" w:color="auto"/>
        <w:bottom w:val="none" w:sz="0" w:space="0" w:color="auto"/>
        <w:right w:val="none" w:sz="0" w:space="0" w:color="auto"/>
      </w:divBdr>
    </w:div>
    <w:div w:id="2014070800">
      <w:bodyDiv w:val="1"/>
      <w:marLeft w:val="0"/>
      <w:marRight w:val="0"/>
      <w:marTop w:val="0"/>
      <w:marBottom w:val="0"/>
      <w:divBdr>
        <w:top w:val="none" w:sz="0" w:space="0" w:color="auto"/>
        <w:left w:val="none" w:sz="0" w:space="0" w:color="auto"/>
        <w:bottom w:val="none" w:sz="0" w:space="0" w:color="auto"/>
        <w:right w:val="none" w:sz="0" w:space="0" w:color="auto"/>
      </w:divBdr>
      <w:divsChild>
        <w:div w:id="1134174880">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F2E3DDB20B5A4479BE9CC14661A59B8" ma:contentTypeVersion="13" ma:contentTypeDescription="Ein neues Dokument erstellen." ma:contentTypeScope="" ma:versionID="0d8189131e1e79f39ba2198ecbf30da1">
  <xsd:schema xmlns:xsd="http://www.w3.org/2001/XMLSchema" xmlns:xs="http://www.w3.org/2001/XMLSchema" xmlns:p="http://schemas.microsoft.com/office/2006/metadata/properties" xmlns:ns1="http://schemas.microsoft.com/sharepoint/v3" xmlns:ns3="c75a7066-1c43-4f53-abfc-4e15d2cc94d4" xmlns:ns4="2d1d8797-c10b-4dd0-be28-a6a04ea5d126" targetNamespace="http://schemas.microsoft.com/office/2006/metadata/properties" ma:root="true" ma:fieldsID="a42624212e9c5e9ddecb867e361f55e0" ns1:_="" ns3:_="" ns4:_="">
    <xsd:import namespace="http://schemas.microsoft.com/sharepoint/v3"/>
    <xsd:import namespace="c75a7066-1c43-4f53-abfc-4e15d2cc94d4"/>
    <xsd:import namespace="2d1d8797-c10b-4dd0-be28-a6a04ea5d12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ften der einheitlichen Compliancerichtlinie" ma:description="" ma:hidden="true" ma:internalName="_ip_UnifiedCompliancePolicyProperties">
      <xsd:simpleType>
        <xsd:restriction base="dms:Note"/>
      </xsd:simpleType>
    </xsd:element>
    <xsd:element name="_ip_UnifiedCompliancePolicyUIAction" ma:index="14" nillable="true" ma:displayName="UI-Aktion der einheitlichen Compliancerichtlini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5a7066-1c43-4f53-abfc-4e15d2cc94d4"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Freigabehinweishash" ma:hidden="true" ma:internalName="SharingHintHash" ma:readOnly="true">
      <xsd:simpleType>
        <xsd:restriction base="dms:Text"/>
      </xsd:simpleType>
    </xsd:element>
    <xsd:element name="SharedWithDetails" ma:index="10"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1d8797-c10b-4dd0-be28-a6a04ea5d1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DD4CCEF-78AB-436C-85E7-FB43B5614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5a7066-1c43-4f53-abfc-4e15d2cc94d4"/>
    <ds:schemaRef ds:uri="2d1d8797-c10b-4dd0-be28-a6a04ea5d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81E53-D8D0-4F58-8197-A187B3FEA564}">
  <ds:schemaRefs>
    <ds:schemaRef ds:uri="http://schemas.microsoft.com/sharepoint/v3/contenttype/forms"/>
  </ds:schemaRefs>
</ds:datastoreItem>
</file>

<file path=customXml/itemProps3.xml><?xml version="1.0" encoding="utf-8"?>
<ds:datastoreItem xmlns:ds="http://schemas.openxmlformats.org/officeDocument/2006/customXml" ds:itemID="{6A226D20-C781-4DE3-A900-474B62360942}">
  <ds:schemaRefs>
    <ds:schemaRef ds:uri="http://purl.org/dc/elements/1.1/"/>
    <ds:schemaRef ds:uri="http://schemas.microsoft.com/office/2006/metadata/properties"/>
    <ds:schemaRef ds:uri="c75a7066-1c43-4f53-abfc-4e15d2cc94d4"/>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d1d8797-c10b-4dd0-be28-a6a04ea5d12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Normal_Qiagenw10</Template>
  <TotalTime>0</TotalTime>
  <Pages>5</Pages>
  <Words>5192</Words>
  <Characters>28695</Characters>
  <Application>Microsoft Office Word</Application>
  <DocSecurity>0</DocSecurity>
  <Lines>2460</Lines>
  <Paragraphs>1003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Robert Reitze - QIAGEN</cp:lastModifiedBy>
  <cp:revision>3</cp:revision>
  <cp:lastPrinted>2019-07-30T19:18:00Z</cp:lastPrinted>
  <dcterms:created xsi:type="dcterms:W3CDTF">2019-07-30T19:18:00Z</dcterms:created>
  <dcterms:modified xsi:type="dcterms:W3CDTF">2019-07-30T19:18:00Z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0x0101006F2E3DDB20B5A4479BE9CC14661A59B8</vt:lpwstr>
  </property>
</Properties>
</file>