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C504" w14:textId="77777777" w:rsidR="00630B98" w:rsidRPr="000E6A7B" w:rsidRDefault="00630B98" w:rsidP="000E6A7B">
      <w:pPr>
        <w:rPr>
          <w:rFonts w:cstheme="minorBidi"/>
          <w:sz w:val="28"/>
          <w:szCs w:val="28"/>
          <w:lang w:val="en-US"/>
        </w:rPr>
      </w:pPr>
    </w:p>
    <w:p w14:paraId="1FD62AB5" w14:textId="078D2E95" w:rsidR="00FC3C7B" w:rsidRPr="000E6A7B" w:rsidRDefault="00FC3C7B" w:rsidP="00046A46">
      <w:pPr>
        <w:pStyle w:val="StandardWeb"/>
        <w:spacing w:before="0" w:beforeAutospacing="0" w:after="0" w:afterAutospacing="0"/>
        <w:jc w:val="center"/>
        <w:rPr>
          <w:rFonts w:ascii="Calibri" w:hAnsi="Calibri" w:cs="Arial"/>
          <w:b/>
          <w:color w:val="000000" w:themeColor="text1"/>
          <w:sz w:val="28"/>
          <w:szCs w:val="28"/>
          <w:lang w:val="en-US"/>
        </w:rPr>
      </w:pPr>
      <w:bookmarkStart w:id="0" w:name="_MailOriginal"/>
      <w:proofErr w:type="spellStart"/>
      <w:r w:rsidRPr="000E6A7B">
        <w:rPr>
          <w:rFonts w:ascii="Calibri" w:hAnsi="Calibri" w:cs="Arial"/>
          <w:b/>
          <w:color w:val="000000" w:themeColor="text1"/>
          <w:sz w:val="28"/>
          <w:szCs w:val="28"/>
          <w:lang w:val="en-US"/>
        </w:rPr>
        <w:t>MorphoSys</w:t>
      </w:r>
      <w:proofErr w:type="spellEnd"/>
      <w:r w:rsidRPr="000E6A7B">
        <w:rPr>
          <w:rFonts w:ascii="Calibri" w:hAnsi="Calibri" w:cs="Arial"/>
          <w:b/>
          <w:color w:val="000000" w:themeColor="text1"/>
          <w:sz w:val="28"/>
          <w:szCs w:val="28"/>
          <w:lang w:val="en-US"/>
        </w:rPr>
        <w:t xml:space="preserve"> and </w:t>
      </w:r>
      <w:proofErr w:type="spellStart"/>
      <w:r w:rsidRPr="000E6A7B">
        <w:rPr>
          <w:rFonts w:ascii="Calibri" w:hAnsi="Calibri" w:cs="Arial"/>
          <w:b/>
          <w:color w:val="000000" w:themeColor="text1"/>
          <w:sz w:val="28"/>
          <w:szCs w:val="28"/>
          <w:lang w:val="en-US"/>
        </w:rPr>
        <w:t>Vivoryon</w:t>
      </w:r>
      <w:proofErr w:type="spellEnd"/>
      <w:r w:rsidRPr="000E6A7B">
        <w:rPr>
          <w:rFonts w:ascii="Calibri" w:hAnsi="Calibri" w:cs="Arial"/>
          <w:b/>
          <w:color w:val="000000" w:themeColor="text1"/>
          <w:sz w:val="28"/>
          <w:szCs w:val="28"/>
          <w:lang w:val="en-US"/>
        </w:rPr>
        <w:t xml:space="preserve"> Therapeutics Enter Agreement on Small Molecule Inhi</w:t>
      </w:r>
      <w:r w:rsidR="00F10F1F" w:rsidRPr="000E6A7B">
        <w:rPr>
          <w:rFonts w:ascii="Calibri" w:hAnsi="Calibri" w:cs="Arial"/>
          <w:b/>
          <w:color w:val="000000" w:themeColor="text1"/>
          <w:sz w:val="28"/>
          <w:szCs w:val="28"/>
          <w:lang w:val="en-US"/>
        </w:rPr>
        <w:t>bitors of CD47-SIRP alpha Signa</w:t>
      </w:r>
      <w:r w:rsidRPr="000E6A7B">
        <w:rPr>
          <w:rFonts w:ascii="Calibri" w:hAnsi="Calibri" w:cs="Arial"/>
          <w:b/>
          <w:color w:val="000000" w:themeColor="text1"/>
          <w:sz w:val="28"/>
          <w:szCs w:val="28"/>
          <w:lang w:val="en-US"/>
        </w:rPr>
        <w:t xml:space="preserve">ling in </w:t>
      </w:r>
      <w:proofErr w:type="spellStart"/>
      <w:r w:rsidRPr="000E6A7B">
        <w:rPr>
          <w:rFonts w:ascii="Calibri" w:hAnsi="Calibri" w:cs="Arial"/>
          <w:b/>
          <w:color w:val="000000" w:themeColor="text1"/>
          <w:sz w:val="28"/>
          <w:szCs w:val="28"/>
          <w:lang w:val="en-US"/>
        </w:rPr>
        <w:t>Immuno</w:t>
      </w:r>
      <w:proofErr w:type="spellEnd"/>
      <w:r w:rsidRPr="000E6A7B">
        <w:rPr>
          <w:rFonts w:ascii="Calibri" w:hAnsi="Calibri" w:cs="Arial"/>
          <w:b/>
          <w:color w:val="000000" w:themeColor="text1"/>
          <w:sz w:val="28"/>
          <w:szCs w:val="28"/>
          <w:lang w:val="en-US"/>
        </w:rPr>
        <w:t>-Oncology</w:t>
      </w:r>
    </w:p>
    <w:p w14:paraId="79B92AF1" w14:textId="77777777" w:rsidR="001B3D78" w:rsidRPr="000E6A7B" w:rsidRDefault="001B3D78" w:rsidP="000E6A7B">
      <w:pPr>
        <w:rPr>
          <w:b/>
          <w:bCs/>
          <w:lang w:val="en-US"/>
        </w:rPr>
      </w:pPr>
    </w:p>
    <w:p w14:paraId="4FB15A5C" w14:textId="77777777" w:rsidR="0093428C" w:rsidRPr="000E6A7B" w:rsidRDefault="0093428C" w:rsidP="000E6A7B">
      <w:pPr>
        <w:rPr>
          <w:b/>
          <w:bCs/>
          <w:lang w:val="en-US"/>
        </w:rPr>
      </w:pPr>
    </w:p>
    <w:p w14:paraId="2ED9862D" w14:textId="2BAF3B40" w:rsidR="003F2E20" w:rsidRPr="000E6A7B" w:rsidRDefault="00B52F04" w:rsidP="00046A46">
      <w:pPr>
        <w:jc w:val="both"/>
        <w:rPr>
          <w:rFonts w:cs="Arial"/>
          <w:color w:val="000000" w:themeColor="text1"/>
          <w:sz w:val="24"/>
          <w:szCs w:val="24"/>
          <w:lang w:val="en-US"/>
        </w:rPr>
      </w:pPr>
      <w:r w:rsidRPr="000E6A7B">
        <w:rPr>
          <w:b/>
          <w:bCs/>
          <w:sz w:val="24"/>
          <w:szCs w:val="24"/>
          <w:lang w:val="en-US"/>
        </w:rPr>
        <w:t>HALLE (</w:t>
      </w:r>
      <w:r w:rsidR="00630B98" w:rsidRPr="000E6A7B">
        <w:rPr>
          <w:b/>
          <w:bCs/>
          <w:sz w:val="24"/>
          <w:szCs w:val="24"/>
          <w:lang w:val="en-US"/>
        </w:rPr>
        <w:t>SAALE</w:t>
      </w:r>
      <w:r w:rsidRPr="000E6A7B">
        <w:rPr>
          <w:b/>
          <w:bCs/>
          <w:sz w:val="24"/>
          <w:szCs w:val="24"/>
          <w:lang w:val="en-US"/>
        </w:rPr>
        <w:t>)</w:t>
      </w:r>
      <w:r w:rsidR="00FC3C7B" w:rsidRPr="000E6A7B">
        <w:rPr>
          <w:b/>
          <w:bCs/>
          <w:sz w:val="24"/>
          <w:szCs w:val="24"/>
          <w:lang w:val="en-US"/>
        </w:rPr>
        <w:t xml:space="preserve"> and </w:t>
      </w:r>
      <w:r w:rsidR="00F10F1F" w:rsidRPr="000E6A7B">
        <w:rPr>
          <w:rFonts w:cs="Arial"/>
          <w:b/>
          <w:color w:val="000000" w:themeColor="text1"/>
          <w:sz w:val="24"/>
          <w:szCs w:val="24"/>
          <w:lang w:val="en-US"/>
        </w:rPr>
        <w:t>PLANEGG</w:t>
      </w:r>
      <w:r w:rsidR="00FC3C7B" w:rsidRPr="000E6A7B">
        <w:rPr>
          <w:rFonts w:cs="Arial"/>
          <w:b/>
          <w:color w:val="000000" w:themeColor="text1"/>
          <w:sz w:val="24"/>
          <w:szCs w:val="24"/>
          <w:lang w:val="en-US"/>
        </w:rPr>
        <w:t>/</w:t>
      </w:r>
      <w:r w:rsidR="00046A46" w:rsidRPr="000E6A7B">
        <w:rPr>
          <w:rFonts w:cs="Arial"/>
          <w:b/>
          <w:color w:val="000000" w:themeColor="text1"/>
          <w:sz w:val="24"/>
          <w:szCs w:val="24"/>
          <w:lang w:val="en-US"/>
        </w:rPr>
        <w:t>MUNICH</w:t>
      </w:r>
      <w:r w:rsidR="00630B98" w:rsidRPr="000E6A7B">
        <w:rPr>
          <w:b/>
          <w:bCs/>
          <w:sz w:val="24"/>
          <w:szCs w:val="24"/>
          <w:lang w:val="en-US"/>
        </w:rPr>
        <w:t xml:space="preserve">, Germany, </w:t>
      </w:r>
      <w:r w:rsidR="00FC3C7B" w:rsidRPr="000E6A7B">
        <w:rPr>
          <w:b/>
          <w:bCs/>
          <w:sz w:val="24"/>
          <w:szCs w:val="24"/>
          <w:lang w:val="en-US"/>
        </w:rPr>
        <w:t>8</w:t>
      </w:r>
      <w:r w:rsidR="00890E5D" w:rsidRPr="000E6A7B">
        <w:rPr>
          <w:b/>
          <w:bCs/>
          <w:sz w:val="24"/>
          <w:szCs w:val="24"/>
          <w:lang w:val="en-US"/>
        </w:rPr>
        <w:t xml:space="preserve"> </w:t>
      </w:r>
      <w:r w:rsidR="00FC3C7B" w:rsidRPr="000E6A7B">
        <w:rPr>
          <w:b/>
          <w:bCs/>
          <w:sz w:val="24"/>
          <w:szCs w:val="24"/>
          <w:lang w:val="en-US"/>
        </w:rPr>
        <w:t>July</w:t>
      </w:r>
      <w:r w:rsidR="00890E5D" w:rsidRPr="000E6A7B">
        <w:rPr>
          <w:b/>
          <w:bCs/>
          <w:sz w:val="24"/>
          <w:szCs w:val="24"/>
          <w:lang w:val="en-US"/>
        </w:rPr>
        <w:t xml:space="preserve"> 2</w:t>
      </w:r>
      <w:r w:rsidR="00630B98" w:rsidRPr="000E6A7B">
        <w:rPr>
          <w:b/>
          <w:bCs/>
          <w:sz w:val="24"/>
          <w:szCs w:val="24"/>
          <w:lang w:val="en-US"/>
        </w:rPr>
        <w:t>01</w:t>
      </w:r>
      <w:r w:rsidR="00532339" w:rsidRPr="000E6A7B">
        <w:rPr>
          <w:b/>
          <w:bCs/>
          <w:sz w:val="24"/>
          <w:szCs w:val="24"/>
          <w:lang w:val="en-US"/>
        </w:rPr>
        <w:t>9</w:t>
      </w:r>
      <w:r w:rsidR="00FC3C7B" w:rsidRPr="000E6A7B">
        <w:rPr>
          <w:b/>
          <w:bCs/>
          <w:sz w:val="24"/>
          <w:szCs w:val="24"/>
          <w:lang w:val="en-US"/>
        </w:rPr>
        <w:t>:</w:t>
      </w:r>
      <w:r w:rsidR="00630B98" w:rsidRPr="000E6A7B">
        <w:rPr>
          <w:sz w:val="24"/>
          <w:szCs w:val="24"/>
          <w:lang w:val="en-US"/>
        </w:rPr>
        <w:t xml:space="preserve"> </w:t>
      </w:r>
      <w:proofErr w:type="spellStart"/>
      <w:r w:rsidR="00FC3C7B" w:rsidRPr="000E6A7B">
        <w:rPr>
          <w:rFonts w:cs="Arial"/>
          <w:color w:val="000000" w:themeColor="text1"/>
          <w:sz w:val="24"/>
          <w:szCs w:val="24"/>
          <w:lang w:val="en-US"/>
        </w:rPr>
        <w:t>Vivoryon</w:t>
      </w:r>
      <w:proofErr w:type="spellEnd"/>
      <w:r w:rsidR="00FC3C7B" w:rsidRPr="000E6A7B">
        <w:rPr>
          <w:rFonts w:cs="Arial"/>
          <w:color w:val="000000" w:themeColor="text1"/>
          <w:sz w:val="24"/>
          <w:szCs w:val="24"/>
          <w:lang w:val="en-US"/>
        </w:rPr>
        <w:t xml:space="preserve"> Therapeutics AG (Euronext Amsterdam: VVY) and </w:t>
      </w:r>
      <w:proofErr w:type="spellStart"/>
      <w:r w:rsidR="00FC3C7B" w:rsidRPr="000E6A7B">
        <w:rPr>
          <w:rFonts w:cs="Arial"/>
          <w:color w:val="000000" w:themeColor="text1"/>
          <w:sz w:val="24"/>
          <w:szCs w:val="24"/>
          <w:lang w:val="en-US"/>
        </w:rPr>
        <w:t>MorphoSys</w:t>
      </w:r>
      <w:proofErr w:type="spellEnd"/>
      <w:r w:rsidR="00FC3C7B" w:rsidRPr="000E6A7B">
        <w:rPr>
          <w:rFonts w:cs="Arial"/>
          <w:color w:val="000000" w:themeColor="text1"/>
          <w:sz w:val="24"/>
          <w:szCs w:val="24"/>
          <w:lang w:val="en-US"/>
        </w:rPr>
        <w:t xml:space="preserve"> AG (FSE: MOR; Prime Standard Segment; MDAX &amp; </w:t>
      </w:r>
      <w:proofErr w:type="spellStart"/>
      <w:r w:rsidR="00FC3C7B" w:rsidRPr="000E6A7B">
        <w:rPr>
          <w:rFonts w:cs="Arial"/>
          <w:color w:val="000000" w:themeColor="text1"/>
          <w:sz w:val="24"/>
          <w:szCs w:val="24"/>
          <w:lang w:val="en-US"/>
        </w:rPr>
        <w:t>TecDAX</w:t>
      </w:r>
      <w:proofErr w:type="spellEnd"/>
      <w:r w:rsidR="00FC3C7B" w:rsidRPr="000E6A7B">
        <w:rPr>
          <w:rFonts w:cs="Arial"/>
          <w:color w:val="000000" w:themeColor="text1"/>
          <w:sz w:val="24"/>
          <w:szCs w:val="24"/>
          <w:lang w:val="en-US"/>
        </w:rPr>
        <w:t xml:space="preserve">; </w:t>
      </w:r>
      <w:proofErr w:type="spellStart"/>
      <w:r w:rsidR="00FC3C7B" w:rsidRPr="000E6A7B">
        <w:rPr>
          <w:rFonts w:cs="Arial"/>
          <w:color w:val="000000" w:themeColor="text1"/>
          <w:sz w:val="24"/>
          <w:szCs w:val="24"/>
          <w:lang w:val="en-US"/>
        </w:rPr>
        <w:t>Nasdaq</w:t>
      </w:r>
      <w:proofErr w:type="spellEnd"/>
      <w:r w:rsidR="00FC3C7B" w:rsidRPr="000E6A7B">
        <w:rPr>
          <w:rFonts w:cs="Arial"/>
          <w:color w:val="000000" w:themeColor="text1"/>
          <w:sz w:val="24"/>
          <w:szCs w:val="24"/>
          <w:lang w:val="en-US"/>
        </w:rPr>
        <w:t xml:space="preserve">: MOR) </w:t>
      </w:r>
      <w:r w:rsidR="003F2E20" w:rsidRPr="000E6A7B">
        <w:rPr>
          <w:rFonts w:cs="Arial"/>
          <w:color w:val="000000" w:themeColor="text1"/>
          <w:sz w:val="24"/>
          <w:szCs w:val="24"/>
          <w:lang w:val="en-US"/>
        </w:rPr>
        <w:t xml:space="preserve">today announced that they have entered into an agreement under the terms of which </w:t>
      </w:r>
      <w:proofErr w:type="spellStart"/>
      <w:r w:rsidR="003F2E20" w:rsidRPr="000E6A7B">
        <w:rPr>
          <w:rFonts w:cs="Arial"/>
          <w:color w:val="000000" w:themeColor="text1"/>
          <w:sz w:val="24"/>
          <w:szCs w:val="24"/>
          <w:lang w:val="en-US"/>
        </w:rPr>
        <w:t>MorphoSys</w:t>
      </w:r>
      <w:proofErr w:type="spellEnd"/>
      <w:r w:rsidR="003F2E20" w:rsidRPr="000E6A7B">
        <w:rPr>
          <w:rFonts w:cs="Arial"/>
          <w:color w:val="000000" w:themeColor="text1"/>
          <w:sz w:val="24"/>
          <w:szCs w:val="24"/>
          <w:lang w:val="en-US"/>
        </w:rPr>
        <w:t xml:space="preserve"> has obtained an exclusive option to license </w:t>
      </w:r>
      <w:proofErr w:type="spellStart"/>
      <w:r w:rsidR="003F2E20" w:rsidRPr="000E6A7B">
        <w:rPr>
          <w:rFonts w:cs="Arial"/>
          <w:color w:val="000000" w:themeColor="text1"/>
          <w:sz w:val="24"/>
          <w:szCs w:val="24"/>
          <w:lang w:val="en-US"/>
        </w:rPr>
        <w:t>Vivoryon’s</w:t>
      </w:r>
      <w:proofErr w:type="spellEnd"/>
      <w:r w:rsidR="003F2E20" w:rsidRPr="000E6A7B">
        <w:rPr>
          <w:rFonts w:cs="Arial"/>
          <w:color w:val="000000" w:themeColor="text1"/>
          <w:sz w:val="24"/>
          <w:szCs w:val="24"/>
          <w:lang w:val="en-US"/>
        </w:rPr>
        <w:t xml:space="preserve"> small molecule QPCTL inhibitors in the field of oncology. The option covers worldwide development and commercialization for cancer of </w:t>
      </w:r>
      <w:proofErr w:type="spellStart"/>
      <w:r w:rsidR="003F2E20" w:rsidRPr="000E6A7B">
        <w:rPr>
          <w:rFonts w:cs="Arial"/>
          <w:color w:val="000000" w:themeColor="text1"/>
          <w:sz w:val="24"/>
          <w:szCs w:val="24"/>
          <w:lang w:val="en-US"/>
        </w:rPr>
        <w:t>Vivoryon’s</w:t>
      </w:r>
      <w:proofErr w:type="spellEnd"/>
      <w:r w:rsidR="003F2E20" w:rsidRPr="000E6A7B">
        <w:rPr>
          <w:rFonts w:cs="Arial"/>
          <w:color w:val="000000" w:themeColor="text1"/>
          <w:sz w:val="24"/>
          <w:szCs w:val="24"/>
          <w:lang w:val="en-US"/>
        </w:rPr>
        <w:t xml:space="preserve"> family of inhibitors of the </w:t>
      </w:r>
      <w:proofErr w:type="spellStart"/>
      <w:r w:rsidR="003F2E20" w:rsidRPr="000E6A7B">
        <w:rPr>
          <w:rFonts w:cs="Arial"/>
          <w:color w:val="000000" w:themeColor="text1"/>
          <w:sz w:val="24"/>
          <w:szCs w:val="24"/>
          <w:lang w:val="en-US"/>
        </w:rPr>
        <w:t>glutaminyl</w:t>
      </w:r>
      <w:proofErr w:type="spellEnd"/>
      <w:r w:rsidR="003F2E20" w:rsidRPr="000E6A7B">
        <w:rPr>
          <w:rFonts w:cs="Arial"/>
          <w:color w:val="000000" w:themeColor="text1"/>
          <w:sz w:val="24"/>
          <w:szCs w:val="24"/>
          <w:lang w:val="en-US"/>
        </w:rPr>
        <w:t xml:space="preserve">-peptide </w:t>
      </w:r>
      <w:proofErr w:type="spellStart"/>
      <w:r w:rsidR="003F2E20" w:rsidRPr="000E6A7B">
        <w:rPr>
          <w:rFonts w:cs="Arial"/>
          <w:color w:val="000000" w:themeColor="text1"/>
          <w:sz w:val="24"/>
          <w:szCs w:val="24"/>
          <w:lang w:val="en-US"/>
        </w:rPr>
        <w:t>cyclotransferase</w:t>
      </w:r>
      <w:proofErr w:type="spellEnd"/>
      <w:r w:rsidR="003F2E20" w:rsidRPr="000E6A7B">
        <w:rPr>
          <w:rFonts w:cs="Arial"/>
          <w:color w:val="000000" w:themeColor="text1"/>
          <w:sz w:val="24"/>
          <w:szCs w:val="24"/>
          <w:lang w:val="en-US"/>
        </w:rPr>
        <w:t xml:space="preserve">-like (QPCTL) protein, including its lead compound PQ912. In exchange, </w:t>
      </w:r>
      <w:proofErr w:type="spellStart"/>
      <w:r w:rsidR="003F2E20" w:rsidRPr="000E6A7B">
        <w:rPr>
          <w:rFonts w:cs="Arial"/>
          <w:color w:val="000000" w:themeColor="text1"/>
          <w:sz w:val="24"/>
          <w:szCs w:val="24"/>
          <w:lang w:val="en-US"/>
        </w:rPr>
        <w:t>MorphoSys</w:t>
      </w:r>
      <w:proofErr w:type="spellEnd"/>
      <w:r w:rsidR="003F2E20" w:rsidRPr="000E6A7B">
        <w:rPr>
          <w:rFonts w:cs="Arial"/>
          <w:color w:val="000000" w:themeColor="text1"/>
          <w:sz w:val="24"/>
          <w:szCs w:val="24"/>
          <w:lang w:val="en-US"/>
        </w:rPr>
        <w:t xml:space="preserve"> has committed to investing up to EUR 15 million in a minority stake in </w:t>
      </w:r>
      <w:proofErr w:type="spellStart"/>
      <w:r w:rsidR="003F2E20" w:rsidRPr="000E6A7B">
        <w:rPr>
          <w:rFonts w:cs="Arial"/>
          <w:color w:val="000000" w:themeColor="text1"/>
          <w:sz w:val="24"/>
          <w:szCs w:val="24"/>
          <w:lang w:val="en-US"/>
        </w:rPr>
        <w:t>Vivoryon</w:t>
      </w:r>
      <w:proofErr w:type="spellEnd"/>
      <w:r w:rsidR="003F2E20" w:rsidRPr="000E6A7B">
        <w:rPr>
          <w:rFonts w:cs="Arial"/>
          <w:color w:val="000000" w:themeColor="text1"/>
          <w:sz w:val="24"/>
          <w:szCs w:val="24"/>
          <w:lang w:val="en-US"/>
        </w:rPr>
        <w:t xml:space="preserve"> Therapeutics as part of a capital raise planned for later this year.</w:t>
      </w:r>
    </w:p>
    <w:p w14:paraId="15DA99E3" w14:textId="77777777" w:rsidR="003F2E20" w:rsidRPr="000E6A7B" w:rsidRDefault="003F2E20" w:rsidP="00046A46">
      <w:pPr>
        <w:jc w:val="both"/>
        <w:rPr>
          <w:rFonts w:cs="Arial"/>
          <w:color w:val="000000" w:themeColor="text1"/>
          <w:sz w:val="24"/>
          <w:szCs w:val="24"/>
          <w:lang w:val="en-US"/>
        </w:rPr>
      </w:pPr>
    </w:p>
    <w:p w14:paraId="69FD382C" w14:textId="77777777" w:rsidR="003F2E20" w:rsidRPr="000E6A7B" w:rsidRDefault="003F2E20" w:rsidP="00046A46">
      <w:pPr>
        <w:jc w:val="both"/>
        <w:rPr>
          <w:rFonts w:cs="Arial"/>
          <w:color w:val="000000" w:themeColor="text1"/>
          <w:sz w:val="24"/>
          <w:szCs w:val="24"/>
          <w:lang w:val="en-US"/>
        </w:rPr>
      </w:pPr>
      <w:r w:rsidRPr="000E6A7B">
        <w:rPr>
          <w:rFonts w:cs="Arial"/>
          <w:color w:val="000000" w:themeColor="text1"/>
          <w:sz w:val="24"/>
          <w:szCs w:val="24"/>
          <w:lang w:val="en-US"/>
        </w:rPr>
        <w:t xml:space="preserve">While </w:t>
      </w:r>
      <w:proofErr w:type="spellStart"/>
      <w:r w:rsidRPr="000E6A7B">
        <w:rPr>
          <w:rFonts w:cs="Arial"/>
          <w:color w:val="000000" w:themeColor="text1"/>
          <w:sz w:val="24"/>
          <w:szCs w:val="24"/>
          <w:lang w:val="en-US"/>
        </w:rPr>
        <w:t>Vivoryon’s</w:t>
      </w:r>
      <w:proofErr w:type="spellEnd"/>
      <w:r w:rsidRPr="000E6A7B">
        <w:rPr>
          <w:rFonts w:cs="Arial"/>
          <w:color w:val="000000" w:themeColor="text1"/>
          <w:sz w:val="24"/>
          <w:szCs w:val="24"/>
          <w:lang w:val="en-US"/>
        </w:rPr>
        <w:t xml:space="preserve"> lead drug candidate PQ912 has already completed a phase 2a clinical trial in Alzheimer’s disease, recent preclinical data strongly suggest that the compound could represent a novel approach for cancer therapy. </w:t>
      </w:r>
      <w:proofErr w:type="spellStart"/>
      <w:r w:rsidRPr="000E6A7B">
        <w:rPr>
          <w:rFonts w:cs="Arial"/>
          <w:color w:val="000000" w:themeColor="text1"/>
          <w:sz w:val="24"/>
          <w:szCs w:val="24"/>
          <w:lang w:val="en-US"/>
        </w:rPr>
        <w:t>Vivoryon’s</w:t>
      </w:r>
      <w:proofErr w:type="spellEnd"/>
      <w:r w:rsidRPr="000E6A7B">
        <w:rPr>
          <w:rFonts w:cs="Arial"/>
          <w:color w:val="000000" w:themeColor="text1"/>
          <w:sz w:val="24"/>
          <w:szCs w:val="24"/>
          <w:lang w:val="en-US"/>
        </w:rPr>
        <w:t xml:space="preserve"> orally available compounds target the QPCTL enzyme, which has been shown to be a modulator of the CD47-SIRP alpha interaction. Left unchecked, this interaction, known as the “don’t eat me” signal, allows cancer cells to escape the body’s innate immune defense through inhibition of the phagocytic activity of macrophages. During the option period, </w:t>
      </w:r>
      <w:proofErr w:type="spellStart"/>
      <w:r w:rsidRPr="000E6A7B">
        <w:rPr>
          <w:rFonts w:cs="Arial"/>
          <w:color w:val="000000" w:themeColor="text1"/>
          <w:sz w:val="24"/>
          <w:szCs w:val="24"/>
          <w:lang w:val="en-US"/>
        </w:rPr>
        <w:t>MorphoSys</w:t>
      </w:r>
      <w:proofErr w:type="spellEnd"/>
      <w:r w:rsidRPr="000E6A7B">
        <w:rPr>
          <w:rFonts w:cs="Arial"/>
          <w:color w:val="000000" w:themeColor="text1"/>
          <w:sz w:val="24"/>
          <w:szCs w:val="24"/>
          <w:lang w:val="en-US"/>
        </w:rPr>
        <w:t xml:space="preserve"> will conduct preclinical validation experiments on </w:t>
      </w:r>
      <w:proofErr w:type="spellStart"/>
      <w:r w:rsidRPr="000E6A7B">
        <w:rPr>
          <w:rFonts w:cs="Arial"/>
          <w:color w:val="000000" w:themeColor="text1"/>
          <w:sz w:val="24"/>
          <w:szCs w:val="24"/>
          <w:lang w:val="en-US"/>
        </w:rPr>
        <w:t>Vivoryon’s</w:t>
      </w:r>
      <w:proofErr w:type="spellEnd"/>
      <w:r w:rsidRPr="000E6A7B">
        <w:rPr>
          <w:rFonts w:cs="Arial"/>
          <w:color w:val="000000" w:themeColor="text1"/>
          <w:sz w:val="24"/>
          <w:szCs w:val="24"/>
          <w:lang w:val="en-US"/>
        </w:rPr>
        <w:t xml:space="preserve"> family of QPCTL inhibitors, including an assessment of the potential benefits of combining them with </w:t>
      </w:r>
      <w:proofErr w:type="spellStart"/>
      <w:r w:rsidRPr="000E6A7B">
        <w:rPr>
          <w:rFonts w:cs="Arial"/>
          <w:color w:val="000000" w:themeColor="text1"/>
          <w:sz w:val="24"/>
          <w:szCs w:val="24"/>
          <w:lang w:val="en-US"/>
        </w:rPr>
        <w:t>MorphoSys’s</w:t>
      </w:r>
      <w:proofErr w:type="spellEnd"/>
      <w:r w:rsidRPr="000E6A7B">
        <w:rPr>
          <w:rFonts w:cs="Arial"/>
          <w:color w:val="000000" w:themeColor="text1"/>
          <w:sz w:val="24"/>
          <w:szCs w:val="24"/>
          <w:lang w:val="en-US"/>
        </w:rPr>
        <w:t xml:space="preserve"> proprietary program </w:t>
      </w:r>
      <w:proofErr w:type="spellStart"/>
      <w:r w:rsidRPr="000E6A7B">
        <w:rPr>
          <w:rFonts w:cs="Arial"/>
          <w:color w:val="000000" w:themeColor="text1"/>
          <w:sz w:val="24"/>
          <w:szCs w:val="24"/>
          <w:lang w:val="en-US"/>
        </w:rPr>
        <w:t>tafasitamab</w:t>
      </w:r>
      <w:proofErr w:type="spellEnd"/>
      <w:r w:rsidRPr="000E6A7B">
        <w:rPr>
          <w:rFonts w:cs="Arial"/>
          <w:color w:val="000000" w:themeColor="text1"/>
          <w:sz w:val="24"/>
          <w:szCs w:val="24"/>
          <w:lang w:val="en-US"/>
        </w:rPr>
        <w:t xml:space="preserve"> (MOR208), which is currently in late-stage development for the treatment of relapsed/refractory diffuse large B-cell lymphoma (r/r DLBCL).</w:t>
      </w:r>
    </w:p>
    <w:p w14:paraId="7E4E4FEF" w14:textId="77777777" w:rsidR="003F2E20" w:rsidRPr="000E6A7B" w:rsidRDefault="003F2E20" w:rsidP="00046A46">
      <w:pPr>
        <w:jc w:val="both"/>
        <w:rPr>
          <w:rFonts w:cs="Arial"/>
          <w:color w:val="000000" w:themeColor="text1"/>
          <w:sz w:val="24"/>
          <w:szCs w:val="24"/>
          <w:lang w:val="en-US"/>
        </w:rPr>
      </w:pPr>
    </w:p>
    <w:p w14:paraId="3260E94B" w14:textId="77777777" w:rsidR="003F2E20" w:rsidRPr="000E6A7B" w:rsidRDefault="003F2E20" w:rsidP="00046A46">
      <w:pPr>
        <w:jc w:val="both"/>
        <w:rPr>
          <w:rFonts w:cs="Arial"/>
          <w:color w:val="000000" w:themeColor="text1"/>
          <w:sz w:val="24"/>
          <w:szCs w:val="24"/>
          <w:lang w:val="en-US"/>
        </w:rPr>
      </w:pPr>
      <w:r w:rsidRPr="000E6A7B">
        <w:rPr>
          <w:rFonts w:cs="Arial"/>
          <w:color w:val="000000" w:themeColor="text1"/>
          <w:sz w:val="24"/>
          <w:szCs w:val="24"/>
          <w:lang w:val="en-US"/>
        </w:rPr>
        <w:t xml:space="preserve">“This deal gives us access to a unique set of drug candidates with exciting potential in cancer”, </w:t>
      </w:r>
      <w:r w:rsidRPr="000E6A7B">
        <w:rPr>
          <w:rFonts w:cs="Arial"/>
          <w:b/>
          <w:color w:val="000000" w:themeColor="text1"/>
          <w:sz w:val="24"/>
          <w:szCs w:val="24"/>
          <w:lang w:val="en-US"/>
        </w:rPr>
        <w:t xml:space="preserve">said Dr. Simon </w:t>
      </w:r>
      <w:proofErr w:type="spellStart"/>
      <w:r w:rsidRPr="000E6A7B">
        <w:rPr>
          <w:rFonts w:cs="Arial"/>
          <w:b/>
          <w:color w:val="000000" w:themeColor="text1"/>
          <w:sz w:val="24"/>
          <w:szCs w:val="24"/>
          <w:lang w:val="en-US"/>
        </w:rPr>
        <w:t>Moroney</w:t>
      </w:r>
      <w:proofErr w:type="spellEnd"/>
      <w:r w:rsidRPr="000E6A7B">
        <w:rPr>
          <w:rFonts w:cs="Arial"/>
          <w:b/>
          <w:color w:val="000000" w:themeColor="text1"/>
          <w:sz w:val="24"/>
          <w:szCs w:val="24"/>
          <w:lang w:val="en-US"/>
        </w:rPr>
        <w:t xml:space="preserve">, CEO of </w:t>
      </w:r>
      <w:proofErr w:type="spellStart"/>
      <w:r w:rsidRPr="000E6A7B">
        <w:rPr>
          <w:rFonts w:cs="Arial"/>
          <w:b/>
          <w:color w:val="000000" w:themeColor="text1"/>
          <w:sz w:val="24"/>
          <w:szCs w:val="24"/>
          <w:lang w:val="en-US"/>
        </w:rPr>
        <w:t>MorphoSys</w:t>
      </w:r>
      <w:proofErr w:type="spellEnd"/>
      <w:r w:rsidRPr="000E6A7B">
        <w:rPr>
          <w:rFonts w:cs="Arial"/>
          <w:color w:val="000000" w:themeColor="text1"/>
          <w:sz w:val="24"/>
          <w:szCs w:val="24"/>
          <w:lang w:val="en-US"/>
        </w:rPr>
        <w:t xml:space="preserve">. “A number of studies suggests that the CD47-SIRP alpha interaction may be of central importance to the activity of some anti-cancer antibodies. In this regard, securing rights to </w:t>
      </w:r>
      <w:proofErr w:type="spellStart"/>
      <w:r w:rsidRPr="000E6A7B">
        <w:rPr>
          <w:rFonts w:cs="Arial"/>
          <w:color w:val="000000" w:themeColor="text1"/>
          <w:sz w:val="24"/>
          <w:szCs w:val="24"/>
          <w:lang w:val="en-US"/>
        </w:rPr>
        <w:t>Vivoryon’s</w:t>
      </w:r>
      <w:proofErr w:type="spellEnd"/>
      <w:r w:rsidRPr="000E6A7B">
        <w:rPr>
          <w:rFonts w:cs="Arial"/>
          <w:color w:val="000000" w:themeColor="text1"/>
          <w:sz w:val="24"/>
          <w:szCs w:val="24"/>
          <w:lang w:val="en-US"/>
        </w:rPr>
        <w:t xml:space="preserve"> estate of compounds in oncology makes strong strategic sense for us. In particular, we are looking forward to exploring the potential for synergy with </w:t>
      </w:r>
      <w:proofErr w:type="spellStart"/>
      <w:r w:rsidRPr="000E6A7B">
        <w:rPr>
          <w:rFonts w:cs="Arial"/>
          <w:color w:val="000000" w:themeColor="text1"/>
          <w:sz w:val="24"/>
          <w:szCs w:val="24"/>
          <w:lang w:val="en-US"/>
        </w:rPr>
        <w:t>tafasitamab</w:t>
      </w:r>
      <w:proofErr w:type="spellEnd"/>
      <w:r w:rsidRPr="000E6A7B">
        <w:rPr>
          <w:rFonts w:cs="Arial"/>
          <w:color w:val="000000" w:themeColor="text1"/>
          <w:sz w:val="24"/>
          <w:szCs w:val="24"/>
          <w:lang w:val="en-US"/>
        </w:rPr>
        <w:t xml:space="preserve"> (MOR208), our most advanced drug candidate. If successful, the use of these orally formulated QPCTL inhibitors may open the way to combinations with other anti-cancer antibodies aiming at boosting their cell killing activity.”</w:t>
      </w:r>
    </w:p>
    <w:p w14:paraId="1D5D860D" w14:textId="77777777" w:rsidR="003F2E20" w:rsidRPr="000E6A7B" w:rsidRDefault="003F2E20" w:rsidP="00046A46">
      <w:pPr>
        <w:jc w:val="both"/>
        <w:rPr>
          <w:rFonts w:cs="Arial"/>
          <w:color w:val="000000" w:themeColor="text1"/>
          <w:sz w:val="24"/>
          <w:szCs w:val="24"/>
          <w:lang w:val="en-US"/>
        </w:rPr>
      </w:pPr>
    </w:p>
    <w:p w14:paraId="4AE2BF02" w14:textId="34664C29" w:rsidR="003F2E20" w:rsidRPr="000E6A7B" w:rsidRDefault="003F2E20" w:rsidP="00046A46">
      <w:pPr>
        <w:jc w:val="both"/>
        <w:rPr>
          <w:rFonts w:cs="Arial"/>
          <w:color w:val="000000" w:themeColor="text1"/>
          <w:sz w:val="24"/>
          <w:szCs w:val="24"/>
          <w:lang w:val="en-US"/>
        </w:rPr>
      </w:pPr>
      <w:r w:rsidRPr="000E6A7B">
        <w:rPr>
          <w:rFonts w:cs="Arial"/>
          <w:color w:val="000000" w:themeColor="text1"/>
          <w:sz w:val="24"/>
          <w:szCs w:val="24"/>
          <w:lang w:val="en-US"/>
        </w:rPr>
        <w:t xml:space="preserve">“Our small molecule inhibitors represent a novel and innovative therapeutic approach to silence the critical CD47-SIRP alpha checkpoint signal in cancer immunotherapy,” </w:t>
      </w:r>
      <w:r w:rsidRPr="000E6A7B">
        <w:rPr>
          <w:rFonts w:cs="Arial"/>
          <w:b/>
          <w:color w:val="000000" w:themeColor="text1"/>
          <w:sz w:val="24"/>
          <w:szCs w:val="24"/>
          <w:lang w:val="en-US"/>
        </w:rPr>
        <w:t xml:space="preserve">said Dr. Ulrich </w:t>
      </w:r>
      <w:proofErr w:type="spellStart"/>
      <w:r w:rsidRPr="000E6A7B">
        <w:rPr>
          <w:rFonts w:cs="Arial"/>
          <w:b/>
          <w:color w:val="000000" w:themeColor="text1"/>
          <w:sz w:val="24"/>
          <w:szCs w:val="24"/>
          <w:lang w:val="en-US"/>
        </w:rPr>
        <w:t>Dauer</w:t>
      </w:r>
      <w:proofErr w:type="spellEnd"/>
      <w:r w:rsidRPr="000E6A7B">
        <w:rPr>
          <w:rFonts w:cs="Arial"/>
          <w:b/>
          <w:color w:val="000000" w:themeColor="text1"/>
          <w:sz w:val="24"/>
          <w:szCs w:val="24"/>
          <w:lang w:val="en-US"/>
        </w:rPr>
        <w:t xml:space="preserve">, CEO of </w:t>
      </w:r>
      <w:proofErr w:type="spellStart"/>
      <w:r w:rsidRPr="000E6A7B">
        <w:rPr>
          <w:rFonts w:cs="Arial"/>
          <w:b/>
          <w:color w:val="000000" w:themeColor="text1"/>
          <w:sz w:val="24"/>
          <w:szCs w:val="24"/>
          <w:lang w:val="en-US"/>
        </w:rPr>
        <w:t>Vivoryon</w:t>
      </w:r>
      <w:proofErr w:type="spellEnd"/>
      <w:r w:rsidRPr="000E6A7B">
        <w:rPr>
          <w:rFonts w:cs="Arial"/>
          <w:b/>
          <w:color w:val="000000" w:themeColor="text1"/>
          <w:sz w:val="24"/>
          <w:szCs w:val="24"/>
          <w:lang w:val="en-US"/>
        </w:rPr>
        <w:t xml:space="preserve"> Therapeutics.</w:t>
      </w:r>
      <w:r w:rsidRPr="000E6A7B">
        <w:rPr>
          <w:rFonts w:cs="Arial"/>
          <w:color w:val="000000" w:themeColor="text1"/>
          <w:sz w:val="24"/>
          <w:szCs w:val="24"/>
          <w:lang w:val="en-US"/>
        </w:rPr>
        <w:t xml:space="preserve"> “As a leading company for antibody and protein technologies with a strong oncology focus, </w:t>
      </w:r>
      <w:proofErr w:type="spellStart"/>
      <w:r w:rsidRPr="000E6A7B">
        <w:rPr>
          <w:rFonts w:cs="Arial"/>
          <w:color w:val="000000" w:themeColor="text1"/>
          <w:sz w:val="24"/>
          <w:szCs w:val="24"/>
          <w:lang w:val="en-US"/>
        </w:rPr>
        <w:t>MorphoSys</w:t>
      </w:r>
      <w:proofErr w:type="spellEnd"/>
      <w:r w:rsidRPr="000E6A7B">
        <w:rPr>
          <w:rFonts w:cs="Arial"/>
          <w:color w:val="000000" w:themeColor="text1"/>
          <w:sz w:val="24"/>
          <w:szCs w:val="24"/>
          <w:lang w:val="en-US"/>
        </w:rPr>
        <w:t xml:space="preserve"> is the ideal partner for us. </w:t>
      </w:r>
      <w:r w:rsidRPr="000E6A7B">
        <w:rPr>
          <w:rFonts w:cs="Arial"/>
          <w:color w:val="000000" w:themeColor="text1"/>
          <w:sz w:val="24"/>
          <w:szCs w:val="24"/>
          <w:lang w:val="en-US"/>
        </w:rPr>
        <w:lastRenderedPageBreak/>
        <w:t xml:space="preserve">For </w:t>
      </w:r>
      <w:proofErr w:type="spellStart"/>
      <w:r w:rsidRPr="000E6A7B">
        <w:rPr>
          <w:rFonts w:cs="Arial"/>
          <w:color w:val="000000" w:themeColor="text1"/>
          <w:sz w:val="24"/>
          <w:szCs w:val="24"/>
          <w:lang w:val="en-US"/>
        </w:rPr>
        <w:t>Vivoryon</w:t>
      </w:r>
      <w:proofErr w:type="spellEnd"/>
      <w:r w:rsidRPr="000E6A7B">
        <w:rPr>
          <w:rFonts w:cs="Arial"/>
          <w:color w:val="000000" w:themeColor="text1"/>
          <w:sz w:val="24"/>
          <w:szCs w:val="24"/>
          <w:lang w:val="en-US"/>
        </w:rPr>
        <w:t xml:space="preserve"> this is a strategic alliance to exploit the potential of our first-in-class, highly specific and potent small molecules in combination with therapeutic antibodies for a targeted range of cancer indications. While remaining strongly committed to our development plans in Alzheimer’s disease, we are delivering on our strategy to extend the potential of our technology to </w:t>
      </w:r>
      <w:proofErr w:type="spellStart"/>
      <w:r w:rsidRPr="000E6A7B">
        <w:rPr>
          <w:rFonts w:cs="Arial"/>
          <w:color w:val="000000" w:themeColor="text1"/>
          <w:sz w:val="24"/>
          <w:szCs w:val="24"/>
          <w:lang w:val="en-US"/>
        </w:rPr>
        <w:t>immuno</w:t>
      </w:r>
      <w:proofErr w:type="spellEnd"/>
      <w:r w:rsidRPr="000E6A7B">
        <w:rPr>
          <w:rFonts w:cs="Arial"/>
          <w:color w:val="000000" w:themeColor="text1"/>
          <w:sz w:val="24"/>
          <w:szCs w:val="24"/>
          <w:lang w:val="en-US"/>
        </w:rPr>
        <w:t>-oncology.”</w:t>
      </w:r>
    </w:p>
    <w:p w14:paraId="1A744F4E" w14:textId="77777777" w:rsidR="00D31723" w:rsidRPr="000E6A7B" w:rsidRDefault="00D31723" w:rsidP="000E6A7B">
      <w:pPr>
        <w:rPr>
          <w:rFonts w:cs="Arial"/>
          <w:color w:val="000000" w:themeColor="text1"/>
          <w:sz w:val="24"/>
          <w:szCs w:val="24"/>
          <w:lang w:val="en-US"/>
        </w:rPr>
      </w:pPr>
    </w:p>
    <w:p w14:paraId="77C6849E" w14:textId="77777777" w:rsidR="003F2E20" w:rsidRPr="000E6A7B" w:rsidRDefault="003F2E20" w:rsidP="000E6A7B">
      <w:pPr>
        <w:rPr>
          <w:rFonts w:cs="Arial"/>
          <w:color w:val="000000" w:themeColor="text1"/>
          <w:sz w:val="24"/>
          <w:szCs w:val="24"/>
          <w:lang w:val="en-US"/>
        </w:rPr>
      </w:pPr>
      <w:r w:rsidRPr="000E6A7B">
        <w:rPr>
          <w:rFonts w:cs="Arial"/>
          <w:color w:val="000000" w:themeColor="text1"/>
          <w:sz w:val="24"/>
          <w:szCs w:val="24"/>
          <w:lang w:val="en-US"/>
        </w:rPr>
        <w:t xml:space="preserve">If </w:t>
      </w:r>
      <w:proofErr w:type="spellStart"/>
      <w:r w:rsidRPr="000E6A7B">
        <w:rPr>
          <w:rFonts w:cs="Arial"/>
          <w:color w:val="000000" w:themeColor="text1"/>
          <w:sz w:val="24"/>
          <w:szCs w:val="24"/>
          <w:lang w:val="en-US"/>
        </w:rPr>
        <w:t>MorphoSys</w:t>
      </w:r>
      <w:proofErr w:type="spellEnd"/>
      <w:r w:rsidRPr="000E6A7B">
        <w:rPr>
          <w:rFonts w:cs="Arial"/>
          <w:color w:val="000000" w:themeColor="text1"/>
          <w:sz w:val="24"/>
          <w:szCs w:val="24"/>
          <w:lang w:val="en-US"/>
        </w:rPr>
        <w:t xml:space="preserve"> chooses to exercise the option, </w:t>
      </w:r>
      <w:proofErr w:type="spellStart"/>
      <w:r w:rsidRPr="000E6A7B">
        <w:rPr>
          <w:rFonts w:cs="Arial"/>
          <w:color w:val="000000" w:themeColor="text1"/>
          <w:sz w:val="24"/>
          <w:szCs w:val="24"/>
          <w:lang w:val="en-US"/>
        </w:rPr>
        <w:t>Vivoryon</w:t>
      </w:r>
      <w:proofErr w:type="spellEnd"/>
      <w:r w:rsidRPr="000E6A7B">
        <w:rPr>
          <w:rFonts w:cs="Arial"/>
          <w:color w:val="000000" w:themeColor="text1"/>
          <w:sz w:val="24"/>
          <w:szCs w:val="24"/>
          <w:lang w:val="en-US"/>
        </w:rPr>
        <w:t xml:space="preserve"> Therapeutics will receive an option fee, and is eligible for milestone payments and royalties.</w:t>
      </w:r>
    </w:p>
    <w:p w14:paraId="21D8FD39" w14:textId="4675C37E" w:rsidR="00FC3C7B" w:rsidRDefault="00FC3C7B" w:rsidP="000E6A7B">
      <w:pPr>
        <w:rPr>
          <w:lang w:val="en-US"/>
        </w:rPr>
      </w:pPr>
    </w:p>
    <w:p w14:paraId="3BF3DBE9" w14:textId="77777777" w:rsidR="00046A46" w:rsidRPr="000E6A7B" w:rsidRDefault="00046A46" w:rsidP="000E6A7B">
      <w:pPr>
        <w:rPr>
          <w:lang w:val="en-US"/>
        </w:rPr>
      </w:pPr>
    </w:p>
    <w:p w14:paraId="1485994E" w14:textId="77777777" w:rsidR="006A0B5E" w:rsidRPr="000E6A7B" w:rsidRDefault="006A0B5E" w:rsidP="00046A46">
      <w:pPr>
        <w:jc w:val="center"/>
        <w:rPr>
          <w:lang w:val="en-US"/>
        </w:rPr>
      </w:pPr>
      <w:r w:rsidRPr="000E6A7B">
        <w:rPr>
          <w:lang w:val="en-US"/>
        </w:rPr>
        <w:t>###</w:t>
      </w:r>
    </w:p>
    <w:bookmarkEnd w:id="0"/>
    <w:p w14:paraId="6456F73C" w14:textId="77777777" w:rsidR="00532339" w:rsidRDefault="00532339" w:rsidP="000E6A7B">
      <w:pPr>
        <w:rPr>
          <w:lang w:val="en-US"/>
        </w:rPr>
      </w:pPr>
    </w:p>
    <w:p w14:paraId="15484D6B" w14:textId="77777777" w:rsidR="00046A46" w:rsidRPr="000E6A7B" w:rsidRDefault="00046A46" w:rsidP="000E6A7B">
      <w:pPr>
        <w:rPr>
          <w:lang w:val="en-US"/>
        </w:rPr>
      </w:pPr>
    </w:p>
    <w:p w14:paraId="7757B7F2" w14:textId="77777777" w:rsidR="00532339" w:rsidRPr="000E6A7B" w:rsidRDefault="00532339" w:rsidP="000E6A7B">
      <w:pPr>
        <w:rPr>
          <w:b/>
          <w:color w:val="000000" w:themeColor="text1"/>
          <w:u w:val="single"/>
          <w:lang w:val="en-US"/>
        </w:rPr>
      </w:pPr>
      <w:r w:rsidRPr="000E6A7B">
        <w:rPr>
          <w:b/>
          <w:color w:val="000000" w:themeColor="text1"/>
          <w:u w:val="single"/>
          <w:lang w:val="en-US"/>
        </w:rPr>
        <w:t>For more information, please contact:</w:t>
      </w:r>
    </w:p>
    <w:p w14:paraId="7B38C87B" w14:textId="77777777" w:rsidR="00532339" w:rsidRPr="000E6A7B" w:rsidRDefault="00B56FB4" w:rsidP="000E6A7B">
      <w:pPr>
        <w:rPr>
          <w:b/>
          <w:color w:val="000000" w:themeColor="text1"/>
          <w:lang w:val="en-US"/>
        </w:rPr>
      </w:pPr>
      <w:proofErr w:type="spellStart"/>
      <w:r w:rsidRPr="000E6A7B">
        <w:rPr>
          <w:b/>
          <w:color w:val="000000" w:themeColor="text1"/>
          <w:lang w:val="en-US"/>
        </w:rPr>
        <w:t>Vivoryon</w:t>
      </w:r>
      <w:proofErr w:type="spellEnd"/>
      <w:r w:rsidRPr="000E6A7B">
        <w:rPr>
          <w:b/>
          <w:color w:val="000000" w:themeColor="text1"/>
          <w:lang w:val="en-US"/>
        </w:rPr>
        <w:t xml:space="preserve"> Therapeutics</w:t>
      </w:r>
      <w:r w:rsidR="0080779F" w:rsidRPr="000E6A7B">
        <w:rPr>
          <w:b/>
          <w:color w:val="000000" w:themeColor="text1"/>
          <w:lang w:val="en-US"/>
        </w:rPr>
        <w:t xml:space="preserve"> AG</w:t>
      </w:r>
    </w:p>
    <w:p w14:paraId="4C700367" w14:textId="77777777" w:rsidR="00532339" w:rsidRPr="000E6A7B" w:rsidRDefault="00532339" w:rsidP="000E6A7B">
      <w:pPr>
        <w:rPr>
          <w:color w:val="000000" w:themeColor="text1"/>
          <w:lang w:val="en-US"/>
        </w:rPr>
      </w:pPr>
      <w:r w:rsidRPr="000E6A7B">
        <w:rPr>
          <w:color w:val="000000" w:themeColor="text1"/>
          <w:lang w:val="en-US"/>
        </w:rPr>
        <w:t xml:space="preserve">Dr. Ulrich </w:t>
      </w:r>
      <w:proofErr w:type="spellStart"/>
      <w:r w:rsidRPr="000E6A7B">
        <w:rPr>
          <w:color w:val="000000" w:themeColor="text1"/>
          <w:lang w:val="en-US"/>
        </w:rPr>
        <w:t>Dauer</w:t>
      </w:r>
      <w:proofErr w:type="spellEnd"/>
      <w:r w:rsidRPr="000E6A7B">
        <w:rPr>
          <w:color w:val="000000" w:themeColor="text1"/>
          <w:lang w:val="en-US"/>
        </w:rPr>
        <w:t>, CEO</w:t>
      </w:r>
    </w:p>
    <w:p w14:paraId="003F75D7" w14:textId="77777777" w:rsidR="00532339" w:rsidRPr="000E6A7B" w:rsidRDefault="00532339" w:rsidP="000E6A7B">
      <w:pPr>
        <w:rPr>
          <w:color w:val="000000" w:themeColor="text1"/>
          <w:lang w:val="en-US"/>
        </w:rPr>
      </w:pPr>
      <w:r w:rsidRPr="000E6A7B">
        <w:rPr>
          <w:color w:val="000000" w:themeColor="text1"/>
          <w:lang w:val="en-US"/>
        </w:rPr>
        <w:t>Email:</w:t>
      </w:r>
      <w:r w:rsidR="00B56FB4" w:rsidRPr="000E6A7B">
        <w:rPr>
          <w:lang w:val="en-US"/>
        </w:rPr>
        <w:t xml:space="preserve"> </w:t>
      </w:r>
      <w:hyperlink r:id="rId7" w:history="1">
        <w:r w:rsidR="00B56FB4" w:rsidRPr="000E6A7B">
          <w:rPr>
            <w:rStyle w:val="Link"/>
            <w:lang w:val="en-US"/>
          </w:rPr>
          <w:t>contact@vivoryon.com</w:t>
        </w:r>
      </w:hyperlink>
      <w:r w:rsidRPr="000E6A7B">
        <w:rPr>
          <w:color w:val="000000" w:themeColor="text1"/>
          <w:lang w:val="en-US"/>
        </w:rPr>
        <w:t xml:space="preserve"> </w:t>
      </w:r>
    </w:p>
    <w:p w14:paraId="1D987068" w14:textId="77777777" w:rsidR="00532339" w:rsidRPr="000E6A7B" w:rsidRDefault="00532339" w:rsidP="000E6A7B">
      <w:pPr>
        <w:rPr>
          <w:b/>
          <w:color w:val="000000" w:themeColor="text1"/>
          <w:lang w:val="en-US"/>
        </w:rPr>
      </w:pPr>
    </w:p>
    <w:p w14:paraId="7C1CFB34" w14:textId="77777777" w:rsidR="00532339" w:rsidRPr="000E6A7B" w:rsidRDefault="00532339" w:rsidP="000E6A7B">
      <w:pPr>
        <w:rPr>
          <w:b/>
          <w:bCs/>
          <w:color w:val="000000" w:themeColor="text1"/>
          <w:lang w:val="en-US"/>
        </w:rPr>
      </w:pPr>
      <w:r w:rsidRPr="000E6A7B">
        <w:rPr>
          <w:b/>
          <w:bCs/>
          <w:color w:val="000000" w:themeColor="text1"/>
          <w:lang w:val="en-US"/>
        </w:rPr>
        <w:t>MC Services AG</w:t>
      </w:r>
    </w:p>
    <w:p w14:paraId="7EDDF5AB" w14:textId="77777777" w:rsidR="00532339" w:rsidRPr="000E6A7B" w:rsidRDefault="00532339" w:rsidP="000E6A7B">
      <w:pPr>
        <w:rPr>
          <w:color w:val="000000" w:themeColor="text1"/>
          <w:lang w:val="en-US"/>
        </w:rPr>
      </w:pPr>
      <w:r w:rsidRPr="000E6A7B">
        <w:rPr>
          <w:color w:val="000000" w:themeColor="text1"/>
          <w:lang w:val="en-US"/>
        </w:rPr>
        <w:t xml:space="preserve">Anne </w:t>
      </w:r>
      <w:proofErr w:type="spellStart"/>
      <w:r w:rsidRPr="000E6A7B">
        <w:rPr>
          <w:color w:val="000000" w:themeColor="text1"/>
          <w:lang w:val="en-US"/>
        </w:rPr>
        <w:t>Hennecke</w:t>
      </w:r>
      <w:proofErr w:type="spellEnd"/>
      <w:r w:rsidRPr="000E6A7B">
        <w:rPr>
          <w:color w:val="000000" w:themeColor="text1"/>
          <w:lang w:val="en-US"/>
        </w:rPr>
        <w:t xml:space="preserve">, Susanne </w:t>
      </w:r>
      <w:proofErr w:type="spellStart"/>
      <w:r w:rsidRPr="000E6A7B">
        <w:rPr>
          <w:color w:val="000000" w:themeColor="text1"/>
          <w:lang w:val="en-US"/>
        </w:rPr>
        <w:t>Kutter</w:t>
      </w:r>
      <w:proofErr w:type="spellEnd"/>
    </w:p>
    <w:p w14:paraId="2426A406" w14:textId="77777777" w:rsidR="00532339" w:rsidRPr="000E6A7B" w:rsidRDefault="00532339" w:rsidP="000E6A7B">
      <w:pPr>
        <w:rPr>
          <w:color w:val="000000" w:themeColor="text1"/>
          <w:lang w:val="en-US"/>
        </w:rPr>
      </w:pPr>
      <w:r w:rsidRPr="000E6A7B">
        <w:rPr>
          <w:color w:val="000000" w:themeColor="text1"/>
          <w:lang w:val="en-US"/>
        </w:rPr>
        <w:t>Tel: +49 (0) 211 529 252 27</w:t>
      </w:r>
    </w:p>
    <w:p w14:paraId="796F3A3D" w14:textId="77777777" w:rsidR="00532339" w:rsidRPr="000E6A7B" w:rsidRDefault="00532339" w:rsidP="000E6A7B">
      <w:pPr>
        <w:rPr>
          <w:color w:val="000000" w:themeColor="text1"/>
          <w:lang w:val="en-US"/>
        </w:rPr>
      </w:pPr>
      <w:r w:rsidRPr="000E6A7B">
        <w:rPr>
          <w:color w:val="000000" w:themeColor="text1"/>
          <w:lang w:val="en-US"/>
        </w:rPr>
        <w:t xml:space="preserve">Email: </w:t>
      </w:r>
      <w:hyperlink r:id="rId8" w:history="1">
        <w:r w:rsidR="00B56FB4" w:rsidRPr="000E6A7B">
          <w:rPr>
            <w:rStyle w:val="Link"/>
            <w:lang w:val="en-US"/>
          </w:rPr>
          <w:t>vivoryon@mc-services.eu</w:t>
        </w:r>
      </w:hyperlink>
      <w:r w:rsidRPr="000E6A7B">
        <w:rPr>
          <w:color w:val="000000" w:themeColor="text1"/>
          <w:lang w:val="en-US"/>
        </w:rPr>
        <w:t xml:space="preserve"> </w:t>
      </w:r>
    </w:p>
    <w:p w14:paraId="3B1A41FA" w14:textId="77777777" w:rsidR="00532339" w:rsidRPr="000E6A7B" w:rsidRDefault="00532339" w:rsidP="000E6A7B">
      <w:pPr>
        <w:rPr>
          <w:b/>
          <w:bCs/>
          <w:color w:val="000000" w:themeColor="text1"/>
          <w:lang w:val="en-US"/>
        </w:rPr>
      </w:pPr>
    </w:p>
    <w:p w14:paraId="1478913F" w14:textId="77777777" w:rsidR="00FC3C7B" w:rsidRPr="000E6A7B" w:rsidRDefault="00FC3C7B" w:rsidP="000E6A7B">
      <w:pPr>
        <w:rPr>
          <w:rStyle w:val="Link"/>
          <w:rFonts w:cs="Arial"/>
          <w:b/>
          <w:i/>
          <w:lang w:val="en-US"/>
        </w:rPr>
      </w:pPr>
      <w:proofErr w:type="spellStart"/>
      <w:r w:rsidRPr="000E6A7B">
        <w:rPr>
          <w:rFonts w:cs="Arial"/>
          <w:b/>
          <w:bCs/>
          <w:color w:val="000000"/>
          <w:lang w:val="en-US"/>
        </w:rPr>
        <w:t>MorphoSys</w:t>
      </w:r>
      <w:proofErr w:type="spellEnd"/>
      <w:r w:rsidRPr="000E6A7B">
        <w:rPr>
          <w:rFonts w:cs="Arial"/>
          <w:b/>
          <w:bCs/>
          <w:color w:val="000000"/>
          <w:lang w:val="en-US"/>
        </w:rPr>
        <w:t xml:space="preserve"> AG</w:t>
      </w:r>
      <w:r w:rsidRPr="000E6A7B">
        <w:rPr>
          <w:rFonts w:cs="Arial"/>
          <w:color w:val="000000"/>
          <w:lang w:val="en-US"/>
        </w:rPr>
        <w:t xml:space="preserve"> </w:t>
      </w:r>
      <w:r w:rsidRPr="000E6A7B">
        <w:rPr>
          <w:rFonts w:cs="Arial"/>
          <w:color w:val="000000"/>
          <w:lang w:val="en-US"/>
        </w:rPr>
        <w:br/>
        <w:t xml:space="preserve">Dr. Sarah </w:t>
      </w:r>
      <w:proofErr w:type="spellStart"/>
      <w:r w:rsidRPr="000E6A7B">
        <w:rPr>
          <w:rFonts w:cs="Arial"/>
          <w:color w:val="000000"/>
          <w:lang w:val="en-US"/>
        </w:rPr>
        <w:t>Fakih</w:t>
      </w:r>
      <w:proofErr w:type="spellEnd"/>
      <w:r w:rsidRPr="000E6A7B">
        <w:rPr>
          <w:rFonts w:cs="Arial"/>
          <w:color w:val="000000"/>
          <w:lang w:val="en-US"/>
        </w:rPr>
        <w:br/>
        <w:t>Head of Corporate Communications &amp; IR</w:t>
      </w:r>
      <w:r w:rsidRPr="000E6A7B">
        <w:rPr>
          <w:rFonts w:cs="Arial"/>
          <w:color w:val="000000"/>
          <w:lang w:val="en-US"/>
        </w:rPr>
        <w:br/>
      </w:r>
      <w:r w:rsidRPr="000E6A7B">
        <w:rPr>
          <w:rFonts w:cs="Arial"/>
          <w:color w:val="000000"/>
          <w:lang w:val="en-US"/>
        </w:rPr>
        <w:br/>
        <w:t xml:space="preserve">Alexandra </w:t>
      </w:r>
      <w:proofErr w:type="spellStart"/>
      <w:r w:rsidRPr="000E6A7B">
        <w:rPr>
          <w:rFonts w:cs="Arial"/>
          <w:color w:val="000000"/>
          <w:lang w:val="en-US"/>
        </w:rPr>
        <w:t>Goller</w:t>
      </w:r>
      <w:proofErr w:type="spellEnd"/>
      <w:r w:rsidRPr="000E6A7B">
        <w:rPr>
          <w:rFonts w:cs="Arial"/>
          <w:color w:val="000000"/>
          <w:lang w:val="en-US"/>
        </w:rPr>
        <w:br/>
        <w:t>Director Corporate Communications &amp; IR</w:t>
      </w:r>
      <w:r w:rsidRPr="000E6A7B">
        <w:rPr>
          <w:rFonts w:cs="Arial"/>
          <w:color w:val="000000"/>
          <w:lang w:val="en-US"/>
        </w:rPr>
        <w:br/>
      </w:r>
      <w:r w:rsidRPr="000E6A7B">
        <w:rPr>
          <w:rFonts w:cs="Arial"/>
          <w:color w:val="000000"/>
          <w:lang w:val="en-US"/>
        </w:rPr>
        <w:br/>
        <w:t xml:space="preserve">Dr. Julia </w:t>
      </w:r>
      <w:proofErr w:type="spellStart"/>
      <w:r w:rsidRPr="000E6A7B">
        <w:rPr>
          <w:rFonts w:cs="Arial"/>
          <w:color w:val="000000"/>
          <w:lang w:val="en-US"/>
        </w:rPr>
        <w:t>Neugebauer</w:t>
      </w:r>
      <w:proofErr w:type="spellEnd"/>
      <w:r w:rsidRPr="000E6A7B">
        <w:rPr>
          <w:rFonts w:cs="Arial"/>
          <w:color w:val="000000"/>
          <w:lang w:val="en-US"/>
        </w:rPr>
        <w:t xml:space="preserve"> </w:t>
      </w:r>
      <w:r w:rsidRPr="000E6A7B">
        <w:rPr>
          <w:rFonts w:cs="Arial"/>
          <w:color w:val="000000"/>
          <w:lang w:val="en-US"/>
        </w:rPr>
        <w:br/>
        <w:t>Director Corporate Communications &amp; IR</w:t>
      </w:r>
      <w:r w:rsidRPr="000E6A7B">
        <w:rPr>
          <w:rFonts w:cs="Arial"/>
          <w:color w:val="000000"/>
          <w:lang w:val="en-US"/>
        </w:rPr>
        <w:br/>
      </w:r>
      <w:r w:rsidRPr="000E6A7B">
        <w:rPr>
          <w:rFonts w:cs="Arial"/>
          <w:color w:val="000000"/>
          <w:lang w:val="en-US"/>
        </w:rPr>
        <w:br/>
        <w:t xml:space="preserve">Dr. </w:t>
      </w:r>
      <w:proofErr w:type="spellStart"/>
      <w:r w:rsidRPr="000E6A7B">
        <w:rPr>
          <w:rFonts w:cs="Arial"/>
          <w:color w:val="000000"/>
          <w:lang w:val="en-US"/>
        </w:rPr>
        <w:t>Verena</w:t>
      </w:r>
      <w:proofErr w:type="spellEnd"/>
      <w:r w:rsidRPr="000E6A7B">
        <w:rPr>
          <w:rFonts w:cs="Arial"/>
          <w:color w:val="000000"/>
          <w:lang w:val="en-US"/>
        </w:rPr>
        <w:t xml:space="preserve"> </w:t>
      </w:r>
      <w:proofErr w:type="spellStart"/>
      <w:r w:rsidRPr="000E6A7B">
        <w:rPr>
          <w:rFonts w:cs="Arial"/>
          <w:color w:val="000000"/>
          <w:lang w:val="en-US"/>
        </w:rPr>
        <w:t>Kupas</w:t>
      </w:r>
      <w:proofErr w:type="spellEnd"/>
      <w:r w:rsidRPr="000E6A7B">
        <w:rPr>
          <w:rFonts w:cs="Arial"/>
          <w:color w:val="000000"/>
          <w:lang w:val="en-US"/>
        </w:rPr>
        <w:br/>
        <w:t>Manager Corporate Communications &amp; IR</w:t>
      </w:r>
      <w:r w:rsidRPr="000E6A7B">
        <w:rPr>
          <w:rFonts w:cs="Arial"/>
          <w:color w:val="000000"/>
          <w:lang w:val="en-US"/>
        </w:rPr>
        <w:br/>
      </w:r>
      <w:r w:rsidRPr="000E6A7B">
        <w:rPr>
          <w:rFonts w:cs="Arial"/>
          <w:color w:val="000000"/>
          <w:lang w:val="en-US"/>
        </w:rPr>
        <w:br/>
        <w:t>Tel: +49 (0) 89 / 899 27-404</w:t>
      </w:r>
      <w:r w:rsidRPr="000E6A7B">
        <w:rPr>
          <w:rFonts w:cs="Arial"/>
          <w:color w:val="000000"/>
          <w:lang w:val="en-US"/>
        </w:rPr>
        <w:br/>
      </w:r>
      <w:hyperlink r:id="rId9" w:history="1">
        <w:r w:rsidRPr="000E6A7B">
          <w:rPr>
            <w:rStyle w:val="Link"/>
            <w:rFonts w:cs="Arial"/>
            <w:lang w:val="en-US"/>
          </w:rPr>
          <w:t>investors@morphosys.com</w:t>
        </w:r>
      </w:hyperlink>
    </w:p>
    <w:p w14:paraId="44DCC6F7" w14:textId="77777777" w:rsidR="00FC3C7B" w:rsidRPr="000E6A7B" w:rsidRDefault="00FC3C7B" w:rsidP="000E6A7B">
      <w:pPr>
        <w:rPr>
          <w:b/>
          <w:bCs/>
          <w:color w:val="000000" w:themeColor="text1"/>
          <w:lang w:val="en-US"/>
        </w:rPr>
      </w:pPr>
    </w:p>
    <w:p w14:paraId="64C9D8FB" w14:textId="77777777" w:rsidR="00FC3C7B" w:rsidRPr="000E6A7B" w:rsidRDefault="00FC3C7B" w:rsidP="000E6A7B">
      <w:pPr>
        <w:rPr>
          <w:b/>
          <w:bCs/>
          <w:color w:val="000000" w:themeColor="text1"/>
          <w:lang w:val="en-US"/>
        </w:rPr>
      </w:pPr>
    </w:p>
    <w:p w14:paraId="2E95FA90" w14:textId="77777777" w:rsidR="00FC3C7B" w:rsidRPr="000E6A7B" w:rsidRDefault="00FC3C7B" w:rsidP="000E6A7B">
      <w:pPr>
        <w:rPr>
          <w:b/>
          <w:bCs/>
          <w:color w:val="000000" w:themeColor="text1"/>
          <w:lang w:val="en-US"/>
        </w:rPr>
      </w:pPr>
    </w:p>
    <w:p w14:paraId="7961EB8F" w14:textId="77777777" w:rsidR="00532339" w:rsidRPr="000E6A7B" w:rsidRDefault="00532339" w:rsidP="000E6A7B">
      <w:pPr>
        <w:rPr>
          <w:b/>
          <w:bCs/>
          <w:lang w:val="en-US"/>
        </w:rPr>
      </w:pPr>
      <w:r w:rsidRPr="000E6A7B">
        <w:rPr>
          <w:b/>
          <w:lang w:val="en-US"/>
        </w:rPr>
        <w:t>N</w:t>
      </w:r>
      <w:r w:rsidRPr="000E6A7B">
        <w:rPr>
          <w:b/>
          <w:bCs/>
          <w:lang w:val="en-US"/>
        </w:rPr>
        <w:t>otes to Editors:</w:t>
      </w:r>
    </w:p>
    <w:p w14:paraId="01CFBBF8" w14:textId="77777777" w:rsidR="00FC3C7B" w:rsidRPr="000E6A7B" w:rsidRDefault="00FC3C7B" w:rsidP="000E6A7B">
      <w:pPr>
        <w:pStyle w:val="StandardWeb"/>
        <w:spacing w:before="0" w:beforeAutospacing="0" w:after="0" w:afterAutospacing="0"/>
        <w:rPr>
          <w:rFonts w:ascii="Calibri" w:hAnsi="Calibri" w:cs="Arial"/>
          <w:color w:val="000000" w:themeColor="text1"/>
          <w:sz w:val="18"/>
          <w:szCs w:val="18"/>
          <w:lang w:val="en-US"/>
        </w:rPr>
      </w:pPr>
      <w:r w:rsidRPr="000E6A7B">
        <w:rPr>
          <w:rFonts w:ascii="Calibri" w:hAnsi="Calibri" w:cs="Arial"/>
          <w:color w:val="000000" w:themeColor="text1"/>
          <w:sz w:val="18"/>
          <w:szCs w:val="18"/>
          <w:u w:val="single"/>
          <w:lang w:val="en-US"/>
        </w:rPr>
        <w:t xml:space="preserve">About </w:t>
      </w:r>
      <w:proofErr w:type="spellStart"/>
      <w:r w:rsidRPr="000E6A7B">
        <w:rPr>
          <w:rFonts w:ascii="Calibri" w:hAnsi="Calibri" w:cs="Arial"/>
          <w:color w:val="000000" w:themeColor="text1"/>
          <w:sz w:val="18"/>
          <w:szCs w:val="18"/>
          <w:u w:val="single"/>
          <w:lang w:val="en-US"/>
        </w:rPr>
        <w:t>Vivoryon</w:t>
      </w:r>
      <w:proofErr w:type="spellEnd"/>
      <w:r w:rsidRPr="000E6A7B">
        <w:rPr>
          <w:rFonts w:ascii="Calibri" w:hAnsi="Calibri" w:cs="Arial"/>
          <w:color w:val="000000" w:themeColor="text1"/>
          <w:sz w:val="18"/>
          <w:szCs w:val="18"/>
          <w:u w:val="single"/>
          <w:lang w:val="en-US"/>
        </w:rPr>
        <w:t xml:space="preserve"> Therapeutics AG</w:t>
      </w:r>
      <w:r w:rsidRPr="000E6A7B">
        <w:rPr>
          <w:rFonts w:ascii="Calibri" w:hAnsi="Calibri" w:cs="Arial"/>
          <w:color w:val="000000" w:themeColor="text1"/>
          <w:sz w:val="18"/>
          <w:szCs w:val="18"/>
          <w:u w:val="single"/>
          <w:lang w:val="en-US"/>
        </w:rPr>
        <w:br/>
      </w:r>
      <w:proofErr w:type="spellStart"/>
      <w:r w:rsidRPr="000E6A7B">
        <w:rPr>
          <w:rFonts w:ascii="Calibri" w:hAnsi="Calibri" w:cs="Arial"/>
          <w:color w:val="000000" w:themeColor="text1"/>
          <w:sz w:val="18"/>
          <w:szCs w:val="18"/>
          <w:lang w:val="en-US"/>
        </w:rPr>
        <w:t>Vivoryon</w:t>
      </w:r>
      <w:proofErr w:type="spellEnd"/>
      <w:r w:rsidRPr="000E6A7B">
        <w:rPr>
          <w:rFonts w:ascii="Calibri" w:hAnsi="Calibri" w:cs="Arial"/>
          <w:color w:val="000000" w:themeColor="text1"/>
          <w:sz w:val="18"/>
          <w:szCs w:val="18"/>
          <w:lang w:val="en-US"/>
        </w:rPr>
        <w:t xml:space="preserve"> Therapeutics AG, Headquartered in Halle (Saale), Germany (Euronext Amsterdam: VVY) is a precision intervention company with an advanced candidate in clinical development focused on bringing first-in-class therapies to patients suffering from age-related diseases. The company has a successful track record in bringing drugs targeted to post-translational modifying enzymes to the market. Current projects are focusing on the two </w:t>
      </w:r>
      <w:proofErr w:type="spellStart"/>
      <w:r w:rsidRPr="000E6A7B">
        <w:rPr>
          <w:rFonts w:ascii="Calibri" w:hAnsi="Calibri" w:cs="Arial"/>
          <w:color w:val="000000" w:themeColor="text1"/>
          <w:sz w:val="18"/>
          <w:szCs w:val="18"/>
          <w:lang w:val="en-US"/>
        </w:rPr>
        <w:t>isoenzymes</w:t>
      </w:r>
      <w:proofErr w:type="spellEnd"/>
      <w:r w:rsidRPr="000E6A7B">
        <w:rPr>
          <w:rFonts w:ascii="Calibri" w:hAnsi="Calibri" w:cs="Arial"/>
          <w:color w:val="000000" w:themeColor="text1"/>
          <w:sz w:val="18"/>
          <w:szCs w:val="18"/>
          <w:lang w:val="en-US"/>
        </w:rPr>
        <w:t xml:space="preserve"> of </w:t>
      </w:r>
      <w:proofErr w:type="spellStart"/>
      <w:r w:rsidRPr="000E6A7B">
        <w:rPr>
          <w:rFonts w:ascii="Calibri" w:hAnsi="Calibri" w:cs="Arial"/>
          <w:color w:val="000000" w:themeColor="text1"/>
          <w:sz w:val="18"/>
          <w:szCs w:val="18"/>
          <w:lang w:val="en-US"/>
        </w:rPr>
        <w:t>Glutaminyl</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lastRenderedPageBreak/>
        <w:t>cyclase</w:t>
      </w:r>
      <w:proofErr w:type="spellEnd"/>
      <w:r w:rsidRPr="000E6A7B">
        <w:rPr>
          <w:rFonts w:ascii="Calibri" w:hAnsi="Calibri" w:cs="Arial"/>
          <w:color w:val="000000" w:themeColor="text1"/>
          <w:sz w:val="18"/>
          <w:szCs w:val="18"/>
          <w:lang w:val="en-US"/>
        </w:rPr>
        <w:t xml:space="preserve">, QPCT and QPCTL. QPCT is the crucial enzyme for the generation of highly neurotoxic </w:t>
      </w:r>
      <w:proofErr w:type="spellStart"/>
      <w:r w:rsidRPr="000E6A7B">
        <w:rPr>
          <w:rFonts w:ascii="Calibri" w:hAnsi="Calibri" w:cs="Arial"/>
          <w:color w:val="000000" w:themeColor="text1"/>
          <w:sz w:val="18"/>
          <w:szCs w:val="18"/>
          <w:lang w:val="en-US"/>
        </w:rPr>
        <w:t>pyroglutamate</w:t>
      </w:r>
      <w:proofErr w:type="spellEnd"/>
      <w:r w:rsidRPr="000E6A7B">
        <w:rPr>
          <w:rFonts w:ascii="Calibri" w:hAnsi="Calibri" w:cs="Arial"/>
          <w:color w:val="000000" w:themeColor="text1"/>
          <w:sz w:val="18"/>
          <w:szCs w:val="18"/>
          <w:lang w:val="en-US"/>
        </w:rPr>
        <w:t xml:space="preserve"> species of </w:t>
      </w:r>
      <w:proofErr w:type="spellStart"/>
      <w:r w:rsidRPr="000E6A7B">
        <w:rPr>
          <w:rFonts w:ascii="Calibri" w:hAnsi="Calibri" w:cs="Arial"/>
          <w:color w:val="000000" w:themeColor="text1"/>
          <w:sz w:val="18"/>
          <w:szCs w:val="18"/>
          <w:lang w:val="en-US"/>
        </w:rPr>
        <w:t>Abeta</w:t>
      </w:r>
      <w:proofErr w:type="spellEnd"/>
      <w:r w:rsidRPr="000E6A7B">
        <w:rPr>
          <w:rFonts w:ascii="Calibri" w:hAnsi="Calibri" w:cs="Arial"/>
          <w:color w:val="000000" w:themeColor="text1"/>
          <w:sz w:val="18"/>
          <w:szCs w:val="18"/>
          <w:lang w:val="en-US"/>
        </w:rPr>
        <w:t xml:space="preserve">. Its inhibition by </w:t>
      </w:r>
      <w:proofErr w:type="spellStart"/>
      <w:r w:rsidRPr="000E6A7B">
        <w:rPr>
          <w:rFonts w:ascii="Calibri" w:hAnsi="Calibri" w:cs="Arial"/>
          <w:color w:val="000000" w:themeColor="text1"/>
          <w:sz w:val="18"/>
          <w:szCs w:val="18"/>
          <w:lang w:val="en-US"/>
        </w:rPr>
        <w:t>Vivoryon's</w:t>
      </w:r>
      <w:proofErr w:type="spellEnd"/>
      <w:r w:rsidRPr="000E6A7B">
        <w:rPr>
          <w:rFonts w:ascii="Calibri" w:hAnsi="Calibri" w:cs="Arial"/>
          <w:color w:val="000000" w:themeColor="text1"/>
          <w:sz w:val="18"/>
          <w:szCs w:val="18"/>
          <w:lang w:val="en-US"/>
        </w:rPr>
        <w:t xml:space="preserve"> lead molecule PQ912, has successfully completed a phase 2a (SAPHIR) study and the company has initiated a phase 2b core program for the treatment of Alzheimer's Disease (AD). QPCTL has been identified as a potential target in cancer therapy. Blocking the enzymatic function of QPCTL by small molecule inhibitors is a novel therapeutic approach to silence the CD47/SIRP alpha signal in cancer immunotherapy. </w:t>
      </w:r>
      <w:proofErr w:type="spellStart"/>
      <w:r w:rsidRPr="000E6A7B">
        <w:rPr>
          <w:rFonts w:ascii="Calibri" w:hAnsi="Calibri" w:cs="Arial"/>
          <w:color w:val="000000" w:themeColor="text1"/>
          <w:sz w:val="18"/>
          <w:szCs w:val="18"/>
          <w:lang w:val="en-US"/>
        </w:rPr>
        <w:t>Vivoryon</w:t>
      </w:r>
      <w:proofErr w:type="spellEnd"/>
      <w:r w:rsidRPr="000E6A7B">
        <w:rPr>
          <w:rFonts w:ascii="Calibri" w:hAnsi="Calibri" w:cs="Arial"/>
          <w:color w:val="000000" w:themeColor="text1"/>
          <w:sz w:val="18"/>
          <w:szCs w:val="18"/>
          <w:lang w:val="en-US"/>
        </w:rPr>
        <w:t xml:space="preserve"> Therapeutics has a unique and exceptionally strong patent position on QPCT and QPCTL inhibitors. </w:t>
      </w:r>
      <w:hyperlink r:id="rId10" w:history="1">
        <w:r w:rsidRPr="000E6A7B">
          <w:rPr>
            <w:rStyle w:val="Link"/>
            <w:rFonts w:ascii="Calibri" w:hAnsi="Calibri" w:cs="Arial"/>
            <w:sz w:val="18"/>
            <w:szCs w:val="18"/>
            <w:lang w:val="en-US"/>
          </w:rPr>
          <w:t>www.vivoryon.com</w:t>
        </w:r>
      </w:hyperlink>
      <w:r w:rsidRPr="000E6A7B">
        <w:rPr>
          <w:rFonts w:ascii="Calibri" w:hAnsi="Calibri" w:cs="Arial"/>
          <w:color w:val="000000" w:themeColor="text1"/>
          <w:sz w:val="18"/>
          <w:szCs w:val="18"/>
          <w:lang w:val="en-US"/>
        </w:rPr>
        <w:t xml:space="preserve"> </w:t>
      </w:r>
    </w:p>
    <w:p w14:paraId="212B8508" w14:textId="77777777" w:rsidR="00FC3C7B" w:rsidRPr="000E6A7B" w:rsidRDefault="00FC3C7B" w:rsidP="000E6A7B">
      <w:pPr>
        <w:pStyle w:val="StandardWeb"/>
        <w:spacing w:before="0" w:beforeAutospacing="0" w:after="0" w:afterAutospacing="0"/>
        <w:rPr>
          <w:rFonts w:ascii="Calibri" w:hAnsi="Calibri" w:cs="Arial"/>
          <w:color w:val="000000" w:themeColor="text1"/>
          <w:sz w:val="18"/>
          <w:szCs w:val="18"/>
          <w:lang w:val="en-US"/>
        </w:rPr>
      </w:pPr>
    </w:p>
    <w:p w14:paraId="58827E13" w14:textId="77777777" w:rsidR="00FC3C7B" w:rsidRPr="000E6A7B" w:rsidRDefault="00FC3C7B" w:rsidP="000E6A7B">
      <w:pPr>
        <w:pStyle w:val="StandardWeb"/>
        <w:spacing w:before="0" w:beforeAutospacing="0" w:after="0" w:afterAutospacing="0"/>
        <w:rPr>
          <w:rFonts w:ascii="Calibri" w:hAnsi="Calibri" w:cs="Arial"/>
          <w:color w:val="000000" w:themeColor="text1"/>
          <w:sz w:val="18"/>
          <w:szCs w:val="18"/>
          <w:u w:val="single"/>
          <w:lang w:val="en-US"/>
        </w:rPr>
      </w:pPr>
    </w:p>
    <w:p w14:paraId="196ABE56" w14:textId="77777777" w:rsidR="00FC3C7B" w:rsidRPr="000E6A7B" w:rsidRDefault="00FC3C7B" w:rsidP="000E6A7B">
      <w:pPr>
        <w:pStyle w:val="StandardWeb"/>
        <w:spacing w:before="0" w:beforeAutospacing="0" w:after="0" w:afterAutospacing="0"/>
        <w:rPr>
          <w:rFonts w:ascii="Calibri" w:hAnsi="Calibri" w:cs="Arial"/>
          <w:color w:val="000000" w:themeColor="text1"/>
          <w:sz w:val="18"/>
          <w:szCs w:val="18"/>
          <w:lang w:val="en-US"/>
        </w:rPr>
      </w:pPr>
      <w:r w:rsidRPr="000E6A7B">
        <w:rPr>
          <w:rFonts w:ascii="Calibri" w:hAnsi="Calibri" w:cs="Arial"/>
          <w:color w:val="000000" w:themeColor="text1"/>
          <w:sz w:val="18"/>
          <w:szCs w:val="18"/>
          <w:u w:val="single"/>
          <w:lang w:val="en-US"/>
        </w:rPr>
        <w:t xml:space="preserve">About </w:t>
      </w:r>
      <w:proofErr w:type="spellStart"/>
      <w:r w:rsidRPr="000E6A7B">
        <w:rPr>
          <w:rFonts w:ascii="Calibri" w:hAnsi="Calibri" w:cs="Arial"/>
          <w:color w:val="000000" w:themeColor="text1"/>
          <w:sz w:val="18"/>
          <w:szCs w:val="18"/>
          <w:u w:val="single"/>
          <w:lang w:val="en-US"/>
        </w:rPr>
        <w:t>MorphoSys</w:t>
      </w:r>
      <w:proofErr w:type="spellEnd"/>
      <w:r w:rsidRPr="000E6A7B">
        <w:rPr>
          <w:rFonts w:ascii="Calibri" w:hAnsi="Calibri" w:cs="Arial"/>
          <w:color w:val="000000" w:themeColor="text1"/>
          <w:sz w:val="18"/>
          <w:szCs w:val="18"/>
          <w:u w:val="single"/>
          <w:lang w:val="en-US"/>
        </w:rPr>
        <w:br/>
      </w:r>
      <w:proofErr w:type="spellStart"/>
      <w:r w:rsidRPr="000E6A7B">
        <w:rPr>
          <w:rFonts w:ascii="Calibri" w:hAnsi="Calibri" w:cs="Arial"/>
          <w:color w:val="000000" w:themeColor="text1"/>
          <w:sz w:val="18"/>
          <w:szCs w:val="18"/>
          <w:lang w:val="en-US"/>
        </w:rPr>
        <w:t>MorphoSys</w:t>
      </w:r>
      <w:proofErr w:type="spellEnd"/>
      <w:r w:rsidRPr="000E6A7B">
        <w:rPr>
          <w:rFonts w:ascii="Calibri" w:hAnsi="Calibri" w:cs="Arial"/>
          <w:color w:val="000000" w:themeColor="text1"/>
          <w:sz w:val="18"/>
          <w:szCs w:val="18"/>
          <w:lang w:val="en-US"/>
        </w:rPr>
        <w:t xml:space="preserve"> (FSE &amp; NASDAQ: MOR) is a clinical-stage biopharmaceutical company dedicated to the discovery, development and commercialization of exceptional, innovative therapies for patients suffering from serious diseases. The focus is on cancer. Based on its leading expertise in antibody, protein and peptide technologies, </w:t>
      </w:r>
      <w:proofErr w:type="spellStart"/>
      <w:r w:rsidRPr="000E6A7B">
        <w:rPr>
          <w:rFonts w:ascii="Calibri" w:hAnsi="Calibri" w:cs="Arial"/>
          <w:color w:val="000000" w:themeColor="text1"/>
          <w:sz w:val="18"/>
          <w:szCs w:val="18"/>
          <w:lang w:val="en-US"/>
        </w:rPr>
        <w:t>MorphoSys</w:t>
      </w:r>
      <w:proofErr w:type="spellEnd"/>
      <w:r w:rsidRPr="000E6A7B">
        <w:rPr>
          <w:rFonts w:ascii="Calibri" w:hAnsi="Calibri" w:cs="Arial"/>
          <w:color w:val="000000" w:themeColor="text1"/>
          <w:sz w:val="18"/>
          <w:szCs w:val="18"/>
          <w:lang w:val="en-US"/>
        </w:rPr>
        <w:t xml:space="preserve">, together with its partners, has developed and contributed to the development of more than 100 product candidates, of which 29 are currently in clinical development. In 2017, </w:t>
      </w:r>
      <w:proofErr w:type="spellStart"/>
      <w:r w:rsidRPr="000E6A7B">
        <w:rPr>
          <w:rFonts w:ascii="Calibri" w:hAnsi="Calibri" w:cs="Arial"/>
          <w:color w:val="000000" w:themeColor="text1"/>
          <w:sz w:val="18"/>
          <w:szCs w:val="18"/>
          <w:lang w:val="en-US"/>
        </w:rPr>
        <w:t>Tremfya</w:t>
      </w:r>
      <w:proofErr w:type="spellEnd"/>
      <w:r w:rsidRPr="000E6A7B">
        <w:rPr>
          <w:rFonts w:ascii="Calibri" w:hAnsi="Calibri" w:cs="Arial"/>
          <w:color w:val="000000" w:themeColor="text1"/>
          <w:sz w:val="18"/>
          <w:szCs w:val="18"/>
          <w:lang w:val="en-US"/>
        </w:rPr>
        <w:t xml:space="preserve">®, marketed by Janssen for the treatment of plaque psoriasis, became the first drug based on </w:t>
      </w:r>
      <w:proofErr w:type="spellStart"/>
      <w:r w:rsidRPr="000E6A7B">
        <w:rPr>
          <w:rFonts w:ascii="Calibri" w:hAnsi="Calibri" w:cs="Arial"/>
          <w:color w:val="000000" w:themeColor="text1"/>
          <w:sz w:val="18"/>
          <w:szCs w:val="18"/>
          <w:lang w:val="en-US"/>
        </w:rPr>
        <w:t>MorphoSys’s</w:t>
      </w:r>
      <w:proofErr w:type="spellEnd"/>
      <w:r w:rsidRPr="000E6A7B">
        <w:rPr>
          <w:rFonts w:ascii="Calibri" w:hAnsi="Calibri" w:cs="Arial"/>
          <w:color w:val="000000" w:themeColor="text1"/>
          <w:sz w:val="18"/>
          <w:szCs w:val="18"/>
          <w:lang w:val="en-US"/>
        </w:rPr>
        <w:t xml:space="preserve"> antibody technology to receive regulatory approval. The Company’s most advanced proprietary product candidate, </w:t>
      </w:r>
      <w:proofErr w:type="spellStart"/>
      <w:r w:rsidRPr="000E6A7B">
        <w:rPr>
          <w:rFonts w:ascii="Calibri" w:hAnsi="Calibri" w:cs="Arial"/>
          <w:color w:val="000000" w:themeColor="text1"/>
          <w:sz w:val="18"/>
          <w:szCs w:val="18"/>
          <w:lang w:val="en-US"/>
        </w:rPr>
        <w:t>tafasitamab</w:t>
      </w:r>
      <w:proofErr w:type="spellEnd"/>
      <w:r w:rsidRPr="000E6A7B">
        <w:rPr>
          <w:rFonts w:ascii="Calibri" w:hAnsi="Calibri" w:cs="Arial"/>
          <w:color w:val="000000" w:themeColor="text1"/>
          <w:sz w:val="18"/>
          <w:szCs w:val="18"/>
          <w:lang w:val="en-US"/>
        </w:rPr>
        <w:t xml:space="preserve"> (MOR208), has been granted U.S. FDA breakthrough therapy designation for the treatment of patients with relapsed/refractory diffuse large B-cell lymphoma (DLBCL). Headquartered near Munich, Germany, the </w:t>
      </w:r>
      <w:proofErr w:type="spellStart"/>
      <w:r w:rsidRPr="000E6A7B">
        <w:rPr>
          <w:rFonts w:ascii="Calibri" w:hAnsi="Calibri" w:cs="Arial"/>
          <w:color w:val="000000" w:themeColor="text1"/>
          <w:sz w:val="18"/>
          <w:szCs w:val="18"/>
          <w:lang w:val="en-US"/>
        </w:rPr>
        <w:t>MorphoSys</w:t>
      </w:r>
      <w:proofErr w:type="spellEnd"/>
      <w:r w:rsidRPr="000E6A7B">
        <w:rPr>
          <w:rFonts w:ascii="Calibri" w:hAnsi="Calibri" w:cs="Arial"/>
          <w:color w:val="000000" w:themeColor="text1"/>
          <w:sz w:val="18"/>
          <w:szCs w:val="18"/>
          <w:lang w:val="en-US"/>
        </w:rPr>
        <w:t xml:space="preserve"> group, including the fully owned U.S. subsidiary </w:t>
      </w:r>
      <w:proofErr w:type="spellStart"/>
      <w:r w:rsidRPr="000E6A7B">
        <w:rPr>
          <w:rFonts w:ascii="Calibri" w:hAnsi="Calibri" w:cs="Arial"/>
          <w:color w:val="000000" w:themeColor="text1"/>
          <w:sz w:val="18"/>
          <w:szCs w:val="18"/>
          <w:lang w:val="en-US"/>
        </w:rPr>
        <w:t>MorphoSys</w:t>
      </w:r>
      <w:proofErr w:type="spellEnd"/>
      <w:r w:rsidRPr="000E6A7B">
        <w:rPr>
          <w:rFonts w:ascii="Calibri" w:hAnsi="Calibri" w:cs="Arial"/>
          <w:color w:val="000000" w:themeColor="text1"/>
          <w:sz w:val="18"/>
          <w:szCs w:val="18"/>
          <w:lang w:val="en-US"/>
        </w:rPr>
        <w:t xml:space="preserve"> US Inc., has approximately 330 employees. More information at </w:t>
      </w:r>
      <w:hyperlink r:id="rId11" w:history="1">
        <w:r w:rsidRPr="000E6A7B">
          <w:rPr>
            <w:rStyle w:val="Link"/>
            <w:rFonts w:ascii="Calibri" w:hAnsi="Calibri" w:cs="Arial"/>
            <w:sz w:val="18"/>
            <w:szCs w:val="18"/>
            <w:lang w:val="en-US"/>
          </w:rPr>
          <w:t>www.morphosys.com</w:t>
        </w:r>
      </w:hyperlink>
      <w:r w:rsidRPr="000E6A7B">
        <w:rPr>
          <w:rFonts w:ascii="Calibri" w:hAnsi="Calibri" w:cs="Arial"/>
          <w:color w:val="000000" w:themeColor="text1"/>
          <w:sz w:val="18"/>
          <w:szCs w:val="18"/>
          <w:lang w:val="en-US"/>
        </w:rPr>
        <w:t xml:space="preserve"> </w:t>
      </w:r>
    </w:p>
    <w:p w14:paraId="2F14A749" w14:textId="77777777" w:rsidR="00FC3C7B" w:rsidRPr="000E6A7B" w:rsidRDefault="00FC3C7B" w:rsidP="000E6A7B">
      <w:pPr>
        <w:pStyle w:val="StandardWeb"/>
        <w:spacing w:before="0" w:beforeAutospacing="0" w:after="0" w:afterAutospacing="0"/>
        <w:rPr>
          <w:rFonts w:ascii="Calibri" w:hAnsi="Calibri" w:cs="Arial"/>
          <w:color w:val="000000" w:themeColor="text1"/>
          <w:sz w:val="18"/>
          <w:szCs w:val="18"/>
          <w:lang w:val="en-US"/>
        </w:rPr>
      </w:pPr>
    </w:p>
    <w:p w14:paraId="46627549" w14:textId="77777777" w:rsidR="00FC3C7B" w:rsidRPr="000E6A7B" w:rsidRDefault="00FC3C7B" w:rsidP="000E6A7B">
      <w:pPr>
        <w:pStyle w:val="StandardWeb"/>
        <w:spacing w:before="0" w:beforeAutospacing="0" w:after="0" w:afterAutospacing="0"/>
        <w:rPr>
          <w:rFonts w:ascii="Calibri" w:hAnsi="Calibri" w:cs="Arial"/>
          <w:color w:val="000000" w:themeColor="text1"/>
          <w:sz w:val="18"/>
          <w:szCs w:val="18"/>
          <w:lang w:val="en-US"/>
        </w:rPr>
      </w:pPr>
      <w:proofErr w:type="spellStart"/>
      <w:r w:rsidRPr="000E6A7B">
        <w:rPr>
          <w:rFonts w:ascii="Calibri" w:hAnsi="Calibri" w:cs="Arial"/>
          <w:color w:val="000000" w:themeColor="text1"/>
          <w:sz w:val="18"/>
          <w:szCs w:val="18"/>
          <w:lang w:val="en-US"/>
        </w:rPr>
        <w:t>HuCAL</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t>HuCAL</w:t>
      </w:r>
      <w:proofErr w:type="spellEnd"/>
      <w:r w:rsidRPr="000E6A7B">
        <w:rPr>
          <w:rFonts w:ascii="Calibri" w:hAnsi="Calibri" w:cs="Arial"/>
          <w:color w:val="000000" w:themeColor="text1"/>
          <w:sz w:val="18"/>
          <w:szCs w:val="18"/>
          <w:lang w:val="en-US"/>
        </w:rPr>
        <w:t xml:space="preserve"> GOLD®, </w:t>
      </w:r>
      <w:proofErr w:type="spellStart"/>
      <w:r w:rsidRPr="000E6A7B">
        <w:rPr>
          <w:rFonts w:ascii="Calibri" w:hAnsi="Calibri" w:cs="Arial"/>
          <w:color w:val="000000" w:themeColor="text1"/>
          <w:sz w:val="18"/>
          <w:szCs w:val="18"/>
          <w:lang w:val="en-US"/>
        </w:rPr>
        <w:t>HuCAL</w:t>
      </w:r>
      <w:proofErr w:type="spellEnd"/>
      <w:r w:rsidRPr="000E6A7B">
        <w:rPr>
          <w:rFonts w:ascii="Calibri" w:hAnsi="Calibri" w:cs="Arial"/>
          <w:color w:val="000000" w:themeColor="text1"/>
          <w:sz w:val="18"/>
          <w:szCs w:val="18"/>
          <w:lang w:val="en-US"/>
        </w:rPr>
        <w:t xml:space="preserve"> PLATINUM®, </w:t>
      </w:r>
      <w:proofErr w:type="spellStart"/>
      <w:r w:rsidRPr="000E6A7B">
        <w:rPr>
          <w:rFonts w:ascii="Calibri" w:hAnsi="Calibri" w:cs="Arial"/>
          <w:color w:val="000000" w:themeColor="text1"/>
          <w:sz w:val="18"/>
          <w:szCs w:val="18"/>
          <w:lang w:val="en-US"/>
        </w:rPr>
        <w:t>CysDisplay</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t>RapMAT</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t>arYla</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t>Ylanthia</w:t>
      </w:r>
      <w:proofErr w:type="spellEnd"/>
      <w:r w:rsidRPr="000E6A7B">
        <w:rPr>
          <w:rFonts w:ascii="Calibri" w:hAnsi="Calibri" w:cs="Arial"/>
          <w:color w:val="000000" w:themeColor="text1"/>
          <w:sz w:val="18"/>
          <w:szCs w:val="18"/>
          <w:lang w:val="en-US"/>
        </w:rPr>
        <w:t xml:space="preserve">®, 100 billion high potentials®, </w:t>
      </w:r>
      <w:proofErr w:type="spellStart"/>
      <w:r w:rsidRPr="000E6A7B">
        <w:rPr>
          <w:rFonts w:ascii="Calibri" w:hAnsi="Calibri" w:cs="Arial"/>
          <w:color w:val="000000" w:themeColor="text1"/>
          <w:sz w:val="18"/>
          <w:szCs w:val="18"/>
          <w:lang w:val="en-US"/>
        </w:rPr>
        <w:t>Slonomics</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t>Lanthio</w:t>
      </w:r>
      <w:proofErr w:type="spellEnd"/>
      <w:r w:rsidRPr="000E6A7B">
        <w:rPr>
          <w:rFonts w:ascii="Calibri" w:hAnsi="Calibri" w:cs="Arial"/>
          <w:color w:val="000000" w:themeColor="text1"/>
          <w:sz w:val="18"/>
          <w:szCs w:val="18"/>
          <w:lang w:val="en-US"/>
        </w:rPr>
        <w:t xml:space="preserve"> </w:t>
      </w:r>
      <w:proofErr w:type="spellStart"/>
      <w:r w:rsidRPr="000E6A7B">
        <w:rPr>
          <w:rFonts w:ascii="Calibri" w:hAnsi="Calibri" w:cs="Arial"/>
          <w:color w:val="000000" w:themeColor="text1"/>
          <w:sz w:val="18"/>
          <w:szCs w:val="18"/>
          <w:lang w:val="en-US"/>
        </w:rPr>
        <w:t>Pharma</w:t>
      </w:r>
      <w:proofErr w:type="spellEnd"/>
      <w:r w:rsidRPr="000E6A7B">
        <w:rPr>
          <w:rFonts w:ascii="Calibri" w:hAnsi="Calibri" w:cs="Arial"/>
          <w:color w:val="000000" w:themeColor="text1"/>
          <w:sz w:val="18"/>
          <w:szCs w:val="18"/>
          <w:lang w:val="en-US"/>
        </w:rPr>
        <w:t xml:space="preserve">® and </w:t>
      </w:r>
      <w:proofErr w:type="spellStart"/>
      <w:r w:rsidRPr="000E6A7B">
        <w:rPr>
          <w:rFonts w:ascii="Calibri" w:hAnsi="Calibri" w:cs="Arial"/>
          <w:color w:val="000000" w:themeColor="text1"/>
          <w:sz w:val="18"/>
          <w:szCs w:val="18"/>
          <w:lang w:val="en-US"/>
        </w:rPr>
        <w:t>LanthioPep</w:t>
      </w:r>
      <w:proofErr w:type="spellEnd"/>
      <w:r w:rsidRPr="000E6A7B">
        <w:rPr>
          <w:rFonts w:ascii="Calibri" w:hAnsi="Calibri" w:cs="Arial"/>
          <w:color w:val="000000" w:themeColor="text1"/>
          <w:sz w:val="18"/>
          <w:szCs w:val="18"/>
          <w:lang w:val="en-US"/>
        </w:rPr>
        <w:t xml:space="preserve">® are registered trademarks of the </w:t>
      </w:r>
      <w:proofErr w:type="spellStart"/>
      <w:r w:rsidRPr="000E6A7B">
        <w:rPr>
          <w:rFonts w:ascii="Calibri" w:hAnsi="Calibri" w:cs="Arial"/>
          <w:color w:val="000000" w:themeColor="text1"/>
          <w:sz w:val="18"/>
          <w:szCs w:val="18"/>
          <w:lang w:val="en-US"/>
        </w:rPr>
        <w:t>MorphoSys</w:t>
      </w:r>
      <w:proofErr w:type="spellEnd"/>
      <w:r w:rsidRPr="000E6A7B">
        <w:rPr>
          <w:rFonts w:ascii="Calibri" w:hAnsi="Calibri" w:cs="Arial"/>
          <w:color w:val="000000" w:themeColor="text1"/>
          <w:sz w:val="18"/>
          <w:szCs w:val="18"/>
          <w:lang w:val="en-US"/>
        </w:rPr>
        <w:t xml:space="preserve"> Group. </w:t>
      </w:r>
      <w:proofErr w:type="spellStart"/>
      <w:r w:rsidRPr="000E6A7B">
        <w:rPr>
          <w:rFonts w:ascii="Calibri" w:hAnsi="Calibri" w:cs="Arial"/>
          <w:color w:val="000000" w:themeColor="text1"/>
          <w:sz w:val="18"/>
          <w:szCs w:val="18"/>
          <w:lang w:val="en-US"/>
        </w:rPr>
        <w:t>Tremfya</w:t>
      </w:r>
      <w:proofErr w:type="spellEnd"/>
      <w:r w:rsidRPr="000E6A7B">
        <w:rPr>
          <w:rFonts w:ascii="Calibri" w:hAnsi="Calibri" w:cs="Arial"/>
          <w:color w:val="000000" w:themeColor="text1"/>
          <w:sz w:val="18"/>
          <w:szCs w:val="18"/>
          <w:lang w:val="en-US"/>
        </w:rPr>
        <w:t xml:space="preserve">® is a trademark of Janssen Biotech, Inc. </w:t>
      </w:r>
    </w:p>
    <w:p w14:paraId="2CD3E846" w14:textId="77777777" w:rsidR="00FC3C7B" w:rsidRPr="000E6A7B" w:rsidRDefault="00FC3C7B" w:rsidP="000E6A7B">
      <w:pPr>
        <w:pStyle w:val="StandardWeb"/>
        <w:spacing w:before="0" w:beforeAutospacing="0" w:after="0" w:afterAutospacing="0"/>
        <w:rPr>
          <w:rFonts w:ascii="Calibri" w:hAnsi="Calibri" w:cs="Arial"/>
          <w:i/>
          <w:color w:val="000000" w:themeColor="text1"/>
          <w:sz w:val="18"/>
          <w:szCs w:val="18"/>
          <w:u w:val="single"/>
          <w:lang w:val="en-US"/>
        </w:rPr>
      </w:pPr>
    </w:p>
    <w:p w14:paraId="4A3A3C39" w14:textId="77777777" w:rsidR="00FC3C7B" w:rsidRPr="000E6A7B" w:rsidRDefault="00FC3C7B" w:rsidP="000E6A7B">
      <w:pPr>
        <w:pStyle w:val="StandardWeb"/>
        <w:spacing w:before="0" w:beforeAutospacing="0" w:after="0" w:afterAutospacing="0"/>
        <w:rPr>
          <w:rFonts w:ascii="Calibri" w:hAnsi="Calibri" w:cs="Arial"/>
          <w:i/>
          <w:color w:val="000000" w:themeColor="text1"/>
          <w:sz w:val="18"/>
          <w:szCs w:val="18"/>
          <w:lang w:val="en-US"/>
        </w:rPr>
      </w:pPr>
      <w:proofErr w:type="spellStart"/>
      <w:r w:rsidRPr="000E6A7B">
        <w:rPr>
          <w:rFonts w:ascii="Calibri" w:hAnsi="Calibri" w:cs="Arial"/>
          <w:i/>
          <w:color w:val="000000" w:themeColor="text1"/>
          <w:sz w:val="18"/>
          <w:szCs w:val="18"/>
          <w:u w:val="single"/>
          <w:lang w:val="en-US"/>
        </w:rPr>
        <w:t>MorphoSys</w:t>
      </w:r>
      <w:proofErr w:type="spellEnd"/>
      <w:r w:rsidRPr="000E6A7B">
        <w:rPr>
          <w:rFonts w:ascii="Calibri" w:hAnsi="Calibri" w:cs="Arial"/>
          <w:i/>
          <w:color w:val="000000" w:themeColor="text1"/>
          <w:sz w:val="18"/>
          <w:szCs w:val="18"/>
          <w:u w:val="single"/>
          <w:lang w:val="en-US"/>
        </w:rPr>
        <w:t xml:space="preserve"> forward looking statements</w:t>
      </w:r>
      <w:r w:rsidRPr="000E6A7B">
        <w:rPr>
          <w:rFonts w:ascii="Calibri" w:hAnsi="Calibri" w:cs="Arial"/>
          <w:i/>
          <w:color w:val="000000" w:themeColor="text1"/>
          <w:sz w:val="18"/>
          <w:szCs w:val="18"/>
          <w:u w:val="single"/>
          <w:lang w:val="en-US"/>
        </w:rPr>
        <w:br/>
      </w:r>
      <w:r w:rsidRPr="000E6A7B">
        <w:rPr>
          <w:rFonts w:ascii="Calibri" w:hAnsi="Calibri" w:cs="Arial"/>
          <w:i/>
          <w:color w:val="000000" w:themeColor="text1"/>
          <w:sz w:val="18"/>
          <w:szCs w:val="18"/>
          <w:lang w:val="en-US"/>
        </w:rPr>
        <w:t xml:space="preserve">This communication contains certain forward-looking statements concerning the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group of companies, including the expectations regarding the strategic alliance with </w:t>
      </w:r>
      <w:proofErr w:type="spellStart"/>
      <w:r w:rsidRPr="000E6A7B">
        <w:rPr>
          <w:rFonts w:ascii="Calibri" w:hAnsi="Calibri" w:cs="Arial"/>
          <w:i/>
          <w:color w:val="000000" w:themeColor="text1"/>
          <w:sz w:val="18"/>
          <w:szCs w:val="18"/>
          <w:lang w:val="en-US"/>
        </w:rPr>
        <w:t>Vivoryon</w:t>
      </w:r>
      <w:proofErr w:type="spellEnd"/>
      <w:r w:rsidRPr="000E6A7B">
        <w:rPr>
          <w:rFonts w:ascii="Calibri" w:hAnsi="Calibri" w:cs="Arial"/>
          <w:i/>
          <w:color w:val="000000" w:themeColor="text1"/>
          <w:sz w:val="18"/>
          <w:szCs w:val="18"/>
          <w:lang w:val="en-US"/>
        </w:rPr>
        <w:t xml:space="preserve"> Therapeutics to explore the QPCTL inhibitors in oncology and the potential combination of the QPCTL inhibitors with </w:t>
      </w:r>
      <w:proofErr w:type="spellStart"/>
      <w:r w:rsidRPr="000E6A7B">
        <w:rPr>
          <w:rFonts w:ascii="Calibri" w:hAnsi="Calibri" w:cs="Arial"/>
          <w:i/>
          <w:color w:val="000000" w:themeColor="text1"/>
          <w:sz w:val="18"/>
          <w:szCs w:val="18"/>
          <w:lang w:val="en-US"/>
        </w:rPr>
        <w:t>tafasitamab</w:t>
      </w:r>
      <w:proofErr w:type="spellEnd"/>
      <w:r w:rsidRPr="000E6A7B">
        <w:rPr>
          <w:rFonts w:ascii="Calibri" w:hAnsi="Calibri" w:cs="Arial"/>
          <w:i/>
          <w:color w:val="000000" w:themeColor="text1"/>
          <w:sz w:val="18"/>
          <w:szCs w:val="18"/>
          <w:lang w:val="en-US"/>
        </w:rPr>
        <w:t xml:space="preserve"> (MOR208) or other antibodies. The forward-looking statements contained herein represent the judgment of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as of the date of this release and involve known and unknown risks and uncertainties, which might cause the actual results, financial condition and liquidity, performance or achievements of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or industry results, to be materially different from any historic or future results, financial conditions and liquidity, performance or achievements expressed or implied by such forward- looking statements. In addition, even if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results, performance, financial condition and liquidity, and the development of the industry in which it operates are consistent with such forward-looking statements, they may not be predictive of results or developments in future periods. Among the factors that may result in differences are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expectations regarding the strategic alliance with </w:t>
      </w:r>
      <w:proofErr w:type="spellStart"/>
      <w:r w:rsidRPr="000E6A7B">
        <w:rPr>
          <w:rFonts w:ascii="Calibri" w:hAnsi="Calibri" w:cs="Arial"/>
          <w:i/>
          <w:color w:val="000000" w:themeColor="text1"/>
          <w:sz w:val="18"/>
          <w:szCs w:val="18"/>
          <w:lang w:val="en-US"/>
        </w:rPr>
        <w:t>Vivoryon</w:t>
      </w:r>
      <w:proofErr w:type="spellEnd"/>
      <w:r w:rsidRPr="000E6A7B">
        <w:rPr>
          <w:rFonts w:ascii="Calibri" w:hAnsi="Calibri" w:cs="Arial"/>
          <w:i/>
          <w:color w:val="000000" w:themeColor="text1"/>
          <w:sz w:val="18"/>
          <w:szCs w:val="18"/>
          <w:lang w:val="en-US"/>
        </w:rPr>
        <w:t xml:space="preserve"> Therapeutics to explore the QPCTL inhibitors in oncology and the potential combination of the QPCTL inhibitors with </w:t>
      </w:r>
      <w:proofErr w:type="spellStart"/>
      <w:r w:rsidRPr="000E6A7B">
        <w:rPr>
          <w:rFonts w:ascii="Calibri" w:hAnsi="Calibri" w:cs="Arial"/>
          <w:i/>
          <w:color w:val="000000" w:themeColor="text1"/>
          <w:sz w:val="18"/>
          <w:szCs w:val="18"/>
          <w:lang w:val="en-US"/>
        </w:rPr>
        <w:t>tafasitamab</w:t>
      </w:r>
      <w:proofErr w:type="spellEnd"/>
      <w:r w:rsidRPr="000E6A7B">
        <w:rPr>
          <w:rFonts w:ascii="Calibri" w:hAnsi="Calibri" w:cs="Arial"/>
          <w:i/>
          <w:color w:val="000000" w:themeColor="text1"/>
          <w:sz w:val="18"/>
          <w:szCs w:val="18"/>
          <w:lang w:val="en-US"/>
        </w:rPr>
        <w:t xml:space="preserve"> (MOR208) or other antibodies,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reliance on collaborations with third parties, estimating the commercial potential of its development programs and other risks indicated in the risk factors included in </w:t>
      </w:r>
      <w:proofErr w:type="spellStart"/>
      <w:r w:rsidRPr="000E6A7B">
        <w:rPr>
          <w:rFonts w:ascii="Calibri" w:hAnsi="Calibri" w:cs="Arial"/>
          <w:i/>
          <w:color w:val="000000" w:themeColor="text1"/>
          <w:sz w:val="18"/>
          <w:szCs w:val="18"/>
          <w:lang w:val="en-US"/>
        </w:rPr>
        <w:t>MorphoSys’s</w:t>
      </w:r>
      <w:proofErr w:type="spellEnd"/>
      <w:r w:rsidRPr="000E6A7B">
        <w:rPr>
          <w:rFonts w:ascii="Calibri" w:hAnsi="Calibri" w:cs="Arial"/>
          <w:i/>
          <w:color w:val="000000" w:themeColor="text1"/>
          <w:sz w:val="18"/>
          <w:szCs w:val="18"/>
          <w:lang w:val="en-US"/>
        </w:rPr>
        <w:t xml:space="preserve"> Annual Report on Form 20-F and other filings with the US Securities and Exchange Commission. Given these uncertainties, the reader is advised not to place any undue reliance on such forward-looking statements. These forward-looking statements speak only as of the date of publication of this document. </w:t>
      </w:r>
      <w:proofErr w:type="spellStart"/>
      <w:r w:rsidRPr="000E6A7B">
        <w:rPr>
          <w:rFonts w:ascii="Calibri" w:hAnsi="Calibri" w:cs="Arial"/>
          <w:i/>
          <w:color w:val="000000" w:themeColor="text1"/>
          <w:sz w:val="18"/>
          <w:szCs w:val="18"/>
          <w:lang w:val="en-US"/>
        </w:rPr>
        <w:t>MorphoSys</w:t>
      </w:r>
      <w:proofErr w:type="spellEnd"/>
      <w:r w:rsidRPr="000E6A7B">
        <w:rPr>
          <w:rFonts w:ascii="Calibri" w:hAnsi="Calibri" w:cs="Arial"/>
          <w:i/>
          <w:color w:val="000000" w:themeColor="text1"/>
          <w:sz w:val="18"/>
          <w:szCs w:val="18"/>
          <w:lang w:val="en-US"/>
        </w:rPr>
        <w:t xml:space="preserve"> expressly disclaims any obligation to update any such forward-looking statements in this document to reflect any change in its expectations with regard thereto or any change in events, conditions or circumstances on which any such statement is based or that may affect the likelihood that actual results will differ from those set forth in the forward-looking statements, unless specifically required by law or regulation.</w:t>
      </w:r>
    </w:p>
    <w:p w14:paraId="26CD4B71" w14:textId="77777777" w:rsidR="00FC3C7B" w:rsidRPr="000E6A7B" w:rsidRDefault="00FC3C7B" w:rsidP="000E6A7B">
      <w:pPr>
        <w:pStyle w:val="StandardWeb"/>
        <w:spacing w:before="0" w:beforeAutospacing="0" w:after="0" w:afterAutospacing="0"/>
        <w:rPr>
          <w:rStyle w:val="Herausstellen"/>
          <w:rFonts w:ascii="Calibri" w:hAnsi="Calibri" w:cs="Arial"/>
          <w:b/>
          <w:bCs/>
          <w:sz w:val="18"/>
          <w:szCs w:val="18"/>
          <w:u w:val="single"/>
        </w:rPr>
      </w:pPr>
    </w:p>
    <w:p w14:paraId="37253438" w14:textId="77777777" w:rsidR="00FC3C7B" w:rsidRPr="00E01C76" w:rsidRDefault="00FC3C7B" w:rsidP="000E6A7B">
      <w:pPr>
        <w:pStyle w:val="StandardWeb"/>
        <w:spacing w:before="0" w:beforeAutospacing="0" w:after="0" w:afterAutospacing="0"/>
        <w:rPr>
          <w:rFonts w:ascii="Calibri" w:hAnsi="Calibri" w:cs="Arial"/>
          <w:sz w:val="18"/>
          <w:szCs w:val="18"/>
          <w:u w:val="single"/>
        </w:rPr>
      </w:pPr>
      <w:bookmarkStart w:id="1" w:name="_GoBack"/>
      <w:proofErr w:type="spellStart"/>
      <w:r w:rsidRPr="00E01C76">
        <w:rPr>
          <w:rStyle w:val="Herausstellen"/>
          <w:rFonts w:ascii="Calibri" w:hAnsi="Calibri" w:cs="Arial"/>
          <w:bCs/>
          <w:sz w:val="18"/>
          <w:szCs w:val="18"/>
          <w:u w:val="single"/>
        </w:rPr>
        <w:t>Vivoryon</w:t>
      </w:r>
      <w:proofErr w:type="spellEnd"/>
      <w:r w:rsidRPr="00E01C76">
        <w:rPr>
          <w:rStyle w:val="Herausstellen"/>
          <w:rFonts w:ascii="Calibri" w:hAnsi="Calibri" w:cs="Arial"/>
          <w:bCs/>
          <w:sz w:val="18"/>
          <w:szCs w:val="18"/>
          <w:u w:val="single"/>
        </w:rPr>
        <w:t xml:space="preserve"> </w:t>
      </w:r>
      <w:proofErr w:type="spellStart"/>
      <w:r w:rsidRPr="00E01C76">
        <w:rPr>
          <w:rStyle w:val="Herausstellen"/>
          <w:rFonts w:ascii="Calibri" w:hAnsi="Calibri" w:cs="Arial"/>
          <w:bCs/>
          <w:sz w:val="18"/>
          <w:szCs w:val="18"/>
          <w:u w:val="single"/>
        </w:rPr>
        <w:t>Therapeutics</w:t>
      </w:r>
      <w:proofErr w:type="spellEnd"/>
      <w:r w:rsidRPr="00E01C76">
        <w:rPr>
          <w:rStyle w:val="Herausstellen"/>
          <w:rFonts w:ascii="Calibri" w:hAnsi="Calibri" w:cs="Arial"/>
          <w:bCs/>
          <w:sz w:val="18"/>
          <w:szCs w:val="18"/>
          <w:u w:val="single"/>
        </w:rPr>
        <w:t xml:space="preserve"> </w:t>
      </w:r>
      <w:proofErr w:type="spellStart"/>
      <w:r w:rsidRPr="00E01C76">
        <w:rPr>
          <w:rStyle w:val="Herausstellen"/>
          <w:rFonts w:ascii="Calibri" w:hAnsi="Calibri" w:cs="Arial"/>
          <w:bCs/>
          <w:sz w:val="18"/>
          <w:szCs w:val="18"/>
          <w:u w:val="single"/>
        </w:rPr>
        <w:t>forward</w:t>
      </w:r>
      <w:proofErr w:type="spellEnd"/>
      <w:r w:rsidRPr="00E01C76">
        <w:rPr>
          <w:rStyle w:val="Herausstellen"/>
          <w:rFonts w:ascii="Calibri" w:hAnsi="Calibri" w:cs="Arial"/>
          <w:bCs/>
          <w:sz w:val="18"/>
          <w:szCs w:val="18"/>
          <w:u w:val="single"/>
        </w:rPr>
        <w:t xml:space="preserve"> </w:t>
      </w:r>
      <w:proofErr w:type="spellStart"/>
      <w:r w:rsidRPr="00E01C76">
        <w:rPr>
          <w:rStyle w:val="Herausstellen"/>
          <w:rFonts w:ascii="Calibri" w:hAnsi="Calibri" w:cs="Arial"/>
          <w:bCs/>
          <w:sz w:val="18"/>
          <w:szCs w:val="18"/>
          <w:u w:val="single"/>
        </w:rPr>
        <w:t>looking</w:t>
      </w:r>
      <w:proofErr w:type="spellEnd"/>
      <w:r w:rsidRPr="00E01C76">
        <w:rPr>
          <w:rStyle w:val="Herausstellen"/>
          <w:rFonts w:ascii="Calibri" w:hAnsi="Calibri" w:cs="Arial"/>
          <w:bCs/>
          <w:sz w:val="18"/>
          <w:szCs w:val="18"/>
          <w:u w:val="single"/>
        </w:rPr>
        <w:t xml:space="preserve"> </w:t>
      </w:r>
      <w:proofErr w:type="spellStart"/>
      <w:r w:rsidRPr="00E01C76">
        <w:rPr>
          <w:rStyle w:val="Herausstellen"/>
          <w:rFonts w:ascii="Calibri" w:hAnsi="Calibri" w:cs="Arial"/>
          <w:bCs/>
          <w:sz w:val="18"/>
          <w:szCs w:val="18"/>
          <w:u w:val="single"/>
        </w:rPr>
        <w:t>statements</w:t>
      </w:r>
      <w:proofErr w:type="spellEnd"/>
    </w:p>
    <w:bookmarkEnd w:id="1"/>
    <w:p w14:paraId="29511632" w14:textId="77777777" w:rsidR="00FC3C7B" w:rsidRPr="000E6A7B" w:rsidRDefault="00FC3C7B" w:rsidP="000E6A7B">
      <w:pPr>
        <w:pStyle w:val="StandardWeb"/>
        <w:spacing w:before="0" w:beforeAutospacing="0" w:after="0" w:afterAutospacing="0"/>
        <w:rPr>
          <w:rFonts w:ascii="Calibri" w:hAnsi="Calibri" w:cs="Arial"/>
          <w:sz w:val="18"/>
          <w:szCs w:val="18"/>
        </w:rPr>
      </w:pPr>
      <w:r w:rsidRPr="000E6A7B">
        <w:rPr>
          <w:rStyle w:val="Herausstellen"/>
          <w:rFonts w:ascii="Calibri" w:hAnsi="Calibri" w:cs="Arial"/>
          <w:sz w:val="18"/>
          <w:szCs w:val="18"/>
        </w:rPr>
        <w:t xml:space="preserve">Information </w:t>
      </w:r>
      <w:proofErr w:type="spellStart"/>
      <w:r w:rsidRPr="000E6A7B">
        <w:rPr>
          <w:rStyle w:val="Herausstellen"/>
          <w:rFonts w:ascii="Calibri" w:hAnsi="Calibri" w:cs="Arial"/>
          <w:sz w:val="18"/>
          <w:szCs w:val="18"/>
        </w:rPr>
        <w:t>set</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forth</w:t>
      </w:r>
      <w:proofErr w:type="spellEnd"/>
      <w:r w:rsidRPr="000E6A7B">
        <w:rPr>
          <w:rStyle w:val="Herausstellen"/>
          <w:rFonts w:ascii="Calibri" w:hAnsi="Calibri" w:cs="Arial"/>
          <w:sz w:val="18"/>
          <w:szCs w:val="18"/>
        </w:rPr>
        <w:t xml:space="preserve"> in </w:t>
      </w:r>
      <w:proofErr w:type="spellStart"/>
      <w:r w:rsidRPr="000E6A7B">
        <w:rPr>
          <w:rStyle w:val="Herausstellen"/>
          <w:rFonts w:ascii="Calibri" w:hAnsi="Calibri" w:cs="Arial"/>
          <w:sz w:val="18"/>
          <w:szCs w:val="18"/>
        </w:rPr>
        <w:t>this</w:t>
      </w:r>
      <w:proofErr w:type="spellEnd"/>
      <w:r w:rsidRPr="000E6A7B">
        <w:rPr>
          <w:rStyle w:val="Herausstellen"/>
          <w:rFonts w:ascii="Calibri" w:hAnsi="Calibri" w:cs="Arial"/>
          <w:sz w:val="18"/>
          <w:szCs w:val="18"/>
        </w:rPr>
        <w:t xml:space="preserve"> press </w:t>
      </w:r>
      <w:proofErr w:type="spellStart"/>
      <w:r w:rsidRPr="000E6A7B">
        <w:rPr>
          <w:rStyle w:val="Herausstellen"/>
          <w:rFonts w:ascii="Calibri" w:hAnsi="Calibri" w:cs="Arial"/>
          <w:sz w:val="18"/>
          <w:szCs w:val="18"/>
        </w:rPr>
        <w:t>release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contains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forward-looking</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statements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which</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involve</w:t>
      </w:r>
      <w:proofErr w:type="spellEnd"/>
      <w:r w:rsidRPr="000E6A7B">
        <w:rPr>
          <w:rStyle w:val="Herausstellen"/>
          <w:rFonts w:ascii="Calibri" w:hAnsi="Calibri" w:cs="Arial"/>
          <w:sz w:val="18"/>
          <w:szCs w:val="18"/>
        </w:rPr>
        <w:t xml:space="preserve"> a </w:t>
      </w:r>
      <w:proofErr w:type="spellStart"/>
      <w:r w:rsidRPr="000E6A7B">
        <w:rPr>
          <w:rStyle w:val="Herausstellen"/>
          <w:rFonts w:ascii="Calibri" w:hAnsi="Calibri" w:cs="Arial"/>
          <w:sz w:val="18"/>
          <w:szCs w:val="18"/>
        </w:rPr>
        <w:t>number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of</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risks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and</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uncertainties</w:t>
      </w:r>
      <w:proofErr w:type="spellEnd"/>
      <w:r w:rsidRPr="000E6A7B">
        <w:rPr>
          <w:rStyle w:val="Herausstellen"/>
          <w:rFonts w:ascii="Calibri" w:hAnsi="Calibri" w:cs="Arial"/>
          <w:sz w:val="18"/>
          <w:szCs w:val="18"/>
        </w:rPr>
        <w:t xml:space="preserve">. The </w:t>
      </w:r>
      <w:proofErr w:type="spellStart"/>
      <w:r w:rsidRPr="000E6A7B">
        <w:rPr>
          <w:rStyle w:val="Herausstellen"/>
          <w:rFonts w:ascii="Calibri" w:hAnsi="Calibri" w:cs="Arial"/>
          <w:sz w:val="18"/>
          <w:szCs w:val="18"/>
        </w:rPr>
        <w:t>forward-looking</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statements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contained</w:t>
      </w:r>
      <w:proofErr w:type="spellEnd"/>
      <w:r w:rsidRPr="000E6A7B">
        <w:rPr>
          <w:rStyle w:val="Herausstellen"/>
          <w:rFonts w:ascii="Calibri" w:hAnsi="Calibri" w:cs="Arial"/>
          <w:sz w:val="18"/>
          <w:szCs w:val="18"/>
        </w:rPr>
        <w:t xml:space="preserve"> herein </w:t>
      </w:r>
      <w:proofErr w:type="spellStart"/>
      <w:r w:rsidRPr="000E6A7B">
        <w:rPr>
          <w:rStyle w:val="Herausstellen"/>
          <w:rFonts w:ascii="Calibri" w:hAnsi="Calibri" w:cs="Arial"/>
          <w:sz w:val="18"/>
          <w:szCs w:val="18"/>
        </w:rPr>
        <w:t>represent</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the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judgment</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of</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Vivoryon</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Therapeutics</w:t>
      </w:r>
      <w:proofErr w:type="spellEnd"/>
      <w:r w:rsidRPr="000E6A7B">
        <w:rPr>
          <w:rStyle w:val="Herausstellen"/>
          <w:rFonts w:ascii="Calibri" w:hAnsi="Calibri" w:cs="Arial"/>
          <w:sz w:val="18"/>
          <w:szCs w:val="18"/>
        </w:rPr>
        <w:t xml:space="preserve"> AG </w:t>
      </w:r>
      <w:proofErr w:type="spellStart"/>
      <w:r w:rsidRPr="000E6A7B">
        <w:rPr>
          <w:rStyle w:val="Herausstellen"/>
          <w:rFonts w:ascii="Calibri" w:hAnsi="Calibri" w:cs="Arial"/>
          <w:sz w:val="18"/>
          <w:szCs w:val="18"/>
        </w:rPr>
        <w:t>as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of</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the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date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of</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this</w:t>
      </w:r>
      <w:proofErr w:type="spellEnd"/>
      <w:r w:rsidRPr="000E6A7B">
        <w:rPr>
          <w:rStyle w:val="Herausstellen"/>
          <w:rFonts w:ascii="Calibri" w:hAnsi="Calibri" w:cs="Arial"/>
          <w:sz w:val="18"/>
          <w:szCs w:val="18"/>
        </w:rPr>
        <w:t xml:space="preserve"> press </w:t>
      </w:r>
      <w:proofErr w:type="spellStart"/>
      <w:r w:rsidRPr="000E6A7B">
        <w:rPr>
          <w:rStyle w:val="Herausstellen"/>
          <w:rFonts w:ascii="Calibri" w:hAnsi="Calibri" w:cs="Arial"/>
          <w:sz w:val="18"/>
          <w:szCs w:val="18"/>
        </w:rPr>
        <w:t>release</w:t>
      </w:r>
      <w:proofErr w:type="spellEnd"/>
      <w:r w:rsidRPr="000E6A7B">
        <w:rPr>
          <w:rStyle w:val="Herausstellen"/>
          <w:rFonts w:ascii="Calibri" w:hAnsi="Calibri" w:cs="Arial"/>
          <w:sz w:val="18"/>
          <w:szCs w:val="18"/>
        </w:rPr>
        <w:t xml:space="preserve">. Such </w:t>
      </w:r>
      <w:proofErr w:type="spellStart"/>
      <w:r w:rsidRPr="000E6A7B">
        <w:rPr>
          <w:rStyle w:val="Herausstellen"/>
          <w:rFonts w:ascii="Calibri" w:hAnsi="Calibri" w:cs="Arial"/>
          <w:sz w:val="18"/>
          <w:szCs w:val="18"/>
        </w:rPr>
        <w:t>forward-looking</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statements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are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neither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promises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nor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guarantees</w:t>
      </w:r>
      <w:proofErr w:type="spellEnd"/>
      <w:r w:rsidRPr="000E6A7B">
        <w:rPr>
          <w:rStyle w:val="Herausstellen"/>
          <w:rFonts w:ascii="Calibri" w:hAnsi="Calibri" w:cs="Arial"/>
          <w:sz w:val="18"/>
          <w:szCs w:val="18"/>
        </w:rPr>
        <w:t xml:space="preserve"> but </w:t>
      </w:r>
      <w:proofErr w:type="spellStart"/>
      <w:r w:rsidRPr="000E6A7B">
        <w:rPr>
          <w:rStyle w:val="Herausstellen"/>
          <w:rFonts w:ascii="Calibri" w:hAnsi="Calibri" w:cs="Arial"/>
          <w:sz w:val="18"/>
          <w:szCs w:val="18"/>
        </w:rPr>
        <w:t>are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subject</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to</w:t>
      </w:r>
      <w:proofErr w:type="spellEnd"/>
      <w:r w:rsidRPr="000E6A7B">
        <w:rPr>
          <w:rStyle w:val="Herausstellen"/>
          <w:rFonts w:ascii="Calibri" w:hAnsi="Calibri" w:cs="Arial"/>
          <w:sz w:val="18"/>
          <w:szCs w:val="18"/>
        </w:rPr>
        <w:t xml:space="preserve"> a </w:t>
      </w:r>
      <w:proofErr w:type="spellStart"/>
      <w:r w:rsidRPr="000E6A7B">
        <w:rPr>
          <w:rStyle w:val="Herausstellen"/>
          <w:rFonts w:ascii="Calibri" w:hAnsi="Calibri" w:cs="Arial"/>
          <w:sz w:val="18"/>
          <w:szCs w:val="18"/>
        </w:rPr>
        <w:t>variety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of</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risks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and</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uncertainties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many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of</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which</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are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beyond</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our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control</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and</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which</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could</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cause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actual</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results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to</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differ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materially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from</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those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contemplated</w:t>
      </w:r>
      <w:proofErr w:type="spellEnd"/>
      <w:r w:rsidRPr="000E6A7B">
        <w:rPr>
          <w:rStyle w:val="Herausstellen"/>
          <w:rFonts w:ascii="Calibri" w:hAnsi="Calibri" w:cs="Arial"/>
          <w:sz w:val="18"/>
          <w:szCs w:val="18"/>
        </w:rPr>
        <w:t xml:space="preserve"> in </w:t>
      </w:r>
      <w:proofErr w:type="spellStart"/>
      <w:r w:rsidRPr="000E6A7B">
        <w:rPr>
          <w:rStyle w:val="Herausstellen"/>
          <w:rFonts w:ascii="Calibri" w:hAnsi="Calibri" w:cs="Arial"/>
          <w:sz w:val="18"/>
          <w:szCs w:val="18"/>
        </w:rPr>
        <w:t>these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forward-looking</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statements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We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expressly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disclaim</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obligation</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undertaking</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to</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release</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publicly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updates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revisions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to</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any</w:t>
      </w:r>
      <w:proofErr w:type="spellEnd"/>
      <w:r w:rsidRPr="000E6A7B">
        <w:rPr>
          <w:rStyle w:val="Herausstellen"/>
          <w:rFonts w:ascii="Calibri" w:hAnsi="Calibri" w:cs="Arial"/>
          <w:sz w:val="18"/>
          <w:szCs w:val="18"/>
        </w:rPr>
        <w:t xml:space="preserve"> such </w:t>
      </w:r>
      <w:proofErr w:type="spellStart"/>
      <w:r w:rsidRPr="000E6A7B">
        <w:rPr>
          <w:rStyle w:val="Herausstellen"/>
          <w:rFonts w:ascii="Calibri" w:hAnsi="Calibri" w:cs="Arial"/>
          <w:sz w:val="18"/>
          <w:szCs w:val="18"/>
        </w:rPr>
        <w:t>statements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to</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reflect</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change</w:t>
      </w:r>
      <w:proofErr w:type="spellEnd"/>
      <w:r w:rsidRPr="000E6A7B">
        <w:rPr>
          <w:rStyle w:val="Herausstellen"/>
          <w:rFonts w:ascii="Calibri" w:hAnsi="Calibri" w:cs="Arial"/>
          <w:sz w:val="18"/>
          <w:szCs w:val="18"/>
        </w:rPr>
        <w:t xml:space="preserve"> in </w:t>
      </w:r>
      <w:proofErr w:type="spellStart"/>
      <w:r w:rsidRPr="000E6A7B">
        <w:rPr>
          <w:rStyle w:val="Herausstellen"/>
          <w:rFonts w:ascii="Calibri" w:hAnsi="Calibri" w:cs="Arial"/>
          <w:sz w:val="18"/>
          <w:szCs w:val="18"/>
        </w:rPr>
        <w:t>our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expectations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any</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change</w:t>
      </w:r>
      <w:proofErr w:type="spellEnd"/>
      <w:r w:rsidRPr="000E6A7B">
        <w:rPr>
          <w:rStyle w:val="Herausstellen"/>
          <w:rFonts w:ascii="Calibri" w:hAnsi="Calibri" w:cs="Arial"/>
          <w:sz w:val="18"/>
          <w:szCs w:val="18"/>
        </w:rPr>
        <w:t xml:space="preserve"> in </w:t>
      </w:r>
      <w:proofErr w:type="spellStart"/>
      <w:r w:rsidRPr="000E6A7B">
        <w:rPr>
          <w:rStyle w:val="Herausstellen"/>
          <w:rFonts w:ascii="Calibri" w:hAnsi="Calibri" w:cs="Arial"/>
          <w:sz w:val="18"/>
          <w:szCs w:val="18"/>
        </w:rPr>
        <w:t>events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conditions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or</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circumstances</w:t>
      </w:r>
      <w:proofErr w:type="spellEnd"/>
      <w:r w:rsidRPr="000E6A7B">
        <w:rPr>
          <w:rStyle w:val="Herausstellen"/>
          <w:rFonts w:ascii="Calibri" w:hAnsi="Calibri" w:cs="Arial"/>
          <w:sz w:val="18"/>
          <w:szCs w:val="18"/>
        </w:rPr>
        <w:t xml:space="preserve"> on </w:t>
      </w:r>
      <w:proofErr w:type="spellStart"/>
      <w:r w:rsidRPr="000E6A7B">
        <w:rPr>
          <w:rStyle w:val="Herausstellen"/>
          <w:rFonts w:ascii="Calibri" w:hAnsi="Calibri" w:cs="Arial"/>
          <w:sz w:val="18"/>
          <w:szCs w:val="18"/>
        </w:rPr>
        <w:t>which</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any</w:t>
      </w:r>
      <w:proofErr w:type="spellEnd"/>
      <w:r w:rsidRPr="000E6A7B">
        <w:rPr>
          <w:rStyle w:val="Herausstellen"/>
          <w:rFonts w:ascii="Calibri" w:hAnsi="Calibri" w:cs="Arial"/>
          <w:sz w:val="18"/>
          <w:szCs w:val="18"/>
        </w:rPr>
        <w:t xml:space="preserve"> such </w:t>
      </w:r>
      <w:proofErr w:type="spellStart"/>
      <w:r w:rsidRPr="000E6A7B">
        <w:rPr>
          <w:rStyle w:val="Herausstellen"/>
          <w:rFonts w:ascii="Calibri" w:hAnsi="Calibri" w:cs="Arial"/>
          <w:sz w:val="18"/>
          <w:szCs w:val="18"/>
        </w:rPr>
        <w:t>statement</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is</w:t>
      </w:r>
      <w:proofErr w:type="spellEnd"/>
      <w:r w:rsidRPr="000E6A7B">
        <w:rPr>
          <w:rStyle w:val="Herausstellen"/>
          <w:rFonts w:ascii="Calibri" w:hAnsi="Calibri" w:cs="Arial"/>
          <w:sz w:val="18"/>
          <w:szCs w:val="18"/>
        </w:rPr>
        <w:t xml:space="preserve"> </w:t>
      </w:r>
      <w:proofErr w:type="spellStart"/>
      <w:r w:rsidRPr="000E6A7B">
        <w:rPr>
          <w:rStyle w:val="Herausstellen"/>
          <w:rFonts w:ascii="Calibri" w:hAnsi="Calibri" w:cs="Arial"/>
          <w:sz w:val="18"/>
          <w:szCs w:val="18"/>
        </w:rPr>
        <w:t>based</w:t>
      </w:r>
      <w:proofErr w:type="spellEnd"/>
      <w:r w:rsidRPr="000E6A7B">
        <w:rPr>
          <w:rStyle w:val="Herausstellen"/>
          <w:rFonts w:ascii="Calibri" w:hAnsi="Calibri" w:cs="Arial"/>
          <w:sz w:val="18"/>
          <w:szCs w:val="18"/>
        </w:rPr>
        <w:t>.</w:t>
      </w:r>
    </w:p>
    <w:p w14:paraId="6F340A3F" w14:textId="7068DC13" w:rsidR="00630B98" w:rsidRPr="000E6A7B" w:rsidRDefault="00630B98" w:rsidP="000E6A7B">
      <w:pPr>
        <w:pStyle w:val="StandardWeb"/>
        <w:spacing w:before="0" w:beforeAutospacing="0" w:after="0" w:afterAutospacing="0"/>
        <w:rPr>
          <w:rFonts w:ascii="Calibri" w:hAnsi="Calibri"/>
          <w:lang w:val="en-US"/>
        </w:rPr>
      </w:pPr>
    </w:p>
    <w:p w14:paraId="264E0CAD" w14:textId="77777777" w:rsidR="000E6A7B" w:rsidRDefault="000E6A7B">
      <w:pPr>
        <w:rPr>
          <w:rFonts w:asciiTheme="minorHAnsi" w:hAnsiTheme="minorHAnsi" w:cstheme="minorBidi"/>
        </w:rPr>
      </w:pPr>
    </w:p>
    <w:sectPr w:rsidR="000E6A7B" w:rsidSect="00E62D4C">
      <w:headerReference w:type="even" r:id="rId12"/>
      <w:headerReference w:type="default" r:id="rId13"/>
      <w:footerReference w:type="even" r:id="rId14"/>
      <w:footerReference w:type="default" r:id="rId15"/>
      <w:headerReference w:type="first" r:id="rId16"/>
      <w:footerReference w:type="first" r:id="rId17"/>
      <w:pgSz w:w="11906" w:h="16838"/>
      <w:pgMar w:top="1668" w:right="1558"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DA5AE" w14:textId="77777777" w:rsidR="000E6A7B" w:rsidRDefault="000E6A7B" w:rsidP="007E0A4E">
      <w:r>
        <w:separator/>
      </w:r>
    </w:p>
  </w:endnote>
  <w:endnote w:type="continuationSeparator" w:id="0">
    <w:p w14:paraId="535771A3" w14:textId="77777777" w:rsidR="000E6A7B" w:rsidRDefault="000E6A7B" w:rsidP="007E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67DD" w14:textId="77777777" w:rsidR="000E6A7B" w:rsidRDefault="000E6A7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7030A0"/>
        <w:sz w:val="18"/>
        <w:lang w:val="de-DE"/>
      </w:rPr>
      <w:id w:val="1659116725"/>
      <w:docPartObj>
        <w:docPartGallery w:val="Page Numbers (Bottom of Page)"/>
        <w:docPartUnique/>
      </w:docPartObj>
    </w:sdtPr>
    <w:sdtContent>
      <w:p w14:paraId="3CB9F0C3" w14:textId="77777777" w:rsidR="000E6A7B" w:rsidRDefault="000E6A7B" w:rsidP="00B219D7">
        <w:pPr>
          <w:pStyle w:val="Fuzeile"/>
          <w:jc w:val="right"/>
          <w:rPr>
            <w:i/>
            <w:color w:val="7030A0"/>
            <w:sz w:val="18"/>
            <w:lang w:val="de-DE"/>
          </w:rPr>
        </w:pPr>
      </w:p>
      <w:p w14:paraId="44563BB6" w14:textId="77777777" w:rsidR="000E6A7B" w:rsidRPr="00600383" w:rsidRDefault="000E6A7B" w:rsidP="00B219D7">
        <w:pPr>
          <w:pStyle w:val="Fuzeile"/>
          <w:jc w:val="right"/>
          <w:rPr>
            <w:i/>
            <w:color w:val="7030A0"/>
            <w:sz w:val="18"/>
            <w:lang w:val="de-DE"/>
          </w:rPr>
        </w:pPr>
        <w:r w:rsidRPr="002B5952">
          <w:rPr>
            <w:i/>
            <w:color w:val="7030A0"/>
            <w:sz w:val="18"/>
            <w:lang w:val="de-DE"/>
          </w:rPr>
          <w:fldChar w:fldCharType="begin"/>
        </w:r>
        <w:r w:rsidRPr="002B5952">
          <w:rPr>
            <w:i/>
            <w:color w:val="7030A0"/>
            <w:sz w:val="18"/>
            <w:lang w:val="de-DE"/>
          </w:rPr>
          <w:instrText>PAGE   \* MERGEFORMAT</w:instrText>
        </w:r>
        <w:r w:rsidRPr="002B5952">
          <w:rPr>
            <w:i/>
            <w:color w:val="7030A0"/>
            <w:sz w:val="18"/>
            <w:lang w:val="de-DE"/>
          </w:rPr>
          <w:fldChar w:fldCharType="separate"/>
        </w:r>
        <w:r w:rsidR="00E01C76">
          <w:rPr>
            <w:i/>
            <w:noProof/>
            <w:color w:val="7030A0"/>
            <w:sz w:val="18"/>
            <w:lang w:val="de-DE"/>
          </w:rPr>
          <w:t>3</w:t>
        </w:r>
        <w:r w:rsidRPr="002B5952">
          <w:rPr>
            <w:i/>
            <w:color w:val="7030A0"/>
            <w:sz w:val="18"/>
            <w:lang w:val="de-DE"/>
          </w:rPr>
          <w:fldChar w:fldCharType="end"/>
        </w:r>
      </w:p>
    </w:sdtContent>
  </w:sdt>
  <w:p w14:paraId="3B3D8AE9" w14:textId="5E68C16D" w:rsidR="000E6A7B" w:rsidRDefault="000E6A7B" w:rsidP="00E62D4C">
    <w:pPr>
      <w:pStyle w:val="Fuzeile"/>
      <w:pBdr>
        <w:top w:val="single" w:sz="4" w:space="1" w:color="7030A0"/>
      </w:pBdr>
      <w:tabs>
        <w:tab w:val="clear" w:pos="9026"/>
      </w:tabs>
      <w:rPr>
        <w:i/>
        <w:color w:val="7030A0"/>
        <w:sz w:val="18"/>
        <w:lang w:val="de-DE"/>
      </w:rPr>
    </w:pPr>
    <w:proofErr w:type="spellStart"/>
    <w:r w:rsidRPr="002B5952">
      <w:rPr>
        <w:i/>
        <w:color w:val="7030A0"/>
        <w:sz w:val="18"/>
        <w:lang w:val="de-DE"/>
      </w:rPr>
      <w:t>Vivoryon</w:t>
    </w:r>
    <w:proofErr w:type="spellEnd"/>
    <w:r w:rsidRPr="002B5952">
      <w:rPr>
        <w:i/>
        <w:color w:val="7030A0"/>
        <w:sz w:val="18"/>
        <w:lang w:val="de-DE"/>
      </w:rPr>
      <w:t xml:space="preserve"> </w:t>
    </w:r>
    <w:proofErr w:type="spellStart"/>
    <w:r w:rsidRPr="002B5952">
      <w:rPr>
        <w:i/>
        <w:color w:val="7030A0"/>
        <w:sz w:val="18"/>
        <w:lang w:val="de-DE"/>
      </w:rPr>
      <w:t>Therapeutics</w:t>
    </w:r>
    <w:proofErr w:type="spellEnd"/>
    <w:r w:rsidRPr="002B5952">
      <w:rPr>
        <w:i/>
        <w:color w:val="7030A0"/>
        <w:sz w:val="18"/>
        <w:lang w:val="de-DE"/>
      </w:rPr>
      <w:t xml:space="preserve"> AG</w:t>
    </w:r>
    <w:r w:rsidRPr="002B5952">
      <w:rPr>
        <w:i/>
        <w:color w:val="7030A0"/>
        <w:sz w:val="18"/>
        <w:lang w:val="de-DE"/>
      </w:rPr>
      <w:tab/>
      <w:t>Weinbergweg 22</w:t>
    </w:r>
    <w:r>
      <w:rPr>
        <w:i/>
        <w:color w:val="7030A0"/>
        <w:sz w:val="18"/>
        <w:lang w:val="de-DE"/>
      </w:rPr>
      <w:tab/>
      <w:t xml:space="preserve">   </w:t>
    </w:r>
    <w:r>
      <w:rPr>
        <w:i/>
        <w:color w:val="7030A0"/>
        <w:sz w:val="18"/>
        <w:lang w:val="de-DE"/>
      </w:rPr>
      <w:tab/>
    </w:r>
    <w:r>
      <w:rPr>
        <w:i/>
        <w:color w:val="7030A0"/>
        <w:sz w:val="18"/>
        <w:lang w:val="de-DE"/>
      </w:rPr>
      <w:tab/>
    </w:r>
    <w:r w:rsidRPr="002B5952">
      <w:rPr>
        <w:i/>
        <w:color w:val="7030A0"/>
        <w:sz w:val="18"/>
        <w:lang w:val="de-DE"/>
      </w:rPr>
      <w:t>contact@vivoryon.com</w:t>
    </w:r>
  </w:p>
  <w:p w14:paraId="4306E5A9" w14:textId="77777777" w:rsidR="000E6A7B" w:rsidRPr="002B5952" w:rsidRDefault="000E6A7B" w:rsidP="00E62D4C">
    <w:pPr>
      <w:pStyle w:val="Fuzeile"/>
      <w:pBdr>
        <w:top w:val="single" w:sz="4" w:space="1" w:color="7030A0"/>
      </w:pBdr>
      <w:tabs>
        <w:tab w:val="clear" w:pos="9026"/>
      </w:tabs>
      <w:rPr>
        <w:i/>
        <w:color w:val="7030A0"/>
        <w:sz w:val="18"/>
        <w:lang w:val="de-DE"/>
      </w:rPr>
    </w:pPr>
    <w:r w:rsidRPr="002B5952">
      <w:rPr>
        <w:i/>
        <w:color w:val="7030A0"/>
        <w:sz w:val="18"/>
        <w:lang w:val="de-DE"/>
      </w:rPr>
      <w:t>www.vivoryon.com</w:t>
    </w:r>
    <w:r w:rsidRPr="002B5952">
      <w:rPr>
        <w:i/>
        <w:color w:val="7030A0"/>
        <w:sz w:val="18"/>
        <w:lang w:val="de-DE"/>
      </w:rPr>
      <w:tab/>
      <w:t>06120 Halle (Saale)</w:t>
    </w:r>
    <w:r w:rsidRPr="002B5952">
      <w:rPr>
        <w:i/>
        <w:color w:val="7030A0"/>
        <w:sz w:val="18"/>
        <w:lang w:val="de-DE"/>
      </w:rPr>
      <w:tab/>
    </w:r>
  </w:p>
  <w:p w14:paraId="7AA55623" w14:textId="77777777" w:rsidR="000E6A7B" w:rsidRPr="00600383" w:rsidRDefault="000E6A7B" w:rsidP="00B219D7">
    <w:pPr>
      <w:pStyle w:val="Fuzeile"/>
      <w:pBdr>
        <w:top w:val="single" w:sz="4" w:space="1" w:color="7030A0"/>
      </w:pBdr>
      <w:rPr>
        <w:i/>
        <w:color w:val="7030A0"/>
        <w:sz w:val="18"/>
      </w:rPr>
    </w:pPr>
    <w:r w:rsidRPr="002B5952">
      <w:rPr>
        <w:i/>
        <w:color w:val="7030A0"/>
        <w:sz w:val="18"/>
        <w:lang w:val="de-DE"/>
      </w:rPr>
      <w:tab/>
    </w:r>
    <w:r w:rsidRPr="002B5952">
      <w:rPr>
        <w:i/>
        <w:color w:val="7030A0"/>
        <w:sz w:val="18"/>
      </w:rPr>
      <w:t xml:space="preserve">Germany </w:t>
    </w:r>
    <w:r w:rsidRPr="002B5952">
      <w:rPr>
        <w:i/>
        <w:color w:val="7030A0"/>
        <w:sz w:val="18"/>
      </w:rPr>
      <w:tab/>
    </w:r>
  </w:p>
  <w:p w14:paraId="6A61BE66" w14:textId="037BBACD" w:rsidR="000E6A7B" w:rsidRPr="00B219D7" w:rsidRDefault="000E6A7B" w:rsidP="00B219D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C924" w14:textId="77777777" w:rsidR="000E6A7B" w:rsidRDefault="000E6A7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6700" w14:textId="77777777" w:rsidR="000E6A7B" w:rsidRDefault="000E6A7B" w:rsidP="007E0A4E">
      <w:r>
        <w:separator/>
      </w:r>
    </w:p>
  </w:footnote>
  <w:footnote w:type="continuationSeparator" w:id="0">
    <w:p w14:paraId="5C565617" w14:textId="77777777" w:rsidR="000E6A7B" w:rsidRDefault="000E6A7B" w:rsidP="007E0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5E717" w14:textId="77777777" w:rsidR="000E6A7B" w:rsidRDefault="000E6A7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21B1" w14:textId="09495039" w:rsidR="000E6A7B" w:rsidRDefault="000E6A7B" w:rsidP="00B219D7">
    <w:pPr>
      <w:pStyle w:val="Kopfzeile"/>
    </w:pPr>
    <w:r>
      <w:rPr>
        <w:noProof/>
        <w:lang w:val="de-DE" w:eastAsia="de-DE"/>
      </w:rPr>
      <w:drawing>
        <wp:inline distT="0" distB="0" distL="0" distR="0" wp14:anchorId="05B14FA5" wp14:editId="7E49219D">
          <wp:extent cx="2238159" cy="729001"/>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oryon klein.jpg"/>
                  <pic:cNvPicPr/>
                </pic:nvPicPr>
                <pic:blipFill rotWithShape="1">
                  <a:blip r:embed="rId1">
                    <a:extLst>
                      <a:ext uri="{28A0092B-C50C-407E-A947-70E740481C1C}">
                        <a14:useLocalDpi xmlns:a14="http://schemas.microsoft.com/office/drawing/2010/main" val="0"/>
                      </a:ext>
                    </a:extLst>
                  </a:blip>
                  <a:srcRect l="23398" t="32968" r="23428" b="42141"/>
                  <a:stretch/>
                </pic:blipFill>
                <pic:spPr bwMode="auto">
                  <a:xfrm>
                    <a:off x="0" y="0"/>
                    <a:ext cx="2239249" cy="729356"/>
                  </a:xfrm>
                  <a:prstGeom prst="rect">
                    <a:avLst/>
                  </a:prstGeom>
                  <a:ln>
                    <a:noFill/>
                  </a:ln>
                  <a:extLst>
                    <a:ext uri="{53640926-AAD7-44d8-BBD7-CCE9431645EC}">
                      <a14:shadowObscured xmlns:a14="http://schemas.microsoft.com/office/drawing/2010/main"/>
                    </a:ext>
                  </a:extLst>
                </pic:spPr>
              </pic:pic>
            </a:graphicData>
          </a:graphic>
        </wp:inline>
      </w:drawing>
    </w:r>
    <w:r>
      <w:rPr>
        <w:noProof/>
        <w:lang w:val="de-DE" w:eastAsia="de-DE"/>
      </w:rPr>
      <w:drawing>
        <wp:anchor distT="0" distB="0" distL="114300" distR="114300" simplePos="0" relativeHeight="251659264" behindDoc="0" locked="1" layoutInCell="1" allowOverlap="0" wp14:anchorId="5C975706" wp14:editId="34F2637D">
          <wp:simplePos x="0" y="0"/>
          <wp:positionH relativeFrom="leftMargin">
            <wp:posOffset>5073650</wp:posOffset>
          </wp:positionH>
          <wp:positionV relativeFrom="page">
            <wp:posOffset>655320</wp:posOffset>
          </wp:positionV>
          <wp:extent cx="1811020" cy="492125"/>
          <wp:effectExtent l="0" t="0" r="0" b="3175"/>
          <wp:wrapNone/>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sw.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11020" cy="492125"/>
                  </a:xfrm>
                  <a:prstGeom prst="rect">
                    <a:avLst/>
                  </a:prstGeom>
                  <a:noFill/>
                  <a:ln w="9525">
                    <a:noFill/>
                    <a:miter lim="800000"/>
                    <a:headEnd/>
                    <a:tailEnd/>
                  </a:ln>
                </pic:spPr>
              </pic:pic>
            </a:graphicData>
          </a:graphic>
          <wp14:sizeRelH relativeFrom="margin">
            <wp14:pctWidth>0</wp14:pctWidth>
          </wp14:sizeRelH>
        </wp:anchor>
      </w:drawing>
    </w:r>
  </w:p>
  <w:p w14:paraId="4D3E2E80" w14:textId="7237C4C8" w:rsidR="000E6A7B" w:rsidRDefault="000E6A7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943E" w14:textId="77777777" w:rsidR="000E6A7B" w:rsidRDefault="000E6A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8"/>
    <w:rsid w:val="000002A9"/>
    <w:rsid w:val="00024162"/>
    <w:rsid w:val="000415FA"/>
    <w:rsid w:val="00046A46"/>
    <w:rsid w:val="00047EDE"/>
    <w:rsid w:val="00052770"/>
    <w:rsid w:val="00070B09"/>
    <w:rsid w:val="00071369"/>
    <w:rsid w:val="000758A5"/>
    <w:rsid w:val="000A29E2"/>
    <w:rsid w:val="000A3445"/>
    <w:rsid w:val="000B2AF1"/>
    <w:rsid w:val="000C0851"/>
    <w:rsid w:val="000D106E"/>
    <w:rsid w:val="000D66E5"/>
    <w:rsid w:val="000E0578"/>
    <w:rsid w:val="000E6A7B"/>
    <w:rsid w:val="001010C6"/>
    <w:rsid w:val="00105DBB"/>
    <w:rsid w:val="00113CD7"/>
    <w:rsid w:val="00121573"/>
    <w:rsid w:val="00131E23"/>
    <w:rsid w:val="00145516"/>
    <w:rsid w:val="001729B8"/>
    <w:rsid w:val="001744AC"/>
    <w:rsid w:val="001770BE"/>
    <w:rsid w:val="00181DBA"/>
    <w:rsid w:val="001B133B"/>
    <w:rsid w:val="001B3D78"/>
    <w:rsid w:val="001C01C2"/>
    <w:rsid w:val="001E1A92"/>
    <w:rsid w:val="001E322A"/>
    <w:rsid w:val="001F63E5"/>
    <w:rsid w:val="00213D6C"/>
    <w:rsid w:val="0021535C"/>
    <w:rsid w:val="00240FDA"/>
    <w:rsid w:val="002559E0"/>
    <w:rsid w:val="00255AF8"/>
    <w:rsid w:val="002849C1"/>
    <w:rsid w:val="00284CD9"/>
    <w:rsid w:val="00287A3E"/>
    <w:rsid w:val="00287CBF"/>
    <w:rsid w:val="002A03C0"/>
    <w:rsid w:val="002D3674"/>
    <w:rsid w:val="002F3DF4"/>
    <w:rsid w:val="002F63EC"/>
    <w:rsid w:val="002F773E"/>
    <w:rsid w:val="0031293B"/>
    <w:rsid w:val="00321E05"/>
    <w:rsid w:val="00353081"/>
    <w:rsid w:val="00367458"/>
    <w:rsid w:val="00367760"/>
    <w:rsid w:val="00370900"/>
    <w:rsid w:val="00382E51"/>
    <w:rsid w:val="003C73C3"/>
    <w:rsid w:val="003F2E20"/>
    <w:rsid w:val="00441FFE"/>
    <w:rsid w:val="00450A23"/>
    <w:rsid w:val="00451380"/>
    <w:rsid w:val="00451571"/>
    <w:rsid w:val="00461BBF"/>
    <w:rsid w:val="0046327E"/>
    <w:rsid w:val="004638F2"/>
    <w:rsid w:val="004654EF"/>
    <w:rsid w:val="00466F93"/>
    <w:rsid w:val="00475183"/>
    <w:rsid w:val="00484831"/>
    <w:rsid w:val="004E4CF0"/>
    <w:rsid w:val="005069E7"/>
    <w:rsid w:val="00507805"/>
    <w:rsid w:val="005231DE"/>
    <w:rsid w:val="00532339"/>
    <w:rsid w:val="00560DD4"/>
    <w:rsid w:val="00560F03"/>
    <w:rsid w:val="00562006"/>
    <w:rsid w:val="005A4DEF"/>
    <w:rsid w:val="005B34D2"/>
    <w:rsid w:val="005D21C6"/>
    <w:rsid w:val="005D5E36"/>
    <w:rsid w:val="005E35CB"/>
    <w:rsid w:val="00600521"/>
    <w:rsid w:val="00600AB7"/>
    <w:rsid w:val="006059A5"/>
    <w:rsid w:val="006076B5"/>
    <w:rsid w:val="00613628"/>
    <w:rsid w:val="00625969"/>
    <w:rsid w:val="00630B98"/>
    <w:rsid w:val="00644029"/>
    <w:rsid w:val="00660C7E"/>
    <w:rsid w:val="00667523"/>
    <w:rsid w:val="006A0B5E"/>
    <w:rsid w:val="006B341F"/>
    <w:rsid w:val="006B3FEC"/>
    <w:rsid w:val="006E71C5"/>
    <w:rsid w:val="006F5CC3"/>
    <w:rsid w:val="00707694"/>
    <w:rsid w:val="007126B7"/>
    <w:rsid w:val="00724D09"/>
    <w:rsid w:val="00731650"/>
    <w:rsid w:val="00732CB4"/>
    <w:rsid w:val="00746C31"/>
    <w:rsid w:val="007870AD"/>
    <w:rsid w:val="0079704F"/>
    <w:rsid w:val="007B2611"/>
    <w:rsid w:val="007B637E"/>
    <w:rsid w:val="007C5A83"/>
    <w:rsid w:val="007D2A59"/>
    <w:rsid w:val="007E0A4E"/>
    <w:rsid w:val="007E2F41"/>
    <w:rsid w:val="007E3DA9"/>
    <w:rsid w:val="008070E5"/>
    <w:rsid w:val="0080779F"/>
    <w:rsid w:val="008211D9"/>
    <w:rsid w:val="00840682"/>
    <w:rsid w:val="00840B74"/>
    <w:rsid w:val="008540B8"/>
    <w:rsid w:val="0085761B"/>
    <w:rsid w:val="008638EB"/>
    <w:rsid w:val="00890E5D"/>
    <w:rsid w:val="008B4D22"/>
    <w:rsid w:val="008C4DC1"/>
    <w:rsid w:val="008D0E26"/>
    <w:rsid w:val="008F2F79"/>
    <w:rsid w:val="00927297"/>
    <w:rsid w:val="0093098C"/>
    <w:rsid w:val="009317E4"/>
    <w:rsid w:val="0093428C"/>
    <w:rsid w:val="0094012F"/>
    <w:rsid w:val="00951A4C"/>
    <w:rsid w:val="00956ED3"/>
    <w:rsid w:val="00960F3D"/>
    <w:rsid w:val="009A120F"/>
    <w:rsid w:val="009A3D2B"/>
    <w:rsid w:val="009E5B3A"/>
    <w:rsid w:val="009F327B"/>
    <w:rsid w:val="00A025BE"/>
    <w:rsid w:val="00A03099"/>
    <w:rsid w:val="00A06648"/>
    <w:rsid w:val="00A070C9"/>
    <w:rsid w:val="00A07A8E"/>
    <w:rsid w:val="00A07A9B"/>
    <w:rsid w:val="00A20D9C"/>
    <w:rsid w:val="00A244C9"/>
    <w:rsid w:val="00A4213F"/>
    <w:rsid w:val="00A42D32"/>
    <w:rsid w:val="00A45559"/>
    <w:rsid w:val="00A927F5"/>
    <w:rsid w:val="00A96D50"/>
    <w:rsid w:val="00AA1C4E"/>
    <w:rsid w:val="00AA3122"/>
    <w:rsid w:val="00AA5BA9"/>
    <w:rsid w:val="00AC5A77"/>
    <w:rsid w:val="00B003F6"/>
    <w:rsid w:val="00B04930"/>
    <w:rsid w:val="00B219D7"/>
    <w:rsid w:val="00B43DF2"/>
    <w:rsid w:val="00B50927"/>
    <w:rsid w:val="00B52F04"/>
    <w:rsid w:val="00B537C2"/>
    <w:rsid w:val="00B56FB4"/>
    <w:rsid w:val="00B66066"/>
    <w:rsid w:val="00B87197"/>
    <w:rsid w:val="00B90C18"/>
    <w:rsid w:val="00BA656A"/>
    <w:rsid w:val="00BB120E"/>
    <w:rsid w:val="00BD28EE"/>
    <w:rsid w:val="00BD2BE0"/>
    <w:rsid w:val="00BD6312"/>
    <w:rsid w:val="00BE094B"/>
    <w:rsid w:val="00BE6491"/>
    <w:rsid w:val="00BF21BE"/>
    <w:rsid w:val="00C16A5A"/>
    <w:rsid w:val="00C52DBB"/>
    <w:rsid w:val="00C938C9"/>
    <w:rsid w:val="00C93AB6"/>
    <w:rsid w:val="00CD411A"/>
    <w:rsid w:val="00D0358E"/>
    <w:rsid w:val="00D147F0"/>
    <w:rsid w:val="00D31723"/>
    <w:rsid w:val="00D32B9F"/>
    <w:rsid w:val="00D400A1"/>
    <w:rsid w:val="00D6250A"/>
    <w:rsid w:val="00D66B88"/>
    <w:rsid w:val="00D92B2B"/>
    <w:rsid w:val="00DB7C2E"/>
    <w:rsid w:val="00DE080D"/>
    <w:rsid w:val="00DE093E"/>
    <w:rsid w:val="00E01C76"/>
    <w:rsid w:val="00E117A0"/>
    <w:rsid w:val="00E2756C"/>
    <w:rsid w:val="00E62D4C"/>
    <w:rsid w:val="00EA5DA0"/>
    <w:rsid w:val="00EA6B6E"/>
    <w:rsid w:val="00EB4DFD"/>
    <w:rsid w:val="00EC1AF1"/>
    <w:rsid w:val="00F00C2E"/>
    <w:rsid w:val="00F075E7"/>
    <w:rsid w:val="00F10F1F"/>
    <w:rsid w:val="00F228CE"/>
    <w:rsid w:val="00F77427"/>
    <w:rsid w:val="00F84801"/>
    <w:rsid w:val="00FC3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A8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9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30B98"/>
    <w:rPr>
      <w:color w:val="0563C1"/>
      <w:u w:val="single"/>
    </w:rPr>
  </w:style>
  <w:style w:type="paragraph" w:customStyle="1" w:styleId="Default">
    <w:name w:val="Default"/>
    <w:basedOn w:val="Standard"/>
    <w:rsid w:val="00630B98"/>
    <w:pPr>
      <w:autoSpaceDE w:val="0"/>
      <w:autoSpaceDN w:val="0"/>
    </w:pPr>
    <w:rPr>
      <w:color w:val="000000"/>
      <w:sz w:val="24"/>
      <w:szCs w:val="24"/>
      <w:lang w:eastAsia="de-DE"/>
    </w:rPr>
  </w:style>
  <w:style w:type="paragraph" w:styleId="Sprechblasentext">
    <w:name w:val="Balloon Text"/>
    <w:basedOn w:val="Standard"/>
    <w:link w:val="SprechblasentextZeichen"/>
    <w:uiPriority w:val="99"/>
    <w:semiHidden/>
    <w:unhideWhenUsed/>
    <w:rsid w:val="00630B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30B98"/>
    <w:rPr>
      <w:rFonts w:ascii="Tahoma" w:hAnsi="Tahoma" w:cs="Tahoma"/>
      <w:sz w:val="16"/>
      <w:szCs w:val="16"/>
    </w:rPr>
  </w:style>
  <w:style w:type="paragraph" w:styleId="Kopfzeile">
    <w:name w:val="header"/>
    <w:basedOn w:val="Standard"/>
    <w:link w:val="KopfzeileZeichen"/>
    <w:uiPriority w:val="99"/>
    <w:unhideWhenUsed/>
    <w:rsid w:val="007E0A4E"/>
    <w:pPr>
      <w:tabs>
        <w:tab w:val="center" w:pos="4513"/>
        <w:tab w:val="right" w:pos="9026"/>
      </w:tabs>
    </w:pPr>
  </w:style>
  <w:style w:type="character" w:customStyle="1" w:styleId="KopfzeileZeichen">
    <w:name w:val="Kopfzeile Zeichen"/>
    <w:basedOn w:val="Absatzstandardschriftart"/>
    <w:link w:val="Kopfzeile"/>
    <w:uiPriority w:val="99"/>
    <w:rsid w:val="007E0A4E"/>
    <w:rPr>
      <w:rFonts w:ascii="Calibri" w:hAnsi="Calibri" w:cs="Times New Roman"/>
    </w:rPr>
  </w:style>
  <w:style w:type="paragraph" w:styleId="Fuzeile">
    <w:name w:val="footer"/>
    <w:basedOn w:val="Standard"/>
    <w:link w:val="FuzeileZeichen"/>
    <w:uiPriority w:val="99"/>
    <w:unhideWhenUsed/>
    <w:rsid w:val="007E0A4E"/>
    <w:pPr>
      <w:tabs>
        <w:tab w:val="center" w:pos="4513"/>
        <w:tab w:val="right" w:pos="9026"/>
      </w:tabs>
    </w:pPr>
  </w:style>
  <w:style w:type="character" w:customStyle="1" w:styleId="FuzeileZeichen">
    <w:name w:val="Fußzeile Zeichen"/>
    <w:basedOn w:val="Absatzstandardschriftart"/>
    <w:link w:val="Fuzeile"/>
    <w:uiPriority w:val="99"/>
    <w:rsid w:val="007E0A4E"/>
    <w:rPr>
      <w:rFonts w:ascii="Calibri" w:hAnsi="Calibri" w:cs="Times New Roman"/>
    </w:rPr>
  </w:style>
  <w:style w:type="character" w:customStyle="1" w:styleId="apple-converted-space">
    <w:name w:val="apple-converted-space"/>
    <w:basedOn w:val="Absatzstandardschriftart"/>
    <w:rsid w:val="00F228CE"/>
  </w:style>
  <w:style w:type="paragraph" w:styleId="Listenabsatz">
    <w:name w:val="List Paragraph"/>
    <w:basedOn w:val="Standard"/>
    <w:uiPriority w:val="34"/>
    <w:qFormat/>
    <w:rsid w:val="006A0B5E"/>
    <w:pPr>
      <w:spacing w:after="200" w:line="276" w:lineRule="auto"/>
      <w:ind w:left="720"/>
      <w:contextualSpacing/>
    </w:pPr>
    <w:rPr>
      <w:rFonts w:ascii="Cambria" w:eastAsia="Calibri" w:hAnsi="Cambria"/>
      <w:lang w:val="en-US"/>
    </w:rPr>
  </w:style>
  <w:style w:type="character" w:styleId="GesichteterLink">
    <w:name w:val="FollowedHyperlink"/>
    <w:basedOn w:val="Absatzstandardschriftart"/>
    <w:uiPriority w:val="99"/>
    <w:semiHidden/>
    <w:unhideWhenUsed/>
    <w:rsid w:val="007D2A59"/>
    <w:rPr>
      <w:color w:val="800080" w:themeColor="followedHyperlink"/>
      <w:u w:val="single"/>
    </w:rPr>
  </w:style>
  <w:style w:type="paragraph" w:styleId="StandardWeb">
    <w:name w:val="Normal (Web)"/>
    <w:basedOn w:val="Standard"/>
    <w:uiPriority w:val="99"/>
    <w:unhideWhenUsed/>
    <w:rsid w:val="00B56FB4"/>
    <w:pPr>
      <w:spacing w:before="100" w:beforeAutospacing="1" w:after="100" w:afterAutospacing="1"/>
    </w:pPr>
    <w:rPr>
      <w:rFonts w:ascii="Times New Roman" w:hAnsi="Times New Roman"/>
      <w:sz w:val="20"/>
      <w:szCs w:val="20"/>
      <w:lang w:val="de-DE" w:eastAsia="de-DE"/>
    </w:rPr>
  </w:style>
  <w:style w:type="character" w:styleId="Betont">
    <w:name w:val="Strong"/>
    <w:basedOn w:val="Absatzstandardschriftart"/>
    <w:uiPriority w:val="22"/>
    <w:qFormat/>
    <w:rsid w:val="00B56FB4"/>
    <w:rPr>
      <w:b/>
      <w:bCs/>
    </w:rPr>
  </w:style>
  <w:style w:type="character" w:styleId="Herausstellen">
    <w:name w:val="Emphasis"/>
    <w:basedOn w:val="Absatzstandardschriftart"/>
    <w:uiPriority w:val="20"/>
    <w:qFormat/>
    <w:rsid w:val="00B56FB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9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30B98"/>
    <w:rPr>
      <w:color w:val="0563C1"/>
      <w:u w:val="single"/>
    </w:rPr>
  </w:style>
  <w:style w:type="paragraph" w:customStyle="1" w:styleId="Default">
    <w:name w:val="Default"/>
    <w:basedOn w:val="Standard"/>
    <w:rsid w:val="00630B98"/>
    <w:pPr>
      <w:autoSpaceDE w:val="0"/>
      <w:autoSpaceDN w:val="0"/>
    </w:pPr>
    <w:rPr>
      <w:color w:val="000000"/>
      <w:sz w:val="24"/>
      <w:szCs w:val="24"/>
      <w:lang w:eastAsia="de-DE"/>
    </w:rPr>
  </w:style>
  <w:style w:type="paragraph" w:styleId="Sprechblasentext">
    <w:name w:val="Balloon Text"/>
    <w:basedOn w:val="Standard"/>
    <w:link w:val="SprechblasentextZeichen"/>
    <w:uiPriority w:val="99"/>
    <w:semiHidden/>
    <w:unhideWhenUsed/>
    <w:rsid w:val="00630B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30B98"/>
    <w:rPr>
      <w:rFonts w:ascii="Tahoma" w:hAnsi="Tahoma" w:cs="Tahoma"/>
      <w:sz w:val="16"/>
      <w:szCs w:val="16"/>
    </w:rPr>
  </w:style>
  <w:style w:type="paragraph" w:styleId="Kopfzeile">
    <w:name w:val="header"/>
    <w:basedOn w:val="Standard"/>
    <w:link w:val="KopfzeileZeichen"/>
    <w:uiPriority w:val="99"/>
    <w:unhideWhenUsed/>
    <w:rsid w:val="007E0A4E"/>
    <w:pPr>
      <w:tabs>
        <w:tab w:val="center" w:pos="4513"/>
        <w:tab w:val="right" w:pos="9026"/>
      </w:tabs>
    </w:pPr>
  </w:style>
  <w:style w:type="character" w:customStyle="1" w:styleId="KopfzeileZeichen">
    <w:name w:val="Kopfzeile Zeichen"/>
    <w:basedOn w:val="Absatzstandardschriftart"/>
    <w:link w:val="Kopfzeile"/>
    <w:uiPriority w:val="99"/>
    <w:rsid w:val="007E0A4E"/>
    <w:rPr>
      <w:rFonts w:ascii="Calibri" w:hAnsi="Calibri" w:cs="Times New Roman"/>
    </w:rPr>
  </w:style>
  <w:style w:type="paragraph" w:styleId="Fuzeile">
    <w:name w:val="footer"/>
    <w:basedOn w:val="Standard"/>
    <w:link w:val="FuzeileZeichen"/>
    <w:uiPriority w:val="99"/>
    <w:unhideWhenUsed/>
    <w:rsid w:val="007E0A4E"/>
    <w:pPr>
      <w:tabs>
        <w:tab w:val="center" w:pos="4513"/>
        <w:tab w:val="right" w:pos="9026"/>
      </w:tabs>
    </w:pPr>
  </w:style>
  <w:style w:type="character" w:customStyle="1" w:styleId="FuzeileZeichen">
    <w:name w:val="Fußzeile Zeichen"/>
    <w:basedOn w:val="Absatzstandardschriftart"/>
    <w:link w:val="Fuzeile"/>
    <w:uiPriority w:val="99"/>
    <w:rsid w:val="007E0A4E"/>
    <w:rPr>
      <w:rFonts w:ascii="Calibri" w:hAnsi="Calibri" w:cs="Times New Roman"/>
    </w:rPr>
  </w:style>
  <w:style w:type="character" w:customStyle="1" w:styleId="apple-converted-space">
    <w:name w:val="apple-converted-space"/>
    <w:basedOn w:val="Absatzstandardschriftart"/>
    <w:rsid w:val="00F228CE"/>
  </w:style>
  <w:style w:type="paragraph" w:styleId="Listenabsatz">
    <w:name w:val="List Paragraph"/>
    <w:basedOn w:val="Standard"/>
    <w:uiPriority w:val="34"/>
    <w:qFormat/>
    <w:rsid w:val="006A0B5E"/>
    <w:pPr>
      <w:spacing w:after="200" w:line="276" w:lineRule="auto"/>
      <w:ind w:left="720"/>
      <w:contextualSpacing/>
    </w:pPr>
    <w:rPr>
      <w:rFonts w:ascii="Cambria" w:eastAsia="Calibri" w:hAnsi="Cambria"/>
      <w:lang w:val="en-US"/>
    </w:rPr>
  </w:style>
  <w:style w:type="character" w:styleId="GesichteterLink">
    <w:name w:val="FollowedHyperlink"/>
    <w:basedOn w:val="Absatzstandardschriftart"/>
    <w:uiPriority w:val="99"/>
    <w:semiHidden/>
    <w:unhideWhenUsed/>
    <w:rsid w:val="007D2A59"/>
    <w:rPr>
      <w:color w:val="800080" w:themeColor="followedHyperlink"/>
      <w:u w:val="single"/>
    </w:rPr>
  </w:style>
  <w:style w:type="paragraph" w:styleId="StandardWeb">
    <w:name w:val="Normal (Web)"/>
    <w:basedOn w:val="Standard"/>
    <w:uiPriority w:val="99"/>
    <w:unhideWhenUsed/>
    <w:rsid w:val="00B56FB4"/>
    <w:pPr>
      <w:spacing w:before="100" w:beforeAutospacing="1" w:after="100" w:afterAutospacing="1"/>
    </w:pPr>
    <w:rPr>
      <w:rFonts w:ascii="Times New Roman" w:hAnsi="Times New Roman"/>
      <w:sz w:val="20"/>
      <w:szCs w:val="20"/>
      <w:lang w:val="de-DE" w:eastAsia="de-DE"/>
    </w:rPr>
  </w:style>
  <w:style w:type="character" w:styleId="Betont">
    <w:name w:val="Strong"/>
    <w:basedOn w:val="Absatzstandardschriftart"/>
    <w:uiPriority w:val="22"/>
    <w:qFormat/>
    <w:rsid w:val="00B56FB4"/>
    <w:rPr>
      <w:b/>
      <w:bCs/>
    </w:rPr>
  </w:style>
  <w:style w:type="character" w:styleId="Herausstellen">
    <w:name w:val="Emphasis"/>
    <w:basedOn w:val="Absatzstandardschriftart"/>
    <w:uiPriority w:val="20"/>
    <w:qFormat/>
    <w:rsid w:val="00B56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5149">
      <w:bodyDiv w:val="1"/>
      <w:marLeft w:val="0"/>
      <w:marRight w:val="0"/>
      <w:marTop w:val="0"/>
      <w:marBottom w:val="0"/>
      <w:divBdr>
        <w:top w:val="none" w:sz="0" w:space="0" w:color="auto"/>
        <w:left w:val="none" w:sz="0" w:space="0" w:color="auto"/>
        <w:bottom w:val="none" w:sz="0" w:space="0" w:color="auto"/>
        <w:right w:val="none" w:sz="0" w:space="0" w:color="auto"/>
      </w:divBdr>
    </w:div>
    <w:div w:id="193621410">
      <w:bodyDiv w:val="1"/>
      <w:marLeft w:val="0"/>
      <w:marRight w:val="0"/>
      <w:marTop w:val="0"/>
      <w:marBottom w:val="0"/>
      <w:divBdr>
        <w:top w:val="none" w:sz="0" w:space="0" w:color="auto"/>
        <w:left w:val="none" w:sz="0" w:space="0" w:color="auto"/>
        <w:bottom w:val="none" w:sz="0" w:space="0" w:color="auto"/>
        <w:right w:val="none" w:sz="0" w:space="0" w:color="auto"/>
      </w:divBdr>
    </w:div>
    <w:div w:id="1060060189">
      <w:bodyDiv w:val="1"/>
      <w:marLeft w:val="0"/>
      <w:marRight w:val="0"/>
      <w:marTop w:val="0"/>
      <w:marBottom w:val="0"/>
      <w:divBdr>
        <w:top w:val="none" w:sz="0" w:space="0" w:color="auto"/>
        <w:left w:val="none" w:sz="0" w:space="0" w:color="auto"/>
        <w:bottom w:val="none" w:sz="0" w:space="0" w:color="auto"/>
        <w:right w:val="none" w:sz="0" w:space="0" w:color="auto"/>
      </w:divBdr>
    </w:div>
    <w:div w:id="1435709448">
      <w:bodyDiv w:val="1"/>
      <w:marLeft w:val="0"/>
      <w:marRight w:val="0"/>
      <w:marTop w:val="0"/>
      <w:marBottom w:val="0"/>
      <w:divBdr>
        <w:top w:val="none" w:sz="0" w:space="0" w:color="auto"/>
        <w:left w:val="none" w:sz="0" w:space="0" w:color="auto"/>
        <w:bottom w:val="none" w:sz="0" w:space="0" w:color="auto"/>
        <w:right w:val="none" w:sz="0" w:space="0" w:color="auto"/>
      </w:divBdr>
    </w:div>
    <w:div w:id="1870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rphosy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tact@vivoryon.com" TargetMode="External"/><Relationship Id="rId8" Type="http://schemas.openxmlformats.org/officeDocument/2006/relationships/hyperlink" Target="mailto:vivoryon@mc-services.eu" TargetMode="External"/><Relationship Id="rId9" Type="http://schemas.openxmlformats.org/officeDocument/2006/relationships/hyperlink" Target="mailto:investors@morphosys.com" TargetMode="External"/><Relationship Id="rId10" Type="http://schemas.openxmlformats.org/officeDocument/2006/relationships/hyperlink" Target="http://www.vivory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8622</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2019-07-08T14:36:00Z</dcterms:created>
  <dcterms:modified xsi:type="dcterms:W3CDTF">2019-07-08T14:45:00Z</dcterms:modified>
</cp:coreProperties>
</file>