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C76" w14:textId="658FAB7E" w:rsidR="003666A3" w:rsidRPr="003666A3" w:rsidRDefault="00760E1F" w:rsidP="00760E1F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r w:rsidRPr="0029424F">
        <w:rPr>
          <w:rFonts w:eastAsia="Times New Roman" w:cstheme="minorHAnsi"/>
          <w:kern w:val="0"/>
          <w:lang w:val="en-NL" w:eastAsia="en-NL"/>
          <w14:ligatures w14:val="none"/>
        </w:rPr>
        <w:t xml:space="preserve">PERSBERICHT: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Halfjaarcijfers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2023: NWB Bank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verstevigt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positie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als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financieringspartner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>verduurzaming</w:t>
      </w:r>
      <w:proofErr w:type="spellEnd"/>
      <w:r w:rsidR="003666A3"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Nederland</w:t>
      </w:r>
    </w:p>
    <w:p w14:paraId="1C49C56E" w14:textId="77777777" w:rsidR="003666A3" w:rsidRPr="003666A3" w:rsidRDefault="003666A3" w:rsidP="0036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energie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neemt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verder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toe tot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meer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€ 1,3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</w:p>
    <w:p w14:paraId="5527C708" w14:textId="77777777" w:rsidR="003666A3" w:rsidRPr="003666A3" w:rsidRDefault="003666A3" w:rsidP="0036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Totale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gegroeid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tot € 52,7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</w:p>
    <w:p w14:paraId="720B4EFA" w14:textId="77777777" w:rsidR="003666A3" w:rsidRPr="003666A3" w:rsidRDefault="003666A3" w:rsidP="0036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Nettowinst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komt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€ 72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miljoen</w:t>
      </w:r>
      <w:proofErr w:type="spellEnd"/>
    </w:p>
    <w:p w14:paraId="56005F0F" w14:textId="77777777" w:rsidR="00760E1F" w:rsidRPr="0029424F" w:rsidRDefault="00760E1F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nl-NL" w:eastAsia="en-NL"/>
          <w14:ligatures w14:val="none"/>
        </w:rPr>
      </w:pPr>
      <w:r w:rsidRPr="0029424F">
        <w:rPr>
          <w:rFonts w:eastAsia="Times New Roman" w:cstheme="minorHAnsi"/>
          <w:kern w:val="0"/>
          <w:lang w:val="nl-NL" w:eastAsia="en-NL"/>
          <w14:ligatures w14:val="none"/>
        </w:rPr>
        <w:t>Den Haag, 25 augustus 2023</w:t>
      </w:r>
    </w:p>
    <w:p w14:paraId="36E1BB31" w14:textId="0D677BAD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als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NWB Bank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positie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als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financieringspartner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verduurzaming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Nederland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verder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verstevigd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Dankzij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nieuw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verstrekte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projectfinancieringen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overname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deel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Triodos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Groenfonds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bedraagt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energie-portefeuille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inmiddels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meer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€ 1,3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totale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omvang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is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gegroeid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recordniveau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€ 52,7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sinds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uitgifte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Waterobligatie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2014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meer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€ 25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funding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opgehaald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met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obligaties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nettowinst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over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maanden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is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uitgekomen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€ 72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miljoen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.</w:t>
      </w:r>
    </w:p>
    <w:p w14:paraId="0CD70FB6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“Door de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groei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financiering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energieprojecten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belangrijke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stap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gezet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in de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richting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ons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gewaagd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doel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: in 2035 is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energiepositief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, op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weg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naar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klimaatneutraal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in 2050. We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willen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dat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in 2035 de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duurzame-energieprojecten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die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wĳ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financieren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meer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hernieuwbare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energie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opwekken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dan de rest van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klanten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verbruiken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fossiele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energie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. De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waterschappen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geven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wat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dat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betreft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het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goede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voorbeeld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met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hun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ambitie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om al in 2025 100%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energieneutraal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te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zijn</w:t>
      </w:r>
      <w:proofErr w:type="spellEnd"/>
      <w:r w:rsidRPr="003666A3">
        <w:rPr>
          <w:rFonts w:eastAsia="Times New Roman" w:cstheme="minorHAnsi"/>
          <w:i/>
          <w:iCs/>
          <w:kern w:val="0"/>
          <w:lang w:val="en-NL" w:eastAsia="en-NL"/>
          <w14:ligatures w14:val="none"/>
        </w:rPr>
        <w:t>”,</w:t>
      </w:r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 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aldus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Lidwin van Velden, CEO van de NWB Bank.</w:t>
      </w:r>
    </w:p>
    <w:p w14:paraId="3182627B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Kredietverlening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br/>
        <w:t xml:space="preserve">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omvang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totale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is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gegroeid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recordniveau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bedraagt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€ 52,7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kredietverlening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helft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2023 is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uitgekomen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€ 2,8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Dat is minder dan de € 4,0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2022 maar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daling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was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verwacht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klanten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jaren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,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rente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uiterst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laag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was,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veelal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langere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looptijden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gekozen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nu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minder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grote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financieringsbehoefte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.</w:t>
      </w:r>
    </w:p>
    <w:p w14:paraId="7208C659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Funding</w:t>
      </w:r>
      <w:r w:rsidRPr="003666A3">
        <w:rPr>
          <w:rFonts w:eastAsia="Times New Roman" w:cstheme="minorHAnsi"/>
          <w:kern w:val="0"/>
          <w:lang w:val="en-NL" w:eastAsia="en-NL"/>
          <w14:ligatures w14:val="none"/>
        </w:rPr>
        <w:br/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Ondanks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volatiele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financiële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markten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zijn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ook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goed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staat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geweest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onszelf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aantrekkelijk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financieren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In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totaal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op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internationale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kapitaalmarkt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€ 8,2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langlopende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leningen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aangetrokken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Bĳna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helft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hiervan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, circa € 3,8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,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opgehaald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met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obligaties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door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uitgeven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Waterobligaties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SDG Housing Bonds. In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totaal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sinds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2014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meer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€ 25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miljard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opgehaald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met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ESG-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obligaties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Daarmee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zijn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blijven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grootste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uitgever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dergelijke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obligaties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Nederland.</w:t>
      </w:r>
    </w:p>
    <w:p w14:paraId="55AE30FA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Kapitaal</w:t>
      </w:r>
      <w:proofErr w:type="spellEnd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 xml:space="preserve">- </w:t>
      </w: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liquiditeitsratio's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br/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kapitaal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-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liquiditeitsratio’s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zijn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onverminderd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sterk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De Tier 1-ratio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komt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44,3%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leverage ratio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bedraagt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per 30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juni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8,6%.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Beiden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liggen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ruimschoots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boven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minimumnormen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respectievelijk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12,75%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3%. Ook de Liquidity Coverage Ratio (LCR)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Net Stable Funding Ratio (NSFR)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liggen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met 320%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respectievelijk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148%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ruim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boven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minimumeis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100%.</w:t>
      </w:r>
    </w:p>
    <w:p w14:paraId="1699CF59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Winstontwikkeling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br/>
        <w:t xml:space="preserve">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nettowinst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over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halfjaar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2023 is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uitgekomen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€ 72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miljoen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Conform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verwachting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valt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winst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iets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lager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vorig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Dat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komt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 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omdat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eind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2022 alle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eerder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aangetrokken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TLTRO-financiering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afgelost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die de ECB ten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tijde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COVID-19-pandemie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beschikking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had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gesteld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ondersteuning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economie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aantrekkelijke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funding had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lastRenderedPageBreak/>
        <w:t>afgelopen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jaren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flinke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tijdelijke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positieve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invloed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winstcijfers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komende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jaren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loopt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dat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voordeel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er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geleidelijk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weer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omdat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we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rentevoordeel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TLTRO door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hebben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gegeven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klanten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via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lagere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tarieven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kredietverlening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die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kredietverlening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over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algemeen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langere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looptijd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kent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dan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looptijd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aangetrokken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funding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bij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ECB. Nadat de ECB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vorig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had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besloten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rentecondities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de TLTRO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passen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, was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niet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langer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aantrekkelĳk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funding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houden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.</w:t>
      </w:r>
    </w:p>
    <w:p w14:paraId="25B44BB8" w14:textId="77777777" w:rsidR="003666A3" w:rsidRPr="003666A3" w:rsidRDefault="003666A3" w:rsidP="003666A3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val="en-NL" w:eastAsia="en-NL"/>
          <w14:ligatures w14:val="none"/>
        </w:rPr>
      </w:pPr>
      <w:proofErr w:type="spellStart"/>
      <w:r w:rsidRPr="003666A3">
        <w:rPr>
          <w:rFonts w:eastAsia="Times New Roman" w:cstheme="minorHAnsi"/>
          <w:b/>
          <w:bCs/>
          <w:kern w:val="0"/>
          <w:lang w:val="en-NL" w:eastAsia="en-NL"/>
          <w14:ligatures w14:val="none"/>
        </w:rPr>
        <w:t>Vooruitzichten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br/>
        <w:t xml:space="preserve">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zullen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de rest van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jaar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op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dezelfde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maatschappelijke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duurzame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manier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als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eerste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zes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maanden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klanten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Nederlandse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publieke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sector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blijven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voorizen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hun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financieringsbehoefte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verwachten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 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dat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omvang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onze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kredietportefeuille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ook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aankomende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maanden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nog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verder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zal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groeien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. We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zijn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blijven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terughoudend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het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uitspreken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van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verwachtingen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voor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de </w:t>
      </w:r>
      <w:proofErr w:type="spellStart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>nettowinst</w:t>
      </w:r>
      <w:proofErr w:type="spellEnd"/>
      <w:r w:rsidRPr="003666A3">
        <w:rPr>
          <w:rFonts w:eastAsia="Times New Roman" w:cstheme="minorHAnsi"/>
          <w:kern w:val="0"/>
          <w:lang w:val="en-NL" w:eastAsia="en-NL"/>
          <w14:ligatures w14:val="none"/>
        </w:rPr>
        <w:t xml:space="preserve"> in 2023.</w:t>
      </w:r>
    </w:p>
    <w:p w14:paraId="3C596019" w14:textId="39F5D633" w:rsidR="005D734C" w:rsidRPr="0029424F" w:rsidRDefault="00760E1F" w:rsidP="003666A3">
      <w:pPr>
        <w:rPr>
          <w:rFonts w:cstheme="minorHAnsi"/>
          <w:lang w:val="nl-NL"/>
        </w:rPr>
      </w:pPr>
      <w:r w:rsidRPr="0029424F">
        <w:rPr>
          <w:rFonts w:cstheme="minorHAnsi"/>
        </w:rPr>
        <w:t xml:space="preserve">Het </w:t>
      </w:r>
      <w:proofErr w:type="spellStart"/>
      <w:r w:rsidRPr="0029424F">
        <w:rPr>
          <w:rFonts w:cstheme="minorHAnsi"/>
        </w:rPr>
        <w:t>Halfjaarbericht</w:t>
      </w:r>
      <w:proofErr w:type="spellEnd"/>
      <w:r w:rsidRPr="0029424F">
        <w:rPr>
          <w:rFonts w:cstheme="minorHAnsi"/>
        </w:rPr>
        <w:t xml:space="preserve"> </w:t>
      </w:r>
      <w:r w:rsidRPr="0029424F">
        <w:rPr>
          <w:rFonts w:cstheme="minorHAnsi"/>
          <w:lang w:val="nl-NL"/>
        </w:rPr>
        <w:t>2023</w:t>
      </w:r>
      <w:r w:rsidRPr="0029424F">
        <w:rPr>
          <w:rFonts w:cstheme="minorHAnsi"/>
        </w:rPr>
        <w:t xml:space="preserve"> is </w:t>
      </w:r>
      <w:hyperlink r:id="rId5" w:history="1">
        <w:proofErr w:type="spellStart"/>
        <w:r w:rsidRPr="0029424F">
          <w:rPr>
            <w:rStyle w:val="Hyperlink"/>
            <w:rFonts w:cstheme="minorHAnsi"/>
          </w:rPr>
          <w:t>hier</w:t>
        </w:r>
        <w:proofErr w:type="spellEnd"/>
      </w:hyperlink>
      <w:r w:rsidRPr="0029424F">
        <w:rPr>
          <w:rFonts w:cstheme="minorHAnsi"/>
        </w:rPr>
        <w:t xml:space="preserve"> </w:t>
      </w:r>
      <w:proofErr w:type="spellStart"/>
      <w:r w:rsidRPr="0029424F">
        <w:rPr>
          <w:rFonts w:cstheme="minorHAnsi"/>
        </w:rPr>
        <w:t>te</w:t>
      </w:r>
      <w:proofErr w:type="spellEnd"/>
      <w:r w:rsidRPr="0029424F">
        <w:rPr>
          <w:rFonts w:cstheme="minorHAnsi"/>
        </w:rPr>
        <w:t xml:space="preserve"> </w:t>
      </w:r>
      <w:proofErr w:type="spellStart"/>
      <w:r w:rsidRPr="0029424F">
        <w:rPr>
          <w:rFonts w:cstheme="minorHAnsi"/>
        </w:rPr>
        <w:t>raadplegen</w:t>
      </w:r>
      <w:proofErr w:type="spellEnd"/>
      <w:r w:rsidRPr="0029424F">
        <w:rPr>
          <w:rFonts w:cstheme="minorHAnsi"/>
          <w:lang w:val="nl-NL"/>
        </w:rPr>
        <w:t>.</w:t>
      </w:r>
    </w:p>
    <w:sectPr w:rsidR="005D734C" w:rsidRPr="0029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142"/>
    <w:multiLevelType w:val="multilevel"/>
    <w:tmpl w:val="248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33102"/>
    <w:multiLevelType w:val="multilevel"/>
    <w:tmpl w:val="B19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520144">
    <w:abstractNumId w:val="1"/>
  </w:num>
  <w:num w:numId="2" w16cid:durableId="130072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3"/>
    <w:rsid w:val="00175703"/>
    <w:rsid w:val="002747EA"/>
    <w:rsid w:val="0029424F"/>
    <w:rsid w:val="003666A3"/>
    <w:rsid w:val="005D734C"/>
    <w:rsid w:val="00687C62"/>
    <w:rsid w:val="007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6A10"/>
  <w15:chartTrackingRefBased/>
  <w15:docId w15:val="{4E7C8603-9DF6-40E1-A22C-1EBF1CA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6A3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NL" w:eastAsia="en-NL"/>
      <w14:ligatures w14:val="none"/>
    </w:rPr>
  </w:style>
  <w:style w:type="character" w:customStyle="1" w:styleId="lead">
    <w:name w:val="lead"/>
    <w:basedOn w:val="DefaultParagraphFont"/>
    <w:rsid w:val="003666A3"/>
  </w:style>
  <w:style w:type="character" w:styleId="Hyperlink">
    <w:name w:val="Hyperlink"/>
    <w:basedOn w:val="DefaultParagraphFont"/>
    <w:uiPriority w:val="99"/>
    <w:unhideWhenUsed/>
    <w:rsid w:val="0029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4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7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wbbank.com/download_file/1254/1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Kursun - Yuce</dc:creator>
  <cp:keywords/>
  <dc:description/>
  <cp:lastModifiedBy>Aysegul Kursun - Yuce</cp:lastModifiedBy>
  <cp:revision>3</cp:revision>
  <dcterms:created xsi:type="dcterms:W3CDTF">2023-08-25T11:05:00Z</dcterms:created>
  <dcterms:modified xsi:type="dcterms:W3CDTF">2023-08-25T11:18:00Z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6bea96-b064-4a79-9ae0-44c7b24b47ce_Enabled">
    <vt:lpwstr>true</vt:lpwstr>
  </property>
  <property fmtid="{D5CDD505-2E9C-101B-9397-08002B2CF9AE}" pid="3" name="MSIP_Label_786bea96-b064-4a79-9ae0-44c7b24b47ce_SetDate">
    <vt:lpwstr>2023-08-25T11:08:07Z</vt:lpwstr>
  </property>
  <property fmtid="{D5CDD505-2E9C-101B-9397-08002B2CF9AE}" pid="4" name="MSIP_Label_786bea96-b064-4a79-9ae0-44c7b24b47ce_Method">
    <vt:lpwstr>Standard</vt:lpwstr>
  </property>
  <property fmtid="{D5CDD505-2E9C-101B-9397-08002B2CF9AE}" pid="5" name="MSIP_Label_786bea96-b064-4a79-9ae0-44c7b24b47ce_Name">
    <vt:lpwstr>Internal</vt:lpwstr>
  </property>
  <property fmtid="{D5CDD505-2E9C-101B-9397-08002B2CF9AE}" pid="6" name="MSIP_Label_786bea96-b064-4a79-9ae0-44c7b24b47ce_SiteId">
    <vt:lpwstr>a3fb8107-099e-44de-bfc2-908b9a1ed9eb</vt:lpwstr>
  </property>
  <property fmtid="{D5CDD505-2E9C-101B-9397-08002B2CF9AE}" pid="7" name="MSIP_Label_786bea96-b064-4a79-9ae0-44c7b24b47ce_ActionId">
    <vt:lpwstr>f1314ade-edbf-4e24-90d5-50f420e09934</vt:lpwstr>
  </property>
  <property fmtid="{D5CDD505-2E9C-101B-9397-08002B2CF9AE}" pid="8" name="MSIP_Label_786bea96-b064-4a79-9ae0-44c7b24b47ce_ContentBits">
    <vt:lpwstr>0</vt:lpwstr>
  </property>
</Properties>
</file>