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E7" w:rsidRPr="005370E7" w:rsidRDefault="00D22E2A" w:rsidP="005370E7">
      <w:pPr>
        <w:pStyle w:val="a4"/>
        <w:jc w:val="both"/>
        <w:rPr>
          <w:color w:val="000000"/>
        </w:rPr>
      </w:pPr>
      <w:r w:rsidRPr="00D22E2A">
        <w:rPr>
          <w:b/>
          <w:color w:val="000000"/>
        </w:rPr>
        <w:t xml:space="preserve">Current Report No. </w:t>
      </w:r>
      <w:r w:rsidR="00D903AF" w:rsidRPr="00243368">
        <w:rPr>
          <w:b/>
          <w:color w:val="000000"/>
          <w:rPrChange w:id="0" w:author="Автор" w:date="2013-04-19T11:53:00Z">
            <w:rPr>
              <w:b/>
              <w:color w:val="000000"/>
              <w:lang w:val="ru-RU"/>
            </w:rPr>
          </w:rPrChange>
        </w:rPr>
        <w:t>3</w:t>
      </w:r>
      <w:r w:rsidRPr="00D22E2A">
        <w:rPr>
          <w:b/>
          <w:color w:val="000000"/>
          <w:lang w:val="uk-UA"/>
        </w:rPr>
        <w:t>/2013</w:t>
      </w:r>
      <w:r w:rsidRPr="00D22E2A">
        <w:rPr>
          <w:color w:val="000000"/>
        </w:rPr>
        <w:t xml:space="preserve">                  </w:t>
      </w:r>
    </w:p>
    <w:p w:rsidR="005370E7" w:rsidRPr="005370E7" w:rsidRDefault="00D22E2A" w:rsidP="005370E7">
      <w:pPr>
        <w:pStyle w:val="a4"/>
        <w:jc w:val="both"/>
        <w:rPr>
          <w:b/>
          <w:color w:val="000000"/>
        </w:rPr>
      </w:pPr>
      <w:r w:rsidRPr="00D22E2A">
        <w:rPr>
          <w:color w:val="000000"/>
        </w:rPr>
        <w:t xml:space="preserve">   </w:t>
      </w:r>
      <w:r w:rsidRPr="00D22E2A">
        <w:rPr>
          <w:b/>
          <w:color w:val="000000"/>
        </w:rPr>
        <w:t>Buyback of shares</w:t>
      </w:r>
    </w:p>
    <w:p w:rsidR="005370E7" w:rsidRPr="005370E7" w:rsidRDefault="005370E7" w:rsidP="005370E7">
      <w:pPr>
        <w:pStyle w:val="a4"/>
        <w:jc w:val="both"/>
        <w:rPr>
          <w:b/>
        </w:rPr>
      </w:pPr>
    </w:p>
    <w:p w:rsidR="00350CA5" w:rsidRPr="005370E7" w:rsidRDefault="00E22023" w:rsidP="00050BA1">
      <w:pPr>
        <w:pStyle w:val="a4"/>
        <w:jc w:val="both"/>
      </w:pPr>
      <w:r>
        <w:rPr>
          <w:color w:val="000000"/>
        </w:rPr>
        <w:t>The Board of Directors of ASTARTA Holding N.V., acting pursuant to the Resolution</w:t>
      </w:r>
      <w:r>
        <w:t xml:space="preserve"> </w:t>
      </w:r>
      <w:r>
        <w:rPr>
          <w:color w:val="000000"/>
        </w:rPr>
        <w:t xml:space="preserve">No. 5 adopted by the Annual General Meeting of the Company on 14 June 2012 (see current report No. 9/2012 dated 15 June 2012), the Board of Directors of ASTARTA Holding N.V. </w:t>
      </w:r>
      <w:r w:rsidR="00D903AF">
        <w:rPr>
          <w:color w:val="000000"/>
        </w:rPr>
        <w:t>on 20 March</w:t>
      </w:r>
      <w:r w:rsidR="00D22E2A" w:rsidRPr="00D22E2A">
        <w:rPr>
          <w:color w:val="000000"/>
        </w:rPr>
        <w:t xml:space="preserve">, </w:t>
      </w:r>
      <w:r>
        <w:rPr>
          <w:color w:val="000000"/>
        </w:rPr>
        <w:t>2013 resolves as follows:</w:t>
      </w:r>
    </w:p>
    <w:p w:rsidR="006C6EE9" w:rsidRPr="005370E7" w:rsidRDefault="00E22023" w:rsidP="00050BA1">
      <w:pPr>
        <w:pStyle w:val="a4"/>
        <w:jc w:val="both"/>
      </w:pPr>
      <w:r>
        <w:rPr>
          <w:color w:val="000000"/>
        </w:rPr>
        <w:t>1. The realization of the Buyback Program will be in accordance with Commission Regulation (EC) No. 2273/2003 implementing Directive 2003/6/EC of the European Parliament and of the Council as regards exemptions for buy-back programs and stabilization of financial instruments (the "Regulation"), the Polish laws regulations as well as with the rules set in the Resolution No. 5 of AGM of ASTARTA Holding N.V. adopted on 14 June 2012.</w:t>
      </w:r>
    </w:p>
    <w:p w:rsidR="00350CA5" w:rsidRPr="005370E7" w:rsidRDefault="00E22023" w:rsidP="00050BA1">
      <w:pPr>
        <w:pStyle w:val="a4"/>
        <w:jc w:val="both"/>
      </w:pPr>
      <w:r>
        <w:rPr>
          <w:color w:val="000000"/>
        </w:rPr>
        <w:t xml:space="preserve">2. The Buyback shall be carried out by a brokerage house, UniCredit CAIB Poland </w:t>
      </w:r>
      <w:proofErr w:type="spellStart"/>
      <w:r>
        <w:rPr>
          <w:color w:val="000000"/>
        </w:rPr>
        <w:t>Spółka</w:t>
      </w:r>
      <w:proofErr w:type="spellEnd"/>
      <w:r>
        <w:rPr>
          <w:color w:val="000000"/>
        </w:rPr>
        <w:t xml:space="preserve"> </w:t>
      </w:r>
      <w:proofErr w:type="spellStart"/>
      <w:r>
        <w:rPr>
          <w:color w:val="000000"/>
        </w:rPr>
        <w:t>Akcyjna</w:t>
      </w:r>
      <w:proofErr w:type="spellEnd"/>
      <w:r>
        <w:rPr>
          <w:color w:val="000000"/>
        </w:rPr>
        <w:t xml:space="preserve">, with its seat at </w:t>
      </w:r>
      <w:proofErr w:type="spellStart"/>
      <w:r>
        <w:rPr>
          <w:color w:val="000000"/>
        </w:rPr>
        <w:t>ul</w:t>
      </w:r>
      <w:proofErr w:type="spellEnd"/>
      <w:r>
        <w:rPr>
          <w:color w:val="000000"/>
        </w:rPr>
        <w:t xml:space="preserve">. </w:t>
      </w:r>
      <w:proofErr w:type="spellStart"/>
      <w:r>
        <w:rPr>
          <w:color w:val="000000"/>
        </w:rPr>
        <w:t>Emilii</w:t>
      </w:r>
      <w:proofErr w:type="spellEnd"/>
      <w:r>
        <w:rPr>
          <w:color w:val="000000"/>
        </w:rPr>
        <w:t xml:space="preserve"> </w:t>
      </w:r>
      <w:proofErr w:type="spellStart"/>
      <w:r>
        <w:rPr>
          <w:color w:val="000000"/>
        </w:rPr>
        <w:t>Plater</w:t>
      </w:r>
      <w:proofErr w:type="spellEnd"/>
      <w:r>
        <w:rPr>
          <w:color w:val="000000"/>
        </w:rPr>
        <w:t xml:space="preserve"> 53, 00-113 Warsaw, hereinafter referred to as the “Buyback Agent”. </w:t>
      </w:r>
    </w:p>
    <w:p w:rsidR="00350CA5" w:rsidRPr="005370E7" w:rsidRDefault="00D22E2A" w:rsidP="00050BA1">
      <w:pPr>
        <w:pStyle w:val="a4"/>
        <w:jc w:val="both"/>
        <w:rPr>
          <w:color w:val="000000"/>
        </w:rPr>
      </w:pPr>
      <w:r w:rsidRPr="00D22E2A">
        <w:rPr>
          <w:color w:val="000000"/>
        </w:rPr>
        <w:t>3</w:t>
      </w:r>
      <w:r w:rsidR="00E22023">
        <w:rPr>
          <w:color w:val="000000"/>
        </w:rPr>
        <w:t xml:space="preserve">. The Buyback Agent shall implement and manage the Buyback Program. </w:t>
      </w:r>
    </w:p>
    <w:p w:rsidR="00CE5E57" w:rsidRPr="005370E7" w:rsidRDefault="00E22023" w:rsidP="00050BA1">
      <w:pPr>
        <w:pStyle w:val="a4"/>
        <w:jc w:val="both"/>
        <w:rPr>
          <w:color w:val="000000"/>
        </w:rPr>
      </w:pPr>
      <w:proofErr w:type="gramStart"/>
      <w:r>
        <w:rPr>
          <w:color w:val="000000"/>
        </w:rPr>
        <w:t>4.The</w:t>
      </w:r>
      <w:proofErr w:type="gramEnd"/>
      <w:r>
        <w:rPr>
          <w:color w:val="000000"/>
        </w:rPr>
        <w:t xml:space="preserve"> Board of Directors of the </w:t>
      </w:r>
      <w:proofErr w:type="spellStart"/>
      <w:r>
        <w:rPr>
          <w:color w:val="000000"/>
        </w:rPr>
        <w:t>Compan</w:t>
      </w:r>
      <w:proofErr w:type="spellEnd"/>
      <w:r w:rsidR="00D22E2A" w:rsidRPr="00D22E2A">
        <w:rPr>
          <w:color w:val="000000"/>
          <w:lang w:val="en-GB"/>
        </w:rPr>
        <w:t>y launches</w:t>
      </w:r>
      <w:r>
        <w:rPr>
          <w:color w:val="000000"/>
        </w:rPr>
        <w:t xml:space="preserve"> the Buyback Program for the purpose of meeting obligations arising from (</w:t>
      </w:r>
      <w:proofErr w:type="spellStart"/>
      <w:r>
        <w:rPr>
          <w:color w:val="000000"/>
        </w:rPr>
        <w:t>i</w:t>
      </w:r>
      <w:proofErr w:type="spellEnd"/>
      <w:r>
        <w:rPr>
          <w:color w:val="000000"/>
        </w:rPr>
        <w:t>) debt financial instruments exchangeable for or convertible into equity instruments and/or (ii) employee share option programs, or other allocations of shares to employees of the Company or of a group entity of the Company.</w:t>
      </w:r>
    </w:p>
    <w:p w:rsidR="00905389" w:rsidRPr="005370E7" w:rsidRDefault="00E22023" w:rsidP="00905389">
      <w:pPr>
        <w:pStyle w:val="a4"/>
        <w:jc w:val="both"/>
        <w:rPr>
          <w:color w:val="000000"/>
        </w:rPr>
      </w:pPr>
      <w:r>
        <w:rPr>
          <w:color w:val="000000"/>
        </w:rPr>
        <w:t xml:space="preserve">5. The average daily volume of shares traded at the Warsaw Stock Exchange shall be determined as the average daily volume of shares of the Company traded at the Warsaw Stock Exchange in the last </w:t>
      </w:r>
      <w:commentRangeStart w:id="1"/>
      <w:r w:rsidR="00D22E2A" w:rsidRPr="00D22E2A">
        <w:rPr>
          <w:color w:val="000000"/>
        </w:rPr>
        <w:t>20</w:t>
      </w:r>
      <w:commentRangeEnd w:id="1"/>
      <w:r w:rsidR="00D22E2A" w:rsidRPr="00D22E2A">
        <w:rPr>
          <w:rStyle w:val="a8"/>
          <w:rFonts w:eastAsiaTheme="minorEastAsia"/>
          <w:sz w:val="24"/>
          <w:szCs w:val="24"/>
        </w:rPr>
        <w:commentReference w:id="1"/>
      </w:r>
      <w:r w:rsidR="00D22E2A" w:rsidRPr="00D22E2A">
        <w:rPr>
          <w:color w:val="000000"/>
        </w:rPr>
        <w:t xml:space="preserve"> session days preceding the day of repurchase of own shares by the Company.</w:t>
      </w:r>
    </w:p>
    <w:p w:rsidR="00905389" w:rsidRPr="005370E7" w:rsidRDefault="00D22E2A" w:rsidP="00905389">
      <w:pPr>
        <w:pStyle w:val="a4"/>
        <w:jc w:val="both"/>
        <w:rPr>
          <w:color w:val="000000"/>
        </w:rPr>
      </w:pPr>
      <w:r w:rsidRPr="00D22E2A">
        <w:rPr>
          <w:color w:val="000000"/>
        </w:rPr>
        <w:t>6. In case of extraordinarily low liquidity of the Company’s shares, the Company shall be authorized to exceed the threshold of 25% of the average daily volume of shares of the Company traded (say: twenty-five percent), up to 50% % of the average daily volume of shares of the Company traded (say: fifty percent), provided that the following conditions are met:</w:t>
      </w:r>
    </w:p>
    <w:p w:rsidR="00000000" w:rsidRDefault="00D22E2A">
      <w:pPr>
        <w:pStyle w:val="a4"/>
        <w:ind w:left="426"/>
        <w:jc w:val="both"/>
        <w:rPr>
          <w:color w:val="000000"/>
        </w:rPr>
      </w:pPr>
      <w:r w:rsidRPr="00D22E2A">
        <w:rPr>
          <w:color w:val="000000"/>
        </w:rPr>
        <w:t>a) The Company shall notify the Polish Financial Supervision Authority in advance of its intent to exceed the threshold of 25% (say: twenty-five percent);</w:t>
      </w:r>
    </w:p>
    <w:p w:rsidR="00000000" w:rsidRDefault="00D22E2A">
      <w:pPr>
        <w:pStyle w:val="a4"/>
        <w:ind w:left="426"/>
        <w:jc w:val="both"/>
        <w:rPr>
          <w:color w:val="000000"/>
        </w:rPr>
      </w:pPr>
      <w:r w:rsidRPr="00D22E2A">
        <w:rPr>
          <w:color w:val="000000"/>
        </w:rPr>
        <w:t>b) The Company shall make public that the threshold of 25 % (say: twenty-five percent) may be exceeded.</w:t>
      </w:r>
    </w:p>
    <w:p w:rsidR="00050BA1" w:rsidRPr="005370E7" w:rsidRDefault="00D22E2A" w:rsidP="00050BA1">
      <w:pPr>
        <w:pStyle w:val="a4"/>
        <w:jc w:val="both"/>
        <w:rPr>
          <w:lang w:val="en-GB"/>
        </w:rPr>
      </w:pPr>
      <w:r w:rsidRPr="00D22E2A">
        <w:rPr>
          <w:color w:val="000000"/>
        </w:rPr>
        <w:t>7. The Price for one Share shall not be higher than PLN 125 per one Share and the higher than the price of the last independent trade and the highest current independent bid on the WSE,</w:t>
      </w:r>
      <w:r w:rsidRPr="00D22E2A">
        <w:t xml:space="preserve"> </w:t>
      </w:r>
      <w:r w:rsidRPr="00D22E2A">
        <w:rPr>
          <w:color w:val="000000"/>
        </w:rPr>
        <w:t xml:space="preserve">within the meaning of Art. 5.1 </w:t>
      </w:r>
      <w:proofErr w:type="gramStart"/>
      <w:r w:rsidRPr="00D22E2A">
        <w:rPr>
          <w:color w:val="000000"/>
        </w:rPr>
        <w:t>of</w:t>
      </w:r>
      <w:proofErr w:type="gramEnd"/>
      <w:r w:rsidRPr="00D22E2A">
        <w:rPr>
          <w:color w:val="000000"/>
        </w:rPr>
        <w:t xml:space="preserve"> the Regulation. The Board of the Directors is </w:t>
      </w:r>
      <w:proofErr w:type="spellStart"/>
      <w:r w:rsidRPr="00D22E2A">
        <w:rPr>
          <w:color w:val="000000"/>
        </w:rPr>
        <w:t>authorised</w:t>
      </w:r>
      <w:proofErr w:type="spellEnd"/>
      <w:r w:rsidRPr="00D22E2A">
        <w:rPr>
          <w:color w:val="000000"/>
        </w:rPr>
        <w:t xml:space="preserve"> to repurchase shares in the capital of the Company up to a maximum of 500000 shares (say: five hundred thousand shares), being 2% of the currently issued.</w:t>
      </w:r>
      <w:r w:rsidRPr="00D22E2A">
        <w:rPr>
          <w:lang w:val="en-GB"/>
        </w:rPr>
        <w:t xml:space="preserve">  </w:t>
      </w:r>
    </w:p>
    <w:p w:rsidR="00DB6DAC" w:rsidRPr="005370E7" w:rsidRDefault="00D22E2A" w:rsidP="00050BA1">
      <w:pPr>
        <w:pStyle w:val="a4"/>
        <w:jc w:val="both"/>
        <w:rPr>
          <w:color w:val="000000"/>
        </w:rPr>
      </w:pPr>
      <w:r w:rsidRPr="00D22E2A">
        <w:rPr>
          <w:color w:val="000000"/>
        </w:rPr>
        <w:lastRenderedPageBreak/>
        <w:t>8. The Company shall publish current reports informing the public of the progress of the Buyback Program (within the scope required by the law) or any information about changes to the terms of the Buyback Program.</w:t>
      </w:r>
    </w:p>
    <w:p w:rsidR="00126B2E" w:rsidRPr="005370E7" w:rsidRDefault="00D22E2A" w:rsidP="00050BA1">
      <w:pPr>
        <w:pStyle w:val="a4"/>
        <w:jc w:val="both"/>
        <w:rPr>
          <w:i/>
          <w:color w:val="000000"/>
        </w:rPr>
      </w:pPr>
      <w:r w:rsidRPr="00D22E2A">
        <w:rPr>
          <w:i/>
          <w:color w:val="000000"/>
        </w:rPr>
        <w:t xml:space="preserve">Legal basis: </w:t>
      </w:r>
      <w:bookmarkStart w:id="2" w:name="_GoBack"/>
      <w:bookmarkEnd w:id="2"/>
      <w:r w:rsidRPr="00D22E2A">
        <w:rPr>
          <w:i/>
          <w:color w:val="000000"/>
        </w:rPr>
        <w:t>Article 56, section 1.1 of the Act on Public Offering, Conditions Governing the Introduction of Financial Instruments to Organized Trading, and Public Companies (Journal of Laws 2005, No. 184, item 1539)</w:t>
      </w:r>
    </w:p>
    <w:p w:rsidR="00126B2E" w:rsidRPr="005370E7" w:rsidRDefault="00D22E2A" w:rsidP="00050BA1">
      <w:pPr>
        <w:pStyle w:val="a4"/>
        <w:jc w:val="both"/>
        <w:rPr>
          <w:i/>
          <w:color w:val="000000"/>
        </w:rPr>
      </w:pPr>
      <w:r w:rsidRPr="00D22E2A">
        <w:rPr>
          <w:i/>
          <w:color w:val="000000"/>
        </w:rPr>
        <w:t>Article 4.2 of Commission Regulation (EC) No. 2273/2003 implementing Directive 2003/6/EC of the European Parliament and of the Council as regards exemptions for buy-back programs and stabilization of financial instruments (OJ L 336/33)</w:t>
      </w:r>
    </w:p>
    <w:p w:rsidR="0018612B" w:rsidRPr="005370E7" w:rsidRDefault="00E22023" w:rsidP="00050BA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SIGNATURES OF INDIVIDUALS AUTHORIZED TO REPRESENT THE COMPANY</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br/>
        <w:t>Date:              Name:                  Title:   Signature:</w:t>
      </w:r>
      <w:r>
        <w:rPr>
          <w:rFonts w:ascii="Times New Roman" w:eastAsia="Times New Roman" w:hAnsi="Times New Roman" w:cs="Times New Roman"/>
          <w:i/>
          <w:color w:val="000000"/>
          <w:sz w:val="24"/>
          <w:szCs w:val="24"/>
        </w:rPr>
        <w:br/>
        <w:t>1</w:t>
      </w:r>
      <w:r w:rsidR="00D903AF">
        <w:rPr>
          <w:rFonts w:ascii="Times New Roman" w:eastAsia="Times New Roman" w:hAnsi="Times New Roman" w:cs="Times New Roman"/>
          <w:i/>
          <w:color w:val="000000"/>
          <w:sz w:val="24"/>
          <w:szCs w:val="24"/>
        </w:rPr>
        <w:t>9</w:t>
      </w:r>
      <w:r>
        <w:rPr>
          <w:rFonts w:ascii="Times New Roman" w:eastAsia="Times New Roman" w:hAnsi="Times New Roman" w:cs="Times New Roman"/>
          <w:i/>
          <w:color w:val="000000"/>
          <w:sz w:val="24"/>
          <w:szCs w:val="24"/>
        </w:rPr>
        <w:t>-0</w:t>
      </w:r>
      <w:r w:rsidR="00D903AF">
        <w:rPr>
          <w:rFonts w:ascii="Times New Roman" w:eastAsia="Times New Roman" w:hAnsi="Times New Roman" w:cs="Times New Roman"/>
          <w:i/>
          <w:color w:val="000000"/>
          <w:sz w:val="24"/>
          <w:szCs w:val="24"/>
        </w:rPr>
        <w:t>3</w:t>
      </w:r>
      <w:r>
        <w:rPr>
          <w:rFonts w:ascii="Times New Roman" w:eastAsia="Times New Roman" w:hAnsi="Times New Roman" w:cs="Times New Roman"/>
          <w:i/>
          <w:color w:val="000000"/>
          <w:sz w:val="24"/>
          <w:szCs w:val="24"/>
        </w:rPr>
        <w:t xml:space="preserve">-13                              Viktor Ivanchyk                                Proxy                  </w:t>
      </w:r>
      <w:r w:rsidR="00D22E2A" w:rsidRPr="00D22E2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Viktor Ivanchyk</w:t>
      </w:r>
    </w:p>
    <w:sectPr w:rsidR="0018612B" w:rsidRPr="005370E7" w:rsidSect="005370E7">
      <w:pgSz w:w="12240" w:h="15840"/>
      <w:pgMar w:top="1135" w:right="850" w:bottom="1276"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Автор" w:date="2013-01-31T14:31:00Z" w:initials="A">
    <w:p w:rsidR="00C41B94" w:rsidRDefault="00C41B94">
      <w:pPr>
        <w:pStyle w:val="a9"/>
      </w:pPr>
      <w:r>
        <w:rPr>
          <w:rStyle w:val="a8"/>
        </w:rPr>
        <w:annotationRef/>
      </w:r>
      <w:r>
        <w:t>OK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3"/>
      <w:suff w:val="nothing"/>
      <w:lvlText w:val=""/>
      <w:lvlJc w:val="left"/>
      <w:pPr>
        <w:tabs>
          <w:tab w:val="num" w:pos="360"/>
        </w:tabs>
        <w:ind w:left="2160" w:hanging="720"/>
      </w:pPr>
      <w:rPr>
        <w:rFonts w:cs="Times New Roman"/>
      </w:rPr>
    </w:lvl>
    <w:lvl w:ilvl="1">
      <w:start w:val="1"/>
      <w:numFmt w:val="lowerLetter"/>
      <w:lvlText w:val="(%2)"/>
      <w:lvlJc w:val="left"/>
      <w:pPr>
        <w:tabs>
          <w:tab w:val="num" w:pos="1417"/>
        </w:tabs>
        <w:ind w:left="1418" w:hanging="794"/>
      </w:pPr>
      <w:rPr>
        <w:rFonts w:cs="Times New Roman"/>
        <w:b w:val="0"/>
        <w:i w:val="0"/>
        <w:sz w:val="20"/>
      </w:rPr>
    </w:lvl>
    <w:lvl w:ilvl="2">
      <w:start w:val="1"/>
      <w:numFmt w:val="lowerLetter"/>
      <w:lvlText w:val="(%2.%3)"/>
      <w:lvlJc w:val="left"/>
      <w:pPr>
        <w:tabs>
          <w:tab w:val="num" w:pos="1928"/>
        </w:tabs>
        <w:ind w:left="1928" w:hanging="511"/>
      </w:pPr>
      <w:rPr>
        <w:rFonts w:cs="Times New Roman"/>
        <w:b w:val="0"/>
        <w:i w:val="0"/>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 %1"/>
      <w:lvlJc w:val="left"/>
      <w:pPr>
        <w:tabs>
          <w:tab w:val="num" w:pos="0"/>
        </w:tabs>
        <w:ind w:left="708" w:hanging="708"/>
      </w:pPr>
      <w:rPr>
        <w:rFonts w:cs="Times New Roman"/>
      </w:rPr>
    </w:lvl>
    <w:lvl w:ilvl="1">
      <w:start w:val="1"/>
      <w:numFmt w:val="decimal"/>
      <w:lvlText w:val="%2."/>
      <w:lvlJc w:val="left"/>
      <w:pPr>
        <w:tabs>
          <w:tab w:val="num" w:pos="0"/>
        </w:tabs>
        <w:ind w:left="425" w:hanging="284"/>
      </w:pPr>
      <w:rPr>
        <w:rFonts w:cs="Times New Roman"/>
      </w:rPr>
    </w:lvl>
    <w:lvl w:ilvl="2">
      <w:start w:val="1"/>
      <w:numFmt w:val="decimal"/>
      <w:lvlText w:val="%2.%3."/>
      <w:lvlJc w:val="left"/>
      <w:pPr>
        <w:tabs>
          <w:tab w:val="num" w:pos="0"/>
        </w:tabs>
        <w:ind w:left="1700" w:hanging="708"/>
      </w:pPr>
      <w:rPr>
        <w:rFonts w:cs="Times New Roman"/>
      </w:rPr>
    </w:lvl>
    <w:lvl w:ilvl="3">
      <w:start w:val="1"/>
      <w:numFmt w:val="lowerLetter"/>
      <w:lvlText w:val="%2.%3.%4)"/>
      <w:lvlJc w:val="left"/>
      <w:pPr>
        <w:tabs>
          <w:tab w:val="num" w:pos="0"/>
        </w:tabs>
        <w:ind w:left="2408" w:hanging="708"/>
      </w:pPr>
      <w:rPr>
        <w:rFonts w:cs="Times New Roman"/>
      </w:rPr>
    </w:lvl>
    <w:lvl w:ilvl="4">
      <w:start w:val="1"/>
      <w:numFmt w:val="decimal"/>
      <w:lvlText w:val="(%2.%3.%4.%5)"/>
      <w:lvlJc w:val="left"/>
      <w:pPr>
        <w:tabs>
          <w:tab w:val="num" w:pos="0"/>
        </w:tabs>
        <w:ind w:left="3116" w:hanging="708"/>
      </w:pPr>
      <w:rPr>
        <w:rFonts w:cs="Times New Roman"/>
      </w:rPr>
    </w:lvl>
    <w:lvl w:ilvl="5">
      <w:start w:val="1"/>
      <w:numFmt w:val="lowerLetter"/>
      <w:lvlText w:val="(%2.%3.%4.%5.%6)"/>
      <w:lvlJc w:val="left"/>
      <w:pPr>
        <w:tabs>
          <w:tab w:val="num" w:pos="0"/>
        </w:tabs>
        <w:ind w:left="3824" w:hanging="708"/>
      </w:pPr>
      <w:rPr>
        <w:rFonts w:cs="Times New Roman"/>
      </w:rPr>
    </w:lvl>
    <w:lvl w:ilvl="6">
      <w:start w:val="1"/>
      <w:numFmt w:val="lowerRoman"/>
      <w:lvlText w:val="(%2.%3.%4.%5.%6.%7)"/>
      <w:lvlJc w:val="left"/>
      <w:pPr>
        <w:tabs>
          <w:tab w:val="num" w:pos="0"/>
        </w:tabs>
        <w:ind w:left="4532" w:hanging="708"/>
      </w:pPr>
      <w:rPr>
        <w:rFonts w:cs="Times New Roman"/>
      </w:rPr>
    </w:lvl>
    <w:lvl w:ilvl="7">
      <w:start w:val="1"/>
      <w:numFmt w:val="lowerLetter"/>
      <w:lvlText w:val="(%2.%3.%4.%5.%6.%7.%8)"/>
      <w:lvlJc w:val="left"/>
      <w:pPr>
        <w:tabs>
          <w:tab w:val="num" w:pos="0"/>
        </w:tabs>
        <w:ind w:left="5240" w:hanging="708"/>
      </w:pPr>
      <w:rPr>
        <w:rFonts w:cs="Times New Roman"/>
      </w:rPr>
    </w:lvl>
    <w:lvl w:ilvl="8">
      <w:start w:val="1"/>
      <w:numFmt w:val="lowerRoman"/>
      <w:lvlText w:val="(%2.%3.%4.%5.%6.%7.%8.%9)"/>
      <w:lvlJc w:val="left"/>
      <w:pPr>
        <w:tabs>
          <w:tab w:val="num" w:pos="0"/>
        </w:tabs>
        <w:ind w:left="5948" w:hanging="708"/>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grammar="clean"/>
  <w:trackRevisions/>
  <w:defaultTabStop w:val="720"/>
  <w:hyphenationZone w:val="425"/>
  <w:characterSpacingControl w:val="doNotCompress"/>
  <w:compat>
    <w:useFELayout/>
  </w:compat>
  <w:rsids>
    <w:rsidRoot w:val="00350CA5"/>
    <w:rsid w:val="00035DB4"/>
    <w:rsid w:val="00040BB4"/>
    <w:rsid w:val="00050BA1"/>
    <w:rsid w:val="00050C47"/>
    <w:rsid w:val="000B2EFD"/>
    <w:rsid w:val="000C044E"/>
    <w:rsid w:val="0010259F"/>
    <w:rsid w:val="00114062"/>
    <w:rsid w:val="00114410"/>
    <w:rsid w:val="00122CE2"/>
    <w:rsid w:val="00126B2E"/>
    <w:rsid w:val="00156332"/>
    <w:rsid w:val="00157A5C"/>
    <w:rsid w:val="00182C0B"/>
    <w:rsid w:val="0018612B"/>
    <w:rsid w:val="00194074"/>
    <w:rsid w:val="001D0839"/>
    <w:rsid w:val="001E0E5F"/>
    <w:rsid w:val="002004A4"/>
    <w:rsid w:val="00200A4D"/>
    <w:rsid w:val="00243368"/>
    <w:rsid w:val="00276CB3"/>
    <w:rsid w:val="002F1DA7"/>
    <w:rsid w:val="00307907"/>
    <w:rsid w:val="00350CA5"/>
    <w:rsid w:val="003875C2"/>
    <w:rsid w:val="003C43A4"/>
    <w:rsid w:val="00400D7E"/>
    <w:rsid w:val="004067F6"/>
    <w:rsid w:val="0043109C"/>
    <w:rsid w:val="00482792"/>
    <w:rsid w:val="00492F1A"/>
    <w:rsid w:val="004B5392"/>
    <w:rsid w:val="004E0111"/>
    <w:rsid w:val="004F7FF7"/>
    <w:rsid w:val="00501D46"/>
    <w:rsid w:val="005370E7"/>
    <w:rsid w:val="005555D9"/>
    <w:rsid w:val="00562457"/>
    <w:rsid w:val="005D558F"/>
    <w:rsid w:val="00632A9D"/>
    <w:rsid w:val="00637D66"/>
    <w:rsid w:val="00642574"/>
    <w:rsid w:val="00683ECE"/>
    <w:rsid w:val="00695399"/>
    <w:rsid w:val="006A4AC6"/>
    <w:rsid w:val="006A6F2C"/>
    <w:rsid w:val="006B0F52"/>
    <w:rsid w:val="006C6EE9"/>
    <w:rsid w:val="006E4455"/>
    <w:rsid w:val="006E7B97"/>
    <w:rsid w:val="00716BB2"/>
    <w:rsid w:val="00720DCA"/>
    <w:rsid w:val="007313A0"/>
    <w:rsid w:val="00753585"/>
    <w:rsid w:val="0078099B"/>
    <w:rsid w:val="007865F8"/>
    <w:rsid w:val="008776EA"/>
    <w:rsid w:val="00884CA0"/>
    <w:rsid w:val="008B1970"/>
    <w:rsid w:val="008E38EB"/>
    <w:rsid w:val="00901920"/>
    <w:rsid w:val="00905389"/>
    <w:rsid w:val="00933E56"/>
    <w:rsid w:val="0097523D"/>
    <w:rsid w:val="009872F7"/>
    <w:rsid w:val="009A19DD"/>
    <w:rsid w:val="009E42E1"/>
    <w:rsid w:val="00A1062C"/>
    <w:rsid w:val="00A2037B"/>
    <w:rsid w:val="00A24FD9"/>
    <w:rsid w:val="00A3239F"/>
    <w:rsid w:val="00A327C2"/>
    <w:rsid w:val="00A33D4D"/>
    <w:rsid w:val="00A876BF"/>
    <w:rsid w:val="00AD340D"/>
    <w:rsid w:val="00AF6F5A"/>
    <w:rsid w:val="00B16E63"/>
    <w:rsid w:val="00B35ED5"/>
    <w:rsid w:val="00BD4D02"/>
    <w:rsid w:val="00C023B6"/>
    <w:rsid w:val="00C0684D"/>
    <w:rsid w:val="00C41B94"/>
    <w:rsid w:val="00CA71E1"/>
    <w:rsid w:val="00CE5E57"/>
    <w:rsid w:val="00CE7A7F"/>
    <w:rsid w:val="00CF4566"/>
    <w:rsid w:val="00D059D0"/>
    <w:rsid w:val="00D122CA"/>
    <w:rsid w:val="00D16EF7"/>
    <w:rsid w:val="00D22E2A"/>
    <w:rsid w:val="00D903AF"/>
    <w:rsid w:val="00DB6DAC"/>
    <w:rsid w:val="00DC1D8B"/>
    <w:rsid w:val="00DE7942"/>
    <w:rsid w:val="00E17CDA"/>
    <w:rsid w:val="00E22023"/>
    <w:rsid w:val="00E31890"/>
    <w:rsid w:val="00E52010"/>
    <w:rsid w:val="00EA6F19"/>
    <w:rsid w:val="00ED7DAF"/>
    <w:rsid w:val="00F56654"/>
    <w:rsid w:val="00FD11F4"/>
    <w:rsid w:val="00FD181E"/>
    <w:rsid w:val="00FF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32"/>
  </w:style>
  <w:style w:type="paragraph" w:styleId="2">
    <w:name w:val="heading 2"/>
    <w:basedOn w:val="a"/>
    <w:next w:val="a0"/>
    <w:link w:val="20"/>
    <w:qFormat/>
    <w:rsid w:val="00050BA1"/>
    <w:pPr>
      <w:tabs>
        <w:tab w:val="num" w:pos="360"/>
      </w:tabs>
      <w:suppressAutoHyphens/>
      <w:spacing w:after="240" w:line="240" w:lineRule="auto"/>
      <w:ind w:left="2160" w:hanging="720"/>
      <w:jc w:val="both"/>
      <w:outlineLvl w:val="1"/>
    </w:pPr>
    <w:rPr>
      <w:rFonts w:ascii="Times New Roman" w:eastAsia="Arial Unicode MS" w:hAnsi="Times New Roman" w:cs="Arial Unicode MS"/>
      <w:kern w:val="1"/>
      <w:sz w:val="24"/>
      <w:szCs w:val="20"/>
      <w:lang w:eastAsia="hi-IN" w:bidi="hi-IN"/>
    </w:rPr>
  </w:style>
  <w:style w:type="paragraph" w:styleId="3">
    <w:name w:val="heading 3"/>
    <w:basedOn w:val="a"/>
    <w:next w:val="a0"/>
    <w:link w:val="30"/>
    <w:qFormat/>
    <w:rsid w:val="00050BA1"/>
    <w:pPr>
      <w:keepNext/>
      <w:numPr>
        <w:numId w:val="1"/>
      </w:numPr>
      <w:suppressAutoHyphens/>
      <w:spacing w:before="240" w:after="60" w:line="240" w:lineRule="auto"/>
      <w:outlineLvl w:val="2"/>
    </w:pPr>
    <w:rPr>
      <w:rFonts w:ascii="Arial" w:eastAsia="Arial Unicode MS" w:hAnsi="Arial" w:cs="Arial Unicode MS"/>
      <w:kern w:val="1"/>
      <w:sz w:val="24"/>
      <w:szCs w:val="20"/>
      <w:lang w:val="en-GB"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350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050BA1"/>
    <w:rPr>
      <w:rFonts w:ascii="Times New Roman" w:eastAsia="Arial Unicode MS" w:hAnsi="Times New Roman" w:cs="Arial Unicode MS"/>
      <w:kern w:val="1"/>
      <w:sz w:val="24"/>
      <w:szCs w:val="20"/>
      <w:lang w:eastAsia="hi-IN" w:bidi="hi-IN"/>
    </w:rPr>
  </w:style>
  <w:style w:type="character" w:customStyle="1" w:styleId="30">
    <w:name w:val="Заголовок 3 Знак"/>
    <w:basedOn w:val="a1"/>
    <w:link w:val="3"/>
    <w:rsid w:val="00050BA1"/>
    <w:rPr>
      <w:rFonts w:ascii="Arial" w:eastAsia="Arial Unicode MS" w:hAnsi="Arial" w:cs="Arial Unicode MS"/>
      <w:kern w:val="1"/>
      <w:sz w:val="24"/>
      <w:szCs w:val="20"/>
      <w:lang w:val="en-GB" w:eastAsia="hi-IN" w:bidi="hi-IN"/>
    </w:rPr>
  </w:style>
  <w:style w:type="paragraph" w:styleId="a0">
    <w:name w:val="Body Text"/>
    <w:basedOn w:val="a"/>
    <w:link w:val="a5"/>
    <w:uiPriority w:val="99"/>
    <w:semiHidden/>
    <w:unhideWhenUsed/>
    <w:rsid w:val="00050BA1"/>
    <w:pPr>
      <w:spacing w:after="120"/>
    </w:pPr>
  </w:style>
  <w:style w:type="character" w:customStyle="1" w:styleId="a5">
    <w:name w:val="Основной текст Знак"/>
    <w:basedOn w:val="a1"/>
    <w:link w:val="a0"/>
    <w:uiPriority w:val="99"/>
    <w:semiHidden/>
    <w:rsid w:val="00050BA1"/>
  </w:style>
  <w:style w:type="paragraph" w:styleId="a6">
    <w:name w:val="Balloon Text"/>
    <w:basedOn w:val="a"/>
    <w:link w:val="a7"/>
    <w:uiPriority w:val="99"/>
    <w:semiHidden/>
    <w:unhideWhenUsed/>
    <w:rsid w:val="006C6EE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C6EE9"/>
    <w:rPr>
      <w:rFonts w:ascii="Tahoma" w:hAnsi="Tahoma" w:cs="Tahoma"/>
      <w:sz w:val="16"/>
      <w:szCs w:val="16"/>
    </w:rPr>
  </w:style>
  <w:style w:type="character" w:styleId="a8">
    <w:name w:val="annotation reference"/>
    <w:basedOn w:val="a1"/>
    <w:uiPriority w:val="99"/>
    <w:semiHidden/>
    <w:unhideWhenUsed/>
    <w:rsid w:val="00200A4D"/>
    <w:rPr>
      <w:sz w:val="16"/>
      <w:szCs w:val="16"/>
    </w:rPr>
  </w:style>
  <w:style w:type="paragraph" w:styleId="a9">
    <w:name w:val="annotation text"/>
    <w:basedOn w:val="a"/>
    <w:link w:val="aa"/>
    <w:uiPriority w:val="99"/>
    <w:semiHidden/>
    <w:unhideWhenUsed/>
    <w:rsid w:val="00200A4D"/>
    <w:pPr>
      <w:spacing w:line="240" w:lineRule="auto"/>
    </w:pPr>
    <w:rPr>
      <w:sz w:val="20"/>
      <w:szCs w:val="20"/>
    </w:rPr>
  </w:style>
  <w:style w:type="character" w:customStyle="1" w:styleId="aa">
    <w:name w:val="Текст примечания Знак"/>
    <w:basedOn w:val="a1"/>
    <w:link w:val="a9"/>
    <w:uiPriority w:val="99"/>
    <w:semiHidden/>
    <w:rsid w:val="00200A4D"/>
    <w:rPr>
      <w:sz w:val="20"/>
      <w:szCs w:val="20"/>
    </w:rPr>
  </w:style>
  <w:style w:type="paragraph" w:styleId="ab">
    <w:name w:val="annotation subject"/>
    <w:basedOn w:val="a9"/>
    <w:next w:val="a9"/>
    <w:link w:val="ac"/>
    <w:uiPriority w:val="99"/>
    <w:semiHidden/>
    <w:unhideWhenUsed/>
    <w:rsid w:val="00200A4D"/>
    <w:rPr>
      <w:b/>
      <w:bCs/>
    </w:rPr>
  </w:style>
  <w:style w:type="character" w:customStyle="1" w:styleId="ac">
    <w:name w:val="Тема примечания Знак"/>
    <w:basedOn w:val="aa"/>
    <w:link w:val="ab"/>
    <w:uiPriority w:val="99"/>
    <w:semiHidden/>
    <w:rsid w:val="00200A4D"/>
    <w:rPr>
      <w:b/>
      <w:bCs/>
      <w:sz w:val="20"/>
      <w:szCs w:val="20"/>
    </w:rPr>
  </w:style>
  <w:style w:type="paragraph" w:styleId="ad">
    <w:name w:val="Revision"/>
    <w:hidden/>
    <w:uiPriority w:val="99"/>
    <w:semiHidden/>
    <w:rsid w:val="006A4A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050BA1"/>
    <w:pPr>
      <w:tabs>
        <w:tab w:val="num" w:pos="360"/>
      </w:tabs>
      <w:suppressAutoHyphens/>
      <w:spacing w:after="240" w:line="240" w:lineRule="auto"/>
      <w:ind w:left="2160" w:hanging="720"/>
      <w:jc w:val="both"/>
      <w:outlineLvl w:val="1"/>
    </w:pPr>
    <w:rPr>
      <w:rFonts w:ascii="Times New Roman" w:eastAsia="Arial Unicode MS" w:hAnsi="Times New Roman" w:cs="Arial Unicode MS"/>
      <w:kern w:val="1"/>
      <w:sz w:val="24"/>
      <w:szCs w:val="20"/>
      <w:lang w:eastAsia="hi-IN" w:bidi="hi-IN"/>
    </w:rPr>
  </w:style>
  <w:style w:type="paragraph" w:styleId="Heading3">
    <w:name w:val="heading 3"/>
    <w:basedOn w:val="Normal"/>
    <w:next w:val="BodyText"/>
    <w:link w:val="Heading3Char"/>
    <w:qFormat/>
    <w:rsid w:val="00050BA1"/>
    <w:pPr>
      <w:keepNext/>
      <w:numPr>
        <w:numId w:val="1"/>
      </w:numPr>
      <w:suppressAutoHyphens/>
      <w:spacing w:before="240" w:after="60" w:line="240" w:lineRule="auto"/>
      <w:outlineLvl w:val="2"/>
    </w:pPr>
    <w:rPr>
      <w:rFonts w:ascii="Arial" w:eastAsia="Arial Unicode MS" w:hAnsi="Arial" w:cs="Arial Unicode MS"/>
      <w:kern w:val="1"/>
      <w:sz w:val="24"/>
      <w:szCs w:val="20"/>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50BA1"/>
    <w:rPr>
      <w:rFonts w:ascii="Times New Roman" w:eastAsia="Arial Unicode MS" w:hAnsi="Times New Roman" w:cs="Arial Unicode MS"/>
      <w:kern w:val="1"/>
      <w:sz w:val="24"/>
      <w:szCs w:val="20"/>
      <w:lang w:eastAsia="hi-IN" w:bidi="hi-IN"/>
    </w:rPr>
  </w:style>
  <w:style w:type="character" w:customStyle="1" w:styleId="Heading3Char">
    <w:name w:val="Heading 3 Char"/>
    <w:basedOn w:val="DefaultParagraphFont"/>
    <w:link w:val="Heading3"/>
    <w:rsid w:val="00050BA1"/>
    <w:rPr>
      <w:rFonts w:ascii="Arial" w:eastAsia="Arial Unicode MS" w:hAnsi="Arial" w:cs="Arial Unicode MS"/>
      <w:kern w:val="1"/>
      <w:sz w:val="24"/>
      <w:szCs w:val="20"/>
      <w:lang w:val="en-GB" w:eastAsia="hi-IN" w:bidi="hi-IN"/>
    </w:rPr>
  </w:style>
  <w:style w:type="paragraph" w:styleId="BodyText">
    <w:name w:val="Body Text"/>
    <w:basedOn w:val="Normal"/>
    <w:link w:val="BodyTextChar"/>
    <w:uiPriority w:val="99"/>
    <w:semiHidden/>
    <w:unhideWhenUsed/>
    <w:rsid w:val="00050BA1"/>
    <w:pPr>
      <w:spacing w:after="120"/>
    </w:pPr>
  </w:style>
  <w:style w:type="character" w:customStyle="1" w:styleId="BodyTextChar">
    <w:name w:val="Body Text Char"/>
    <w:basedOn w:val="DefaultParagraphFont"/>
    <w:link w:val="BodyText"/>
    <w:uiPriority w:val="99"/>
    <w:semiHidden/>
    <w:rsid w:val="00050BA1"/>
  </w:style>
  <w:style w:type="paragraph" w:styleId="BalloonText">
    <w:name w:val="Balloon Text"/>
    <w:basedOn w:val="Normal"/>
    <w:link w:val="BalloonTextChar"/>
    <w:uiPriority w:val="99"/>
    <w:semiHidden/>
    <w:unhideWhenUsed/>
    <w:rsid w:val="006C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E9"/>
    <w:rPr>
      <w:rFonts w:ascii="Tahoma" w:hAnsi="Tahoma" w:cs="Tahoma"/>
      <w:sz w:val="16"/>
      <w:szCs w:val="16"/>
    </w:rPr>
  </w:style>
  <w:style w:type="character" w:styleId="CommentReference">
    <w:name w:val="annotation reference"/>
    <w:basedOn w:val="DefaultParagraphFont"/>
    <w:uiPriority w:val="99"/>
    <w:semiHidden/>
    <w:unhideWhenUsed/>
    <w:rsid w:val="00200A4D"/>
    <w:rPr>
      <w:sz w:val="16"/>
      <w:szCs w:val="16"/>
    </w:rPr>
  </w:style>
  <w:style w:type="paragraph" w:styleId="CommentText">
    <w:name w:val="annotation text"/>
    <w:basedOn w:val="Normal"/>
    <w:link w:val="CommentTextChar"/>
    <w:uiPriority w:val="99"/>
    <w:semiHidden/>
    <w:unhideWhenUsed/>
    <w:rsid w:val="00200A4D"/>
    <w:pPr>
      <w:spacing w:line="240" w:lineRule="auto"/>
    </w:pPr>
    <w:rPr>
      <w:sz w:val="20"/>
      <w:szCs w:val="20"/>
    </w:rPr>
  </w:style>
  <w:style w:type="character" w:customStyle="1" w:styleId="CommentTextChar">
    <w:name w:val="Comment Text Char"/>
    <w:basedOn w:val="DefaultParagraphFont"/>
    <w:link w:val="CommentText"/>
    <w:uiPriority w:val="99"/>
    <w:semiHidden/>
    <w:rsid w:val="00200A4D"/>
    <w:rPr>
      <w:sz w:val="20"/>
      <w:szCs w:val="20"/>
    </w:rPr>
  </w:style>
  <w:style w:type="paragraph" w:styleId="CommentSubject">
    <w:name w:val="annotation subject"/>
    <w:basedOn w:val="CommentText"/>
    <w:next w:val="CommentText"/>
    <w:link w:val="CommentSubjectChar"/>
    <w:uiPriority w:val="99"/>
    <w:semiHidden/>
    <w:unhideWhenUsed/>
    <w:rsid w:val="00200A4D"/>
    <w:rPr>
      <w:b/>
      <w:bCs/>
    </w:rPr>
  </w:style>
  <w:style w:type="character" w:customStyle="1" w:styleId="CommentSubjectChar">
    <w:name w:val="Comment Subject Char"/>
    <w:basedOn w:val="CommentTextChar"/>
    <w:link w:val="CommentSubject"/>
    <w:uiPriority w:val="99"/>
    <w:semiHidden/>
    <w:rsid w:val="00200A4D"/>
    <w:rPr>
      <w:b/>
      <w:bCs/>
      <w:sz w:val="20"/>
      <w:szCs w:val="20"/>
    </w:rPr>
  </w:style>
  <w:style w:type="paragraph" w:styleId="Revision">
    <w:name w:val="Revision"/>
    <w:hidden/>
    <w:uiPriority w:val="99"/>
    <w:semiHidden/>
    <w:rsid w:val="006A4AC6"/>
    <w:pPr>
      <w:spacing w:after="0" w:line="240" w:lineRule="auto"/>
    </w:pPr>
  </w:style>
</w:styles>
</file>

<file path=word/webSettings.xml><?xml version="1.0" encoding="utf-8"?>
<w:webSettings xmlns:r="http://schemas.openxmlformats.org/officeDocument/2006/relationships" xmlns:w="http://schemas.openxmlformats.org/wordprocessingml/2006/main">
  <w:divs>
    <w:div w:id="752363586">
      <w:bodyDiv w:val="1"/>
      <w:marLeft w:val="0"/>
      <w:marRight w:val="0"/>
      <w:marTop w:val="0"/>
      <w:marBottom w:val="0"/>
      <w:divBdr>
        <w:top w:val="none" w:sz="0" w:space="0" w:color="auto"/>
        <w:left w:val="none" w:sz="0" w:space="0" w:color="auto"/>
        <w:bottom w:val="none" w:sz="0" w:space="0" w:color="auto"/>
        <w:right w:val="none" w:sz="0" w:space="0" w:color="auto"/>
      </w:divBdr>
    </w:div>
    <w:div w:id="873805026">
      <w:bodyDiv w:val="1"/>
      <w:marLeft w:val="0"/>
      <w:marRight w:val="0"/>
      <w:marTop w:val="0"/>
      <w:marBottom w:val="0"/>
      <w:divBdr>
        <w:top w:val="none" w:sz="0" w:space="0" w:color="auto"/>
        <w:left w:val="none" w:sz="0" w:space="0" w:color="auto"/>
        <w:bottom w:val="none" w:sz="0" w:space="0" w:color="auto"/>
        <w:right w:val="none" w:sz="0" w:space="0" w:color="auto"/>
      </w:divBdr>
    </w:div>
    <w:div w:id="1059985253">
      <w:bodyDiv w:val="1"/>
      <w:marLeft w:val="0"/>
      <w:marRight w:val="0"/>
      <w:marTop w:val="0"/>
      <w:marBottom w:val="0"/>
      <w:divBdr>
        <w:top w:val="none" w:sz="0" w:space="0" w:color="auto"/>
        <w:left w:val="none" w:sz="0" w:space="0" w:color="auto"/>
        <w:bottom w:val="none" w:sz="0" w:space="0" w:color="auto"/>
        <w:right w:val="none" w:sz="0" w:space="0" w:color="auto"/>
      </w:divBdr>
    </w:div>
    <w:div w:id="1507743547">
      <w:bodyDiv w:val="1"/>
      <w:marLeft w:val="0"/>
      <w:marRight w:val="0"/>
      <w:marTop w:val="0"/>
      <w:marBottom w:val="0"/>
      <w:divBdr>
        <w:top w:val="none" w:sz="0" w:space="0" w:color="auto"/>
        <w:left w:val="none" w:sz="0" w:space="0" w:color="auto"/>
        <w:bottom w:val="none" w:sz="0" w:space="0" w:color="auto"/>
        <w:right w:val="none" w:sz="0" w:space="0" w:color="auto"/>
      </w:divBdr>
    </w:div>
    <w:div w:id="15849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8C40-C1EC-48D2-9BC4-356D6BE9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3657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2013-02-13T14:55:00Z</dcterms:created>
  <dcterms:modified xsi:type="dcterms:W3CDTF">2013-04-19T09:04:00Z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92a40081-8057-43cb-9afb-37fb87aec4f2</vt:lpwstr>
  </property>
</Properties>
</file>