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620" w14:textId="77777777" w:rsidR="00184F5D" w:rsidRPr="00473F8D" w:rsidRDefault="00840AC7" w:rsidP="00992076">
      <w:pPr>
        <w:jc w:val="both"/>
        <w:rPr>
          <w:b/>
          <w:noProof/>
        </w:rPr>
      </w:pPr>
      <w:r>
        <w:rPr>
          <w:noProof/>
          <w:lang w:val="en-US" w:eastAsia="en-US" w:bidi="ar-SA"/>
        </w:rPr>
        <mc:AlternateContent>
          <mc:Choice Requires="wps">
            <w:drawing>
              <wp:anchor distT="0" distB="0" distL="114300" distR="114300" simplePos="0" relativeHeight="251653120" behindDoc="0" locked="0" layoutInCell="1" allowOverlap="1" wp14:anchorId="6863A619" wp14:editId="431BEFC7">
                <wp:simplePos x="0" y="0"/>
                <wp:positionH relativeFrom="column">
                  <wp:posOffset>3146425</wp:posOffset>
                </wp:positionH>
                <wp:positionV relativeFrom="paragraph">
                  <wp:posOffset>-496570</wp:posOffset>
                </wp:positionV>
                <wp:extent cx="26574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19125"/>
                        </a:xfrm>
                        <a:prstGeom prst="rect">
                          <a:avLst/>
                        </a:prstGeom>
                        <a:solidFill>
                          <a:srgbClr val="7F7869">
                            <a:alpha val="47000"/>
                          </a:srgbClr>
                        </a:solidFill>
                        <a:ln w="9525">
                          <a:noFill/>
                          <a:miter lim="800000"/>
                          <a:headEnd/>
                          <a:tailEnd/>
                        </a:ln>
                      </wps:spPr>
                      <wps:txbx>
                        <w:txbxContent>
                          <w:p w14:paraId="4561DA8F" w14:textId="77777777" w:rsidR="00F44BEF" w:rsidRPr="00110991" w:rsidRDefault="00F44BEF" w:rsidP="00184F5D">
                            <w:pPr>
                              <w:pStyle w:val="Koptekst"/>
                              <w:jc w:val="right"/>
                              <w:rPr>
                                <w:b/>
                                <w:noProof/>
                                <w:color w:val="FFFFFF"/>
                              </w:rPr>
                            </w:pPr>
                            <w:r>
                              <w:rPr>
                                <w:b/>
                                <w:noProof/>
                                <w:color w:val="FFFFFF"/>
                              </w:rPr>
                              <w:t>PRESS RELEASE</w:t>
                            </w:r>
                          </w:p>
                          <w:p w14:paraId="560A804E" w14:textId="24DA0E42" w:rsidR="00F44BEF" w:rsidRPr="00110991" w:rsidRDefault="00F44BEF" w:rsidP="00184F5D">
                            <w:pPr>
                              <w:pStyle w:val="Koptekst"/>
                              <w:jc w:val="right"/>
                              <w:rPr>
                                <w:b/>
                                <w:noProof/>
                                <w:color w:val="FFFFFF"/>
                              </w:rPr>
                            </w:pPr>
                            <w:r>
                              <w:rPr>
                                <w:b/>
                                <w:noProof/>
                                <w:color w:val="FFFFFF"/>
                              </w:rPr>
                              <w:t>Wednesday 3 May 2017, 07.00 am</w:t>
                            </w:r>
                          </w:p>
                          <w:p w14:paraId="6BE920CD" w14:textId="77777777" w:rsidR="00F44BEF" w:rsidRPr="00110991" w:rsidRDefault="00F44BEF" w:rsidP="00184F5D">
                            <w:pPr>
                              <w:pStyle w:val="Koptekst"/>
                              <w:jc w:val="right"/>
                              <w:rPr>
                                <w:noProof/>
                                <w:color w:val="FFFFFF"/>
                              </w:rPr>
                            </w:pPr>
                            <w:r>
                              <w:rPr>
                                <w:noProof/>
                                <w:color w:val="FFFFFF"/>
                              </w:rPr>
                              <w:t>Regulated information</w:t>
                            </w:r>
                          </w:p>
                          <w:p w14:paraId="699C4AF6" w14:textId="77777777" w:rsidR="00F44BEF" w:rsidRPr="00110991" w:rsidRDefault="00F44BEF" w:rsidP="00184F5D">
                            <w:pPr>
                              <w:pStyle w:val="Koptekst"/>
                              <w:jc w:val="right"/>
                              <w:rPr>
                                <w:b/>
                                <w:noProof/>
                                <w:color w:val="FFFFFF"/>
                              </w:rPr>
                            </w:pPr>
                            <w:r>
                              <w:rPr>
                                <w:b/>
                                <w:noProof/>
                                <w:color w:val="FFFFFF"/>
                              </w:rPr>
                              <w:t>Regulated information</w:t>
                            </w:r>
                          </w:p>
                          <w:p w14:paraId="2BF4AE30" w14:textId="77777777" w:rsidR="00F44BEF" w:rsidRPr="00676A42" w:rsidRDefault="00F44BEF" w:rsidP="00184F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3A619" id="_x0000_t202" coordsize="21600,21600" o:spt="202" path="m,l,21600r21600,l21600,xe">
                <v:stroke joinstyle="miter"/>
                <v:path gradientshapeok="t" o:connecttype="rect"/>
              </v:shapetype>
              <v:shape id="Text Box 2" o:spid="_x0000_s1026" type="#_x0000_t202" style="position:absolute;left:0;text-align:left;margin-left:247.75pt;margin-top:-39.1pt;width:209.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" fillcolor="#7f7869" stroked="f">
                <v:fill opacity="30840f"/>
                <v:textbox>
                  <w:txbxContent>
                    <w:p w14:paraId="4561DA8F" w14:textId="77777777" w:rsidR="00F44BEF" w:rsidRPr="00110991" w:rsidRDefault="00F44BEF" w:rsidP="00184F5D">
                      <w:pPr>
                        <w:pStyle w:val="Koptekst"/>
                        <w:jc w:val="right"/>
                        <w:rPr>
                          <w:b/>
                          <w:noProof/>
                          <w:color w:val="FFFFFF"/>
                        </w:rPr>
                      </w:pPr>
                      <w:r>
                        <w:rPr>
                          <w:b/>
                          <w:noProof/>
                          <w:color w:val="FFFFFF"/>
                        </w:rPr>
                        <w:t>PRESS RELEASE</w:t>
                      </w:r>
                    </w:p>
                    <w:p w14:paraId="560A804E" w14:textId="24DA0E42" w:rsidR="00F44BEF" w:rsidRPr="00110991" w:rsidRDefault="00F44BEF" w:rsidP="00184F5D">
                      <w:pPr>
                        <w:pStyle w:val="Koptekst"/>
                        <w:jc w:val="right"/>
                        <w:rPr>
                          <w:b/>
                          <w:noProof/>
                          <w:color w:val="FFFFFF"/>
                        </w:rPr>
                      </w:pPr>
                      <w:r>
                        <w:rPr>
                          <w:b/>
                          <w:noProof/>
                          <w:color w:val="FFFFFF"/>
                        </w:rPr>
                        <w:t>Wednesday 3 May 2017, 07.00 am</w:t>
                      </w:r>
                    </w:p>
                    <w:p w14:paraId="6BE920CD" w14:textId="77777777" w:rsidR="00F44BEF" w:rsidRPr="00110991" w:rsidRDefault="00F44BEF" w:rsidP="00184F5D">
                      <w:pPr>
                        <w:pStyle w:val="Koptekst"/>
                        <w:jc w:val="right"/>
                        <w:rPr>
                          <w:noProof/>
                          <w:color w:val="FFFFFF"/>
                        </w:rPr>
                      </w:pPr>
                      <w:r>
                        <w:rPr>
                          <w:noProof/>
                          <w:color w:val="FFFFFF"/>
                        </w:rPr>
                        <w:t>Regulated information</w:t>
                      </w:r>
                    </w:p>
                    <w:p w14:paraId="699C4AF6" w14:textId="77777777" w:rsidR="00F44BEF" w:rsidRPr="00110991" w:rsidRDefault="00F44BEF" w:rsidP="00184F5D">
                      <w:pPr>
                        <w:pStyle w:val="Koptekst"/>
                        <w:jc w:val="right"/>
                        <w:rPr>
                          <w:b/>
                          <w:noProof/>
                          <w:color w:val="FFFFFF"/>
                        </w:rPr>
                      </w:pPr>
                      <w:r>
                        <w:rPr>
                          <w:b/>
                          <w:noProof/>
                          <w:color w:val="FFFFFF"/>
                        </w:rPr>
                        <w:t>Regulated information</w:t>
                      </w:r>
                    </w:p>
                    <w:p w14:paraId="2BF4AE30" w14:textId="77777777" w:rsidR="00F44BEF" w:rsidRPr="00676A42" w:rsidRDefault="00F44BEF" w:rsidP="00184F5D"/>
                  </w:txbxContent>
                </v:textbox>
              </v:shape>
            </w:pict>
          </mc:Fallback>
        </mc:AlternateContent>
      </w:r>
      <w:r>
        <w:rPr>
          <w:noProof/>
          <w:lang w:val="en-US" w:eastAsia="en-US" w:bidi="ar-SA"/>
        </w:rPr>
        <w:drawing>
          <wp:anchor distT="0" distB="0" distL="114300" distR="114300" simplePos="0" relativeHeight="251652096" behindDoc="1" locked="0" layoutInCell="1" allowOverlap="1" wp14:anchorId="4A5EA8B7" wp14:editId="2C7B46AE">
            <wp:simplePos x="0" y="0"/>
            <wp:positionH relativeFrom="margin">
              <wp:posOffset>4079240</wp:posOffset>
            </wp:positionH>
            <wp:positionV relativeFrom="paragraph">
              <wp:posOffset>-670560</wp:posOffset>
            </wp:positionV>
            <wp:extent cx="1933575" cy="1381125"/>
            <wp:effectExtent l="0" t="0" r="0" b="0"/>
            <wp:wrapNone/>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bidi="ar-SA"/>
        </w:rPr>
        <w:drawing>
          <wp:anchor distT="0" distB="0" distL="114300" distR="114300" simplePos="0" relativeHeight="251651072" behindDoc="1" locked="0" layoutInCell="1" allowOverlap="1" wp14:anchorId="10533EA8" wp14:editId="64976468">
            <wp:simplePos x="0" y="0"/>
            <wp:positionH relativeFrom="page">
              <wp:posOffset>904875</wp:posOffset>
            </wp:positionH>
            <wp:positionV relativeFrom="page">
              <wp:posOffset>895350</wp:posOffset>
            </wp:positionV>
            <wp:extent cx="2422525" cy="932180"/>
            <wp:effectExtent l="0" t="0" r="0" b="0"/>
            <wp:wrapTight wrapText="bothSides">
              <wp:wrapPolygon edited="0">
                <wp:start x="0" y="0"/>
                <wp:lineTo x="0" y="21188"/>
                <wp:lineTo x="21402" y="21188"/>
                <wp:lineTo x="21402" y="0"/>
                <wp:lineTo x="0" y="0"/>
              </wp:wrapPolygon>
            </wp:wrapTight>
            <wp:docPr id="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16C0A" w14:textId="77777777" w:rsidR="00184F5D" w:rsidRPr="00473F8D" w:rsidRDefault="00184F5D" w:rsidP="00992076">
      <w:pPr>
        <w:pStyle w:val="Koptekst"/>
        <w:spacing w:line="276" w:lineRule="auto"/>
        <w:jc w:val="both"/>
        <w:rPr>
          <w:b/>
          <w:noProof/>
        </w:rPr>
      </w:pPr>
    </w:p>
    <w:p w14:paraId="6B6AA37B" w14:textId="77777777" w:rsidR="00184F5D" w:rsidRPr="00473F8D" w:rsidRDefault="00184F5D" w:rsidP="00992076">
      <w:pPr>
        <w:pStyle w:val="Koptekst"/>
        <w:spacing w:line="276" w:lineRule="auto"/>
        <w:jc w:val="both"/>
        <w:rPr>
          <w:b/>
          <w:noProof/>
        </w:rPr>
      </w:pPr>
    </w:p>
    <w:p w14:paraId="750E9C71" w14:textId="77777777" w:rsidR="00E505FF" w:rsidRPr="00473F8D" w:rsidRDefault="009B2F9C" w:rsidP="00992076">
      <w:pPr>
        <w:pStyle w:val="Kop1"/>
        <w:jc w:val="center"/>
      </w:pPr>
      <w:r>
        <w:t>INTERIM STATEMENT BY THE MANAGER FOR THE PERIOD 01.01.2017 – 31.03.2017</w:t>
      </w:r>
    </w:p>
    <w:p w14:paraId="5BA2AC66" w14:textId="1E0A95A5" w:rsidR="0019763B" w:rsidRDefault="009B2F9C" w:rsidP="00690517">
      <w:pPr>
        <w:pStyle w:val="Lijstalinea"/>
        <w:numPr>
          <w:ilvl w:val="0"/>
          <w:numId w:val="4"/>
        </w:numPr>
        <w:jc w:val="both"/>
        <w:rPr>
          <w:b/>
        </w:rPr>
      </w:pPr>
      <w:r>
        <w:rPr>
          <w:b/>
        </w:rPr>
        <w:t xml:space="preserve">EPRA </w:t>
      </w:r>
      <w:r w:rsidR="00182B85">
        <w:rPr>
          <w:b/>
        </w:rPr>
        <w:t>E</w:t>
      </w:r>
      <w:r>
        <w:rPr>
          <w:b/>
        </w:rPr>
        <w:t xml:space="preserve">arnings for Q1 2017 </w:t>
      </w:r>
      <w:r w:rsidR="00910CCA">
        <w:rPr>
          <w:b/>
        </w:rPr>
        <w:t>amount</w:t>
      </w:r>
      <w:r w:rsidR="0019763B">
        <w:rPr>
          <w:b/>
        </w:rPr>
        <w:t>s</w:t>
      </w:r>
      <w:r w:rsidR="00910CCA">
        <w:rPr>
          <w:b/>
        </w:rPr>
        <w:t xml:space="preserve"> </w:t>
      </w:r>
      <w:r>
        <w:rPr>
          <w:b/>
        </w:rPr>
        <w:t xml:space="preserve">to </w:t>
      </w:r>
      <w:r w:rsidR="00690517">
        <w:rPr>
          <w:b/>
        </w:rPr>
        <w:t>25.6</w:t>
      </w:r>
      <w:r>
        <w:rPr>
          <w:b/>
        </w:rPr>
        <w:t xml:space="preserve"> million </w:t>
      </w:r>
      <w:r w:rsidR="00182B85">
        <w:rPr>
          <w:b/>
        </w:rPr>
        <w:t>euros</w:t>
      </w:r>
      <w:r w:rsidR="0019763B">
        <w:rPr>
          <w:b/>
        </w:rPr>
        <w:t>, an increase of 15% compared to Q1 2016.</w:t>
      </w:r>
    </w:p>
    <w:p w14:paraId="4C949782" w14:textId="45011975" w:rsidR="009B2F9C" w:rsidRPr="009822C0" w:rsidRDefault="0019763B" w:rsidP="00690517">
      <w:pPr>
        <w:pStyle w:val="Lijstalinea"/>
        <w:numPr>
          <w:ilvl w:val="0"/>
          <w:numId w:val="4"/>
        </w:numPr>
        <w:jc w:val="both"/>
        <w:rPr>
          <w:b/>
        </w:rPr>
      </w:pPr>
      <w:r>
        <w:rPr>
          <w:b/>
        </w:rPr>
        <w:t>The EPRA Earnings per share amounts</w:t>
      </w:r>
      <w:r w:rsidR="00182B85">
        <w:rPr>
          <w:b/>
        </w:rPr>
        <w:t xml:space="preserve"> </w:t>
      </w:r>
      <w:r>
        <w:rPr>
          <w:b/>
        </w:rPr>
        <w:t>to</w:t>
      </w:r>
      <w:r w:rsidR="009B2F9C">
        <w:rPr>
          <w:b/>
        </w:rPr>
        <w:t xml:space="preserve"> </w:t>
      </w:r>
      <w:r w:rsidR="00690517">
        <w:rPr>
          <w:b/>
        </w:rPr>
        <w:t>1.20</w:t>
      </w:r>
      <w:r w:rsidR="009B2F9C">
        <w:rPr>
          <w:b/>
        </w:rPr>
        <w:t xml:space="preserve"> </w:t>
      </w:r>
      <w:r w:rsidR="0064679B">
        <w:rPr>
          <w:b/>
        </w:rPr>
        <w:t>euros</w:t>
      </w:r>
      <w:r w:rsidR="009B2F9C">
        <w:rPr>
          <w:b/>
        </w:rPr>
        <w:t xml:space="preserve">, </w:t>
      </w:r>
      <w:r w:rsidR="00690517" w:rsidRPr="00690517">
        <w:rPr>
          <w:b/>
        </w:rPr>
        <w:t xml:space="preserve">steady with </w:t>
      </w:r>
      <w:r w:rsidR="00690517" w:rsidRPr="009822C0">
        <w:rPr>
          <w:b/>
        </w:rPr>
        <w:t xml:space="preserve">respect to Q1 2016, </w:t>
      </w:r>
      <w:r>
        <w:rPr>
          <w:b/>
        </w:rPr>
        <w:t>including an increase of outstanding shares of</w:t>
      </w:r>
      <w:r w:rsidRPr="009822C0">
        <w:rPr>
          <w:b/>
        </w:rPr>
        <w:t xml:space="preserve"> </w:t>
      </w:r>
      <w:r w:rsidR="00690517" w:rsidRPr="009822C0">
        <w:rPr>
          <w:b/>
        </w:rPr>
        <w:t>15% and a far lower gearing ratio</w:t>
      </w:r>
      <w:r>
        <w:rPr>
          <w:b/>
        </w:rPr>
        <w:t xml:space="preserve"> (namely -7% year-on-year </w:t>
      </w:r>
      <w:r w:rsidR="004E1D0D">
        <w:rPr>
          <w:b/>
        </w:rPr>
        <w:t>to</w:t>
      </w:r>
      <w:r>
        <w:rPr>
          <w:b/>
        </w:rPr>
        <w:t xml:space="preserve"> around 50%)</w:t>
      </w:r>
      <w:r w:rsidR="00690517" w:rsidRPr="009822C0">
        <w:rPr>
          <w:b/>
        </w:rPr>
        <w:t>.</w:t>
      </w:r>
    </w:p>
    <w:p w14:paraId="7B8524D3" w14:textId="470BD5C1" w:rsidR="00E34D90" w:rsidRPr="009822C0" w:rsidRDefault="009B2F9C" w:rsidP="009B2F9C">
      <w:pPr>
        <w:pStyle w:val="Lijstalinea"/>
        <w:numPr>
          <w:ilvl w:val="1"/>
          <w:numId w:val="4"/>
        </w:numPr>
        <w:ind w:left="709" w:hanging="357"/>
        <w:jc w:val="both"/>
        <w:rPr>
          <w:b/>
        </w:rPr>
      </w:pPr>
      <w:r w:rsidRPr="009822C0">
        <w:rPr>
          <w:b/>
        </w:rPr>
        <w:t xml:space="preserve">WDP affirms its ambition to achieve EPRA </w:t>
      </w:r>
      <w:r w:rsidR="00182B85" w:rsidRPr="009822C0">
        <w:rPr>
          <w:b/>
        </w:rPr>
        <w:t>E</w:t>
      </w:r>
      <w:r w:rsidRPr="009822C0">
        <w:rPr>
          <w:b/>
        </w:rPr>
        <w:t xml:space="preserve">arnings per share of at least 5.35 </w:t>
      </w:r>
      <w:r w:rsidR="0064679B" w:rsidRPr="009822C0">
        <w:rPr>
          <w:b/>
        </w:rPr>
        <w:t xml:space="preserve">euros for 2017 and </w:t>
      </w:r>
      <w:r w:rsidRPr="009822C0">
        <w:rPr>
          <w:b/>
        </w:rPr>
        <w:t xml:space="preserve">5.85 </w:t>
      </w:r>
      <w:r w:rsidR="0064679B" w:rsidRPr="009822C0">
        <w:rPr>
          <w:b/>
        </w:rPr>
        <w:t xml:space="preserve">euros </w:t>
      </w:r>
      <w:r w:rsidRPr="009822C0">
        <w:rPr>
          <w:b/>
        </w:rPr>
        <w:t>in 2018, a cumulative increase of 10% according to the 2016-20 growth plan.</w:t>
      </w:r>
    </w:p>
    <w:p w14:paraId="3DE2A13F" w14:textId="77777777" w:rsidR="00257143" w:rsidRPr="009822C0" w:rsidRDefault="00815F21" w:rsidP="00257143">
      <w:r w:rsidRPr="009822C0">
        <w:rPr>
          <w:noProof/>
          <w:lang w:val="en-US" w:eastAsia="en-US" w:bidi="ar-SA"/>
        </w:rPr>
        <mc:AlternateContent>
          <mc:Choice Requires="wps">
            <w:drawing>
              <wp:anchor distT="4294967295" distB="4294967295" distL="114300" distR="114300" simplePos="0" relativeHeight="251654144" behindDoc="0" locked="0" layoutInCell="1" allowOverlap="1" wp14:anchorId="1EF3DE86" wp14:editId="0CAC6E02">
                <wp:simplePos x="0" y="0"/>
                <wp:positionH relativeFrom="column">
                  <wp:posOffset>43180</wp:posOffset>
                </wp:positionH>
                <wp:positionV relativeFrom="paragraph">
                  <wp:posOffset>146049</wp:posOffset>
                </wp:positionV>
                <wp:extent cx="5695950" cy="0"/>
                <wp:effectExtent l="0" t="0" r="0" b="0"/>
                <wp:wrapNone/>
                <wp:docPr id="2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95950" cy="0"/>
                        </a:xfrm>
                        <a:prstGeom prst="line">
                          <a:avLst/>
                        </a:prstGeom>
                        <a:noFill/>
                        <a:ln w="952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w:pict>
              <v:line w14:anchorId="6781863B" id="Straight Connector 7"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pt,11.5pt" to="45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" strokecolor="#d9d9d9">
                <o:lock v:ext="edit" shapetype="f"/>
              </v:line>
            </w:pict>
          </mc:Fallback>
        </mc:AlternateContent>
      </w:r>
    </w:p>
    <w:p w14:paraId="3A50CB9F" w14:textId="77777777" w:rsidR="00A656F2" w:rsidRPr="009822C0" w:rsidRDefault="00A656F2" w:rsidP="00992076">
      <w:pPr>
        <w:pStyle w:val="Kop1"/>
        <w:ind w:left="0"/>
      </w:pPr>
      <w:r w:rsidRPr="009822C0">
        <w:t>1. Summary</w:t>
      </w:r>
    </w:p>
    <w:p w14:paraId="48A07584" w14:textId="5C6414C4" w:rsidR="00A9378A" w:rsidRPr="009822C0" w:rsidRDefault="00464641" w:rsidP="004E1D0D">
      <w:pPr>
        <w:pStyle w:val="Lijstalinea"/>
        <w:numPr>
          <w:ilvl w:val="0"/>
          <w:numId w:val="7"/>
        </w:numPr>
        <w:jc w:val="both"/>
        <w:rPr>
          <w:rFonts w:cs="Arial"/>
          <w:color w:val="000000"/>
        </w:rPr>
      </w:pPr>
      <w:r w:rsidRPr="009822C0">
        <w:rPr>
          <w:color w:val="000000"/>
        </w:rPr>
        <w:t xml:space="preserve">EPRA </w:t>
      </w:r>
      <w:r w:rsidR="00182B85" w:rsidRPr="009822C0">
        <w:rPr>
          <w:color w:val="000000"/>
        </w:rPr>
        <w:t>E</w:t>
      </w:r>
      <w:r w:rsidRPr="009822C0">
        <w:rPr>
          <w:color w:val="000000"/>
        </w:rPr>
        <w:t>arnings</w:t>
      </w:r>
      <w:r w:rsidRPr="009822C0">
        <w:rPr>
          <w:rStyle w:val="Voetnootmarkering"/>
          <w:color w:val="000000"/>
        </w:rPr>
        <w:footnoteReference w:id="1"/>
      </w:r>
      <w:r w:rsidR="0064679B" w:rsidRPr="009822C0">
        <w:rPr>
          <w:color w:val="000000"/>
        </w:rPr>
        <w:t xml:space="preserve"> for Q1 2017 </w:t>
      </w:r>
      <w:r w:rsidR="00910CCA" w:rsidRPr="009822C0">
        <w:rPr>
          <w:color w:val="000000"/>
        </w:rPr>
        <w:t xml:space="preserve">amount </w:t>
      </w:r>
      <w:r w:rsidR="0064679B" w:rsidRPr="009822C0">
        <w:rPr>
          <w:color w:val="000000"/>
        </w:rPr>
        <w:t xml:space="preserve">to </w:t>
      </w:r>
      <w:r w:rsidR="00690517" w:rsidRPr="009822C0">
        <w:rPr>
          <w:color w:val="000000"/>
        </w:rPr>
        <w:t>25.6</w:t>
      </w:r>
      <w:r w:rsidRPr="009822C0">
        <w:rPr>
          <w:color w:val="000000"/>
        </w:rPr>
        <w:t xml:space="preserve"> million</w:t>
      </w:r>
      <w:r w:rsidR="0064679B" w:rsidRPr="009822C0">
        <w:rPr>
          <w:color w:val="000000"/>
        </w:rPr>
        <w:t xml:space="preserve"> </w:t>
      </w:r>
      <w:r w:rsidR="0064679B" w:rsidRPr="009822C0">
        <w:t>euros</w:t>
      </w:r>
      <w:r w:rsidRPr="009822C0">
        <w:rPr>
          <w:color w:val="000000"/>
        </w:rPr>
        <w:t xml:space="preserve">, an increase of </w:t>
      </w:r>
      <w:r w:rsidR="00690517" w:rsidRPr="009822C0">
        <w:rPr>
          <w:color w:val="000000"/>
        </w:rPr>
        <w:t>15.2</w:t>
      </w:r>
      <w:r w:rsidR="0064679B" w:rsidRPr="009822C0">
        <w:rPr>
          <w:color w:val="000000"/>
        </w:rPr>
        <w:t>% over Q1 2016 (</w:t>
      </w:r>
      <w:r w:rsidRPr="009822C0">
        <w:rPr>
          <w:color w:val="000000"/>
        </w:rPr>
        <w:t>22.2 million</w:t>
      </w:r>
      <w:r w:rsidR="0064679B" w:rsidRPr="009822C0">
        <w:rPr>
          <w:color w:val="000000"/>
        </w:rPr>
        <w:t xml:space="preserve"> </w:t>
      </w:r>
      <w:r w:rsidR="0064679B" w:rsidRPr="009822C0">
        <w:t>euros</w:t>
      </w:r>
      <w:r w:rsidRPr="009822C0">
        <w:rPr>
          <w:color w:val="000000"/>
        </w:rPr>
        <w:t xml:space="preserve">). The EPRA </w:t>
      </w:r>
      <w:r w:rsidR="00182B85" w:rsidRPr="009822C0">
        <w:rPr>
          <w:color w:val="000000"/>
        </w:rPr>
        <w:t>E</w:t>
      </w:r>
      <w:r w:rsidRPr="009822C0">
        <w:rPr>
          <w:color w:val="000000"/>
        </w:rPr>
        <w:t>arnings per share</w:t>
      </w:r>
      <w:r w:rsidRPr="009822C0">
        <w:rPr>
          <w:rStyle w:val="Voetnootmarkering"/>
          <w:color w:val="000000"/>
        </w:rPr>
        <w:footnoteReference w:id="2"/>
      </w:r>
      <w:r w:rsidRPr="009822C0">
        <w:rPr>
          <w:color w:val="000000"/>
        </w:rPr>
        <w:t xml:space="preserve"> for Q1 2017 </w:t>
      </w:r>
      <w:r w:rsidR="00690517" w:rsidRPr="009822C0">
        <w:rPr>
          <w:color w:val="000000"/>
        </w:rPr>
        <w:t xml:space="preserve">amount </w:t>
      </w:r>
      <w:r w:rsidRPr="009822C0">
        <w:rPr>
          <w:color w:val="000000"/>
        </w:rPr>
        <w:t xml:space="preserve">to </w:t>
      </w:r>
      <w:r w:rsidR="00690517" w:rsidRPr="009822C0">
        <w:rPr>
          <w:color w:val="000000"/>
        </w:rPr>
        <w:t>1.20</w:t>
      </w:r>
      <w:r w:rsidR="0064679B" w:rsidRPr="009822C0">
        <w:rPr>
          <w:color w:val="000000"/>
        </w:rPr>
        <w:t xml:space="preserve"> </w:t>
      </w:r>
      <w:r w:rsidR="0064679B" w:rsidRPr="009822C0">
        <w:t>euros</w:t>
      </w:r>
      <w:r w:rsidRPr="009822C0">
        <w:rPr>
          <w:color w:val="000000"/>
        </w:rPr>
        <w:t xml:space="preserve">, steady with respect to 1.20 </w:t>
      </w:r>
      <w:bookmarkStart w:id="0" w:name="_Hlk481394282"/>
      <w:r w:rsidR="0064679B" w:rsidRPr="009822C0">
        <w:t>euros</w:t>
      </w:r>
      <w:r w:rsidR="0064679B" w:rsidRPr="009822C0">
        <w:rPr>
          <w:b/>
        </w:rPr>
        <w:t xml:space="preserve"> </w:t>
      </w:r>
      <w:bookmarkEnd w:id="0"/>
      <w:r w:rsidRPr="009822C0">
        <w:rPr>
          <w:color w:val="000000"/>
        </w:rPr>
        <w:t xml:space="preserve">in </w:t>
      </w:r>
      <w:r w:rsidR="00690517" w:rsidRPr="009822C0">
        <w:rPr>
          <w:color w:val="000000"/>
        </w:rPr>
        <w:t xml:space="preserve">Q1 </w:t>
      </w:r>
      <w:r w:rsidRPr="009822C0">
        <w:rPr>
          <w:color w:val="000000"/>
        </w:rPr>
        <w:t xml:space="preserve">2016, </w:t>
      </w:r>
      <w:r w:rsidR="004E1D0D" w:rsidRPr="004E1D0D">
        <w:rPr>
          <w:color w:val="000000"/>
        </w:rPr>
        <w:t xml:space="preserve">including an increase of outstanding shares of 15% </w:t>
      </w:r>
      <w:r w:rsidRPr="009822C0">
        <w:rPr>
          <w:color w:val="000000"/>
        </w:rPr>
        <w:t xml:space="preserve">and a far lower gearing ratio. </w:t>
      </w:r>
    </w:p>
    <w:p w14:paraId="4EC9323A" w14:textId="1B35EEC1" w:rsidR="009B43B0" w:rsidRPr="00473F8D" w:rsidRDefault="007D7B2A" w:rsidP="00992076">
      <w:pPr>
        <w:pStyle w:val="Lijstalinea"/>
        <w:numPr>
          <w:ilvl w:val="0"/>
          <w:numId w:val="7"/>
        </w:numPr>
        <w:jc w:val="both"/>
        <w:rPr>
          <w:rFonts w:cs="Arial"/>
          <w:color w:val="000000"/>
        </w:rPr>
      </w:pPr>
      <w:r w:rsidRPr="009822C0">
        <w:rPr>
          <w:color w:val="000000"/>
        </w:rPr>
        <w:t xml:space="preserve">The net result (IFRS) for Q1 2017 comes to </w:t>
      </w:r>
      <w:r w:rsidR="00690517" w:rsidRPr="009822C0">
        <w:rPr>
          <w:color w:val="000000"/>
        </w:rPr>
        <w:t>50.6</w:t>
      </w:r>
      <w:r w:rsidRPr="009822C0">
        <w:rPr>
          <w:color w:val="000000"/>
        </w:rPr>
        <w:t xml:space="preserve"> million</w:t>
      </w:r>
      <w:r w:rsidR="0064679B" w:rsidRPr="009822C0">
        <w:rPr>
          <w:color w:val="000000"/>
        </w:rPr>
        <w:t xml:space="preserve"> </w:t>
      </w:r>
      <w:r w:rsidR="0064679B" w:rsidRPr="009822C0">
        <w:t>euros</w:t>
      </w:r>
      <w:r w:rsidR="0064679B" w:rsidRPr="009822C0">
        <w:rPr>
          <w:color w:val="000000"/>
        </w:rPr>
        <w:t xml:space="preserve">, compared to </w:t>
      </w:r>
      <w:r w:rsidRPr="009822C0">
        <w:rPr>
          <w:color w:val="000000"/>
        </w:rPr>
        <w:t xml:space="preserve">11.3 </w:t>
      </w:r>
      <w:r w:rsidR="00182B85" w:rsidRPr="009822C0">
        <w:rPr>
          <w:color w:val="000000"/>
        </w:rPr>
        <w:t xml:space="preserve">million </w:t>
      </w:r>
      <w:r w:rsidR="0064679B" w:rsidRPr="009822C0">
        <w:t>euros</w:t>
      </w:r>
      <w:r w:rsidR="0064679B" w:rsidRPr="009822C0">
        <w:rPr>
          <w:b/>
        </w:rPr>
        <w:t xml:space="preserve"> </w:t>
      </w:r>
      <w:r w:rsidRPr="009822C0">
        <w:rPr>
          <w:color w:val="000000"/>
        </w:rPr>
        <w:t xml:space="preserve">in </w:t>
      </w:r>
      <w:r w:rsidR="00690517" w:rsidRPr="009822C0">
        <w:rPr>
          <w:color w:val="000000"/>
        </w:rPr>
        <w:t xml:space="preserve">Q1 </w:t>
      </w:r>
      <w:r w:rsidRPr="009822C0">
        <w:rPr>
          <w:color w:val="000000"/>
        </w:rPr>
        <w:t>2016</w:t>
      </w:r>
      <w:r>
        <w:rPr>
          <w:color w:val="000000"/>
        </w:rPr>
        <w:t xml:space="preserve">. The net result (IFRS) per share for Q1 2017 comes to </w:t>
      </w:r>
      <w:r w:rsidR="00690517">
        <w:rPr>
          <w:color w:val="000000"/>
        </w:rPr>
        <w:t>2.37</w:t>
      </w:r>
      <w:r w:rsidR="0064679B">
        <w:rPr>
          <w:color w:val="000000"/>
        </w:rPr>
        <w:t xml:space="preserve"> </w:t>
      </w:r>
      <w:r w:rsidR="0064679B" w:rsidRPr="0064679B">
        <w:t>euros</w:t>
      </w:r>
      <w:r w:rsidR="00FA27F4">
        <w:rPr>
          <w:color w:val="000000"/>
        </w:rPr>
        <w:t xml:space="preserve">, compared to </w:t>
      </w:r>
      <w:r>
        <w:rPr>
          <w:color w:val="000000"/>
        </w:rPr>
        <w:t xml:space="preserve">0.61 </w:t>
      </w:r>
      <w:r w:rsidR="00FA27F4" w:rsidRPr="00C609C9">
        <w:t>euros</w:t>
      </w:r>
      <w:r w:rsidR="00FA27F4">
        <w:t xml:space="preserve"> </w:t>
      </w:r>
      <w:r>
        <w:rPr>
          <w:color w:val="000000"/>
        </w:rPr>
        <w:t>in 2016.</w:t>
      </w:r>
    </w:p>
    <w:p w14:paraId="1798BCC8" w14:textId="77777777" w:rsidR="001F23F7" w:rsidRPr="00473F8D" w:rsidRDefault="001F23F7" w:rsidP="00992076">
      <w:pPr>
        <w:pStyle w:val="Lijstalinea"/>
        <w:numPr>
          <w:ilvl w:val="0"/>
          <w:numId w:val="7"/>
        </w:numPr>
        <w:jc w:val="both"/>
        <w:rPr>
          <w:rFonts w:cs="Arial"/>
          <w:color w:val="000000"/>
        </w:rPr>
      </w:pPr>
      <w:r>
        <w:rPr>
          <w:color w:val="000000"/>
        </w:rPr>
        <w:t>The occupancy rate</w:t>
      </w:r>
      <w:r>
        <w:rPr>
          <w:rStyle w:val="Voetnootmarkering"/>
          <w:color w:val="000000"/>
        </w:rPr>
        <w:footnoteReference w:id="3"/>
      </w:r>
      <w:r>
        <w:rPr>
          <w:color w:val="000000"/>
        </w:rPr>
        <w:t xml:space="preserve"> was </w:t>
      </w:r>
      <w:r w:rsidRPr="00720A46">
        <w:rPr>
          <w:color w:val="000000"/>
        </w:rPr>
        <w:t>97.2</w:t>
      </w:r>
      <w:r>
        <w:rPr>
          <w:color w:val="000000"/>
        </w:rPr>
        <w:t xml:space="preserve">% on 31 March 2017, compared to 97.0% at 2016 year-end. The average term (until the first termination date) of the lease agreements in the WDP portfolio is </w:t>
      </w:r>
      <w:r w:rsidRPr="00720A46">
        <w:rPr>
          <w:color w:val="000000"/>
        </w:rPr>
        <w:t>6.3</w:t>
      </w:r>
      <w:r>
        <w:rPr>
          <w:color w:val="000000"/>
        </w:rPr>
        <w:t xml:space="preserve"> years (including solar panels).</w:t>
      </w:r>
    </w:p>
    <w:p w14:paraId="598EF2BC" w14:textId="1760DE9A" w:rsidR="001F23F7" w:rsidRPr="00473F8D" w:rsidRDefault="001F23F7" w:rsidP="00992076">
      <w:pPr>
        <w:pStyle w:val="Lijstalinea"/>
        <w:numPr>
          <w:ilvl w:val="0"/>
          <w:numId w:val="7"/>
        </w:numPr>
        <w:jc w:val="both"/>
        <w:rPr>
          <w:rFonts w:cs="Arial"/>
          <w:color w:val="000000"/>
        </w:rPr>
      </w:pPr>
      <w:r>
        <w:rPr>
          <w:color w:val="000000"/>
        </w:rPr>
        <w:t>On 31 March 2017, the gearing ratio (IFRS</w:t>
      </w:r>
      <w:r>
        <w:rPr>
          <w:rStyle w:val="Voetnootmarkering"/>
          <w:color w:val="000000"/>
        </w:rPr>
        <w:footnoteReference w:id="4"/>
      </w:r>
      <w:r>
        <w:rPr>
          <w:color w:val="000000"/>
        </w:rPr>
        <w:t xml:space="preserve"> and p</w:t>
      </w:r>
      <w:r w:rsidR="00A67941">
        <w:rPr>
          <w:color w:val="000000"/>
        </w:rPr>
        <w:t>roportionate, respectively) amounted</w:t>
      </w:r>
      <w:r>
        <w:rPr>
          <w:color w:val="000000"/>
        </w:rPr>
        <w:t xml:space="preserve"> to </w:t>
      </w:r>
      <w:r w:rsidR="00690517">
        <w:rPr>
          <w:color w:val="000000"/>
        </w:rPr>
        <w:t>49.1</w:t>
      </w:r>
      <w:r>
        <w:rPr>
          <w:color w:val="000000"/>
        </w:rPr>
        <w:t>% (</w:t>
      </w:r>
      <w:r w:rsidR="00690517">
        <w:rPr>
          <w:color w:val="000000"/>
        </w:rPr>
        <w:t>50.3</w:t>
      </w:r>
      <w:r>
        <w:rPr>
          <w:color w:val="000000"/>
        </w:rPr>
        <w:t>%)</w:t>
      </w:r>
      <w:r w:rsidR="004E1D0D">
        <w:rPr>
          <w:color w:val="000000"/>
        </w:rPr>
        <w:t>, a decrease of more than 7% compared to 56,3% (57,6%) on 31 March 2016.</w:t>
      </w:r>
      <w:r>
        <w:rPr>
          <w:color w:val="000000"/>
        </w:rPr>
        <w:t xml:space="preserve"> </w:t>
      </w:r>
    </w:p>
    <w:p w14:paraId="5C030B55" w14:textId="3D44276C" w:rsidR="008D0D79" w:rsidRPr="00473F8D" w:rsidRDefault="00756EF9" w:rsidP="000B3FCE">
      <w:pPr>
        <w:pStyle w:val="Lijstalinea"/>
        <w:numPr>
          <w:ilvl w:val="0"/>
          <w:numId w:val="7"/>
        </w:numPr>
        <w:jc w:val="both"/>
        <w:rPr>
          <w:rFonts w:cs="Arial"/>
          <w:color w:val="000000"/>
        </w:rPr>
      </w:pPr>
      <w:r>
        <w:rPr>
          <w:color w:val="000000"/>
        </w:rPr>
        <w:lastRenderedPageBreak/>
        <w:t>The EPRA NAV</w:t>
      </w:r>
      <w:r>
        <w:rPr>
          <w:color w:val="000000"/>
          <w:vertAlign w:val="superscript"/>
        </w:rPr>
        <w:footnoteReference w:id="5"/>
      </w:r>
      <w:r w:rsidR="00FA27F4">
        <w:rPr>
          <w:color w:val="000000"/>
        </w:rPr>
        <w:t xml:space="preserve"> was </w:t>
      </w:r>
      <w:r w:rsidR="00690517">
        <w:rPr>
          <w:color w:val="000000"/>
        </w:rPr>
        <w:t>53.3</w:t>
      </w:r>
      <w:r>
        <w:rPr>
          <w:color w:val="000000"/>
        </w:rPr>
        <w:t xml:space="preserve"> </w:t>
      </w:r>
      <w:r w:rsidR="00FA27F4" w:rsidRPr="00C609C9">
        <w:t>euros</w:t>
      </w:r>
      <w:r w:rsidR="00FA27F4">
        <w:t xml:space="preserve"> </w:t>
      </w:r>
      <w:r>
        <w:rPr>
          <w:color w:val="000000"/>
        </w:rPr>
        <w:t xml:space="preserve">on 31 March 2017, </w:t>
      </w:r>
      <w:r w:rsidR="00A67941">
        <w:rPr>
          <w:color w:val="000000"/>
        </w:rPr>
        <w:t>compared to</w:t>
      </w:r>
      <w:r>
        <w:rPr>
          <w:color w:val="000000"/>
        </w:rPr>
        <w:t xml:space="preserve"> 51.2 </w:t>
      </w:r>
      <w:r w:rsidR="00FA27F4" w:rsidRPr="00C609C9">
        <w:t>euros</w:t>
      </w:r>
      <w:r w:rsidR="00FA27F4">
        <w:t xml:space="preserve"> </w:t>
      </w:r>
      <w:r>
        <w:rPr>
          <w:color w:val="000000"/>
        </w:rPr>
        <w:t xml:space="preserve">on 31 December 2016. The IFRS NAV was </w:t>
      </w:r>
      <w:r w:rsidR="00690517">
        <w:rPr>
          <w:color w:val="000000"/>
        </w:rPr>
        <w:t>50.8</w:t>
      </w:r>
      <w:r>
        <w:rPr>
          <w:color w:val="000000"/>
        </w:rPr>
        <w:t xml:space="preserve"> </w:t>
      </w:r>
      <w:r w:rsidR="00FA27F4" w:rsidRPr="00C609C9">
        <w:t>euros</w:t>
      </w:r>
      <w:r w:rsidR="00FA27F4">
        <w:t xml:space="preserve"> </w:t>
      </w:r>
      <w:r w:rsidR="00FA27F4">
        <w:rPr>
          <w:color w:val="000000"/>
        </w:rPr>
        <w:t xml:space="preserve">on 31 March 2017, </w:t>
      </w:r>
      <w:r w:rsidR="00A67941">
        <w:rPr>
          <w:color w:val="000000"/>
        </w:rPr>
        <w:t>compared to</w:t>
      </w:r>
      <w:r w:rsidR="00FA27F4">
        <w:rPr>
          <w:color w:val="000000"/>
        </w:rPr>
        <w:t xml:space="preserve"> </w:t>
      </w:r>
      <w:r>
        <w:rPr>
          <w:color w:val="000000"/>
        </w:rPr>
        <w:t xml:space="preserve">48.4 </w:t>
      </w:r>
      <w:r w:rsidR="00FA27F4" w:rsidRPr="00C609C9">
        <w:t>euros</w:t>
      </w:r>
      <w:r w:rsidR="00FA27F4">
        <w:t xml:space="preserve"> </w:t>
      </w:r>
      <w:r>
        <w:rPr>
          <w:color w:val="000000"/>
        </w:rPr>
        <w:t>on 31 December 2016.</w:t>
      </w:r>
    </w:p>
    <w:p w14:paraId="7BD6B170" w14:textId="7A4877C2" w:rsidR="00A63246" w:rsidRPr="00473F8D" w:rsidRDefault="00910CCA" w:rsidP="000B3FCE">
      <w:pPr>
        <w:pStyle w:val="Lijstalinea"/>
        <w:numPr>
          <w:ilvl w:val="0"/>
          <w:numId w:val="7"/>
        </w:numPr>
        <w:jc w:val="both"/>
        <w:rPr>
          <w:rFonts w:cs="Arial"/>
          <w:color w:val="000000"/>
        </w:rPr>
      </w:pPr>
      <w:r>
        <w:rPr>
          <w:color w:val="000000"/>
        </w:rPr>
        <w:t>In late April 2017, t</w:t>
      </w:r>
      <w:r w:rsidR="00A63246">
        <w:rPr>
          <w:color w:val="000000"/>
        </w:rPr>
        <w:t xml:space="preserve">he Board of Directors of WDP's </w:t>
      </w:r>
      <w:r w:rsidR="00690517">
        <w:rPr>
          <w:color w:val="000000"/>
        </w:rPr>
        <w:t xml:space="preserve">statutory </w:t>
      </w:r>
      <w:r w:rsidR="00A63246">
        <w:rPr>
          <w:color w:val="000000"/>
        </w:rPr>
        <w:t xml:space="preserve">manager decided </w:t>
      </w:r>
      <w:r>
        <w:rPr>
          <w:color w:val="000000"/>
        </w:rPr>
        <w:t xml:space="preserve">once again </w:t>
      </w:r>
      <w:r w:rsidR="00A63246">
        <w:rPr>
          <w:color w:val="000000"/>
        </w:rPr>
        <w:t xml:space="preserve">to offer </w:t>
      </w:r>
      <w:r>
        <w:rPr>
          <w:color w:val="000000"/>
        </w:rPr>
        <w:t>an</w:t>
      </w:r>
      <w:r w:rsidR="00A63246">
        <w:rPr>
          <w:color w:val="000000"/>
        </w:rPr>
        <w:t xml:space="preserve"> optional dividend to shareholders, </w:t>
      </w:r>
      <w:r w:rsidR="00FA27F4">
        <w:rPr>
          <w:color w:val="000000"/>
        </w:rPr>
        <w:t xml:space="preserve">with an issue price of </w:t>
      </w:r>
      <w:r w:rsidR="00A67941">
        <w:rPr>
          <w:color w:val="000000"/>
        </w:rPr>
        <w:t>83.44</w:t>
      </w:r>
      <w:r w:rsidR="00FA27F4">
        <w:rPr>
          <w:color w:val="000000"/>
        </w:rPr>
        <w:t xml:space="preserve"> </w:t>
      </w:r>
      <w:r w:rsidR="00FA27F4" w:rsidRPr="00C609C9">
        <w:t>euros</w:t>
      </w:r>
      <w:r w:rsidR="00A63246">
        <w:rPr>
          <w:color w:val="000000"/>
        </w:rPr>
        <w:t xml:space="preserve">, which </w:t>
      </w:r>
      <w:r>
        <w:rPr>
          <w:color w:val="000000"/>
        </w:rPr>
        <w:t>implies a discount</w:t>
      </w:r>
      <w:r w:rsidR="00A63246">
        <w:rPr>
          <w:color w:val="000000"/>
        </w:rPr>
        <w:t xml:space="preserve"> </w:t>
      </w:r>
      <w:r w:rsidR="00A63246" w:rsidRPr="00C97D39">
        <w:rPr>
          <w:color w:val="000000"/>
        </w:rPr>
        <w:t xml:space="preserve">of </w:t>
      </w:r>
      <w:r w:rsidR="00C97D39" w:rsidRPr="00EE71E1">
        <w:rPr>
          <w:color w:val="000000"/>
        </w:rPr>
        <w:t>5.2</w:t>
      </w:r>
      <w:r w:rsidR="00A63246" w:rsidRPr="00C97D39">
        <w:rPr>
          <w:color w:val="000000"/>
        </w:rPr>
        <w:t>%</w:t>
      </w:r>
      <w:r w:rsidR="00A63246">
        <w:rPr>
          <w:color w:val="000000"/>
        </w:rPr>
        <w:t xml:space="preserve"> compared to yesterday's closing price (2 May 2017). Shareholders are invited to make their choice and communicate this to their financial institution before 12 May 2017. The expected proceeds from the optional dividend will be used immediately to fund the </w:t>
      </w:r>
      <w:r w:rsidR="0064679B">
        <w:rPr>
          <w:color w:val="000000"/>
        </w:rPr>
        <w:t>projects under development</w:t>
      </w:r>
      <w:r w:rsidR="00A63246">
        <w:rPr>
          <w:color w:val="000000"/>
        </w:rPr>
        <w:t>.</w:t>
      </w:r>
    </w:p>
    <w:p w14:paraId="766215A9" w14:textId="1B6A62C0" w:rsidR="005652BF" w:rsidRPr="00473F8D" w:rsidRDefault="00576124" w:rsidP="00D06367">
      <w:pPr>
        <w:pStyle w:val="Lijstalinea"/>
        <w:numPr>
          <w:ilvl w:val="0"/>
          <w:numId w:val="7"/>
        </w:numPr>
        <w:jc w:val="both"/>
      </w:pPr>
      <w:r>
        <w:rPr>
          <w:color w:val="000000"/>
        </w:rPr>
        <w:t>The total investment volume identified within the framework of the 2016-20 growth pla</w:t>
      </w:r>
      <w:r w:rsidR="00FA27F4">
        <w:rPr>
          <w:color w:val="000000"/>
        </w:rPr>
        <w:t xml:space="preserve">n currently amounts to approx. </w:t>
      </w:r>
      <w:r w:rsidR="00690517">
        <w:rPr>
          <w:color w:val="000000"/>
        </w:rPr>
        <w:t xml:space="preserve">400 </w:t>
      </w:r>
      <w:r>
        <w:rPr>
          <w:color w:val="000000"/>
        </w:rPr>
        <w:t>million</w:t>
      </w:r>
      <w:r w:rsidR="00FA27F4">
        <w:rPr>
          <w:color w:val="000000"/>
        </w:rPr>
        <w:t xml:space="preserve"> </w:t>
      </w:r>
      <w:r w:rsidR="00FA27F4" w:rsidRPr="00C609C9">
        <w:t>euros</w:t>
      </w:r>
      <w:r>
        <w:rPr>
          <w:color w:val="000000"/>
        </w:rPr>
        <w:t xml:space="preserve">. This is a package of complementary acquisitions (approx. one third) and pre-leased new developments for new and existing clients (approx. two thirds), resulting from the strong commercial platform in the Benelux region and Romania and WDP’s position as both a developer and long-term final investor. </w:t>
      </w:r>
    </w:p>
    <w:p w14:paraId="2BE5FDE4" w14:textId="563AFAB1" w:rsidR="00576124" w:rsidRPr="00473F8D" w:rsidRDefault="00D865FC" w:rsidP="00992076">
      <w:pPr>
        <w:pStyle w:val="Lijstalinea"/>
        <w:numPr>
          <w:ilvl w:val="0"/>
          <w:numId w:val="7"/>
        </w:numPr>
        <w:jc w:val="both"/>
      </w:pPr>
      <w:r>
        <w:t>In line with the announcement in the publication of the 2016 annual results, WDP conf</w:t>
      </w:r>
      <w:r w:rsidR="00FA27F4">
        <w:t xml:space="preserve">irms EPRA </w:t>
      </w:r>
      <w:r w:rsidR="00182B85">
        <w:t>E</w:t>
      </w:r>
      <w:r w:rsidR="00FA27F4">
        <w:t xml:space="preserve">arnings of at least </w:t>
      </w:r>
      <w:r>
        <w:t xml:space="preserve">5.35 </w:t>
      </w:r>
      <w:r w:rsidR="00FA27F4" w:rsidRPr="00C609C9">
        <w:t>euros</w:t>
      </w:r>
      <w:r w:rsidR="00FA27F4">
        <w:t xml:space="preserve"> </w:t>
      </w:r>
      <w:r>
        <w:t xml:space="preserve">per share for 2017, with respect to </w:t>
      </w:r>
      <w:r w:rsidR="00A67941">
        <w:t>5.30</w:t>
      </w:r>
      <w:r w:rsidR="00944571">
        <w:t xml:space="preserve"> euros in </w:t>
      </w:r>
      <w:r>
        <w:t xml:space="preserve">2016, </w:t>
      </w:r>
      <w:r w:rsidR="004E1D0D">
        <w:t>including</w:t>
      </w:r>
      <w:r w:rsidR="0076003C">
        <w:t xml:space="preserve"> </w:t>
      </w:r>
      <w:r>
        <w:t>an increase in the projected number of outstanding shares</w:t>
      </w:r>
      <w:r>
        <w:rPr>
          <w:rStyle w:val="Voetnootmarkering"/>
        </w:rPr>
        <w:footnoteReference w:id="6"/>
      </w:r>
      <w:r>
        <w:t>, mainly due to the capital increase</w:t>
      </w:r>
      <w:r w:rsidR="00944571">
        <w:t xml:space="preserve"> at the end of 2016</w:t>
      </w:r>
      <w:r>
        <w:t>. Based on the strong project development pipeline, which will yield full returns in 2018, and the projected portfolio growth, WDP aims for</w:t>
      </w:r>
      <w:r w:rsidR="00FA27F4">
        <w:t xml:space="preserve"> an EPRA </w:t>
      </w:r>
      <w:r w:rsidR="00182B85">
        <w:t>E</w:t>
      </w:r>
      <w:r w:rsidR="00FA27F4">
        <w:t xml:space="preserve">arnings per share of </w:t>
      </w:r>
      <w:r>
        <w:t xml:space="preserve">5.85 </w:t>
      </w:r>
      <w:r w:rsidR="00FA27F4" w:rsidRPr="00C609C9">
        <w:t>euros</w:t>
      </w:r>
      <w:r w:rsidR="00FA27F4">
        <w:t xml:space="preserve"> </w:t>
      </w:r>
      <w:r>
        <w:t>in 2018.</w:t>
      </w:r>
      <w:r>
        <w:rPr>
          <w:rStyle w:val="Voetnootmarkering"/>
        </w:rPr>
        <w:footnoteReference w:id="7"/>
      </w:r>
      <w:r>
        <w:t xml:space="preserve"> </w:t>
      </w:r>
    </w:p>
    <w:p w14:paraId="3149D34B" w14:textId="3D9C770F" w:rsidR="001A2E92" w:rsidRPr="00473F8D" w:rsidRDefault="001A2E92" w:rsidP="00992076">
      <w:pPr>
        <w:pStyle w:val="Lijstalinea"/>
        <w:numPr>
          <w:ilvl w:val="0"/>
          <w:numId w:val="7"/>
        </w:numPr>
        <w:jc w:val="both"/>
      </w:pPr>
      <w:r>
        <w:t>Based on this outlook, WDP inte</w:t>
      </w:r>
      <w:r w:rsidR="00FA27F4">
        <w:t xml:space="preserve">nds to set a gross dividend of </w:t>
      </w:r>
      <w:r>
        <w:t xml:space="preserve">4.45 </w:t>
      </w:r>
      <w:r w:rsidR="00FA27F4" w:rsidRPr="00C609C9">
        <w:t>euros</w:t>
      </w:r>
      <w:r w:rsidR="00FA27F4">
        <w:t xml:space="preserve"> for 2017 and </w:t>
      </w:r>
      <w:r>
        <w:t xml:space="preserve">4.70 </w:t>
      </w:r>
      <w:r w:rsidR="00FA27F4" w:rsidRPr="00C609C9">
        <w:t>euros</w:t>
      </w:r>
      <w:r w:rsidR="00FA27F4">
        <w:t xml:space="preserve"> </w:t>
      </w:r>
      <w:r>
        <w:t>for 2018, i.e. an increase of 5% per year.</w:t>
      </w:r>
    </w:p>
    <w:p w14:paraId="783BB850" w14:textId="77777777" w:rsidR="00C90866" w:rsidRPr="00473F8D" w:rsidRDefault="00576405" w:rsidP="00992076">
      <w:pPr>
        <w:pStyle w:val="Kop1"/>
        <w:ind w:left="0"/>
      </w:pPr>
      <w:r>
        <w:br w:type="page"/>
      </w:r>
      <w:r>
        <w:lastRenderedPageBreak/>
        <w:t>2. Operating and financial activities during Q1 2017</w:t>
      </w:r>
    </w:p>
    <w:p w14:paraId="261ACDA0" w14:textId="77777777" w:rsidR="00A614EA" w:rsidRPr="00473F8D" w:rsidRDefault="00A656F2" w:rsidP="00992076">
      <w:pPr>
        <w:pStyle w:val="Kop2"/>
      </w:pPr>
      <w:r>
        <w:t>2.1. Occupancy rate and leases</w:t>
      </w:r>
    </w:p>
    <w:p w14:paraId="6D4F30A4" w14:textId="2FB030CB" w:rsidR="00D90DBB" w:rsidRPr="00473F8D" w:rsidRDefault="00523DAD" w:rsidP="00992076">
      <w:pPr>
        <w:autoSpaceDE w:val="0"/>
        <w:autoSpaceDN w:val="0"/>
        <w:adjustRightInd w:val="0"/>
        <w:jc w:val="both"/>
        <w:rPr>
          <w:highlight w:val="yellow"/>
        </w:rPr>
      </w:pPr>
      <w:r>
        <w:t xml:space="preserve">On 31 March 2017, the portfolio’s occupancy rate is </w:t>
      </w:r>
      <w:r w:rsidRPr="009822C0">
        <w:t xml:space="preserve">at 97.2%. Out of the 13% lease agreements reaching their next expiry date in 2017, </w:t>
      </w:r>
      <w:r w:rsidR="00944571" w:rsidRPr="009822C0">
        <w:t>more than 70</w:t>
      </w:r>
      <w:r w:rsidRPr="009822C0">
        <w:t xml:space="preserve">% are </w:t>
      </w:r>
      <w:r w:rsidR="00C97D39">
        <w:t>already</w:t>
      </w:r>
      <w:r w:rsidR="00C97D39" w:rsidRPr="009822C0">
        <w:t xml:space="preserve"> </w:t>
      </w:r>
      <w:r w:rsidRPr="009822C0">
        <w:t>extended</w:t>
      </w:r>
      <w:r>
        <w:t xml:space="preserve">. </w:t>
      </w:r>
    </w:p>
    <w:p w14:paraId="1209E24A" w14:textId="77777777" w:rsidR="00756EF9" w:rsidRPr="00473F8D" w:rsidRDefault="00756EF9" w:rsidP="00992076">
      <w:pPr>
        <w:pStyle w:val="Kop2"/>
      </w:pPr>
      <w:r>
        <w:t>2.2. Acquisitions and disposals</w:t>
      </w:r>
    </w:p>
    <w:p w14:paraId="203AFB24" w14:textId="6783F036" w:rsidR="008E0AEC" w:rsidRPr="00473F8D" w:rsidRDefault="008E0AEC" w:rsidP="00992076">
      <w:pPr>
        <w:pStyle w:val="Kop3"/>
        <w:ind w:firstLine="360"/>
      </w:pPr>
      <w:r>
        <w:t>2.2.1</w:t>
      </w:r>
      <w:r w:rsidR="0071367B">
        <w:t>.</w:t>
      </w:r>
      <w:r>
        <w:t xml:space="preserve"> Acquisitions</w:t>
      </w:r>
    </w:p>
    <w:p w14:paraId="3226DDC0" w14:textId="77777777" w:rsidR="00BD5AA8" w:rsidRPr="00720A46" w:rsidRDefault="0065625F" w:rsidP="00720A46">
      <w:pPr>
        <w:jc w:val="both"/>
        <w:rPr>
          <w:b/>
          <w:i/>
          <w:color w:val="808080"/>
        </w:rPr>
      </w:pPr>
      <w:r>
        <w:tab/>
      </w:r>
      <w:r w:rsidRPr="00720A46">
        <w:rPr>
          <w:b/>
          <w:i/>
          <w:color w:val="808080"/>
        </w:rPr>
        <w:t>Romania</w:t>
      </w:r>
      <w:r w:rsidRPr="00720A46">
        <w:rPr>
          <w:rStyle w:val="Voetnootmarkering"/>
          <w:b/>
          <w:i/>
          <w:color w:val="808080"/>
        </w:rPr>
        <w:footnoteReference w:id="8"/>
      </w:r>
    </w:p>
    <w:p w14:paraId="1815E7FE" w14:textId="3B8B8568" w:rsidR="00535B9C" w:rsidRPr="00473F8D" w:rsidRDefault="000C427D" w:rsidP="00992076">
      <w:pPr>
        <w:pStyle w:val="BODYlopendTEKSTOPMAAK"/>
        <w:spacing w:line="276" w:lineRule="auto"/>
        <w:jc w:val="both"/>
        <w:rPr>
          <w:rFonts w:ascii="Calibri" w:hAnsi="Calibri"/>
          <w:sz w:val="22"/>
          <w:szCs w:val="22"/>
        </w:rPr>
      </w:pPr>
      <w:r>
        <w:rPr>
          <w:rFonts w:ascii="Calibri" w:hAnsi="Calibri"/>
          <w:i/>
          <w:sz w:val="22"/>
        </w:rPr>
        <w:t>Bucharest (3):</w:t>
      </w:r>
      <w:r>
        <w:rPr>
          <w:rFonts w:ascii="Calibri" w:hAnsi="Calibri"/>
          <w:sz w:val="22"/>
        </w:rPr>
        <w:t xml:space="preserve"> purchase of a site along the Ring Road - North West in Bucharest. This site comes with two existing warehouses (a building of approx. 7,400 m² and a building of approx. 5,500 m²). On the remaining land resources, a third building of over 6,000 m² is being constructed, with delivery slated</w:t>
      </w:r>
      <w:r w:rsidR="00C97D39">
        <w:rPr>
          <w:rFonts w:ascii="Calibri" w:hAnsi="Calibri"/>
          <w:sz w:val="22"/>
        </w:rPr>
        <w:t xml:space="preserve"> </w:t>
      </w:r>
      <w:r>
        <w:rPr>
          <w:rFonts w:ascii="Calibri" w:hAnsi="Calibri"/>
          <w:sz w:val="22"/>
        </w:rPr>
        <w:t>in Q1 2018. The buildings are leased to Aquila under a fixed six-year lease agreement (with extension option). The investment budg</w:t>
      </w:r>
      <w:r w:rsidR="00FA27F4">
        <w:rPr>
          <w:rFonts w:ascii="Calibri" w:hAnsi="Calibri"/>
          <w:sz w:val="22"/>
        </w:rPr>
        <w:t xml:space="preserve">et </w:t>
      </w:r>
      <w:r w:rsidR="00C97D39">
        <w:rPr>
          <w:rFonts w:ascii="Calibri" w:hAnsi="Calibri"/>
          <w:sz w:val="22"/>
        </w:rPr>
        <w:t xml:space="preserve">amounts </w:t>
      </w:r>
      <w:r w:rsidR="00FA27F4">
        <w:rPr>
          <w:rFonts w:ascii="Calibri" w:hAnsi="Calibri"/>
          <w:sz w:val="22"/>
        </w:rPr>
        <w:t xml:space="preserve">to a total of approx. </w:t>
      </w:r>
      <w:r>
        <w:rPr>
          <w:rFonts w:ascii="Calibri" w:hAnsi="Calibri"/>
          <w:sz w:val="22"/>
        </w:rPr>
        <w:t>8 million</w:t>
      </w:r>
      <w:r w:rsidR="00FA27F4">
        <w:rPr>
          <w:rFonts w:ascii="Calibri" w:hAnsi="Calibri"/>
          <w:sz w:val="22"/>
        </w:rPr>
        <w:t xml:space="preserve"> </w:t>
      </w:r>
      <w:r w:rsidR="00FA27F4" w:rsidRPr="00C609C9">
        <w:rPr>
          <w:rFonts w:ascii="Calibri" w:hAnsi="Calibri"/>
          <w:color w:val="auto"/>
          <w:sz w:val="22"/>
        </w:rPr>
        <w:t>euros</w:t>
      </w:r>
      <w:r>
        <w:rPr>
          <w:rFonts w:ascii="Calibri" w:hAnsi="Calibri"/>
          <w:sz w:val="22"/>
        </w:rPr>
        <w:t>.</w:t>
      </w:r>
    </w:p>
    <w:p w14:paraId="1B71BB91" w14:textId="095C7987" w:rsidR="008E0AEC" w:rsidRPr="00473F8D" w:rsidRDefault="008E0AEC" w:rsidP="00992076">
      <w:pPr>
        <w:pStyle w:val="Kop3"/>
        <w:ind w:firstLine="360"/>
      </w:pPr>
      <w:r>
        <w:t>2.2.2</w:t>
      </w:r>
      <w:r w:rsidR="0071367B">
        <w:t>.</w:t>
      </w:r>
      <w:r>
        <w:t xml:space="preserve"> Disposals</w:t>
      </w:r>
    </w:p>
    <w:p w14:paraId="7535574E" w14:textId="77777777" w:rsidR="0065625F" w:rsidRPr="00473F8D" w:rsidRDefault="0065625F" w:rsidP="00992076">
      <w:pPr>
        <w:pStyle w:val="BODYTT2TEKSTOPMAAK"/>
        <w:spacing w:line="276" w:lineRule="auto"/>
        <w:ind w:left="0" w:firstLine="0"/>
        <w:jc w:val="both"/>
        <w:rPr>
          <w:rFonts w:ascii="Calibri" w:hAnsi="Calibri" w:cs="HelveticaNeueLTStd-Lt"/>
          <w:color w:val="000000"/>
          <w:sz w:val="22"/>
          <w:szCs w:val="22"/>
        </w:rPr>
      </w:pPr>
      <w:r>
        <w:rPr>
          <w:rFonts w:ascii="Calibri" w:hAnsi="Calibri"/>
          <w:i/>
          <w:color w:val="000000"/>
          <w:sz w:val="22"/>
        </w:rPr>
        <w:t xml:space="preserve">Leuven, </w:t>
      </w:r>
      <w:proofErr w:type="spellStart"/>
      <w:r>
        <w:rPr>
          <w:rFonts w:ascii="Calibri" w:hAnsi="Calibri"/>
          <w:i/>
          <w:color w:val="000000"/>
          <w:sz w:val="22"/>
        </w:rPr>
        <w:t>Vaart</w:t>
      </w:r>
      <w:proofErr w:type="spellEnd"/>
      <w:r>
        <w:rPr>
          <w:rFonts w:ascii="Calibri" w:hAnsi="Calibri"/>
          <w:i/>
          <w:color w:val="000000"/>
          <w:sz w:val="22"/>
        </w:rPr>
        <w:t xml:space="preserve"> 25-35:</w:t>
      </w:r>
      <w:r>
        <w:rPr>
          <w:rFonts w:ascii="Calibri" w:hAnsi="Calibri"/>
          <w:color w:val="000000"/>
          <w:sz w:val="22"/>
        </w:rPr>
        <w:t xml:space="preserve"> anticipating the need for more housing in this part of the city, WDP entered into a partnership agreement with project developer L.I.F.E. to convert the existing </w:t>
      </w:r>
      <w:proofErr w:type="spellStart"/>
      <w:r>
        <w:rPr>
          <w:rFonts w:ascii="Calibri" w:hAnsi="Calibri"/>
          <w:color w:val="000000"/>
          <w:sz w:val="22"/>
        </w:rPr>
        <w:t>Hungaria</w:t>
      </w:r>
      <w:proofErr w:type="spellEnd"/>
      <w:r>
        <w:rPr>
          <w:rFonts w:ascii="Calibri" w:hAnsi="Calibri"/>
          <w:color w:val="000000"/>
          <w:sz w:val="22"/>
        </w:rPr>
        <w:t xml:space="preserve"> building into a residential tower block. I love </w:t>
      </w:r>
      <w:proofErr w:type="spellStart"/>
      <w:r>
        <w:rPr>
          <w:rFonts w:ascii="Calibri" w:hAnsi="Calibri"/>
          <w:color w:val="000000"/>
          <w:sz w:val="22"/>
        </w:rPr>
        <w:t>Hungaria</w:t>
      </w:r>
      <w:proofErr w:type="spellEnd"/>
      <w:r>
        <w:rPr>
          <w:rFonts w:ascii="Calibri" w:hAnsi="Calibri"/>
          <w:color w:val="000000"/>
          <w:sz w:val="22"/>
        </w:rPr>
        <w:t xml:space="preserve"> is slated for completion in late 2018. As part of this project, WDP along with L.I.F.E. will sell this site in phases.</w:t>
      </w:r>
      <w:r>
        <w:rPr>
          <w:rStyle w:val="Voetnootmarkering"/>
          <w:rFonts w:ascii="Calibri" w:hAnsi="Calibri"/>
          <w:color w:val="000000"/>
          <w:sz w:val="22"/>
        </w:rPr>
        <w:footnoteReference w:id="9"/>
      </w:r>
      <w:r>
        <w:rPr>
          <w:rFonts w:ascii="Calibri" w:hAnsi="Calibri"/>
          <w:color w:val="000000"/>
          <w:sz w:val="22"/>
        </w:rPr>
        <w:t xml:space="preserve"> The percentage of space sold is currently 37%. </w:t>
      </w:r>
    </w:p>
    <w:p w14:paraId="1A633CEE" w14:textId="06D92D27" w:rsidR="0065625F" w:rsidRPr="00473F8D" w:rsidRDefault="0065625F" w:rsidP="00992076">
      <w:pPr>
        <w:pStyle w:val="BODYlopendTEKSTOPMAAK"/>
        <w:spacing w:line="276" w:lineRule="auto"/>
        <w:jc w:val="both"/>
        <w:rPr>
          <w:rStyle w:val="Bodybold"/>
          <w:rFonts w:ascii="Calibri" w:hAnsi="Calibri"/>
          <w:color w:val="auto"/>
          <w:sz w:val="22"/>
          <w:szCs w:val="22"/>
        </w:rPr>
      </w:pPr>
      <w:r>
        <w:rPr>
          <w:rStyle w:val="Bodybold"/>
          <w:rFonts w:ascii="Calibri" w:hAnsi="Calibri"/>
          <w:color w:val="auto"/>
          <w:sz w:val="22"/>
        </w:rPr>
        <w:t xml:space="preserve">In addition, Q1 2017 also saw the sale of </w:t>
      </w:r>
      <w:r>
        <w:rPr>
          <w:rFonts w:ascii="Calibri" w:hAnsi="Calibri"/>
          <w:color w:val="auto"/>
          <w:sz w:val="22"/>
        </w:rPr>
        <w:t xml:space="preserve">a building in </w:t>
      </w:r>
      <w:proofErr w:type="spellStart"/>
      <w:r>
        <w:rPr>
          <w:rFonts w:ascii="Calibri" w:hAnsi="Calibri"/>
          <w:color w:val="auto"/>
          <w:sz w:val="22"/>
        </w:rPr>
        <w:t>Esta</w:t>
      </w:r>
      <w:r w:rsidR="00944571">
        <w:rPr>
          <w:rFonts w:ascii="Calibri" w:hAnsi="Calibri"/>
          <w:color w:val="auto"/>
          <w:sz w:val="22"/>
        </w:rPr>
        <w:t>i</w:t>
      </w:r>
      <w:r>
        <w:rPr>
          <w:rFonts w:ascii="Calibri" w:hAnsi="Calibri"/>
          <w:color w:val="auto"/>
          <w:sz w:val="22"/>
        </w:rPr>
        <w:t>mpuis</w:t>
      </w:r>
      <w:proofErr w:type="spellEnd"/>
      <w:r>
        <w:rPr>
          <w:rFonts w:ascii="Calibri" w:hAnsi="Calibri"/>
          <w:color w:val="auto"/>
          <w:sz w:val="22"/>
        </w:rPr>
        <w:t>, at rue du Pont Bleu 21</w:t>
      </w:r>
      <w:r>
        <w:rPr>
          <w:rStyle w:val="Bodybold"/>
          <w:rFonts w:ascii="Calibri" w:hAnsi="Calibri"/>
          <w:color w:val="auto"/>
          <w:sz w:val="22"/>
        </w:rPr>
        <w:t>.</w:t>
      </w:r>
      <w:r w:rsidR="00944571">
        <w:rPr>
          <w:rStyle w:val="Bodybold"/>
          <w:rFonts w:ascii="Calibri" w:hAnsi="Calibri"/>
          <w:color w:val="auto"/>
          <w:sz w:val="22"/>
        </w:rPr>
        <w:t xml:space="preserve"> The sale of this property shows a loss </w:t>
      </w:r>
      <w:r w:rsidR="00B35A98">
        <w:rPr>
          <w:rStyle w:val="Bodybold"/>
          <w:rFonts w:ascii="Calibri" w:hAnsi="Calibri"/>
          <w:color w:val="auto"/>
          <w:sz w:val="22"/>
        </w:rPr>
        <w:t xml:space="preserve">of 1.4 </w:t>
      </w:r>
      <w:proofErr w:type="spellStart"/>
      <w:r w:rsidR="00B35A98">
        <w:rPr>
          <w:rStyle w:val="Bodybold"/>
          <w:rFonts w:ascii="Calibri" w:hAnsi="Calibri"/>
          <w:color w:val="auto"/>
          <w:sz w:val="22"/>
        </w:rPr>
        <w:t>millio</w:t>
      </w:r>
      <w:proofErr w:type="spellEnd"/>
      <w:r w:rsidR="00B35A98">
        <w:rPr>
          <w:rStyle w:val="Bodybold"/>
          <w:rFonts w:ascii="Calibri" w:hAnsi="Calibri"/>
          <w:color w:val="auto"/>
          <w:sz w:val="22"/>
        </w:rPr>
        <w:t xml:space="preserve"> euros </w:t>
      </w:r>
      <w:r w:rsidR="00944571">
        <w:rPr>
          <w:rStyle w:val="Bodybold"/>
          <w:rFonts w:ascii="Calibri" w:hAnsi="Calibri"/>
          <w:color w:val="auto"/>
          <w:sz w:val="22"/>
        </w:rPr>
        <w:t>in the result on the portfolio, which has been compensated by a lease termination fee that was recognised in EPRA Earnings.</w:t>
      </w:r>
    </w:p>
    <w:p w14:paraId="6C253805" w14:textId="6C73418A" w:rsidR="0065625F" w:rsidRPr="00473F8D" w:rsidRDefault="0065625F" w:rsidP="00992076">
      <w:pPr>
        <w:pStyle w:val="BODYlopendTEKSTOPMAAK"/>
        <w:spacing w:line="276" w:lineRule="auto"/>
        <w:jc w:val="both"/>
        <w:rPr>
          <w:rFonts w:ascii="Calibri" w:hAnsi="Calibri"/>
          <w:color w:val="auto"/>
          <w:sz w:val="22"/>
          <w:szCs w:val="22"/>
        </w:rPr>
      </w:pPr>
      <w:r>
        <w:rPr>
          <w:rFonts w:ascii="Calibri" w:hAnsi="Calibri"/>
          <w:color w:val="auto"/>
          <w:sz w:val="22"/>
        </w:rPr>
        <w:t>At this time, the</w:t>
      </w:r>
      <w:r w:rsidR="00944571">
        <w:rPr>
          <w:rFonts w:ascii="Calibri" w:hAnsi="Calibri"/>
          <w:color w:val="auto"/>
          <w:sz w:val="22"/>
        </w:rPr>
        <w:t>re are no</w:t>
      </w:r>
      <w:r>
        <w:rPr>
          <w:rFonts w:ascii="Calibri" w:hAnsi="Calibri"/>
          <w:color w:val="auto"/>
          <w:sz w:val="22"/>
        </w:rPr>
        <w:t xml:space="preserve"> </w:t>
      </w:r>
      <w:r>
        <w:rPr>
          <w:rFonts w:ascii="Calibri" w:hAnsi="Calibri"/>
          <w:i/>
          <w:color w:val="auto"/>
          <w:sz w:val="22"/>
        </w:rPr>
        <w:t>Assets held for sale</w:t>
      </w:r>
      <w:r>
        <w:rPr>
          <w:rFonts w:ascii="Calibri" w:hAnsi="Calibri"/>
          <w:color w:val="auto"/>
          <w:sz w:val="22"/>
        </w:rPr>
        <w:t xml:space="preserve">. </w:t>
      </w:r>
    </w:p>
    <w:p w14:paraId="6AE3158B" w14:textId="77777777" w:rsidR="008B6AA4" w:rsidRPr="00473F8D" w:rsidRDefault="008B6AA4" w:rsidP="00992076">
      <w:pPr>
        <w:pStyle w:val="Kop2"/>
      </w:pPr>
      <w:r>
        <w:t>2.3. Projects completed during the first quarter of 2017</w:t>
      </w:r>
    </w:p>
    <w:p w14:paraId="24BE6DE8" w14:textId="77777777" w:rsidR="001D7461" w:rsidRPr="00473F8D" w:rsidRDefault="001D7461" w:rsidP="001D7461">
      <w:pPr>
        <w:pStyle w:val="wdp15int2"/>
        <w:spacing w:line="276" w:lineRule="auto"/>
        <w:jc w:val="both"/>
        <w:rPr>
          <w:rFonts w:ascii="Calibri" w:hAnsi="Calibri"/>
          <w:i/>
          <w:color w:val="808080"/>
          <w:sz w:val="22"/>
          <w:szCs w:val="22"/>
        </w:rPr>
      </w:pPr>
      <w:r>
        <w:tab/>
      </w:r>
      <w:r>
        <w:rPr>
          <w:rFonts w:ascii="Calibri" w:hAnsi="Calibri"/>
          <w:i/>
          <w:color w:val="808080"/>
          <w:sz w:val="22"/>
        </w:rPr>
        <w:t>The Netherlands</w:t>
      </w:r>
    </w:p>
    <w:p w14:paraId="388B333A" w14:textId="7289AF16" w:rsidR="00CD6201" w:rsidRPr="00473F8D" w:rsidRDefault="00CD6201" w:rsidP="00CD6201">
      <w:pPr>
        <w:pStyle w:val="wdp15int2"/>
        <w:spacing w:line="276" w:lineRule="auto"/>
        <w:jc w:val="both"/>
        <w:rPr>
          <w:rFonts w:ascii="Calibri" w:hAnsi="Calibri"/>
          <w:b w:val="0"/>
          <w:color w:val="auto"/>
          <w:sz w:val="22"/>
          <w:szCs w:val="22"/>
        </w:rPr>
      </w:pPr>
      <w:r>
        <w:rPr>
          <w:rFonts w:ascii="Calibri" w:hAnsi="Calibri"/>
          <w:b w:val="0"/>
          <w:i/>
          <w:color w:val="auto"/>
          <w:sz w:val="22"/>
        </w:rPr>
        <w:t xml:space="preserve">Oosterhout, </w:t>
      </w:r>
      <w:proofErr w:type="spellStart"/>
      <w:r>
        <w:rPr>
          <w:rFonts w:ascii="Calibri" w:hAnsi="Calibri"/>
          <w:b w:val="0"/>
          <w:i/>
          <w:color w:val="auto"/>
          <w:sz w:val="22"/>
        </w:rPr>
        <w:t>Denariusstraat</w:t>
      </w:r>
      <w:proofErr w:type="spellEnd"/>
      <w:r>
        <w:rPr>
          <w:rFonts w:ascii="Calibri" w:hAnsi="Calibri"/>
          <w:b w:val="0"/>
          <w:i/>
          <w:color w:val="auto"/>
          <w:sz w:val="22"/>
        </w:rPr>
        <w:t>:</w:t>
      </w:r>
      <w:r>
        <w:rPr>
          <w:rFonts w:ascii="Calibri" w:hAnsi="Calibri"/>
          <w:b w:val="0"/>
          <w:color w:val="auto"/>
          <w:sz w:val="22"/>
        </w:rPr>
        <w:t xml:space="preserve"> new development site of approx. 10,000 m² for Brand Masters, specialising in the development and distribution of chocolate and confectionery, under an eleven-year lease agreement. The inve</w:t>
      </w:r>
      <w:r w:rsidR="00FA27F4">
        <w:rPr>
          <w:rFonts w:ascii="Calibri" w:hAnsi="Calibri"/>
          <w:b w:val="0"/>
          <w:color w:val="auto"/>
          <w:sz w:val="22"/>
        </w:rPr>
        <w:t xml:space="preserve">stment budget </w:t>
      </w:r>
      <w:r w:rsidR="00C97D39">
        <w:rPr>
          <w:rFonts w:ascii="Calibri" w:hAnsi="Calibri"/>
          <w:b w:val="0"/>
          <w:color w:val="auto"/>
          <w:sz w:val="22"/>
        </w:rPr>
        <w:t>amount</w:t>
      </w:r>
      <w:r w:rsidR="00FA27F4">
        <w:rPr>
          <w:rFonts w:ascii="Calibri" w:hAnsi="Calibri"/>
          <w:b w:val="0"/>
          <w:color w:val="auto"/>
          <w:sz w:val="22"/>
        </w:rPr>
        <w:t xml:space="preserve">s to approx. </w:t>
      </w:r>
      <w:r>
        <w:rPr>
          <w:rFonts w:ascii="Calibri" w:hAnsi="Calibri"/>
          <w:b w:val="0"/>
          <w:color w:val="auto"/>
          <w:sz w:val="22"/>
        </w:rPr>
        <w:t>7 million</w:t>
      </w:r>
      <w:r w:rsidR="00FA27F4">
        <w:rPr>
          <w:rFonts w:ascii="Calibri" w:hAnsi="Calibri"/>
          <w:b w:val="0"/>
          <w:color w:val="auto"/>
          <w:sz w:val="22"/>
        </w:rPr>
        <w:t xml:space="preserve"> </w:t>
      </w:r>
      <w:r w:rsidR="00FA27F4" w:rsidRPr="00FA27F4">
        <w:rPr>
          <w:rFonts w:ascii="Calibri" w:hAnsi="Calibri"/>
          <w:b w:val="0"/>
          <w:color w:val="auto"/>
          <w:sz w:val="22"/>
        </w:rPr>
        <w:t>euros</w:t>
      </w:r>
      <w:r>
        <w:rPr>
          <w:rFonts w:ascii="Calibri" w:hAnsi="Calibri"/>
          <w:b w:val="0"/>
          <w:color w:val="auto"/>
          <w:sz w:val="22"/>
        </w:rPr>
        <w:t>.</w:t>
      </w:r>
    </w:p>
    <w:p w14:paraId="4F38F8A8" w14:textId="4041E0B3" w:rsidR="00795899" w:rsidRPr="00473F8D" w:rsidRDefault="00795899" w:rsidP="00992076">
      <w:pPr>
        <w:pStyle w:val="Kop2"/>
      </w:pPr>
      <w:r>
        <w:lastRenderedPageBreak/>
        <w:t xml:space="preserve">2.4. </w:t>
      </w:r>
      <w:r w:rsidR="007713E1">
        <w:t>Projects</w:t>
      </w:r>
      <w:r>
        <w:t xml:space="preserve"> under </w:t>
      </w:r>
      <w:r w:rsidR="007713E1">
        <w:t>development</w:t>
      </w:r>
    </w:p>
    <w:p w14:paraId="57A834E6" w14:textId="7E19E2D1" w:rsidR="007E175B" w:rsidRPr="00473F8D" w:rsidRDefault="007E175B" w:rsidP="00992076">
      <w:pPr>
        <w:pStyle w:val="BODYlopendTEKSTOPMAAK"/>
        <w:suppressAutoHyphens/>
        <w:spacing w:line="276" w:lineRule="auto"/>
        <w:jc w:val="both"/>
        <w:rPr>
          <w:rFonts w:ascii="Calibri" w:hAnsi="Calibri"/>
          <w:color w:val="auto"/>
          <w:sz w:val="22"/>
          <w:szCs w:val="22"/>
        </w:rPr>
      </w:pPr>
      <w:r>
        <w:rPr>
          <w:rFonts w:ascii="Calibri" w:hAnsi="Calibri"/>
          <w:color w:val="auto"/>
          <w:sz w:val="22"/>
        </w:rPr>
        <w:t xml:space="preserve">WDP expects the total </w:t>
      </w:r>
      <w:r w:rsidR="007713E1">
        <w:rPr>
          <w:rFonts w:ascii="Calibri" w:hAnsi="Calibri"/>
          <w:color w:val="auto"/>
          <w:sz w:val="22"/>
        </w:rPr>
        <w:t xml:space="preserve">projects under development </w:t>
      </w:r>
      <w:r w:rsidR="00FA27F4">
        <w:rPr>
          <w:rFonts w:ascii="Calibri" w:hAnsi="Calibri"/>
          <w:color w:val="auto"/>
          <w:sz w:val="22"/>
        </w:rPr>
        <w:t xml:space="preserve">of approx. </w:t>
      </w:r>
      <w:r w:rsidR="003D1A55">
        <w:rPr>
          <w:rFonts w:ascii="Calibri" w:hAnsi="Calibri"/>
          <w:color w:val="auto"/>
          <w:sz w:val="22"/>
        </w:rPr>
        <w:t>22</w:t>
      </w:r>
      <w:r w:rsidR="00BD7DF7">
        <w:rPr>
          <w:rFonts w:ascii="Calibri" w:hAnsi="Calibri"/>
          <w:color w:val="auto"/>
          <w:sz w:val="22"/>
        </w:rPr>
        <w:t xml:space="preserve">0 </w:t>
      </w:r>
      <w:r>
        <w:rPr>
          <w:rFonts w:ascii="Calibri" w:hAnsi="Calibri"/>
          <w:color w:val="auto"/>
          <w:sz w:val="22"/>
        </w:rPr>
        <w:t xml:space="preserve">million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 xml:space="preserve">to generate an initial gross rental yield of around </w:t>
      </w:r>
      <w:r w:rsidR="00B35A98">
        <w:rPr>
          <w:rFonts w:ascii="Calibri" w:hAnsi="Calibri"/>
          <w:color w:val="auto"/>
          <w:sz w:val="22"/>
        </w:rPr>
        <w:t>6.</w:t>
      </w:r>
      <w:r w:rsidR="004E1D0D">
        <w:rPr>
          <w:rFonts w:ascii="Calibri" w:hAnsi="Calibri"/>
          <w:color w:val="auto"/>
          <w:sz w:val="22"/>
        </w:rPr>
        <w:t>8</w:t>
      </w:r>
      <w:r w:rsidR="00B35A98">
        <w:rPr>
          <w:rFonts w:ascii="Calibri" w:hAnsi="Calibri"/>
          <w:color w:val="auto"/>
          <w:sz w:val="22"/>
        </w:rPr>
        <w:t>0</w:t>
      </w:r>
      <w:r>
        <w:rPr>
          <w:rFonts w:ascii="Calibri" w:hAnsi="Calibri"/>
          <w:color w:val="auto"/>
          <w:sz w:val="22"/>
        </w:rPr>
        <w:t>%.</w:t>
      </w:r>
    </w:p>
    <w:p w14:paraId="6B023CA9" w14:textId="77777777" w:rsidR="00795899" w:rsidRPr="00473F8D" w:rsidRDefault="00795899" w:rsidP="00992076">
      <w:pPr>
        <w:pStyle w:val="BODYTT3TEKSTOPMAAK"/>
        <w:spacing w:line="276" w:lineRule="auto"/>
        <w:jc w:val="both"/>
        <w:rPr>
          <w:rFonts w:ascii="Calibri" w:hAnsi="Calibri"/>
          <w:i/>
          <w:color w:val="808080"/>
          <w:sz w:val="22"/>
          <w:szCs w:val="22"/>
        </w:rPr>
      </w:pPr>
      <w:r>
        <w:rPr>
          <w:rFonts w:ascii="Calibri" w:hAnsi="Calibri"/>
          <w:i/>
          <w:color w:val="808080"/>
          <w:sz w:val="22"/>
        </w:rPr>
        <w:t>Belgium</w:t>
      </w:r>
    </w:p>
    <w:p w14:paraId="4FDE08D1" w14:textId="4BA5AD50" w:rsidR="00947DC9" w:rsidRPr="00473F8D" w:rsidRDefault="00947DC9" w:rsidP="00992076">
      <w:pPr>
        <w:jc w:val="both"/>
        <w:rPr>
          <w:rFonts w:eastAsia="Times New Roman" w:cs="Calibri"/>
          <w:snapToGrid w:val="0"/>
        </w:rPr>
      </w:pPr>
      <w:proofErr w:type="spellStart"/>
      <w:r>
        <w:rPr>
          <w:i/>
        </w:rPr>
        <w:t>Zellik</w:t>
      </w:r>
      <w:proofErr w:type="spellEnd"/>
      <w:r>
        <w:rPr>
          <w:i/>
        </w:rPr>
        <w:t xml:space="preserve">, Z4 </w:t>
      </w:r>
      <w:proofErr w:type="spellStart"/>
      <w:r>
        <w:rPr>
          <w:i/>
        </w:rPr>
        <w:t>Broekooi</w:t>
      </w:r>
      <w:proofErr w:type="spellEnd"/>
      <w:r>
        <w:rPr>
          <w:i/>
        </w:rPr>
        <w:t xml:space="preserve"> 290: </w:t>
      </w:r>
      <w:r>
        <w:t xml:space="preserve">now that tenant </w:t>
      </w:r>
      <w:proofErr w:type="spellStart"/>
      <w:r>
        <w:t>Antalis</w:t>
      </w:r>
      <w:proofErr w:type="spellEnd"/>
      <w:r>
        <w:t xml:space="preserve"> has pulled out and moved into a smaller, more customised building, the space that became available is being redeveloped into a service centre tailored to the needs of Euro Pool System. In total, an area of 30,000 m² (ground floor and mezzanine) will be developed under a fixed fifteen-year lease agreement. Completion of this project is planned for the autumn of 2017. The investment for this re</w:t>
      </w:r>
      <w:r w:rsidR="00FA27F4">
        <w:t xml:space="preserve">development amounts to approx. </w:t>
      </w:r>
      <w:r>
        <w:t xml:space="preserve">14 million </w:t>
      </w:r>
      <w:r w:rsidR="00FA27F4" w:rsidRPr="00C609C9">
        <w:t>euros</w:t>
      </w:r>
      <w:r w:rsidR="00FA27F4">
        <w:t xml:space="preserve"> </w:t>
      </w:r>
      <w:r>
        <w:t xml:space="preserve">for WDP. </w:t>
      </w:r>
    </w:p>
    <w:p w14:paraId="140529A6" w14:textId="1CA6462B" w:rsidR="00543DEE" w:rsidRPr="00473F8D" w:rsidRDefault="00543DEE" w:rsidP="00992076">
      <w:pPr>
        <w:jc w:val="both"/>
        <w:rPr>
          <w:rFonts w:eastAsia="Times New Roman" w:cs="Calibri"/>
          <w:snapToGrid w:val="0"/>
        </w:rPr>
      </w:pPr>
      <w:proofErr w:type="spellStart"/>
      <w:r>
        <w:rPr>
          <w:i/>
          <w:snapToGrid w:val="0"/>
        </w:rPr>
        <w:t>WDPort</w:t>
      </w:r>
      <w:proofErr w:type="spellEnd"/>
      <w:r>
        <w:rPr>
          <w:i/>
          <w:snapToGrid w:val="0"/>
        </w:rPr>
        <w:t xml:space="preserve"> of Ghent:</w:t>
      </w:r>
      <w:r>
        <w:t xml:space="preserve"> during Q3 2017, logistics service provider Mainfreight will move into a new</w:t>
      </w:r>
      <w:r w:rsidR="00944571">
        <w:t xml:space="preserve"> </w:t>
      </w:r>
      <w:r>
        <w:t>warehouse of 9,000 m² (with expansion potential to 30,000 m²) based on a long-term ten-year lease agreement (with first termination date after five years). The invest</w:t>
      </w:r>
      <w:r w:rsidR="00FA27F4">
        <w:t xml:space="preserve">ment budget amounts to approx. </w:t>
      </w:r>
      <w:r>
        <w:t>4 million</w:t>
      </w:r>
      <w:r w:rsidR="00FA27F4">
        <w:t xml:space="preserve"> </w:t>
      </w:r>
      <w:r w:rsidR="00FA27F4" w:rsidRPr="00C609C9">
        <w:t>euros</w:t>
      </w:r>
      <w:r>
        <w:t>.</w:t>
      </w:r>
    </w:p>
    <w:p w14:paraId="251B721D" w14:textId="77777777" w:rsidR="00795899" w:rsidRPr="00473F8D" w:rsidRDefault="00795899" w:rsidP="00992076">
      <w:pPr>
        <w:pStyle w:val="BODYTT3TEKSTOPMAAK"/>
        <w:spacing w:line="276" w:lineRule="auto"/>
        <w:jc w:val="both"/>
        <w:rPr>
          <w:rFonts w:ascii="Calibri" w:hAnsi="Calibri"/>
          <w:i/>
          <w:color w:val="808080"/>
          <w:sz w:val="22"/>
          <w:szCs w:val="22"/>
        </w:rPr>
      </w:pPr>
      <w:r>
        <w:rPr>
          <w:rFonts w:ascii="Calibri" w:hAnsi="Calibri"/>
          <w:i/>
          <w:color w:val="808080"/>
          <w:sz w:val="22"/>
        </w:rPr>
        <w:t>The Netherlands</w:t>
      </w:r>
    </w:p>
    <w:p w14:paraId="28F58DD7" w14:textId="69251A11" w:rsidR="00947DC9" w:rsidRPr="00473F8D" w:rsidRDefault="00947DC9" w:rsidP="00992076">
      <w:pPr>
        <w:pStyle w:val="BODYTT3TEKSTOPMAAK"/>
        <w:spacing w:line="276" w:lineRule="auto"/>
        <w:ind w:left="0"/>
        <w:jc w:val="both"/>
        <w:rPr>
          <w:rFonts w:ascii="Calibri" w:hAnsi="Calibri"/>
          <w:b w:val="0"/>
          <w:i/>
          <w:color w:val="auto"/>
          <w:sz w:val="22"/>
          <w:szCs w:val="22"/>
        </w:rPr>
      </w:pPr>
      <w:proofErr w:type="spellStart"/>
      <w:r>
        <w:rPr>
          <w:rFonts w:ascii="Calibri" w:hAnsi="Calibri"/>
          <w:b w:val="0"/>
          <w:i/>
          <w:color w:val="auto"/>
          <w:sz w:val="22"/>
        </w:rPr>
        <w:t>Barendrecht</w:t>
      </w:r>
      <w:proofErr w:type="spellEnd"/>
      <w:r>
        <w:rPr>
          <w:rFonts w:ascii="Calibri" w:hAnsi="Calibri"/>
          <w:b w:val="0"/>
          <w:i/>
          <w:color w:val="auto"/>
          <w:sz w:val="22"/>
        </w:rPr>
        <w:t xml:space="preserve">, </w:t>
      </w:r>
      <w:proofErr w:type="spellStart"/>
      <w:r>
        <w:rPr>
          <w:rFonts w:ascii="Calibri" w:hAnsi="Calibri"/>
          <w:b w:val="0"/>
          <w:i/>
          <w:color w:val="auto"/>
          <w:sz w:val="22"/>
        </w:rPr>
        <w:t>Dierensteinweg</w:t>
      </w:r>
      <w:proofErr w:type="spellEnd"/>
      <w:r>
        <w:rPr>
          <w:rFonts w:ascii="Calibri" w:hAnsi="Calibri"/>
          <w:b w:val="0"/>
          <w:i/>
          <w:color w:val="auto"/>
          <w:sz w:val="22"/>
        </w:rPr>
        <w:t xml:space="preserve"> 30: </w:t>
      </w:r>
      <w:r>
        <w:rPr>
          <w:rFonts w:ascii="Calibri" w:hAnsi="Calibri"/>
          <w:b w:val="0"/>
          <w:color w:val="auto"/>
          <w:sz w:val="22"/>
        </w:rPr>
        <w:t xml:space="preserve">a new construction for the expansion of The Greenery's existing Retail DC. The new development will also accommodate the logistics activities of </w:t>
      </w:r>
      <w:proofErr w:type="spellStart"/>
      <w:r>
        <w:rPr>
          <w:rFonts w:ascii="Calibri" w:hAnsi="Calibri"/>
          <w:b w:val="0"/>
          <w:color w:val="auto"/>
          <w:sz w:val="22"/>
        </w:rPr>
        <w:t>Hagé</w:t>
      </w:r>
      <w:proofErr w:type="spellEnd"/>
      <w:r>
        <w:rPr>
          <w:rFonts w:ascii="Calibri" w:hAnsi="Calibri"/>
          <w:b w:val="0"/>
          <w:color w:val="auto"/>
          <w:sz w:val="22"/>
        </w:rPr>
        <w:t xml:space="preserve"> International, the import department of The Greenery. A second new development is underway for the existing Euro Pool System container washing plant, where The Greenery's crates are washed. Building B was delivered during Q3 2016 as planned. Building A is being delivered in phases in late 2016 and in the spring of 2017. Altogether </w:t>
      </w:r>
      <w:r w:rsidR="0076003C">
        <w:rPr>
          <w:rFonts w:ascii="Calibri" w:hAnsi="Calibri"/>
          <w:b w:val="0"/>
          <w:color w:val="auto"/>
          <w:sz w:val="22"/>
        </w:rPr>
        <w:t>this represents a surface of</w:t>
      </w:r>
      <w:r>
        <w:rPr>
          <w:rFonts w:ascii="Calibri" w:hAnsi="Calibri"/>
          <w:b w:val="0"/>
          <w:color w:val="auto"/>
          <w:sz w:val="22"/>
        </w:rPr>
        <w:t xml:space="preserve"> 40,000 m². The inve</w:t>
      </w:r>
      <w:r w:rsidR="00E468AD">
        <w:rPr>
          <w:rFonts w:ascii="Calibri" w:hAnsi="Calibri"/>
          <w:b w:val="0"/>
          <w:color w:val="auto"/>
          <w:sz w:val="22"/>
        </w:rPr>
        <w:t xml:space="preserve">stment budget </w:t>
      </w:r>
      <w:r w:rsidR="0076003C">
        <w:rPr>
          <w:rFonts w:ascii="Calibri" w:hAnsi="Calibri"/>
          <w:b w:val="0"/>
          <w:color w:val="auto"/>
          <w:sz w:val="22"/>
        </w:rPr>
        <w:t xml:space="preserve">amounts </w:t>
      </w:r>
      <w:r w:rsidR="00E468AD">
        <w:rPr>
          <w:rFonts w:ascii="Calibri" w:hAnsi="Calibri"/>
          <w:b w:val="0"/>
          <w:color w:val="auto"/>
          <w:sz w:val="22"/>
        </w:rPr>
        <w:t xml:space="preserve">to approx. </w:t>
      </w:r>
      <w:r>
        <w:rPr>
          <w:rFonts w:ascii="Calibri" w:hAnsi="Calibri"/>
          <w:b w:val="0"/>
          <w:color w:val="auto"/>
          <w:sz w:val="22"/>
        </w:rPr>
        <w:t>18 million</w:t>
      </w:r>
      <w:r w:rsidR="00E468AD">
        <w:rPr>
          <w:rFonts w:ascii="Calibri" w:hAnsi="Calibri"/>
          <w:b w:val="0"/>
          <w:color w:val="auto"/>
          <w:sz w:val="22"/>
        </w:rPr>
        <w:t xml:space="preserve"> </w:t>
      </w:r>
      <w:r w:rsidR="00E468AD" w:rsidRPr="00E468AD">
        <w:rPr>
          <w:rFonts w:ascii="Calibri" w:hAnsi="Calibri"/>
          <w:b w:val="0"/>
          <w:color w:val="auto"/>
          <w:sz w:val="22"/>
        </w:rPr>
        <w:t>euros</w:t>
      </w:r>
      <w:r>
        <w:rPr>
          <w:rFonts w:ascii="Calibri" w:hAnsi="Calibri"/>
          <w:b w:val="0"/>
          <w:color w:val="auto"/>
          <w:sz w:val="22"/>
        </w:rPr>
        <w:t xml:space="preserve">. </w:t>
      </w:r>
    </w:p>
    <w:p w14:paraId="6F4F39A2" w14:textId="2DF6A3D7" w:rsidR="00947DC9" w:rsidRPr="00473F8D" w:rsidRDefault="00947DC9" w:rsidP="00992076">
      <w:pPr>
        <w:pStyle w:val="BODYTT3TEKSTOPMAAK"/>
        <w:spacing w:line="276" w:lineRule="auto"/>
        <w:ind w:left="0"/>
        <w:jc w:val="both"/>
        <w:rPr>
          <w:rFonts w:ascii="Calibri" w:hAnsi="Calibri"/>
          <w:b w:val="0"/>
          <w:color w:val="auto"/>
          <w:sz w:val="22"/>
          <w:szCs w:val="22"/>
        </w:rPr>
      </w:pPr>
      <w:proofErr w:type="spellStart"/>
      <w:r>
        <w:rPr>
          <w:rFonts w:ascii="Calibri" w:hAnsi="Calibri"/>
          <w:b w:val="0"/>
          <w:i/>
          <w:color w:val="auto"/>
          <w:sz w:val="22"/>
        </w:rPr>
        <w:t>Barendrecht</w:t>
      </w:r>
      <w:proofErr w:type="spellEnd"/>
      <w:r>
        <w:rPr>
          <w:rFonts w:ascii="Calibri" w:hAnsi="Calibri"/>
          <w:b w:val="0"/>
          <w:i/>
          <w:color w:val="auto"/>
          <w:sz w:val="22"/>
        </w:rPr>
        <w:t xml:space="preserve">, </w:t>
      </w:r>
      <w:proofErr w:type="spellStart"/>
      <w:r>
        <w:rPr>
          <w:rFonts w:ascii="Calibri" w:hAnsi="Calibri"/>
          <w:b w:val="0"/>
          <w:i/>
          <w:color w:val="auto"/>
          <w:sz w:val="22"/>
        </w:rPr>
        <w:t>Dierensteinweg</w:t>
      </w:r>
      <w:proofErr w:type="spellEnd"/>
      <w:r>
        <w:rPr>
          <w:rFonts w:ascii="Calibri" w:hAnsi="Calibri"/>
          <w:b w:val="0"/>
          <w:i/>
          <w:color w:val="auto"/>
          <w:sz w:val="22"/>
        </w:rPr>
        <w:t xml:space="preserve"> 30: </w:t>
      </w:r>
      <w:r>
        <w:rPr>
          <w:rFonts w:ascii="Calibri" w:hAnsi="Calibri"/>
          <w:b w:val="0"/>
          <w:color w:val="auto"/>
          <w:sz w:val="22"/>
        </w:rPr>
        <w:t>in line with the purchase of building C-D, this site will be redeveloped with a future gross area of approx. 23,700 m², customised for tenant The Greenery, for a term of at least fifteen years (completion slated for Q4 2017 and Q4 2018, respectively). The inve</w:t>
      </w:r>
      <w:r w:rsidR="00FA27F4">
        <w:rPr>
          <w:rFonts w:ascii="Calibri" w:hAnsi="Calibri"/>
          <w:b w:val="0"/>
          <w:color w:val="auto"/>
          <w:sz w:val="22"/>
        </w:rPr>
        <w:t xml:space="preserve">stment budget </w:t>
      </w:r>
      <w:r w:rsidR="0076003C">
        <w:rPr>
          <w:rFonts w:ascii="Calibri" w:hAnsi="Calibri"/>
          <w:b w:val="0"/>
          <w:color w:val="auto"/>
          <w:sz w:val="22"/>
        </w:rPr>
        <w:t>amounts</w:t>
      </w:r>
      <w:r w:rsidR="00FA27F4">
        <w:rPr>
          <w:rFonts w:ascii="Calibri" w:hAnsi="Calibri"/>
          <w:b w:val="0"/>
          <w:color w:val="auto"/>
          <w:sz w:val="22"/>
        </w:rPr>
        <w:t xml:space="preserve"> to approx. </w:t>
      </w:r>
      <w:r>
        <w:rPr>
          <w:rFonts w:ascii="Calibri" w:hAnsi="Calibri"/>
          <w:b w:val="0"/>
          <w:color w:val="auto"/>
          <w:sz w:val="22"/>
        </w:rPr>
        <w:t>10 million</w:t>
      </w:r>
      <w:r w:rsidR="00FA27F4">
        <w:rPr>
          <w:rFonts w:ascii="Calibri" w:hAnsi="Calibri"/>
          <w:b w:val="0"/>
          <w:color w:val="auto"/>
          <w:sz w:val="22"/>
        </w:rPr>
        <w:t xml:space="preserve"> </w:t>
      </w:r>
      <w:r w:rsidR="00FA27F4" w:rsidRPr="00FA27F4">
        <w:rPr>
          <w:rFonts w:ascii="Calibri" w:hAnsi="Calibri"/>
          <w:b w:val="0"/>
          <w:color w:val="auto"/>
          <w:sz w:val="22"/>
        </w:rPr>
        <w:t>euros</w:t>
      </w:r>
      <w:r>
        <w:rPr>
          <w:rFonts w:ascii="Calibri" w:hAnsi="Calibri"/>
          <w:b w:val="0"/>
          <w:color w:val="auto"/>
          <w:sz w:val="22"/>
        </w:rPr>
        <w:t>.</w:t>
      </w:r>
    </w:p>
    <w:p w14:paraId="4D62F576" w14:textId="77777777" w:rsidR="003C1CD8" w:rsidRPr="00473F8D" w:rsidRDefault="00947DC9" w:rsidP="00992076">
      <w:pPr>
        <w:pStyle w:val="wdp15int2"/>
        <w:spacing w:line="276" w:lineRule="auto"/>
        <w:jc w:val="both"/>
        <w:rPr>
          <w:rFonts w:ascii="Calibri" w:hAnsi="Calibri"/>
          <w:b w:val="0"/>
          <w:color w:val="auto"/>
          <w:sz w:val="22"/>
          <w:szCs w:val="22"/>
        </w:rPr>
      </w:pPr>
      <w:proofErr w:type="spellStart"/>
      <w:r>
        <w:rPr>
          <w:rFonts w:ascii="Calibri" w:hAnsi="Calibri"/>
          <w:b w:val="0"/>
          <w:i/>
          <w:color w:val="auto"/>
          <w:sz w:val="22"/>
        </w:rPr>
        <w:t>Bleiswijk</w:t>
      </w:r>
      <w:proofErr w:type="spellEnd"/>
      <w:r>
        <w:rPr>
          <w:rFonts w:ascii="Calibri" w:hAnsi="Calibri"/>
          <w:b w:val="0"/>
          <w:i/>
          <w:color w:val="auto"/>
          <w:sz w:val="22"/>
        </w:rPr>
        <w:t xml:space="preserve">, </w:t>
      </w:r>
      <w:proofErr w:type="spellStart"/>
      <w:r>
        <w:rPr>
          <w:rFonts w:ascii="Calibri" w:hAnsi="Calibri"/>
          <w:b w:val="0"/>
          <w:i/>
          <w:color w:val="000000"/>
          <w:sz w:val="22"/>
        </w:rPr>
        <w:t>Maansteenweg</w:t>
      </w:r>
      <w:proofErr w:type="spellEnd"/>
      <w:r>
        <w:rPr>
          <w:rFonts w:ascii="Calibri" w:hAnsi="Calibri"/>
          <w:b w:val="0"/>
          <w:i/>
          <w:color w:val="000000"/>
          <w:sz w:val="22"/>
        </w:rPr>
        <w:t>/</w:t>
      </w:r>
      <w:proofErr w:type="spellStart"/>
      <w:r>
        <w:rPr>
          <w:rFonts w:ascii="Calibri" w:hAnsi="Calibri"/>
          <w:b w:val="0"/>
          <w:i/>
          <w:color w:val="auto"/>
          <w:sz w:val="22"/>
        </w:rPr>
        <w:t>Spectrumlaan</w:t>
      </w:r>
      <w:proofErr w:type="spellEnd"/>
      <w:r>
        <w:rPr>
          <w:rFonts w:ascii="Calibri" w:hAnsi="Calibri"/>
          <w:b w:val="0"/>
          <w:i/>
          <w:color w:val="auto"/>
          <w:sz w:val="22"/>
        </w:rPr>
        <w:t>:</w:t>
      </w:r>
      <w:r>
        <w:rPr>
          <w:rFonts w:ascii="Calibri" w:hAnsi="Calibri"/>
          <w:b w:val="0"/>
          <w:color w:val="auto"/>
          <w:sz w:val="22"/>
        </w:rPr>
        <w:t xml:space="preserve"> in early 2016, WDP purchased a landholding of approx. 7 hectares on this site. For </w:t>
      </w:r>
      <w:proofErr w:type="spellStart"/>
      <w:r>
        <w:rPr>
          <w:rFonts w:ascii="Calibri" w:hAnsi="Calibri"/>
          <w:b w:val="0"/>
          <w:color w:val="auto"/>
          <w:sz w:val="22"/>
        </w:rPr>
        <w:t>Mediq</w:t>
      </w:r>
      <w:proofErr w:type="spellEnd"/>
      <w:r>
        <w:rPr>
          <w:rFonts w:ascii="Calibri" w:hAnsi="Calibri"/>
          <w:b w:val="0"/>
          <w:color w:val="auto"/>
          <w:sz w:val="22"/>
        </w:rPr>
        <w:t xml:space="preserve">, a distribution centre of around 25,000 m² is being set up, with delivery slated for Q3 2017. Moreover, for Total Exotics, a tailored warehouse measuring 6,000 m² is being erected, with delivery slated for Q1 2018, based on a lease agreement of twelve years (with a first termination option after six years). The total investment budget for both projects amounts to approx. 17 million euros. </w:t>
      </w:r>
    </w:p>
    <w:p w14:paraId="686F8236" w14:textId="17184467" w:rsidR="00947DC9" w:rsidRPr="00473F8D" w:rsidRDefault="00947DC9" w:rsidP="00992076">
      <w:pPr>
        <w:pStyle w:val="wdp15int2"/>
        <w:spacing w:line="276" w:lineRule="auto"/>
        <w:jc w:val="both"/>
        <w:rPr>
          <w:rFonts w:ascii="Calibri" w:hAnsi="Calibri"/>
          <w:b w:val="0"/>
          <w:color w:val="auto"/>
          <w:sz w:val="22"/>
          <w:szCs w:val="22"/>
          <w:highlight w:val="yellow"/>
        </w:rPr>
      </w:pPr>
      <w:r>
        <w:rPr>
          <w:rFonts w:ascii="Calibri" w:hAnsi="Calibri"/>
          <w:b w:val="0"/>
          <w:i/>
          <w:color w:val="auto"/>
          <w:sz w:val="22"/>
        </w:rPr>
        <w:t xml:space="preserve">Heerlen, Earl </w:t>
      </w:r>
      <w:proofErr w:type="spellStart"/>
      <w:r>
        <w:rPr>
          <w:rFonts w:ascii="Calibri" w:hAnsi="Calibri"/>
          <w:b w:val="0"/>
          <w:i/>
          <w:color w:val="auto"/>
          <w:sz w:val="22"/>
        </w:rPr>
        <w:t>Bakkenstraat</w:t>
      </w:r>
      <w:proofErr w:type="spellEnd"/>
      <w:r>
        <w:rPr>
          <w:rFonts w:ascii="Calibri" w:hAnsi="Calibri"/>
          <w:b w:val="0"/>
          <w:color w:val="auto"/>
          <w:sz w:val="22"/>
        </w:rPr>
        <w:t xml:space="preserve">: in Heerlen, near Maastricht, logistics service provider CEVA Logistics, along with WDP, will expand a pharma hub with growth potential. CEVA </w:t>
      </w:r>
      <w:r w:rsidR="00944571">
        <w:rPr>
          <w:rFonts w:ascii="Calibri" w:hAnsi="Calibri"/>
          <w:b w:val="0"/>
          <w:color w:val="auto"/>
          <w:sz w:val="22"/>
        </w:rPr>
        <w:t xml:space="preserve">Logistics </w:t>
      </w:r>
      <w:r>
        <w:rPr>
          <w:rFonts w:ascii="Calibri" w:hAnsi="Calibri"/>
          <w:b w:val="0"/>
          <w:color w:val="auto"/>
          <w:sz w:val="22"/>
        </w:rPr>
        <w:t xml:space="preserve">organises logistics for </w:t>
      </w:r>
      <w:r>
        <w:rPr>
          <w:rFonts w:ascii="Calibri" w:hAnsi="Calibri"/>
          <w:b w:val="0"/>
          <w:color w:val="auto"/>
          <w:sz w:val="22"/>
        </w:rPr>
        <w:lastRenderedPageBreak/>
        <w:t>medical devices for Medtronic. The new development, fully GDP-compliant</w:t>
      </w:r>
      <w:r>
        <w:rPr>
          <w:rStyle w:val="Voetnootmarkering"/>
          <w:rFonts w:ascii="Calibri" w:hAnsi="Calibri"/>
          <w:b w:val="0"/>
          <w:color w:val="auto"/>
          <w:sz w:val="22"/>
        </w:rPr>
        <w:footnoteReference w:id="10"/>
      </w:r>
      <w:r>
        <w:rPr>
          <w:rFonts w:ascii="Calibri" w:hAnsi="Calibri"/>
          <w:b w:val="0"/>
          <w:color w:val="auto"/>
          <w:sz w:val="22"/>
        </w:rPr>
        <w:t xml:space="preserve">, covers an area of over 33,000 m² in the first phase currently getting underway, with delivery slated for Q3 2017. CEVA </w:t>
      </w:r>
      <w:r w:rsidR="009D3CF5">
        <w:rPr>
          <w:rFonts w:ascii="Calibri" w:hAnsi="Calibri"/>
          <w:b w:val="0"/>
          <w:color w:val="auto"/>
          <w:sz w:val="22"/>
        </w:rPr>
        <w:t xml:space="preserve">Logistics </w:t>
      </w:r>
      <w:r>
        <w:rPr>
          <w:rFonts w:ascii="Calibri" w:hAnsi="Calibri"/>
          <w:b w:val="0"/>
          <w:color w:val="auto"/>
          <w:sz w:val="22"/>
        </w:rPr>
        <w:t>is signing on to a basic five-year lease agreement. The investment bud</w:t>
      </w:r>
      <w:r w:rsidR="00FA27F4">
        <w:rPr>
          <w:rFonts w:ascii="Calibri" w:hAnsi="Calibri"/>
          <w:b w:val="0"/>
          <w:color w:val="auto"/>
          <w:sz w:val="22"/>
        </w:rPr>
        <w:t xml:space="preserve">get for WDP amounts to approx. </w:t>
      </w:r>
      <w:r>
        <w:rPr>
          <w:rFonts w:ascii="Calibri" w:hAnsi="Calibri"/>
          <w:b w:val="0"/>
          <w:color w:val="auto"/>
          <w:sz w:val="22"/>
        </w:rPr>
        <w:t>32 million</w:t>
      </w:r>
      <w:r w:rsidR="00FA27F4">
        <w:rPr>
          <w:rFonts w:ascii="Calibri" w:hAnsi="Calibri"/>
          <w:b w:val="0"/>
          <w:color w:val="auto"/>
          <w:sz w:val="22"/>
        </w:rPr>
        <w:t xml:space="preserve"> </w:t>
      </w:r>
      <w:r w:rsidR="00FA27F4" w:rsidRPr="00FA27F4">
        <w:rPr>
          <w:rFonts w:ascii="Calibri" w:hAnsi="Calibri"/>
          <w:b w:val="0"/>
          <w:color w:val="auto"/>
          <w:sz w:val="22"/>
        </w:rPr>
        <w:t>euros</w:t>
      </w:r>
      <w:r>
        <w:rPr>
          <w:rFonts w:ascii="Calibri" w:hAnsi="Calibri"/>
          <w:b w:val="0"/>
          <w:color w:val="auto"/>
          <w:sz w:val="22"/>
        </w:rPr>
        <w:t xml:space="preserve">. </w:t>
      </w:r>
    </w:p>
    <w:p w14:paraId="18E3435C" w14:textId="69F83769" w:rsidR="00947DC9" w:rsidRPr="00473F8D" w:rsidRDefault="00947DC9" w:rsidP="00992076">
      <w:pPr>
        <w:pStyle w:val="wdp15int2"/>
        <w:spacing w:line="276" w:lineRule="auto"/>
        <w:jc w:val="both"/>
        <w:rPr>
          <w:rFonts w:ascii="Calibri" w:hAnsi="Calibri"/>
          <w:b w:val="0"/>
          <w:color w:val="auto"/>
          <w:sz w:val="22"/>
          <w:szCs w:val="22"/>
          <w:highlight w:val="yellow"/>
        </w:rPr>
      </w:pPr>
      <w:proofErr w:type="spellStart"/>
      <w:r>
        <w:rPr>
          <w:rFonts w:ascii="Calibri" w:hAnsi="Calibri"/>
          <w:b w:val="0"/>
          <w:i/>
          <w:color w:val="auto"/>
          <w:sz w:val="22"/>
        </w:rPr>
        <w:t>Veghel</w:t>
      </w:r>
      <w:proofErr w:type="spellEnd"/>
      <w:r>
        <w:rPr>
          <w:rFonts w:ascii="Calibri" w:hAnsi="Calibri"/>
          <w:b w:val="0"/>
          <w:i/>
          <w:color w:val="auto"/>
          <w:sz w:val="22"/>
        </w:rPr>
        <w:t xml:space="preserve">, </w:t>
      </w:r>
      <w:proofErr w:type="spellStart"/>
      <w:r>
        <w:rPr>
          <w:rFonts w:ascii="Calibri" w:hAnsi="Calibri"/>
          <w:b w:val="0"/>
          <w:i/>
          <w:color w:val="auto"/>
          <w:sz w:val="22"/>
        </w:rPr>
        <w:t>Marshallweg</w:t>
      </w:r>
      <w:proofErr w:type="spellEnd"/>
      <w:r>
        <w:rPr>
          <w:rFonts w:ascii="Calibri" w:hAnsi="Calibri"/>
          <w:b w:val="0"/>
          <w:i/>
          <w:color w:val="auto"/>
          <w:sz w:val="22"/>
        </w:rPr>
        <w:t xml:space="preserve"> 2</w:t>
      </w:r>
      <w:r>
        <w:rPr>
          <w:rFonts w:ascii="Calibri" w:hAnsi="Calibri"/>
          <w:b w:val="0"/>
          <w:color w:val="auto"/>
          <w:sz w:val="22"/>
        </w:rPr>
        <w:t>: partial redevelopment of a strategic FMCG</w:t>
      </w:r>
      <w:r w:rsidR="009D3CF5">
        <w:rPr>
          <w:rStyle w:val="Voetnootmarkering"/>
          <w:rFonts w:ascii="Calibri" w:hAnsi="Calibri"/>
          <w:b w:val="0"/>
          <w:color w:val="auto"/>
          <w:sz w:val="22"/>
        </w:rPr>
        <w:footnoteReference w:id="11"/>
      </w:r>
      <w:r>
        <w:rPr>
          <w:rFonts w:ascii="Calibri" w:hAnsi="Calibri"/>
          <w:b w:val="0"/>
          <w:color w:val="auto"/>
          <w:sz w:val="22"/>
        </w:rPr>
        <w:t xml:space="preserve"> campus for Kuehne + Nagel, already property of WDP. This phased redevelopment involves replacing 31,000 m² in old storage space with a brand-new, state-of-the-art distribution centre totalling around 35,000 m². WDP expects final delivery of this site during Q2 2018. The inve</w:t>
      </w:r>
      <w:r w:rsidR="00FA27F4">
        <w:rPr>
          <w:rFonts w:ascii="Calibri" w:hAnsi="Calibri"/>
          <w:b w:val="0"/>
          <w:color w:val="auto"/>
          <w:sz w:val="22"/>
        </w:rPr>
        <w:t xml:space="preserve">stment budget </w:t>
      </w:r>
      <w:r w:rsidR="00C97D39">
        <w:rPr>
          <w:rFonts w:ascii="Calibri" w:hAnsi="Calibri"/>
          <w:b w:val="0"/>
          <w:color w:val="auto"/>
          <w:sz w:val="22"/>
        </w:rPr>
        <w:t xml:space="preserve">amounts </w:t>
      </w:r>
      <w:r w:rsidR="00FA27F4">
        <w:rPr>
          <w:rFonts w:ascii="Calibri" w:hAnsi="Calibri"/>
          <w:b w:val="0"/>
          <w:color w:val="auto"/>
          <w:sz w:val="22"/>
        </w:rPr>
        <w:t xml:space="preserve">to approx. </w:t>
      </w:r>
      <w:r>
        <w:rPr>
          <w:rFonts w:ascii="Calibri" w:hAnsi="Calibri"/>
          <w:b w:val="0"/>
          <w:color w:val="auto"/>
          <w:sz w:val="22"/>
        </w:rPr>
        <w:t>22 million</w:t>
      </w:r>
      <w:r w:rsidR="00FA27F4">
        <w:rPr>
          <w:rFonts w:ascii="Calibri" w:hAnsi="Calibri"/>
          <w:b w:val="0"/>
          <w:color w:val="auto"/>
          <w:sz w:val="22"/>
        </w:rPr>
        <w:t xml:space="preserve"> </w:t>
      </w:r>
      <w:r w:rsidR="00FA27F4" w:rsidRPr="00FA27F4">
        <w:rPr>
          <w:rFonts w:ascii="Calibri" w:hAnsi="Calibri"/>
          <w:b w:val="0"/>
          <w:color w:val="auto"/>
          <w:sz w:val="22"/>
        </w:rPr>
        <w:t>euros</w:t>
      </w:r>
      <w:r>
        <w:rPr>
          <w:rFonts w:ascii="Calibri" w:hAnsi="Calibri"/>
          <w:b w:val="0"/>
          <w:color w:val="auto"/>
          <w:sz w:val="22"/>
        </w:rPr>
        <w:t>.</w:t>
      </w:r>
    </w:p>
    <w:p w14:paraId="619BEFEB" w14:textId="56DD8AB6" w:rsidR="00947DC9" w:rsidRPr="00473F8D" w:rsidRDefault="00947DC9" w:rsidP="00992076">
      <w:pPr>
        <w:pStyle w:val="wdp15int2"/>
        <w:spacing w:line="276" w:lineRule="auto"/>
        <w:jc w:val="both"/>
        <w:rPr>
          <w:rFonts w:ascii="Calibri" w:hAnsi="Calibri" w:cs="Calibri"/>
          <w:b w:val="0"/>
          <w:color w:val="auto"/>
          <w:sz w:val="22"/>
          <w:szCs w:val="22"/>
        </w:rPr>
      </w:pPr>
      <w:r>
        <w:rPr>
          <w:rFonts w:ascii="Calibri" w:hAnsi="Calibri"/>
          <w:b w:val="0"/>
          <w:i/>
          <w:color w:val="auto"/>
          <w:sz w:val="22"/>
        </w:rPr>
        <w:t xml:space="preserve">Venlo, Trade Port Noord: </w:t>
      </w:r>
      <w:r>
        <w:rPr>
          <w:rFonts w:ascii="Calibri" w:hAnsi="Calibri"/>
          <w:b w:val="0"/>
          <w:color w:val="auto"/>
          <w:sz w:val="22"/>
        </w:rPr>
        <w:t xml:space="preserve">on a newly acquired land resource, WDP welcomes logistics service provider DB </w:t>
      </w:r>
      <w:proofErr w:type="spellStart"/>
      <w:r>
        <w:rPr>
          <w:rFonts w:ascii="Calibri" w:hAnsi="Calibri"/>
          <w:b w:val="0"/>
          <w:color w:val="auto"/>
          <w:sz w:val="22"/>
        </w:rPr>
        <w:t>Schenker</w:t>
      </w:r>
      <w:proofErr w:type="spellEnd"/>
      <w:r>
        <w:rPr>
          <w:rFonts w:ascii="Calibri" w:hAnsi="Calibri"/>
          <w:b w:val="0"/>
          <w:color w:val="auto"/>
          <w:sz w:val="22"/>
        </w:rPr>
        <w:t>, already a WDP tenant in France, which plans to use this site to expand its operations within the Dutch Limburg region. WDP is fitting out its tenant with a new multi-user warehouse totalling some 50,000 m², with delivery slated in the course of Q3 2017. The investment budget for</w:t>
      </w:r>
      <w:r w:rsidR="00FA27F4">
        <w:rPr>
          <w:rFonts w:ascii="Calibri" w:hAnsi="Calibri"/>
          <w:b w:val="0"/>
          <w:color w:val="auto"/>
          <w:sz w:val="22"/>
        </w:rPr>
        <w:t xml:space="preserve"> this project </w:t>
      </w:r>
      <w:r w:rsidR="0076003C">
        <w:rPr>
          <w:rFonts w:ascii="Calibri" w:hAnsi="Calibri"/>
          <w:b w:val="0"/>
          <w:color w:val="auto"/>
          <w:sz w:val="22"/>
        </w:rPr>
        <w:t>amounts</w:t>
      </w:r>
      <w:r w:rsidR="00FA27F4">
        <w:rPr>
          <w:rFonts w:ascii="Calibri" w:hAnsi="Calibri"/>
          <w:b w:val="0"/>
          <w:color w:val="auto"/>
          <w:sz w:val="22"/>
        </w:rPr>
        <w:t xml:space="preserve"> to approx. </w:t>
      </w:r>
      <w:r>
        <w:rPr>
          <w:rFonts w:ascii="Calibri" w:hAnsi="Calibri"/>
          <w:b w:val="0"/>
          <w:color w:val="auto"/>
          <w:sz w:val="22"/>
        </w:rPr>
        <w:t>30 million</w:t>
      </w:r>
      <w:r w:rsidR="00FA27F4">
        <w:rPr>
          <w:rFonts w:ascii="Calibri" w:hAnsi="Calibri"/>
          <w:b w:val="0"/>
          <w:color w:val="auto"/>
          <w:sz w:val="22"/>
        </w:rPr>
        <w:t xml:space="preserve"> </w:t>
      </w:r>
      <w:r w:rsidR="00FA27F4" w:rsidRPr="00FA27F4">
        <w:rPr>
          <w:rFonts w:ascii="Calibri" w:hAnsi="Calibri"/>
          <w:b w:val="0"/>
          <w:color w:val="auto"/>
          <w:sz w:val="22"/>
        </w:rPr>
        <w:t>euros</w:t>
      </w:r>
      <w:r>
        <w:rPr>
          <w:rFonts w:ascii="Calibri" w:hAnsi="Calibri"/>
          <w:b w:val="0"/>
          <w:color w:val="auto"/>
          <w:sz w:val="22"/>
        </w:rPr>
        <w:t>.</w:t>
      </w:r>
    </w:p>
    <w:p w14:paraId="364FFFDC" w14:textId="77777777" w:rsidR="00CE6518" w:rsidRPr="00473F8D" w:rsidRDefault="00CE6518" w:rsidP="00992076">
      <w:pPr>
        <w:pStyle w:val="wdp15int2"/>
        <w:spacing w:line="276" w:lineRule="auto"/>
        <w:jc w:val="both"/>
        <w:rPr>
          <w:rFonts w:ascii="Calibri" w:hAnsi="Calibri" w:cs="Calibri"/>
          <w:b w:val="0"/>
          <w:color w:val="auto"/>
          <w:sz w:val="22"/>
          <w:szCs w:val="22"/>
        </w:rPr>
      </w:pPr>
    </w:p>
    <w:p w14:paraId="36176D92" w14:textId="77777777" w:rsidR="00C1041E" w:rsidRPr="00473F8D" w:rsidRDefault="00C1041E" w:rsidP="000F4C18">
      <w:pPr>
        <w:pStyle w:val="BODYTT3TEKSTOPMAAK"/>
        <w:spacing w:line="276" w:lineRule="auto"/>
        <w:ind w:left="0"/>
        <w:jc w:val="both"/>
        <w:rPr>
          <w:rFonts w:ascii="Calibri" w:hAnsi="Calibri"/>
          <w:b w:val="0"/>
          <w:color w:val="auto"/>
          <w:sz w:val="22"/>
          <w:szCs w:val="22"/>
        </w:rPr>
      </w:pPr>
      <w:r>
        <w:rPr>
          <w:rFonts w:ascii="Calibri" w:hAnsi="Calibri"/>
          <w:b w:val="0"/>
          <w:color w:val="auto"/>
          <w:sz w:val="22"/>
        </w:rPr>
        <w:t xml:space="preserve"> </w:t>
      </w:r>
      <w:r>
        <w:tab/>
      </w:r>
      <w:r>
        <w:rPr>
          <w:rFonts w:ascii="Calibri" w:hAnsi="Calibri"/>
          <w:i/>
          <w:color w:val="808080"/>
          <w:sz w:val="22"/>
        </w:rPr>
        <w:t>Romania</w:t>
      </w:r>
      <w:r>
        <w:rPr>
          <w:rFonts w:ascii="Calibri" w:hAnsi="Calibri"/>
          <w:i/>
          <w:color w:val="808080"/>
          <w:sz w:val="22"/>
          <w:vertAlign w:val="superscript"/>
        </w:rPr>
        <w:footnoteReference w:id="12"/>
      </w:r>
    </w:p>
    <w:p w14:paraId="3BD33AED" w14:textId="72729BD8" w:rsidR="00947DC9" w:rsidRPr="00473F8D" w:rsidRDefault="00947DC9" w:rsidP="00992076">
      <w:pPr>
        <w:pStyle w:val="BODYlopendTEKSTOPMAAK"/>
        <w:spacing w:line="276" w:lineRule="auto"/>
        <w:jc w:val="both"/>
        <w:rPr>
          <w:rFonts w:ascii="Calibri" w:hAnsi="Calibri" w:cs="Calibri"/>
          <w:sz w:val="22"/>
          <w:szCs w:val="22"/>
        </w:rPr>
      </w:pPr>
      <w:r>
        <w:rPr>
          <w:rFonts w:ascii="Calibri" w:hAnsi="Calibri"/>
          <w:i/>
          <w:color w:val="auto"/>
          <w:sz w:val="22"/>
        </w:rPr>
        <w:t>Bucharest (1):</w:t>
      </w:r>
      <w:r>
        <w:rPr>
          <w:rFonts w:ascii="Calibri" w:hAnsi="Calibri"/>
          <w:sz w:val="22"/>
        </w:rPr>
        <w:t xml:space="preserve"> a distribution centre is being set up for Decathlon on a newly purchased parcel to the north of Bucharest. This warehouse offers around 22,000 m² in space and features a mezzanine of another 6,000 m² as well as a planned expansion for 10,000 m². Decathlon will provision its shops from this site and has signed on to a thirty-year lease agreement (with the first option to terminate after seven years). Delivery is slated for the first half of 2017. The inve</w:t>
      </w:r>
      <w:r w:rsidR="00FA27F4">
        <w:rPr>
          <w:rFonts w:ascii="Calibri" w:hAnsi="Calibri"/>
          <w:sz w:val="22"/>
        </w:rPr>
        <w:t xml:space="preserve">stment budget </w:t>
      </w:r>
      <w:r w:rsidR="00C97D39">
        <w:rPr>
          <w:rFonts w:ascii="Calibri" w:hAnsi="Calibri"/>
          <w:sz w:val="22"/>
        </w:rPr>
        <w:t xml:space="preserve">amounts </w:t>
      </w:r>
      <w:r w:rsidR="00FA27F4">
        <w:rPr>
          <w:rFonts w:ascii="Calibri" w:hAnsi="Calibri"/>
          <w:sz w:val="22"/>
        </w:rPr>
        <w:t xml:space="preserve">to approx. </w:t>
      </w:r>
      <w:r>
        <w:rPr>
          <w:rFonts w:ascii="Calibri" w:hAnsi="Calibri"/>
          <w:sz w:val="22"/>
        </w:rPr>
        <w:t>15 million</w:t>
      </w:r>
      <w:r w:rsidR="00FA27F4">
        <w:rPr>
          <w:rFonts w:ascii="Calibri" w:hAnsi="Calibri"/>
          <w:sz w:val="22"/>
        </w:rPr>
        <w:t xml:space="preserve"> </w:t>
      </w:r>
      <w:r w:rsidR="00FA27F4" w:rsidRPr="00FA27F4">
        <w:rPr>
          <w:rFonts w:ascii="Calibri" w:hAnsi="Calibri"/>
          <w:color w:val="auto"/>
          <w:sz w:val="22"/>
        </w:rPr>
        <w:t>euros</w:t>
      </w:r>
      <w:r>
        <w:rPr>
          <w:rFonts w:ascii="Calibri" w:hAnsi="Calibri"/>
          <w:sz w:val="22"/>
        </w:rPr>
        <w:t>.</w:t>
      </w:r>
    </w:p>
    <w:p w14:paraId="31887B7A" w14:textId="5752CF4E" w:rsidR="00C7193D" w:rsidRPr="00720A46" w:rsidRDefault="00976436" w:rsidP="00C7193D">
      <w:pPr>
        <w:pStyle w:val="BODYlopendTEKSTOPMAAK"/>
        <w:spacing w:line="276" w:lineRule="auto"/>
        <w:jc w:val="both"/>
        <w:rPr>
          <w:rFonts w:asciiTheme="minorHAnsi" w:hAnsiTheme="minorHAnsi" w:cstheme="minorHAnsi"/>
          <w:sz w:val="22"/>
          <w:szCs w:val="22"/>
        </w:rPr>
      </w:pPr>
      <w:r w:rsidRPr="00720A46">
        <w:rPr>
          <w:rFonts w:asciiTheme="minorHAnsi" w:hAnsiTheme="minorHAnsi" w:cstheme="minorHAnsi"/>
          <w:i/>
          <w:sz w:val="22"/>
          <w:szCs w:val="22"/>
        </w:rPr>
        <w:t>Bucharest (2):</w:t>
      </w:r>
      <w:r w:rsidRPr="00720A46">
        <w:rPr>
          <w:rFonts w:asciiTheme="minorHAnsi" w:hAnsiTheme="minorHAnsi" w:cstheme="minorHAnsi"/>
          <w:sz w:val="22"/>
          <w:szCs w:val="22"/>
        </w:rPr>
        <w:t xml:space="preserve"> a second project on this site is underway for retailer Carrefour who, after delivery (scheduled for Q4 2017), will move into a distribution centre of around 11,000 m² with an expansion to 16,000 m² under a ten-year lease agreement. WDP projects an in</w:t>
      </w:r>
      <w:r w:rsidR="00FA27F4" w:rsidRPr="00720A46">
        <w:rPr>
          <w:rFonts w:asciiTheme="minorHAnsi" w:hAnsiTheme="minorHAnsi" w:cstheme="minorHAnsi"/>
          <w:sz w:val="22"/>
          <w:szCs w:val="22"/>
        </w:rPr>
        <w:t xml:space="preserve">vestment budget of some </w:t>
      </w:r>
      <w:r w:rsidRPr="00720A46">
        <w:rPr>
          <w:rFonts w:asciiTheme="minorHAnsi" w:hAnsiTheme="minorHAnsi" w:cstheme="minorHAnsi"/>
          <w:sz w:val="22"/>
          <w:szCs w:val="22"/>
        </w:rPr>
        <w:t>8 million</w:t>
      </w:r>
      <w:r w:rsidR="00FA27F4" w:rsidRPr="00720A46">
        <w:rPr>
          <w:rFonts w:asciiTheme="minorHAnsi" w:hAnsiTheme="minorHAnsi" w:cstheme="minorHAnsi"/>
          <w:sz w:val="22"/>
          <w:szCs w:val="22"/>
        </w:rPr>
        <w:t xml:space="preserve"> </w:t>
      </w:r>
      <w:r w:rsidR="00FA27F4" w:rsidRPr="00720A46">
        <w:rPr>
          <w:rFonts w:asciiTheme="minorHAnsi" w:hAnsiTheme="minorHAnsi" w:cstheme="minorHAnsi"/>
          <w:color w:val="auto"/>
          <w:sz w:val="22"/>
          <w:szCs w:val="22"/>
        </w:rPr>
        <w:t>euros</w:t>
      </w:r>
      <w:r w:rsidRPr="00720A46">
        <w:rPr>
          <w:rFonts w:asciiTheme="minorHAnsi" w:hAnsiTheme="minorHAnsi" w:cstheme="minorHAnsi"/>
          <w:sz w:val="22"/>
          <w:szCs w:val="22"/>
        </w:rPr>
        <w:t>.</w:t>
      </w:r>
    </w:p>
    <w:p w14:paraId="5BF5C7F1" w14:textId="31D1B278" w:rsidR="00947DC9" w:rsidRPr="00473F8D" w:rsidRDefault="00947DC9" w:rsidP="00992076">
      <w:pPr>
        <w:pStyle w:val="BODYlopendTEKSTOPMAAK"/>
        <w:spacing w:line="276" w:lineRule="auto"/>
        <w:jc w:val="both"/>
        <w:rPr>
          <w:rFonts w:ascii="Calibri" w:hAnsi="Calibri" w:cs="Calibri"/>
          <w:sz w:val="22"/>
          <w:szCs w:val="22"/>
        </w:rPr>
      </w:pPr>
      <w:proofErr w:type="spellStart"/>
      <w:r>
        <w:rPr>
          <w:rFonts w:ascii="Calibri" w:hAnsi="Calibri"/>
          <w:i/>
          <w:sz w:val="22"/>
        </w:rPr>
        <w:t>Timișoara</w:t>
      </w:r>
      <w:proofErr w:type="spellEnd"/>
      <w:r>
        <w:rPr>
          <w:rFonts w:ascii="Calibri" w:hAnsi="Calibri"/>
          <w:i/>
          <w:sz w:val="22"/>
        </w:rPr>
        <w:t>:</w:t>
      </w:r>
      <w:r>
        <w:rPr>
          <w:rFonts w:ascii="Calibri" w:hAnsi="Calibri"/>
          <w:sz w:val="22"/>
        </w:rPr>
        <w:t xml:space="preserve"> international logistics service provider Kuehne + Nagel will move into a new</w:t>
      </w:r>
      <w:r w:rsidR="009D3CF5">
        <w:rPr>
          <w:rFonts w:ascii="Calibri" w:hAnsi="Calibri"/>
          <w:sz w:val="22"/>
        </w:rPr>
        <w:t xml:space="preserve"> </w:t>
      </w:r>
      <w:r>
        <w:rPr>
          <w:rFonts w:ascii="Calibri" w:hAnsi="Calibri"/>
          <w:sz w:val="22"/>
        </w:rPr>
        <w:t xml:space="preserve">distribution centre of approx. 5,000 m² and </w:t>
      </w:r>
      <w:r w:rsidR="0076003C">
        <w:rPr>
          <w:rFonts w:ascii="Calibri" w:hAnsi="Calibri"/>
          <w:sz w:val="22"/>
        </w:rPr>
        <w:t xml:space="preserve">has </w:t>
      </w:r>
      <w:r>
        <w:rPr>
          <w:rFonts w:ascii="Calibri" w:hAnsi="Calibri"/>
          <w:sz w:val="22"/>
        </w:rPr>
        <w:t>sign</w:t>
      </w:r>
      <w:r w:rsidR="0076003C">
        <w:rPr>
          <w:rFonts w:ascii="Calibri" w:hAnsi="Calibri"/>
          <w:sz w:val="22"/>
        </w:rPr>
        <w:t>ed</w:t>
      </w:r>
      <w:r>
        <w:rPr>
          <w:rFonts w:ascii="Calibri" w:hAnsi="Calibri"/>
          <w:sz w:val="22"/>
        </w:rPr>
        <w:t xml:space="preserve"> on to a five-year lease agreement. The new site is being set up in </w:t>
      </w:r>
      <w:proofErr w:type="spellStart"/>
      <w:r>
        <w:rPr>
          <w:rFonts w:ascii="Calibri" w:hAnsi="Calibri"/>
          <w:sz w:val="22"/>
        </w:rPr>
        <w:t>Timișoara</w:t>
      </w:r>
      <w:proofErr w:type="spellEnd"/>
      <w:r>
        <w:rPr>
          <w:rFonts w:ascii="Calibri" w:hAnsi="Calibri"/>
          <w:sz w:val="22"/>
        </w:rPr>
        <w:t xml:space="preserve">, a new region in </w:t>
      </w:r>
      <w:r w:rsidR="00C97D39">
        <w:rPr>
          <w:rFonts w:ascii="Calibri" w:hAnsi="Calibri"/>
          <w:sz w:val="22"/>
        </w:rPr>
        <w:t>W</w:t>
      </w:r>
      <w:r>
        <w:rPr>
          <w:rFonts w:ascii="Calibri" w:hAnsi="Calibri"/>
          <w:sz w:val="22"/>
        </w:rPr>
        <w:t xml:space="preserve">estern Romania where WDP wants to offer </w:t>
      </w:r>
      <w:r w:rsidR="00C97D39">
        <w:rPr>
          <w:rFonts w:ascii="Calibri" w:hAnsi="Calibri"/>
          <w:sz w:val="22"/>
        </w:rPr>
        <w:t xml:space="preserve">logistics </w:t>
      </w:r>
      <w:r>
        <w:rPr>
          <w:rFonts w:ascii="Calibri" w:hAnsi="Calibri"/>
          <w:sz w:val="22"/>
        </w:rPr>
        <w:t>storage space. WDP projects a</w:t>
      </w:r>
      <w:r w:rsidR="00FA27F4">
        <w:rPr>
          <w:rFonts w:ascii="Calibri" w:hAnsi="Calibri"/>
          <w:sz w:val="22"/>
        </w:rPr>
        <w:t xml:space="preserve">n investment budget of approx. </w:t>
      </w:r>
      <w:r>
        <w:rPr>
          <w:rFonts w:ascii="Calibri" w:hAnsi="Calibri"/>
          <w:sz w:val="22"/>
        </w:rPr>
        <w:t xml:space="preserve">2 million </w:t>
      </w:r>
      <w:r w:rsidR="00FA27F4" w:rsidRPr="00FA27F4">
        <w:rPr>
          <w:rFonts w:ascii="Calibri" w:hAnsi="Calibri"/>
          <w:color w:val="auto"/>
          <w:sz w:val="22"/>
        </w:rPr>
        <w:t>euros</w:t>
      </w:r>
      <w:r w:rsidR="00FA27F4">
        <w:rPr>
          <w:rFonts w:ascii="Calibri" w:hAnsi="Calibri"/>
          <w:sz w:val="22"/>
        </w:rPr>
        <w:t xml:space="preserve"> </w:t>
      </w:r>
      <w:r>
        <w:rPr>
          <w:rFonts w:ascii="Calibri" w:hAnsi="Calibri"/>
          <w:sz w:val="22"/>
        </w:rPr>
        <w:t>for this new development project. Delivery of this project is slated for Q3 2017.</w:t>
      </w:r>
    </w:p>
    <w:p w14:paraId="7F045378" w14:textId="436F7D5D" w:rsidR="00976436" w:rsidRPr="00473F8D" w:rsidRDefault="00976436" w:rsidP="00992076">
      <w:pPr>
        <w:pStyle w:val="BODYlopendTEKSTOPMAAK"/>
        <w:spacing w:line="276" w:lineRule="auto"/>
        <w:jc w:val="both"/>
        <w:rPr>
          <w:rFonts w:ascii="Calibri" w:hAnsi="Calibri" w:cs="Calibri"/>
          <w:sz w:val="22"/>
          <w:szCs w:val="22"/>
        </w:rPr>
      </w:pPr>
      <w:r>
        <w:rPr>
          <w:rFonts w:ascii="Calibri" w:hAnsi="Calibri"/>
          <w:i/>
          <w:sz w:val="22"/>
        </w:rPr>
        <w:t>Cluj-Napoca (3):</w:t>
      </w:r>
      <w:r>
        <w:rPr>
          <w:rFonts w:ascii="Calibri" w:hAnsi="Calibri"/>
          <w:sz w:val="22"/>
        </w:rPr>
        <w:t xml:space="preserve"> at this site, supermarket chain </w:t>
      </w:r>
      <w:proofErr w:type="spellStart"/>
      <w:r>
        <w:rPr>
          <w:rFonts w:ascii="Calibri" w:hAnsi="Calibri"/>
          <w:sz w:val="22"/>
        </w:rPr>
        <w:t>Profi</w:t>
      </w:r>
      <w:proofErr w:type="spellEnd"/>
      <w:r>
        <w:rPr>
          <w:rFonts w:ascii="Calibri" w:hAnsi="Calibri"/>
          <w:sz w:val="22"/>
        </w:rPr>
        <w:t xml:space="preserve"> is centralising its retail service for fruits and vegetables for the Transylvania region. In phases, WDP will custom-develop a refrigerated distribution centre, with offices, totalling over 15,000 m², with delivery slated for Q1 2018. </w:t>
      </w:r>
      <w:proofErr w:type="spellStart"/>
      <w:r>
        <w:rPr>
          <w:rFonts w:ascii="Calibri" w:hAnsi="Calibri"/>
          <w:sz w:val="22"/>
        </w:rPr>
        <w:t>Profi</w:t>
      </w:r>
      <w:proofErr w:type="spellEnd"/>
      <w:r>
        <w:rPr>
          <w:rFonts w:ascii="Calibri" w:hAnsi="Calibri"/>
          <w:sz w:val="22"/>
        </w:rPr>
        <w:t xml:space="preserve"> is signing on to a </w:t>
      </w:r>
      <w:r>
        <w:rPr>
          <w:rFonts w:ascii="Calibri" w:hAnsi="Calibri"/>
          <w:sz w:val="22"/>
        </w:rPr>
        <w:lastRenderedPageBreak/>
        <w:t>long-term ten-year lease agreement. The invest</w:t>
      </w:r>
      <w:r w:rsidR="00FA27F4">
        <w:rPr>
          <w:rFonts w:ascii="Calibri" w:hAnsi="Calibri"/>
          <w:sz w:val="22"/>
        </w:rPr>
        <w:t xml:space="preserve">ment budget amounts to approx. </w:t>
      </w:r>
      <w:r>
        <w:rPr>
          <w:rFonts w:ascii="Calibri" w:hAnsi="Calibri"/>
          <w:sz w:val="22"/>
        </w:rPr>
        <w:t>10 million</w:t>
      </w:r>
      <w:r w:rsidR="00FA27F4">
        <w:rPr>
          <w:rFonts w:ascii="Calibri" w:hAnsi="Calibri"/>
          <w:sz w:val="22"/>
        </w:rPr>
        <w:t xml:space="preserve"> </w:t>
      </w:r>
      <w:r w:rsidR="00FA27F4" w:rsidRPr="00FA27F4">
        <w:rPr>
          <w:rFonts w:ascii="Calibri" w:hAnsi="Calibri"/>
          <w:color w:val="auto"/>
          <w:sz w:val="22"/>
        </w:rPr>
        <w:t>euros</w:t>
      </w:r>
      <w:r>
        <w:rPr>
          <w:rFonts w:ascii="Calibri" w:hAnsi="Calibri"/>
          <w:sz w:val="22"/>
        </w:rPr>
        <w:t>.</w:t>
      </w:r>
    </w:p>
    <w:p w14:paraId="64032A83" w14:textId="77777777" w:rsidR="00C7193D" w:rsidRPr="00473F8D" w:rsidRDefault="00C7193D" w:rsidP="00992076">
      <w:pPr>
        <w:pStyle w:val="BODYlopendTEKSTOPMAAK"/>
        <w:spacing w:line="276" w:lineRule="auto"/>
        <w:jc w:val="both"/>
        <w:rPr>
          <w:rFonts w:ascii="Calibri" w:hAnsi="Calibri" w:cs="Calibri"/>
          <w:sz w:val="22"/>
          <w:szCs w:val="22"/>
        </w:rPr>
      </w:pPr>
      <w:r>
        <w:rPr>
          <w:rFonts w:ascii="Calibri" w:hAnsi="Calibri"/>
          <w:i/>
          <w:sz w:val="22"/>
        </w:rPr>
        <w:t>Cluj-Napoca (4):</w:t>
      </w:r>
      <w:r>
        <w:rPr>
          <w:rFonts w:ascii="Calibri" w:hAnsi="Calibri"/>
          <w:sz w:val="22"/>
        </w:rPr>
        <w:t xml:space="preserve"> new development project for </w:t>
      </w:r>
      <w:proofErr w:type="spellStart"/>
      <w:r>
        <w:rPr>
          <w:rFonts w:ascii="Calibri" w:hAnsi="Calibri"/>
          <w:sz w:val="22"/>
        </w:rPr>
        <w:t>Arcese</w:t>
      </w:r>
      <w:proofErr w:type="spellEnd"/>
      <w:r>
        <w:rPr>
          <w:rFonts w:ascii="Calibri" w:hAnsi="Calibri"/>
          <w:sz w:val="22"/>
        </w:rPr>
        <w:t>. After delivery, slated for Q3 2017, this logistics service provider will enjoy over 4,700 m² under a five-year lease agreement. WDP projects an investment budget of some 2 million euros.</w:t>
      </w:r>
    </w:p>
    <w:p w14:paraId="6882D09C" w14:textId="12A1F65E" w:rsidR="00C7193D" w:rsidRPr="00473F8D" w:rsidRDefault="00C7193D" w:rsidP="00C7193D">
      <w:pPr>
        <w:pStyle w:val="BODYlopendTEKSTOPMAAK"/>
        <w:spacing w:line="276" w:lineRule="auto"/>
        <w:jc w:val="both"/>
        <w:rPr>
          <w:rFonts w:ascii="Calibri" w:hAnsi="Calibri" w:cs="Calibri"/>
          <w:sz w:val="22"/>
          <w:szCs w:val="22"/>
        </w:rPr>
      </w:pPr>
      <w:proofErr w:type="spellStart"/>
      <w:r>
        <w:rPr>
          <w:rFonts w:ascii="Calibri" w:hAnsi="Calibri"/>
          <w:i/>
          <w:sz w:val="22"/>
        </w:rPr>
        <w:t>Oarja</w:t>
      </w:r>
      <w:proofErr w:type="spellEnd"/>
      <w:r>
        <w:rPr>
          <w:rFonts w:ascii="Calibri" w:hAnsi="Calibri"/>
          <w:i/>
          <w:sz w:val="22"/>
        </w:rPr>
        <w:t xml:space="preserve"> (1):</w:t>
      </w:r>
      <w:r>
        <w:rPr>
          <w:rFonts w:ascii="Calibri" w:hAnsi="Calibri"/>
          <w:sz w:val="22"/>
        </w:rPr>
        <w:t xml:space="preserve"> the existing tenant, </w:t>
      </w:r>
      <w:proofErr w:type="spellStart"/>
      <w:r>
        <w:rPr>
          <w:rFonts w:ascii="Calibri" w:hAnsi="Calibri"/>
          <w:sz w:val="22"/>
        </w:rPr>
        <w:t>Röchling</w:t>
      </w:r>
      <w:proofErr w:type="spellEnd"/>
      <w:r>
        <w:rPr>
          <w:rFonts w:ascii="Calibri" w:hAnsi="Calibri"/>
          <w:sz w:val="22"/>
        </w:rPr>
        <w:t xml:space="preserve">, </w:t>
      </w:r>
      <w:r w:rsidR="0076003C">
        <w:rPr>
          <w:rFonts w:ascii="Calibri" w:hAnsi="Calibri"/>
          <w:sz w:val="22"/>
        </w:rPr>
        <w:t>wishes</w:t>
      </w:r>
      <w:r>
        <w:rPr>
          <w:rFonts w:ascii="Calibri" w:hAnsi="Calibri"/>
          <w:sz w:val="22"/>
        </w:rPr>
        <w:t xml:space="preserve"> to double </w:t>
      </w:r>
      <w:r w:rsidR="0076003C">
        <w:rPr>
          <w:rFonts w:ascii="Calibri" w:hAnsi="Calibri"/>
          <w:sz w:val="22"/>
        </w:rPr>
        <w:t xml:space="preserve">its </w:t>
      </w:r>
      <w:r>
        <w:rPr>
          <w:rFonts w:ascii="Calibri" w:hAnsi="Calibri"/>
          <w:sz w:val="22"/>
        </w:rPr>
        <w:t>current warehouse space. By Q4 2017, WDP will therefore deliver over 7,700 m² of distribution space under a long-term ten-year lease agreement. The invest</w:t>
      </w:r>
      <w:r w:rsidR="00FA27F4">
        <w:rPr>
          <w:rFonts w:ascii="Calibri" w:hAnsi="Calibri"/>
          <w:sz w:val="22"/>
        </w:rPr>
        <w:t xml:space="preserve">ment budget amounts to approx. </w:t>
      </w:r>
      <w:r>
        <w:rPr>
          <w:rFonts w:ascii="Calibri" w:hAnsi="Calibri"/>
          <w:sz w:val="22"/>
        </w:rPr>
        <w:t>3 million</w:t>
      </w:r>
      <w:r w:rsidR="00FA27F4">
        <w:rPr>
          <w:rFonts w:ascii="Calibri" w:hAnsi="Calibri"/>
          <w:sz w:val="22"/>
        </w:rPr>
        <w:t xml:space="preserve"> </w:t>
      </w:r>
      <w:r w:rsidR="00FA27F4" w:rsidRPr="00FA27F4">
        <w:rPr>
          <w:rFonts w:ascii="Calibri" w:hAnsi="Calibri"/>
          <w:color w:val="auto"/>
          <w:sz w:val="22"/>
        </w:rPr>
        <w:t>euros</w:t>
      </w:r>
      <w:r>
        <w:rPr>
          <w:rFonts w:ascii="Calibri" w:hAnsi="Calibri"/>
          <w:sz w:val="22"/>
        </w:rPr>
        <w:t>.</w:t>
      </w:r>
    </w:p>
    <w:p w14:paraId="7D89D586" w14:textId="44645074" w:rsidR="00091085" w:rsidRPr="00473F8D" w:rsidRDefault="00091085" w:rsidP="00C7193D">
      <w:pPr>
        <w:pStyle w:val="BODYlopendTEKSTOPMAAK"/>
        <w:spacing w:line="276" w:lineRule="auto"/>
        <w:jc w:val="both"/>
        <w:rPr>
          <w:rFonts w:ascii="Calibri" w:hAnsi="Calibri" w:cs="Calibri"/>
          <w:sz w:val="22"/>
          <w:szCs w:val="22"/>
        </w:rPr>
      </w:pPr>
      <w:proofErr w:type="spellStart"/>
      <w:r>
        <w:rPr>
          <w:rFonts w:ascii="Calibri" w:hAnsi="Calibri"/>
          <w:i/>
          <w:sz w:val="22"/>
        </w:rPr>
        <w:t>Oarja</w:t>
      </w:r>
      <w:proofErr w:type="spellEnd"/>
      <w:r>
        <w:rPr>
          <w:rFonts w:ascii="Calibri" w:hAnsi="Calibri"/>
          <w:i/>
          <w:sz w:val="22"/>
        </w:rPr>
        <w:t xml:space="preserve"> (2):</w:t>
      </w:r>
      <w:r>
        <w:rPr>
          <w:rFonts w:ascii="Calibri" w:hAnsi="Calibri"/>
          <w:sz w:val="22"/>
        </w:rPr>
        <w:t xml:space="preserve"> construction of a distribution centre for logistics service provider CEVA Logistics, which wants to set up logistics activities for Pirelli here. This newly built warehouse, customized for a total of more than 11,000 m², will be leased on the basis of a fixed three-year lease agreement after delivery (scheduled during Q4 2017). WDP project</w:t>
      </w:r>
      <w:r w:rsidR="00304800">
        <w:rPr>
          <w:rFonts w:ascii="Calibri" w:hAnsi="Calibri"/>
          <w:sz w:val="22"/>
        </w:rPr>
        <w:t xml:space="preserve">s an investment budget of some </w:t>
      </w:r>
      <w:r w:rsidR="005449AB">
        <w:rPr>
          <w:rFonts w:ascii="Calibri" w:hAnsi="Calibri"/>
          <w:sz w:val="22"/>
        </w:rPr>
        <w:t>4</w:t>
      </w:r>
      <w:r>
        <w:rPr>
          <w:rFonts w:ascii="Calibri" w:hAnsi="Calibri"/>
          <w:sz w:val="22"/>
        </w:rPr>
        <w:t xml:space="preserve"> million</w:t>
      </w:r>
      <w:r w:rsidR="00304800">
        <w:rPr>
          <w:rFonts w:ascii="Calibri" w:hAnsi="Calibri"/>
          <w:sz w:val="22"/>
        </w:rPr>
        <w:t xml:space="preserve"> </w:t>
      </w:r>
      <w:r w:rsidR="00304800" w:rsidRPr="00304800">
        <w:rPr>
          <w:rFonts w:ascii="Calibri" w:hAnsi="Calibri"/>
          <w:color w:val="auto"/>
          <w:sz w:val="22"/>
        </w:rPr>
        <w:t>euros</w:t>
      </w:r>
      <w:r>
        <w:rPr>
          <w:rFonts w:ascii="Calibri" w:hAnsi="Calibri"/>
          <w:sz w:val="22"/>
        </w:rPr>
        <w:t>.</w:t>
      </w:r>
    </w:p>
    <w:p w14:paraId="2BD16241" w14:textId="54FE876E" w:rsidR="00091085" w:rsidRPr="00473F8D" w:rsidRDefault="00091085" w:rsidP="00091085">
      <w:pPr>
        <w:pStyle w:val="BODYlopendTEKSTOPMAAK"/>
        <w:spacing w:line="276" w:lineRule="auto"/>
        <w:jc w:val="both"/>
        <w:rPr>
          <w:rFonts w:ascii="Calibri" w:hAnsi="Calibri" w:cs="Calibri"/>
          <w:sz w:val="22"/>
          <w:szCs w:val="22"/>
        </w:rPr>
      </w:pPr>
      <w:proofErr w:type="spellStart"/>
      <w:r>
        <w:rPr>
          <w:rFonts w:ascii="Calibri" w:hAnsi="Calibri"/>
          <w:i/>
          <w:sz w:val="22"/>
        </w:rPr>
        <w:t>Aricestii</w:t>
      </w:r>
      <w:proofErr w:type="spellEnd"/>
      <w:r>
        <w:rPr>
          <w:rFonts w:ascii="Calibri" w:hAnsi="Calibri"/>
          <w:i/>
          <w:sz w:val="22"/>
        </w:rPr>
        <w:t xml:space="preserve"> </w:t>
      </w:r>
      <w:proofErr w:type="spellStart"/>
      <w:r>
        <w:rPr>
          <w:rFonts w:ascii="Calibri" w:hAnsi="Calibri"/>
          <w:i/>
          <w:sz w:val="22"/>
        </w:rPr>
        <w:t>Rahtivani</w:t>
      </w:r>
      <w:proofErr w:type="spellEnd"/>
      <w:r>
        <w:rPr>
          <w:rFonts w:ascii="Calibri" w:hAnsi="Calibri"/>
          <w:i/>
          <w:sz w:val="22"/>
        </w:rPr>
        <w:t xml:space="preserve"> (Ploiesti):</w:t>
      </w:r>
      <w:r>
        <w:rPr>
          <w:rFonts w:ascii="Calibri" w:hAnsi="Calibri"/>
          <w:sz w:val="22"/>
        </w:rPr>
        <w:t xml:space="preserve"> newly built warehouse with offices of about 4,500 m² for </w:t>
      </w:r>
      <w:proofErr w:type="spellStart"/>
      <w:r>
        <w:rPr>
          <w:rFonts w:ascii="Calibri" w:hAnsi="Calibri"/>
          <w:sz w:val="22"/>
        </w:rPr>
        <w:t>Kamtec</w:t>
      </w:r>
      <w:proofErr w:type="spellEnd"/>
      <w:r>
        <w:rPr>
          <w:rFonts w:ascii="Calibri" w:hAnsi="Calibri"/>
          <w:sz w:val="22"/>
        </w:rPr>
        <w:t>, a specialist in car parts, which is signing on to a long-term ten-year lease agreement. Delivery of this site is scheduled for Q1 2018. The invest</w:t>
      </w:r>
      <w:r w:rsidR="00304800">
        <w:rPr>
          <w:rFonts w:ascii="Calibri" w:hAnsi="Calibri"/>
          <w:sz w:val="22"/>
        </w:rPr>
        <w:t xml:space="preserve">ment budget amounts to approx. </w:t>
      </w:r>
      <w:r w:rsidRPr="00EE71E1">
        <w:rPr>
          <w:rFonts w:ascii="Calibri" w:hAnsi="Calibri"/>
          <w:sz w:val="22"/>
        </w:rPr>
        <w:t>3</w:t>
      </w:r>
      <w:r>
        <w:rPr>
          <w:rFonts w:ascii="Calibri" w:hAnsi="Calibri"/>
          <w:sz w:val="22"/>
        </w:rPr>
        <w:t xml:space="preserve"> million</w:t>
      </w:r>
      <w:r w:rsidR="00304800">
        <w:rPr>
          <w:rFonts w:ascii="Calibri" w:hAnsi="Calibri"/>
          <w:sz w:val="22"/>
        </w:rPr>
        <w:t xml:space="preserve"> </w:t>
      </w:r>
      <w:r w:rsidR="00304800" w:rsidRPr="00304800">
        <w:rPr>
          <w:rFonts w:ascii="Calibri" w:hAnsi="Calibri"/>
          <w:color w:val="auto"/>
          <w:sz w:val="22"/>
        </w:rPr>
        <w:t>euros</w:t>
      </w:r>
      <w:r>
        <w:rPr>
          <w:rFonts w:ascii="Calibri" w:hAnsi="Calibri"/>
          <w:sz w:val="22"/>
        </w:rPr>
        <w:t>.</w:t>
      </w:r>
    </w:p>
    <w:p w14:paraId="1AB312BC" w14:textId="006573F1" w:rsidR="00091085" w:rsidRPr="00473F8D" w:rsidRDefault="00091085" w:rsidP="00091085">
      <w:pPr>
        <w:pStyle w:val="BODYlopendTEKSTOPMAAK"/>
        <w:spacing w:line="276" w:lineRule="auto"/>
        <w:jc w:val="both"/>
        <w:rPr>
          <w:rFonts w:ascii="Calibri" w:hAnsi="Calibri" w:cs="Calibri"/>
          <w:sz w:val="22"/>
          <w:szCs w:val="22"/>
        </w:rPr>
      </w:pPr>
      <w:r>
        <w:rPr>
          <w:rFonts w:ascii="Calibri" w:hAnsi="Calibri"/>
          <w:i/>
          <w:sz w:val="22"/>
        </w:rPr>
        <w:t>Roman:</w:t>
      </w:r>
      <w:r>
        <w:t xml:space="preserve"> </w:t>
      </w:r>
      <w:r>
        <w:rPr>
          <w:rFonts w:ascii="Calibri" w:hAnsi="Calibri"/>
          <w:sz w:val="22"/>
        </w:rPr>
        <w:t xml:space="preserve">in Roman, located in the north-east of Romania, a new development project of </w:t>
      </w:r>
      <w:r w:rsidR="00A27D43">
        <w:rPr>
          <w:rFonts w:ascii="Calibri" w:hAnsi="Calibri"/>
          <w:sz w:val="22"/>
        </w:rPr>
        <w:t>around</w:t>
      </w:r>
      <w:r>
        <w:rPr>
          <w:rFonts w:ascii="Calibri" w:hAnsi="Calibri"/>
          <w:sz w:val="22"/>
        </w:rPr>
        <w:t xml:space="preserve"> </w:t>
      </w:r>
      <w:r w:rsidR="00A27D43">
        <w:rPr>
          <w:rFonts w:ascii="Calibri" w:hAnsi="Calibri"/>
          <w:sz w:val="22"/>
        </w:rPr>
        <w:t>29</w:t>
      </w:r>
      <w:r>
        <w:rPr>
          <w:rFonts w:ascii="Calibri" w:hAnsi="Calibri"/>
          <w:sz w:val="22"/>
        </w:rPr>
        <w:t xml:space="preserve">,000 m² is starting up in phases. </w:t>
      </w:r>
      <w:proofErr w:type="spellStart"/>
      <w:r>
        <w:rPr>
          <w:rFonts w:ascii="Calibri" w:hAnsi="Calibri"/>
          <w:sz w:val="22"/>
        </w:rPr>
        <w:t>Profi</w:t>
      </w:r>
      <w:proofErr w:type="spellEnd"/>
      <w:r>
        <w:rPr>
          <w:rFonts w:ascii="Calibri" w:hAnsi="Calibri"/>
          <w:sz w:val="22"/>
        </w:rPr>
        <w:t xml:space="preserve"> is signing on for a fixed long-term ten-year lease agreement after delivery of the site, scheduled during Q4 2017. The investment budget amounts to approx. </w:t>
      </w:r>
      <w:r w:rsidR="00A27D43">
        <w:rPr>
          <w:rFonts w:ascii="Calibri" w:hAnsi="Calibri"/>
          <w:sz w:val="22"/>
        </w:rPr>
        <w:t xml:space="preserve">15 </w:t>
      </w:r>
      <w:r>
        <w:rPr>
          <w:rFonts w:ascii="Calibri" w:hAnsi="Calibri"/>
          <w:sz w:val="22"/>
        </w:rPr>
        <w:t>million</w:t>
      </w:r>
      <w:r w:rsidR="00304800">
        <w:rPr>
          <w:rFonts w:ascii="Calibri" w:hAnsi="Calibri"/>
          <w:sz w:val="22"/>
        </w:rPr>
        <w:t xml:space="preserve"> </w:t>
      </w:r>
      <w:r w:rsidR="00304800" w:rsidRPr="00304800">
        <w:rPr>
          <w:rFonts w:ascii="Calibri" w:hAnsi="Calibri"/>
          <w:color w:val="auto"/>
          <w:sz w:val="22"/>
        </w:rPr>
        <w:t>euros</w:t>
      </w:r>
      <w:r>
        <w:rPr>
          <w:rFonts w:ascii="Calibri" w:hAnsi="Calibri"/>
          <w:sz w:val="22"/>
        </w:rPr>
        <w:t>.</w:t>
      </w:r>
    </w:p>
    <w:p w14:paraId="62E275D6" w14:textId="77777777" w:rsidR="008B6AA4" w:rsidRPr="00473F8D" w:rsidRDefault="008B6AA4" w:rsidP="00992076">
      <w:pPr>
        <w:pStyle w:val="Kop2"/>
      </w:pPr>
      <w:r>
        <w:t>2.5. Sustainability</w:t>
      </w:r>
    </w:p>
    <w:p w14:paraId="24CF6DC8" w14:textId="77777777" w:rsidR="00C1041E" w:rsidRPr="00473F8D" w:rsidRDefault="00C1041E" w:rsidP="00992076">
      <w:pPr>
        <w:pStyle w:val="BODYTT3TEKSTOPMAAK"/>
        <w:spacing w:line="276" w:lineRule="auto"/>
        <w:jc w:val="both"/>
        <w:rPr>
          <w:rFonts w:ascii="Calibri" w:hAnsi="Calibri"/>
          <w:i/>
          <w:color w:val="808080"/>
          <w:sz w:val="22"/>
          <w:szCs w:val="22"/>
        </w:rPr>
      </w:pPr>
      <w:r>
        <w:rPr>
          <w:rFonts w:ascii="Calibri" w:hAnsi="Calibri"/>
          <w:i/>
          <w:color w:val="808080"/>
          <w:sz w:val="22"/>
        </w:rPr>
        <w:t xml:space="preserve">30MWp solar panel programme in Dutch property portfolio </w:t>
      </w:r>
    </w:p>
    <w:p w14:paraId="44B35FBB" w14:textId="3E5B0AD6" w:rsidR="002046E7" w:rsidRPr="00473F8D" w:rsidRDefault="002046E7" w:rsidP="00992076">
      <w:pPr>
        <w:pStyle w:val="wdp15-txt"/>
        <w:spacing w:line="276" w:lineRule="auto"/>
        <w:rPr>
          <w:rFonts w:ascii="Calibri" w:hAnsi="Calibri" w:cs="Calibri"/>
          <w:color w:val="auto"/>
          <w:sz w:val="22"/>
          <w:szCs w:val="22"/>
        </w:rPr>
      </w:pPr>
      <w:r>
        <w:rPr>
          <w:rFonts w:ascii="Calibri" w:hAnsi="Calibri"/>
          <w:color w:val="auto"/>
          <w:sz w:val="22"/>
        </w:rPr>
        <w:t xml:space="preserve">Within the framework of WDP's strategy to improve the sustainability of its portfolio, WDP has </w:t>
      </w:r>
      <w:r w:rsidRPr="00720A46">
        <w:rPr>
          <w:rFonts w:ascii="Calibri" w:hAnsi="Calibri"/>
          <w:color w:val="auto"/>
          <w:sz w:val="22"/>
        </w:rPr>
        <w:t xml:space="preserve">launched a green energy programme by installing solar panels in the Netherlands, with a total capacity of approx. 30 </w:t>
      </w:r>
      <w:proofErr w:type="spellStart"/>
      <w:r w:rsidRPr="00720A46">
        <w:rPr>
          <w:rFonts w:ascii="Calibri" w:hAnsi="Calibri"/>
          <w:color w:val="auto"/>
          <w:sz w:val="22"/>
        </w:rPr>
        <w:t>MWp</w:t>
      </w:r>
      <w:proofErr w:type="spellEnd"/>
      <w:r w:rsidRPr="00720A46">
        <w:rPr>
          <w:rFonts w:ascii="Calibri" w:hAnsi="Calibri"/>
          <w:color w:val="auto"/>
          <w:sz w:val="22"/>
        </w:rPr>
        <w:t xml:space="preserve">. Project execution is in full swing in cooperation with the clients. Installation is currently </w:t>
      </w:r>
      <w:r w:rsidR="00C97D39">
        <w:rPr>
          <w:rFonts w:ascii="Calibri" w:hAnsi="Calibri"/>
          <w:color w:val="auto"/>
          <w:sz w:val="22"/>
        </w:rPr>
        <w:t>in execution</w:t>
      </w:r>
      <w:r w:rsidR="00C97D39" w:rsidRPr="00720A46">
        <w:rPr>
          <w:rFonts w:ascii="Calibri" w:hAnsi="Calibri"/>
          <w:color w:val="auto"/>
          <w:sz w:val="22"/>
        </w:rPr>
        <w:t xml:space="preserve"> </w:t>
      </w:r>
      <w:r w:rsidRPr="00720A46">
        <w:rPr>
          <w:rFonts w:ascii="Calibri" w:hAnsi="Calibri"/>
          <w:color w:val="auto"/>
          <w:sz w:val="22"/>
        </w:rPr>
        <w:t xml:space="preserve">on roofs at thirteen sites, bringing the total installed capacity to 15 </w:t>
      </w:r>
      <w:proofErr w:type="spellStart"/>
      <w:r w:rsidRPr="00720A46">
        <w:rPr>
          <w:rFonts w:ascii="Calibri" w:hAnsi="Calibri"/>
          <w:color w:val="auto"/>
          <w:sz w:val="22"/>
        </w:rPr>
        <w:t>MWp</w:t>
      </w:r>
      <w:proofErr w:type="spellEnd"/>
      <w:r w:rsidRPr="00720A46">
        <w:rPr>
          <w:rFonts w:ascii="Calibri" w:hAnsi="Calibri"/>
          <w:color w:val="auto"/>
          <w:sz w:val="22"/>
        </w:rPr>
        <w:t xml:space="preserve">. In addition to this, installation of 10 </w:t>
      </w:r>
      <w:proofErr w:type="spellStart"/>
      <w:r w:rsidRPr="00720A46">
        <w:rPr>
          <w:rFonts w:ascii="Calibri" w:hAnsi="Calibri"/>
          <w:color w:val="auto"/>
          <w:sz w:val="22"/>
        </w:rPr>
        <w:t>MWp</w:t>
      </w:r>
      <w:proofErr w:type="spellEnd"/>
      <w:r w:rsidRPr="00720A46">
        <w:rPr>
          <w:rFonts w:ascii="Calibri" w:hAnsi="Calibri"/>
          <w:color w:val="auto"/>
          <w:sz w:val="22"/>
        </w:rPr>
        <w:t xml:space="preserve"> in capacity is also </w:t>
      </w:r>
      <w:r w:rsidR="00C97D39">
        <w:rPr>
          <w:rFonts w:ascii="Calibri" w:hAnsi="Calibri"/>
          <w:color w:val="auto"/>
          <w:sz w:val="22"/>
        </w:rPr>
        <w:t>in execution</w:t>
      </w:r>
      <w:r w:rsidRPr="00720A46">
        <w:rPr>
          <w:rFonts w:ascii="Calibri" w:hAnsi="Calibri"/>
          <w:color w:val="auto"/>
          <w:sz w:val="22"/>
        </w:rPr>
        <w:t>, with staggered deliveries by mid-2017.</w:t>
      </w:r>
      <w:r>
        <w:rPr>
          <w:rFonts w:ascii="Calibri" w:hAnsi="Calibri"/>
          <w:color w:val="auto"/>
          <w:sz w:val="22"/>
        </w:rPr>
        <w:t xml:space="preserve"> </w:t>
      </w:r>
      <w:r w:rsidR="009D3CF5">
        <w:rPr>
          <w:rFonts w:ascii="Calibri" w:hAnsi="Calibri"/>
          <w:color w:val="auto"/>
          <w:sz w:val="22"/>
        </w:rPr>
        <w:t>WDP is one of the top ten investors in solar panels in the Netherlands.</w:t>
      </w:r>
      <w:r w:rsidR="00690903">
        <w:rPr>
          <w:rStyle w:val="Voetnootmarkering"/>
          <w:rFonts w:ascii="Calibri" w:hAnsi="Calibri"/>
          <w:color w:val="auto"/>
          <w:sz w:val="22"/>
        </w:rPr>
        <w:footnoteReference w:id="13"/>
      </w:r>
    </w:p>
    <w:p w14:paraId="306C6D1D" w14:textId="77777777" w:rsidR="008B6AA4" w:rsidRPr="00473F8D" w:rsidRDefault="008B6AA4" w:rsidP="00992076">
      <w:pPr>
        <w:pStyle w:val="Kop2"/>
      </w:pPr>
      <w:r>
        <w:t>2.6. Management of financial resources</w:t>
      </w:r>
    </w:p>
    <w:p w14:paraId="4AA2C5C1" w14:textId="6193E77C" w:rsidR="006F46C5" w:rsidRPr="00473F8D" w:rsidRDefault="00CE6518" w:rsidP="00992076">
      <w:pPr>
        <w:pStyle w:val="Lijstalinea"/>
        <w:ind w:left="0"/>
        <w:jc w:val="both"/>
        <w:rPr>
          <w:rFonts w:cs="Calibri"/>
          <w:i/>
        </w:rPr>
      </w:pPr>
      <w:r>
        <w:rPr>
          <w:i/>
        </w:rPr>
        <w:t>Ex</w:t>
      </w:r>
      <w:r w:rsidR="00E468AD">
        <w:rPr>
          <w:i/>
        </w:rPr>
        <w:t xml:space="preserve">tension of ING credit line for </w:t>
      </w:r>
      <w:r>
        <w:rPr>
          <w:i/>
        </w:rPr>
        <w:t>40 million</w:t>
      </w:r>
      <w:r w:rsidR="00E468AD">
        <w:rPr>
          <w:i/>
        </w:rPr>
        <w:t xml:space="preserve"> </w:t>
      </w:r>
      <w:r w:rsidR="00E468AD" w:rsidRPr="00720A46">
        <w:rPr>
          <w:i/>
        </w:rPr>
        <w:t>euros</w:t>
      </w:r>
    </w:p>
    <w:p w14:paraId="61895D3F" w14:textId="6A752BF8" w:rsidR="00CE6518" w:rsidRPr="00473F8D" w:rsidRDefault="00CE6518" w:rsidP="00992076">
      <w:pPr>
        <w:pStyle w:val="Lijstalinea"/>
        <w:ind w:left="0"/>
        <w:jc w:val="both"/>
        <w:rPr>
          <w:rFonts w:cs="Calibri"/>
        </w:rPr>
      </w:pPr>
      <w:r>
        <w:t>WDP has successfully e</w:t>
      </w:r>
      <w:r w:rsidR="00E468AD">
        <w:t xml:space="preserve">xtended two loans with ING for </w:t>
      </w:r>
      <w:r>
        <w:t xml:space="preserve">20 million </w:t>
      </w:r>
      <w:r w:rsidR="00E468AD" w:rsidRPr="00304800">
        <w:t>euros</w:t>
      </w:r>
      <w:r w:rsidR="00E468AD">
        <w:t xml:space="preserve"> </w:t>
      </w:r>
      <w:r>
        <w:t xml:space="preserve">each, </w:t>
      </w:r>
      <w:r w:rsidR="0076003C">
        <w:t>maturing</w:t>
      </w:r>
      <w:r>
        <w:t xml:space="preserve"> in 2018, in a package totalling 40 million </w:t>
      </w:r>
      <w:r w:rsidR="00E468AD" w:rsidRPr="00304800">
        <w:t>euros</w:t>
      </w:r>
      <w:r w:rsidR="00E468AD">
        <w:t xml:space="preserve"> </w:t>
      </w:r>
      <w:r>
        <w:t>until 2024.</w:t>
      </w:r>
    </w:p>
    <w:p w14:paraId="6DCB1572" w14:textId="06A2E8E6" w:rsidR="007156CA" w:rsidRPr="00473F8D" w:rsidRDefault="007156CA" w:rsidP="007156CA">
      <w:pPr>
        <w:pStyle w:val="Kop2"/>
      </w:pPr>
      <w:r>
        <w:lastRenderedPageBreak/>
        <w:t>2.7</w:t>
      </w:r>
      <w:r w:rsidR="0071367B">
        <w:t>.</w:t>
      </w:r>
      <w:r>
        <w:t xml:space="preserve"> Significant events after the balance sheet date</w:t>
      </w:r>
    </w:p>
    <w:p w14:paraId="2302B545" w14:textId="298780AF" w:rsidR="00D6599C" w:rsidRPr="00473F8D" w:rsidRDefault="00656DEB" w:rsidP="00656DEB">
      <w:pPr>
        <w:pStyle w:val="Kop2"/>
      </w:pPr>
      <w:r>
        <w:t>2.7.1</w:t>
      </w:r>
      <w:r w:rsidR="0071367B">
        <w:t>.</w:t>
      </w:r>
      <w:r>
        <w:t xml:space="preserve"> Additional acquisitions and </w:t>
      </w:r>
      <w:r w:rsidR="007713E1">
        <w:t xml:space="preserve">projects </w:t>
      </w:r>
      <w:r>
        <w:t xml:space="preserve">under </w:t>
      </w:r>
      <w:r w:rsidR="007713E1">
        <w:t>development</w:t>
      </w:r>
    </w:p>
    <w:p w14:paraId="39F0DF79" w14:textId="77777777" w:rsidR="00071EC1" w:rsidRPr="00473F8D" w:rsidRDefault="00071EC1" w:rsidP="00D6599C">
      <w:pPr>
        <w:pStyle w:val="BODYTT3TEKSTOPMAAK"/>
        <w:spacing w:line="276" w:lineRule="auto"/>
        <w:jc w:val="both"/>
        <w:rPr>
          <w:rFonts w:ascii="Calibri" w:hAnsi="Calibri"/>
          <w:i/>
          <w:color w:val="808080"/>
          <w:sz w:val="22"/>
          <w:szCs w:val="22"/>
        </w:rPr>
      </w:pPr>
      <w:r>
        <w:rPr>
          <w:rFonts w:ascii="Calibri" w:hAnsi="Calibri"/>
          <w:i/>
          <w:color w:val="808080"/>
          <w:sz w:val="22"/>
        </w:rPr>
        <w:t>Belgium</w:t>
      </w:r>
    </w:p>
    <w:p w14:paraId="68BA02C4" w14:textId="46AF24C0" w:rsidR="00071EC1" w:rsidRPr="00473F8D" w:rsidRDefault="00071EC1" w:rsidP="00071EC1">
      <w:pPr>
        <w:jc w:val="both"/>
      </w:pPr>
      <w:proofErr w:type="spellStart"/>
      <w:r>
        <w:rPr>
          <w:i/>
        </w:rPr>
        <w:t>Bornem</w:t>
      </w:r>
      <w:proofErr w:type="spellEnd"/>
      <w:r>
        <w:rPr>
          <w:i/>
        </w:rPr>
        <w:t xml:space="preserve">, </w:t>
      </w:r>
      <w:proofErr w:type="spellStart"/>
      <w:r w:rsidR="009D3CF5">
        <w:rPr>
          <w:i/>
        </w:rPr>
        <w:t>Sluisweg</w:t>
      </w:r>
      <w:proofErr w:type="spellEnd"/>
      <w:r>
        <w:rPr>
          <w:i/>
        </w:rPr>
        <w:t>:</w:t>
      </w:r>
      <w:r>
        <w:t xml:space="preserve"> following purchase of the FMCG site in </w:t>
      </w:r>
      <w:proofErr w:type="spellStart"/>
      <w:r>
        <w:t>Bornem</w:t>
      </w:r>
      <w:proofErr w:type="spellEnd"/>
      <w:r>
        <w:t xml:space="preserve">, leased to DHL, WDP will also acquire the third and final phase after delivery in 2017. Along with the first two phases, this site constitutes an XXL platform of approx. 100,000 m². The investment involves </w:t>
      </w:r>
      <w:r w:rsidR="009D626B">
        <w:t>a</w:t>
      </w:r>
      <w:r w:rsidR="00C97D39">
        <w:t xml:space="preserve">n amount </w:t>
      </w:r>
      <w:r w:rsidR="009D626B">
        <w:t>of approx</w:t>
      </w:r>
      <w:r w:rsidR="009D626B" w:rsidRPr="00690903">
        <w:t xml:space="preserve">. </w:t>
      </w:r>
      <w:r w:rsidRPr="00EE71E1">
        <w:t xml:space="preserve">7 </w:t>
      </w:r>
      <w:r>
        <w:t>million</w:t>
      </w:r>
      <w:r w:rsidR="009D626B">
        <w:t xml:space="preserve"> euros</w:t>
      </w:r>
      <w:r>
        <w:t>.</w:t>
      </w:r>
    </w:p>
    <w:p w14:paraId="430902ED" w14:textId="77777777" w:rsidR="00D6599C" w:rsidRPr="00473F8D" w:rsidRDefault="00D6599C" w:rsidP="00D6599C">
      <w:pPr>
        <w:pStyle w:val="BODYTT3TEKSTOPMAAK"/>
        <w:spacing w:line="276" w:lineRule="auto"/>
        <w:jc w:val="both"/>
        <w:rPr>
          <w:rFonts w:ascii="Calibri" w:hAnsi="Calibri"/>
          <w:i/>
          <w:color w:val="808080"/>
          <w:sz w:val="22"/>
          <w:szCs w:val="22"/>
        </w:rPr>
      </w:pPr>
      <w:r>
        <w:rPr>
          <w:rFonts w:ascii="Calibri" w:hAnsi="Calibri"/>
          <w:i/>
          <w:color w:val="808080"/>
          <w:sz w:val="22"/>
        </w:rPr>
        <w:t>The Netherlands</w:t>
      </w:r>
    </w:p>
    <w:p w14:paraId="45152177" w14:textId="6C40EF51" w:rsidR="009D3CF5" w:rsidRDefault="009D3CF5" w:rsidP="00656DEB">
      <w:pPr>
        <w:pStyle w:val="Lijstalinea"/>
        <w:ind w:left="0"/>
        <w:jc w:val="both"/>
      </w:pPr>
      <w:r>
        <w:rPr>
          <w:i/>
        </w:rPr>
        <w:t xml:space="preserve">Rotterdam region: </w:t>
      </w:r>
      <w:r>
        <w:t xml:space="preserve">WDP has signed an agreement in principle for a new development. </w:t>
      </w:r>
      <w:r w:rsidR="00C97D39">
        <w:t>The investment involves an amount of approx</w:t>
      </w:r>
      <w:r w:rsidR="00C97D39" w:rsidRPr="00BC3FCC">
        <w:t xml:space="preserve">. </w:t>
      </w:r>
      <w:r w:rsidR="00C97D39">
        <w:t>18</w:t>
      </w:r>
      <w:r w:rsidR="00C97D39" w:rsidRPr="00BC3FCC">
        <w:t xml:space="preserve"> </w:t>
      </w:r>
      <w:r w:rsidR="00C97D39">
        <w:t xml:space="preserve">million euros. </w:t>
      </w:r>
      <w:r>
        <w:t>More information will be submitted together with the client after final closing.</w:t>
      </w:r>
    </w:p>
    <w:p w14:paraId="71CF3054" w14:textId="77777777" w:rsidR="004C231F" w:rsidRPr="00473F8D" w:rsidRDefault="004C231F" w:rsidP="00656DEB">
      <w:pPr>
        <w:pStyle w:val="Lijstalinea"/>
        <w:ind w:left="0"/>
        <w:jc w:val="both"/>
        <w:rPr>
          <w:rFonts w:cs="Calibri"/>
        </w:rPr>
      </w:pPr>
    </w:p>
    <w:p w14:paraId="347DFDCD" w14:textId="1FF43140" w:rsidR="00071EC1" w:rsidRPr="00EE71E1" w:rsidRDefault="00071EC1" w:rsidP="00656DEB">
      <w:pPr>
        <w:pStyle w:val="Lijstalinea"/>
        <w:ind w:left="0"/>
        <w:jc w:val="both"/>
        <w:rPr>
          <w:rFonts w:cs="Calibri"/>
        </w:rPr>
      </w:pPr>
      <w:proofErr w:type="spellStart"/>
      <w:r w:rsidRPr="00EE71E1">
        <w:rPr>
          <w:i/>
        </w:rPr>
        <w:t>Echt</w:t>
      </w:r>
      <w:proofErr w:type="spellEnd"/>
      <w:r w:rsidRPr="00EE71E1">
        <w:rPr>
          <w:i/>
        </w:rPr>
        <w:t xml:space="preserve">, </w:t>
      </w:r>
      <w:proofErr w:type="spellStart"/>
      <w:r w:rsidR="00266A0C" w:rsidRPr="00EE71E1">
        <w:rPr>
          <w:i/>
        </w:rPr>
        <w:t>Fahrenheitweg</w:t>
      </w:r>
      <w:proofErr w:type="spellEnd"/>
      <w:r w:rsidRPr="00EE71E1">
        <w:rPr>
          <w:i/>
        </w:rPr>
        <w:t>:</w:t>
      </w:r>
      <w:r w:rsidRPr="00EE71E1">
        <w:t xml:space="preserve"> in the ML business park in </w:t>
      </w:r>
      <w:proofErr w:type="spellStart"/>
      <w:r w:rsidRPr="00EE71E1">
        <w:t>Echt</w:t>
      </w:r>
      <w:proofErr w:type="spellEnd"/>
      <w:r w:rsidRPr="00EE71E1">
        <w:t xml:space="preserve">, where WDP is already </w:t>
      </w:r>
      <w:r w:rsidR="0076003C" w:rsidRPr="00EE71E1">
        <w:t>present with</w:t>
      </w:r>
      <w:r w:rsidRPr="00EE71E1">
        <w:t xml:space="preserve"> a site leased to Action, WDP will acquire a turnkey project, where logistics service provider Dick </w:t>
      </w:r>
      <w:proofErr w:type="spellStart"/>
      <w:r w:rsidRPr="00EE71E1">
        <w:t>Vijn</w:t>
      </w:r>
      <w:proofErr w:type="spellEnd"/>
      <w:r w:rsidRPr="00EE71E1">
        <w:t xml:space="preserve"> has a fixed ten</w:t>
      </w:r>
      <w:r w:rsidR="009D626B" w:rsidRPr="00EE71E1">
        <w:t xml:space="preserve">-year lease, for a sum of over </w:t>
      </w:r>
      <w:r w:rsidRPr="00EE71E1">
        <w:t>9 million</w:t>
      </w:r>
      <w:r w:rsidR="009D626B" w:rsidRPr="00EE71E1">
        <w:t xml:space="preserve"> euros</w:t>
      </w:r>
      <w:r w:rsidRPr="00EE71E1">
        <w:t>.</w:t>
      </w:r>
    </w:p>
    <w:p w14:paraId="607E81E7" w14:textId="424D8304" w:rsidR="007156CA" w:rsidRPr="00473F8D" w:rsidRDefault="00656DEB" w:rsidP="00656DEB">
      <w:pPr>
        <w:pStyle w:val="Kop2"/>
      </w:pPr>
      <w:r>
        <w:t>2.7.2</w:t>
      </w:r>
      <w:r w:rsidR="0071367B">
        <w:t>.</w:t>
      </w:r>
      <w:r>
        <w:t xml:space="preserve"> The optional dividend </w:t>
      </w:r>
    </w:p>
    <w:p w14:paraId="704A725A" w14:textId="4C0BD5F5" w:rsidR="007156CA" w:rsidRPr="00473F8D" w:rsidRDefault="007156CA" w:rsidP="007156CA">
      <w:pPr>
        <w:jc w:val="both"/>
        <w:rPr>
          <w:rFonts w:cs="Calibri"/>
        </w:rPr>
      </w:pPr>
      <w:r>
        <w:t xml:space="preserve">The </w:t>
      </w:r>
      <w:r w:rsidR="0076003C">
        <w:t xml:space="preserve">statutory </w:t>
      </w:r>
      <w:r>
        <w:t xml:space="preserve">manager's Board of Directors decided </w:t>
      </w:r>
      <w:r w:rsidR="0076003C">
        <w:t xml:space="preserve">once again </w:t>
      </w:r>
      <w:r>
        <w:t xml:space="preserve">to offer </w:t>
      </w:r>
      <w:r w:rsidR="0076003C">
        <w:t>a</w:t>
      </w:r>
      <w:r w:rsidR="0071367B">
        <w:t>n</w:t>
      </w:r>
      <w:r w:rsidR="0076003C">
        <w:t xml:space="preserve"> </w:t>
      </w:r>
      <w:r>
        <w:t>optional dividend to the shareholders this year. The shareholders were informed at the General Meeting held on 26 April 2017 of the specific conditions of this optional dividend.</w:t>
      </w:r>
      <w:r>
        <w:rPr>
          <w:rStyle w:val="Voetnootmarkering"/>
        </w:rPr>
        <w:footnoteReference w:id="14"/>
      </w:r>
      <w:r>
        <w:t xml:space="preserve"> </w:t>
      </w:r>
    </w:p>
    <w:p w14:paraId="7311D510" w14:textId="3A491439" w:rsidR="007156CA" w:rsidRPr="00473F8D" w:rsidRDefault="009D626B" w:rsidP="007156CA">
      <w:pPr>
        <w:jc w:val="both"/>
        <w:rPr>
          <w:rFonts w:cs="Calibri"/>
        </w:rPr>
      </w:pPr>
      <w:r>
        <w:t xml:space="preserve">For payment of the dividend of </w:t>
      </w:r>
      <w:r w:rsidR="007156CA">
        <w:t xml:space="preserve">4.26 </w:t>
      </w:r>
      <w:r>
        <w:t xml:space="preserve">euros </w:t>
      </w:r>
      <w:r w:rsidR="007156CA">
        <w:t xml:space="preserve">gross (rounded) or 2.98 </w:t>
      </w:r>
      <w:r>
        <w:t xml:space="preserve">euros </w:t>
      </w:r>
      <w:r w:rsidR="007156CA">
        <w:t>net (</w:t>
      </w:r>
      <w:r w:rsidR="0071367B">
        <w:t>exactly</w:t>
      </w:r>
      <w:r w:rsidR="007156CA">
        <w:t>) per share for 2016, the shareholders have a choice between:</w:t>
      </w:r>
    </w:p>
    <w:p w14:paraId="0E27B616" w14:textId="77777777" w:rsidR="007156CA" w:rsidRPr="00473F8D" w:rsidRDefault="007156CA" w:rsidP="00AA0793">
      <w:pPr>
        <w:pStyle w:val="Lijstalinea"/>
        <w:numPr>
          <w:ilvl w:val="0"/>
          <w:numId w:val="20"/>
        </w:numPr>
        <w:jc w:val="both"/>
        <w:rPr>
          <w:rFonts w:cs="Calibri"/>
          <w:b/>
        </w:rPr>
      </w:pPr>
      <w:r>
        <w:rPr>
          <w:b/>
        </w:rPr>
        <w:t>Payment of the dividend in cash:</w:t>
      </w:r>
    </w:p>
    <w:p w14:paraId="2481136E" w14:textId="7CC19D39" w:rsidR="007156CA" w:rsidRPr="00473F8D" w:rsidRDefault="007156CA" w:rsidP="007156CA">
      <w:pPr>
        <w:pStyle w:val="Lijstalinea"/>
        <w:jc w:val="both"/>
        <w:rPr>
          <w:rFonts w:cs="Calibri"/>
        </w:rPr>
      </w:pPr>
      <w:r>
        <w:t xml:space="preserve">Coupon </w:t>
      </w:r>
      <w:r w:rsidR="00266A0C">
        <w:t>no</w:t>
      </w:r>
      <w:r>
        <w:t xml:space="preserve">. 27 provides the right to a dividend of 4.26 </w:t>
      </w:r>
      <w:r w:rsidR="009D626B">
        <w:t xml:space="preserve">euros </w:t>
      </w:r>
      <w:r>
        <w:t xml:space="preserve">gross </w:t>
      </w:r>
      <w:r w:rsidR="00266A0C">
        <w:t xml:space="preserve">(rounded) </w:t>
      </w:r>
      <w:r>
        <w:t xml:space="preserve">or 2.98 </w:t>
      </w:r>
      <w:r w:rsidR="009D626B">
        <w:t xml:space="preserve">euros </w:t>
      </w:r>
      <w:r>
        <w:t>net (</w:t>
      </w:r>
      <w:r w:rsidR="00266A0C">
        <w:t>exactly)</w:t>
      </w:r>
      <w:r>
        <w:t xml:space="preserve"> per share (after deduction of a 30% </w:t>
      </w:r>
      <w:r w:rsidR="00266A0C">
        <w:t>withholding tax</w:t>
      </w:r>
      <w:r>
        <w:rPr>
          <w:rStyle w:val="Voetnootmarkering"/>
        </w:rPr>
        <w:footnoteReference w:id="15"/>
      </w:r>
      <w:r>
        <w:t xml:space="preserve">). </w:t>
      </w:r>
    </w:p>
    <w:p w14:paraId="06D32799" w14:textId="77777777" w:rsidR="007156CA" w:rsidRPr="00473F8D" w:rsidRDefault="007156CA" w:rsidP="007156CA">
      <w:pPr>
        <w:pStyle w:val="Lijstalinea"/>
        <w:jc w:val="both"/>
        <w:rPr>
          <w:rFonts w:cs="Calibri"/>
        </w:rPr>
      </w:pPr>
    </w:p>
    <w:p w14:paraId="6DA2DABE" w14:textId="77777777" w:rsidR="007156CA" w:rsidRPr="00473F8D" w:rsidRDefault="007156CA" w:rsidP="006872A5">
      <w:pPr>
        <w:pStyle w:val="Lijstalinea"/>
        <w:numPr>
          <w:ilvl w:val="0"/>
          <w:numId w:val="20"/>
        </w:numPr>
        <w:jc w:val="both"/>
        <w:rPr>
          <w:rFonts w:cs="Calibri"/>
          <w:b/>
        </w:rPr>
      </w:pPr>
      <w:r>
        <w:rPr>
          <w:b/>
        </w:rPr>
        <w:t>Investment of the dividend in return for new WDP shares:</w:t>
      </w:r>
    </w:p>
    <w:p w14:paraId="1BAE93C7" w14:textId="24F5159A" w:rsidR="007156CA" w:rsidRPr="00473F8D" w:rsidRDefault="0071367B" w:rsidP="007156CA">
      <w:pPr>
        <w:pStyle w:val="Lijstalinea"/>
        <w:jc w:val="both"/>
        <w:rPr>
          <w:rFonts w:cs="Calibri"/>
        </w:rPr>
      </w:pPr>
      <w:r>
        <w:t>A subscription can be made for one new share by the investment of</w:t>
      </w:r>
      <w:r w:rsidR="007156CA">
        <w:t xml:space="preserve"> </w:t>
      </w:r>
      <w:r>
        <w:t xml:space="preserve">28 </w:t>
      </w:r>
      <w:r w:rsidR="007156CA">
        <w:t>of</w:t>
      </w:r>
      <w:r>
        <w:t xml:space="preserve"> </w:t>
      </w:r>
      <w:r w:rsidR="00266A0C">
        <w:t>no</w:t>
      </w:r>
      <w:r w:rsidR="007156CA">
        <w:t>.</w:t>
      </w:r>
      <w:r w:rsidR="00266A0C">
        <w:t xml:space="preserve"> 2</w:t>
      </w:r>
      <w:r>
        <w:t>7</w:t>
      </w:r>
      <w:r w:rsidR="00266A0C">
        <w:t xml:space="preserve"> </w:t>
      </w:r>
      <w:r w:rsidR="007156CA">
        <w:t>coupons (each for the</w:t>
      </w:r>
      <w:r w:rsidR="009D626B">
        <w:t xml:space="preserve"> amount of the net dividend of </w:t>
      </w:r>
      <w:r w:rsidR="007156CA">
        <w:t>2.98</w:t>
      </w:r>
      <w:r w:rsidR="009D626B">
        <w:t xml:space="preserve"> euros</w:t>
      </w:r>
      <w:r w:rsidR="007156CA">
        <w:t xml:space="preserve">, or </w:t>
      </w:r>
      <w:r w:rsidR="00266A0C">
        <w:t>83.44</w:t>
      </w:r>
      <w:r w:rsidR="007156CA">
        <w:t xml:space="preserve"> </w:t>
      </w:r>
      <w:r w:rsidR="009D626B">
        <w:t xml:space="preserve">euros </w:t>
      </w:r>
      <w:r w:rsidR="007156CA">
        <w:t xml:space="preserve">in total). </w:t>
      </w:r>
    </w:p>
    <w:p w14:paraId="1367EA60" w14:textId="77777777" w:rsidR="007156CA" w:rsidRPr="00473F8D" w:rsidRDefault="007156CA" w:rsidP="007156CA">
      <w:pPr>
        <w:pStyle w:val="Lijstalinea"/>
        <w:jc w:val="both"/>
        <w:rPr>
          <w:rFonts w:cs="Calibri"/>
        </w:rPr>
      </w:pPr>
    </w:p>
    <w:p w14:paraId="14971761" w14:textId="2BD5C38F" w:rsidR="007156CA" w:rsidRPr="00473F8D" w:rsidRDefault="00C609C9" w:rsidP="007156CA">
      <w:pPr>
        <w:pStyle w:val="Lijstalinea"/>
        <w:jc w:val="both"/>
        <w:rPr>
          <w:rFonts w:cs="Calibri"/>
        </w:rPr>
      </w:pPr>
      <w:r>
        <w:t>Th</w:t>
      </w:r>
      <w:r w:rsidR="00690903">
        <w:t>is</w:t>
      </w:r>
      <w:r>
        <w:t xml:space="preserve"> final issue price of </w:t>
      </w:r>
      <w:r w:rsidR="00266A0C">
        <w:t>83.44</w:t>
      </w:r>
      <w:r w:rsidR="007156CA">
        <w:t xml:space="preserve"> </w:t>
      </w:r>
      <w:r>
        <w:t xml:space="preserve">euros </w:t>
      </w:r>
      <w:r w:rsidR="0071367B">
        <w:t xml:space="preserve">implies </w:t>
      </w:r>
      <w:r w:rsidR="007156CA">
        <w:t xml:space="preserve">a discount of </w:t>
      </w:r>
      <w:r w:rsidR="00B47375">
        <w:t>5.2</w:t>
      </w:r>
      <w:r w:rsidR="007156CA">
        <w:t>% in relation to yesterday’s closing price (2 May 2017)</w:t>
      </w:r>
      <w:r w:rsidR="00690903">
        <w:t>.</w:t>
      </w:r>
    </w:p>
    <w:p w14:paraId="0368A80D" w14:textId="77777777" w:rsidR="007156CA" w:rsidRPr="00473F8D" w:rsidRDefault="007156CA" w:rsidP="007156CA">
      <w:pPr>
        <w:pStyle w:val="Lijstalinea"/>
        <w:jc w:val="both"/>
        <w:rPr>
          <w:rFonts w:cs="Calibri"/>
        </w:rPr>
      </w:pPr>
    </w:p>
    <w:p w14:paraId="6103BCF5" w14:textId="77777777" w:rsidR="007156CA" w:rsidRPr="00473F8D" w:rsidRDefault="007156CA" w:rsidP="007E6B48">
      <w:pPr>
        <w:pStyle w:val="Lijstalinea"/>
        <w:numPr>
          <w:ilvl w:val="0"/>
          <w:numId w:val="20"/>
        </w:numPr>
        <w:jc w:val="both"/>
        <w:rPr>
          <w:rFonts w:cs="Calibri"/>
          <w:b/>
        </w:rPr>
      </w:pPr>
      <w:r>
        <w:rPr>
          <w:b/>
        </w:rPr>
        <w:t>Combination of payment methods:</w:t>
      </w:r>
    </w:p>
    <w:p w14:paraId="6774F2B8" w14:textId="77777777" w:rsidR="007156CA" w:rsidRPr="00473F8D" w:rsidRDefault="007156CA" w:rsidP="007156CA">
      <w:pPr>
        <w:pStyle w:val="Lijstalinea"/>
        <w:jc w:val="both"/>
        <w:rPr>
          <w:rFonts w:cs="Calibri"/>
        </w:rPr>
      </w:pPr>
      <w:r>
        <w:t>A mix between contribution in kind of dividend rights in exchange for the issue of new shares, and a payment of the dividend in cash.</w:t>
      </w:r>
    </w:p>
    <w:p w14:paraId="0C907662" w14:textId="77777777" w:rsidR="007E6B48" w:rsidRPr="00473F8D" w:rsidRDefault="007E6B48" w:rsidP="007156CA">
      <w:pPr>
        <w:pStyle w:val="Lijstalinea"/>
        <w:jc w:val="both"/>
        <w:rPr>
          <w:rFonts w:cs="Calibri"/>
        </w:rPr>
      </w:pPr>
    </w:p>
    <w:p w14:paraId="1D1A328B" w14:textId="11224858" w:rsidR="00983A94" w:rsidRPr="00473F8D" w:rsidRDefault="007156CA" w:rsidP="007156CA">
      <w:pPr>
        <w:pStyle w:val="Lijstalinea"/>
        <w:ind w:left="0"/>
        <w:jc w:val="both"/>
        <w:rPr>
          <w:rFonts w:cs="Calibri"/>
        </w:rPr>
      </w:pPr>
      <w:r>
        <w:t>All shareholders must report their choice to their financial institution during the period ending on 12 May 2017</w:t>
      </w:r>
      <w:r w:rsidR="00266A0C">
        <w:t xml:space="preserve"> (16</w:t>
      </w:r>
      <w:r>
        <w:t>:</w:t>
      </w:r>
      <w:r w:rsidR="00266A0C">
        <w:t xml:space="preserve">00 CET) – either </w:t>
      </w:r>
      <w:r>
        <w:t>the issue of new shares in exchange for the investment of dividend rights, or payment of the dividend in cash, or a combination of the two foregoing payment methods. The actual dividend payment shall therefore take place on Friday, 19 May 2017 – before trading. The newly created shares will be listed immediately as at this date and will be tradable immediately. The results of the optional dividend will also be made public on this day.</w:t>
      </w:r>
    </w:p>
    <w:p w14:paraId="1111C708" w14:textId="77777777" w:rsidR="00CD6201" w:rsidRPr="00473F8D" w:rsidRDefault="00CD6201" w:rsidP="007156CA">
      <w:pPr>
        <w:pStyle w:val="Lijstalinea"/>
        <w:ind w:left="0"/>
        <w:jc w:val="both"/>
        <w:rPr>
          <w:rFonts w:cs="Calibri"/>
        </w:rPr>
      </w:pPr>
    </w:p>
    <w:p w14:paraId="720D2AC9" w14:textId="77777777" w:rsidR="00CD6201" w:rsidRPr="00473F8D" w:rsidRDefault="00CD6201" w:rsidP="007156CA">
      <w:pPr>
        <w:pStyle w:val="Lijstalinea"/>
        <w:ind w:left="0"/>
        <w:jc w:val="both"/>
        <w:rPr>
          <w:rFonts w:cs="Calibri"/>
        </w:rPr>
      </w:pPr>
    </w:p>
    <w:p w14:paraId="7E2F59A7" w14:textId="77777777" w:rsidR="0071308E" w:rsidRPr="00473F8D" w:rsidRDefault="00576405" w:rsidP="00992076">
      <w:pPr>
        <w:pStyle w:val="Kop1"/>
        <w:ind w:left="0"/>
      </w:pPr>
      <w:r>
        <w:br w:type="page"/>
      </w:r>
      <w:r>
        <w:lastRenderedPageBreak/>
        <w:t>3. Financial results</w:t>
      </w:r>
    </w:p>
    <w:p w14:paraId="798F4696" w14:textId="77777777" w:rsidR="00AC75EB" w:rsidRPr="00473F8D" w:rsidRDefault="00AC75EB" w:rsidP="00992076">
      <w:pPr>
        <w:pStyle w:val="Kop2"/>
      </w:pPr>
      <w:r>
        <w:t>3.1. Summary</w:t>
      </w:r>
    </w:p>
    <w:p w14:paraId="0893F07E" w14:textId="41D70C84" w:rsidR="006F46C5" w:rsidRPr="00473F8D" w:rsidRDefault="00430A6D" w:rsidP="00992076">
      <w:pPr>
        <w:jc w:val="both"/>
        <w:rPr>
          <w:rFonts w:cs="Arial"/>
          <w:color w:val="000000"/>
        </w:rPr>
      </w:pPr>
      <w:r>
        <w:rPr>
          <w:color w:val="000000"/>
        </w:rPr>
        <w:t xml:space="preserve">The EPRA </w:t>
      </w:r>
      <w:r w:rsidR="00182B85">
        <w:rPr>
          <w:color w:val="000000"/>
        </w:rPr>
        <w:t>E</w:t>
      </w:r>
      <w:r>
        <w:rPr>
          <w:color w:val="000000"/>
        </w:rPr>
        <w:t>arni</w:t>
      </w:r>
      <w:r w:rsidR="00C609C9">
        <w:rPr>
          <w:color w:val="000000"/>
        </w:rPr>
        <w:t xml:space="preserve">ngs of WDP for Q1 2017 </w:t>
      </w:r>
      <w:r w:rsidR="0071367B">
        <w:rPr>
          <w:color w:val="000000"/>
        </w:rPr>
        <w:t xml:space="preserve">amounts </w:t>
      </w:r>
      <w:r w:rsidR="00C609C9">
        <w:rPr>
          <w:color w:val="000000"/>
        </w:rPr>
        <w:t xml:space="preserve">to </w:t>
      </w:r>
      <w:r w:rsidR="00C822EC">
        <w:rPr>
          <w:color w:val="000000"/>
        </w:rPr>
        <w:t>25.6</w:t>
      </w:r>
      <w:r>
        <w:rPr>
          <w:color w:val="000000"/>
        </w:rPr>
        <w:t xml:space="preserve"> </w:t>
      </w:r>
      <w:r w:rsidR="00182B85">
        <w:rPr>
          <w:color w:val="000000"/>
        </w:rPr>
        <w:t xml:space="preserve">million </w:t>
      </w:r>
      <w:r w:rsidR="00C609C9">
        <w:t>euros</w:t>
      </w:r>
      <w:r>
        <w:rPr>
          <w:color w:val="000000"/>
        </w:rPr>
        <w:t xml:space="preserve">. This result marks an increase of </w:t>
      </w:r>
      <w:r w:rsidR="00C822EC">
        <w:rPr>
          <w:color w:val="000000"/>
        </w:rPr>
        <w:t>15.2</w:t>
      </w:r>
      <w:r>
        <w:rPr>
          <w:color w:val="000000"/>
        </w:rPr>
        <w:t xml:space="preserve">% compared to the result of 22.2 </w:t>
      </w:r>
      <w:r w:rsidR="00182B85">
        <w:rPr>
          <w:color w:val="000000"/>
        </w:rPr>
        <w:t xml:space="preserve">million </w:t>
      </w:r>
      <w:r w:rsidR="00C609C9">
        <w:t>euros</w:t>
      </w:r>
      <w:r w:rsidR="00182B85">
        <w:rPr>
          <w:color w:val="000000"/>
        </w:rPr>
        <w:t xml:space="preserve"> </w:t>
      </w:r>
      <w:r>
        <w:rPr>
          <w:color w:val="000000"/>
        </w:rPr>
        <w:t xml:space="preserve">in Q1 2016. The EPRA </w:t>
      </w:r>
      <w:r w:rsidR="00182B85">
        <w:rPr>
          <w:color w:val="000000"/>
        </w:rPr>
        <w:t>E</w:t>
      </w:r>
      <w:r>
        <w:rPr>
          <w:color w:val="000000"/>
        </w:rPr>
        <w:t xml:space="preserve">arnings per share </w:t>
      </w:r>
      <w:r w:rsidR="0071367B">
        <w:rPr>
          <w:color w:val="000000"/>
        </w:rPr>
        <w:t xml:space="preserve">amounts </w:t>
      </w:r>
      <w:r>
        <w:rPr>
          <w:color w:val="000000"/>
        </w:rPr>
        <w:t xml:space="preserve">to </w:t>
      </w:r>
      <w:r w:rsidR="00C822EC">
        <w:rPr>
          <w:color w:val="000000"/>
        </w:rPr>
        <w:t>1.20</w:t>
      </w:r>
      <w:r w:rsidR="00C609C9">
        <w:rPr>
          <w:color w:val="000000"/>
        </w:rPr>
        <w:t xml:space="preserve"> </w:t>
      </w:r>
      <w:r w:rsidR="00C609C9">
        <w:t>euros</w:t>
      </w:r>
      <w:r>
        <w:rPr>
          <w:color w:val="000000"/>
        </w:rPr>
        <w:t xml:space="preserve">, steady with respect to the previous year, </w:t>
      </w:r>
      <w:r w:rsidR="00D10C2F">
        <w:rPr>
          <w:color w:val="000000"/>
        </w:rPr>
        <w:t xml:space="preserve">including an increase of </w:t>
      </w:r>
      <w:r>
        <w:rPr>
          <w:color w:val="000000"/>
        </w:rPr>
        <w:t xml:space="preserve">15% </w:t>
      </w:r>
      <w:r w:rsidR="00D10C2F">
        <w:rPr>
          <w:color w:val="000000"/>
        </w:rPr>
        <w:t xml:space="preserve">of </w:t>
      </w:r>
      <w:r>
        <w:rPr>
          <w:color w:val="000000"/>
        </w:rPr>
        <w:t>outstanding shares and a far lower gearing ratio</w:t>
      </w:r>
      <w:r w:rsidR="00D10C2F">
        <w:rPr>
          <w:color w:val="000000"/>
        </w:rPr>
        <w:t xml:space="preserve"> (namely -7% year-on-year to around 50%)</w:t>
      </w:r>
      <w:r>
        <w:rPr>
          <w:color w:val="000000"/>
        </w:rPr>
        <w:t>. This result puts WDP’s performance in line with the projections published with the 2016 annual results.</w:t>
      </w:r>
    </w:p>
    <w:p w14:paraId="2E7DB8F6" w14:textId="4B88D498" w:rsidR="007A470B" w:rsidRPr="00473F8D" w:rsidRDefault="007A470B" w:rsidP="00992076">
      <w:pPr>
        <w:jc w:val="both"/>
      </w:pPr>
      <w:r>
        <w:t xml:space="preserve">This sharp increase in EPRA </w:t>
      </w:r>
      <w:r w:rsidR="00182B85">
        <w:t>E</w:t>
      </w:r>
      <w:r>
        <w:t xml:space="preserve">arnings primarily stems from strong growth in the WDP portfolio in 2016-17 by means of acquisitions and pre-leased projects. </w:t>
      </w:r>
      <w:r>
        <w:rPr>
          <w:color w:val="000000"/>
        </w:rPr>
        <w:t>In addition, operational and financial costs were actively managed and kept under control.</w:t>
      </w:r>
      <w:r>
        <w:t xml:space="preserve"> </w:t>
      </w:r>
    </w:p>
    <w:p w14:paraId="282D8F22" w14:textId="059533C5" w:rsidR="00AA450A" w:rsidRPr="00473F8D" w:rsidRDefault="004A2553" w:rsidP="000C427D">
      <w:pPr>
        <w:pStyle w:val="Kop2"/>
        <w:rPr>
          <w:noProof/>
        </w:rPr>
      </w:pPr>
      <w:r>
        <w:br w:type="page"/>
      </w:r>
      <w:r w:rsidR="00B36227" w:rsidRPr="00B36227">
        <w:rPr>
          <w:highlight w:val="yellow"/>
        </w:rPr>
        <w:lastRenderedPageBreak/>
        <w:drawing>
          <wp:anchor distT="0" distB="0" distL="114300" distR="114300" simplePos="0" relativeHeight="251684864" behindDoc="1" locked="0" layoutInCell="1" allowOverlap="1" wp14:anchorId="1AC284B0" wp14:editId="138AC978">
            <wp:simplePos x="0" y="0"/>
            <wp:positionH relativeFrom="page">
              <wp:align>center</wp:align>
            </wp:positionH>
            <wp:positionV relativeFrom="paragraph">
              <wp:posOffset>257175</wp:posOffset>
            </wp:positionV>
            <wp:extent cx="5551200" cy="8053200"/>
            <wp:effectExtent l="0" t="0" r="0" b="5080"/>
            <wp:wrapTight wrapText="bothSides">
              <wp:wrapPolygon edited="0">
                <wp:start x="0" y="0"/>
                <wp:lineTo x="0" y="21563"/>
                <wp:lineTo x="21496" y="21563"/>
                <wp:lineTo x="21496" y="17270"/>
                <wp:lineTo x="20829" y="17270"/>
                <wp:lineTo x="21496" y="17015"/>
                <wp:lineTo x="2149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1200" cy="8053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3.2. Key figures </w:t>
      </w:r>
      <w:r w:rsidR="00E71C0D" w:rsidRPr="00E71C0D" w:rsidDel="00C822EC">
        <w:rPr>
          <w:highlight w:val="yellow"/>
        </w:rPr>
        <w:t xml:space="preserve"> </w:t>
      </w:r>
      <w:bookmarkStart w:id="1" w:name="_GoBack"/>
      <w:bookmarkEnd w:id="1"/>
    </w:p>
    <w:p w14:paraId="38551F6F" w14:textId="229D95F5" w:rsidR="0001359A" w:rsidRPr="00473F8D" w:rsidRDefault="00E71C0D" w:rsidP="00144171">
      <w:pPr>
        <w:pStyle w:val="Kop2"/>
      </w:pPr>
      <w:r w:rsidRPr="00E71C0D">
        <w:rPr>
          <w:noProof/>
          <w:lang w:val="en-US" w:eastAsia="en-US" w:bidi="ar-SA"/>
        </w:rPr>
        <w:lastRenderedPageBreak/>
        <w:drawing>
          <wp:anchor distT="0" distB="0" distL="114300" distR="114300" simplePos="0" relativeHeight="251667456" behindDoc="1" locked="0" layoutInCell="1" allowOverlap="1" wp14:anchorId="381ED5EC" wp14:editId="290B3FA1">
            <wp:simplePos x="0" y="0"/>
            <wp:positionH relativeFrom="page">
              <wp:posOffset>900430</wp:posOffset>
            </wp:positionH>
            <wp:positionV relativeFrom="paragraph">
              <wp:posOffset>310515</wp:posOffset>
            </wp:positionV>
            <wp:extent cx="5760000" cy="3596400"/>
            <wp:effectExtent l="0" t="0" r="0" b="4445"/>
            <wp:wrapTight wrapText="bothSides">
              <wp:wrapPolygon edited="0">
                <wp:start x="0" y="0"/>
                <wp:lineTo x="0" y="21512"/>
                <wp:lineTo x="16789" y="21512"/>
                <wp:lineTo x="21433" y="20254"/>
                <wp:lineTo x="21505" y="19453"/>
                <wp:lineTo x="21219" y="19224"/>
                <wp:lineTo x="18147" y="18308"/>
                <wp:lineTo x="21219" y="18308"/>
                <wp:lineTo x="21505" y="18194"/>
                <wp:lineTo x="2150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59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59A">
        <w:t>3.3. EPRA metrics</w:t>
      </w:r>
    </w:p>
    <w:p w14:paraId="34A3B4AD" w14:textId="32BDE6B7" w:rsidR="009D22FA" w:rsidRPr="00473F8D" w:rsidRDefault="00D60C0A" w:rsidP="009D22FA">
      <w:r>
        <w:t xml:space="preserve"> </w:t>
      </w:r>
    </w:p>
    <w:p w14:paraId="0757120A" w14:textId="1A31864F" w:rsidR="00AC75EB" w:rsidRPr="00473F8D" w:rsidRDefault="00AC75EB" w:rsidP="00992076">
      <w:pPr>
        <w:pStyle w:val="Kop2"/>
      </w:pPr>
      <w:r>
        <w:t xml:space="preserve">3.4. </w:t>
      </w:r>
      <w:r w:rsidR="00E71C0D">
        <w:t>N</w:t>
      </w:r>
      <w:r>
        <w:t xml:space="preserve">otes </w:t>
      </w:r>
      <w:r w:rsidR="00E71C0D">
        <w:t>to</w:t>
      </w:r>
      <w:r>
        <w:t xml:space="preserve"> the </w:t>
      </w:r>
      <w:r w:rsidR="00B47375">
        <w:t xml:space="preserve">analytical </w:t>
      </w:r>
      <w:r>
        <w:t xml:space="preserve">profit and loss accounts of 31 </w:t>
      </w:r>
      <w:r w:rsidR="00C822EC">
        <w:t>March</w:t>
      </w:r>
      <w:r>
        <w:t xml:space="preserve"> 2017</w:t>
      </w:r>
    </w:p>
    <w:p w14:paraId="325BBE29" w14:textId="77777777" w:rsidR="00AC75EB" w:rsidRPr="00473F8D" w:rsidRDefault="00AC75EB" w:rsidP="00992076">
      <w:pPr>
        <w:pStyle w:val="Kop3"/>
        <w:ind w:firstLine="360"/>
      </w:pPr>
      <w:r>
        <w:t xml:space="preserve">Property result </w:t>
      </w:r>
    </w:p>
    <w:p w14:paraId="049AEB09" w14:textId="72080D99" w:rsidR="005B75F6" w:rsidRPr="00473F8D" w:rsidRDefault="00402980" w:rsidP="00992076">
      <w:pPr>
        <w:pStyle w:val="wdp15-txt"/>
        <w:spacing w:line="276" w:lineRule="auto"/>
        <w:rPr>
          <w:rFonts w:ascii="Calibri" w:hAnsi="Calibri" w:cs="Calibri"/>
          <w:color w:val="auto"/>
          <w:sz w:val="22"/>
          <w:szCs w:val="22"/>
        </w:rPr>
      </w:pPr>
      <w:r>
        <w:rPr>
          <w:rFonts w:ascii="Calibri" w:hAnsi="Calibri"/>
          <w:color w:val="auto"/>
          <w:sz w:val="22"/>
        </w:rPr>
        <w:t xml:space="preserve">The </w:t>
      </w:r>
      <w:r>
        <w:rPr>
          <w:rFonts w:ascii="Calibri" w:hAnsi="Calibri"/>
          <w:i/>
          <w:color w:val="auto"/>
          <w:sz w:val="22"/>
        </w:rPr>
        <w:t>property result</w:t>
      </w:r>
      <w:r w:rsidR="00C609C9">
        <w:rPr>
          <w:rFonts w:ascii="Calibri" w:hAnsi="Calibri"/>
          <w:color w:val="auto"/>
          <w:sz w:val="22"/>
        </w:rPr>
        <w:t xml:space="preserve"> for Q1 2017 </w:t>
      </w:r>
      <w:r w:rsidR="00DF6F73">
        <w:rPr>
          <w:rFonts w:ascii="Calibri" w:hAnsi="Calibri"/>
          <w:color w:val="auto"/>
          <w:sz w:val="22"/>
        </w:rPr>
        <w:t xml:space="preserve">amounts </w:t>
      </w:r>
      <w:r w:rsidR="00C609C9">
        <w:rPr>
          <w:rFonts w:ascii="Calibri" w:hAnsi="Calibri"/>
          <w:color w:val="auto"/>
          <w:sz w:val="22"/>
        </w:rPr>
        <w:t xml:space="preserve">to </w:t>
      </w:r>
      <w:r w:rsidR="006D3841">
        <w:rPr>
          <w:rFonts w:ascii="Calibri" w:hAnsi="Calibri"/>
          <w:color w:val="auto"/>
          <w:sz w:val="22"/>
        </w:rPr>
        <w:t>35.0</w:t>
      </w:r>
      <w:r>
        <w:rPr>
          <w:rFonts w:ascii="Calibri" w:hAnsi="Calibri"/>
          <w:color w:val="auto"/>
          <w:sz w:val="22"/>
        </w:rPr>
        <w:t xml:space="preserve"> 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 xml:space="preserve">, up </w:t>
      </w:r>
      <w:r w:rsidR="006D3841">
        <w:rPr>
          <w:rFonts w:ascii="Calibri" w:hAnsi="Calibri"/>
          <w:color w:val="auto"/>
          <w:sz w:val="22"/>
        </w:rPr>
        <w:t>12.4</w:t>
      </w:r>
      <w:r w:rsidR="00C609C9">
        <w:rPr>
          <w:rFonts w:ascii="Calibri" w:hAnsi="Calibri"/>
          <w:color w:val="auto"/>
          <w:sz w:val="22"/>
        </w:rPr>
        <w:t xml:space="preserve">% </w:t>
      </w:r>
      <w:r w:rsidR="00DF6F73">
        <w:rPr>
          <w:rFonts w:ascii="Calibri" w:hAnsi="Calibri"/>
          <w:color w:val="auto"/>
          <w:sz w:val="22"/>
        </w:rPr>
        <w:t xml:space="preserve">compared to </w:t>
      </w:r>
      <w:r w:rsidR="00C609C9">
        <w:rPr>
          <w:rFonts w:ascii="Calibri" w:hAnsi="Calibri"/>
          <w:color w:val="auto"/>
          <w:sz w:val="22"/>
        </w:rPr>
        <w:t>last year (</w:t>
      </w:r>
      <w:r>
        <w:rPr>
          <w:rFonts w:ascii="Calibri" w:hAnsi="Calibri"/>
          <w:color w:val="auto"/>
          <w:sz w:val="22"/>
        </w:rPr>
        <w:t>31.1 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 This increase is driven by the continued growth of the portfolio in 2016-17, primarily in Belgium, the Netherlands</w:t>
      </w:r>
      <w:r w:rsidR="006D3841">
        <w:rPr>
          <w:rFonts w:ascii="Calibri" w:hAnsi="Calibri"/>
          <w:color w:val="auto"/>
          <w:sz w:val="22"/>
        </w:rPr>
        <w:t>, Fran</w:t>
      </w:r>
      <w:r w:rsidR="00B47375">
        <w:rPr>
          <w:rFonts w:ascii="Calibri" w:hAnsi="Calibri"/>
          <w:color w:val="auto"/>
          <w:sz w:val="22"/>
        </w:rPr>
        <w:t>ce</w:t>
      </w:r>
      <w:r>
        <w:rPr>
          <w:rFonts w:ascii="Calibri" w:hAnsi="Calibri"/>
          <w:color w:val="auto"/>
          <w:sz w:val="22"/>
        </w:rPr>
        <w:t xml:space="preserve"> and Romania, through acquisitions and the completion of pre-leased projects. </w:t>
      </w:r>
      <w:r w:rsidR="00DF6F73">
        <w:rPr>
          <w:rFonts w:ascii="Calibri" w:hAnsi="Calibri"/>
          <w:color w:val="auto"/>
          <w:sz w:val="22"/>
        </w:rPr>
        <w:t xml:space="preserve">Based on </w:t>
      </w:r>
      <w:r>
        <w:rPr>
          <w:rFonts w:ascii="Calibri" w:hAnsi="Calibri"/>
          <w:color w:val="auto"/>
          <w:sz w:val="22"/>
        </w:rPr>
        <w:t xml:space="preserve">an unchanged portfolio, the gross rental income </w:t>
      </w:r>
      <w:r w:rsidR="00DF6F73">
        <w:rPr>
          <w:rFonts w:ascii="Calibri" w:hAnsi="Calibri"/>
          <w:color w:val="auto"/>
          <w:sz w:val="22"/>
        </w:rPr>
        <w:t>rose</w:t>
      </w:r>
      <w:r>
        <w:rPr>
          <w:rFonts w:ascii="Calibri" w:hAnsi="Calibri"/>
          <w:color w:val="auto"/>
          <w:sz w:val="22"/>
        </w:rPr>
        <w:t xml:space="preserve"> by +1.2%</w:t>
      </w:r>
      <w:r>
        <w:rPr>
          <w:rFonts w:ascii="Calibri" w:hAnsi="Calibri"/>
          <w:color w:val="auto"/>
          <w:sz w:val="22"/>
          <w:vertAlign w:val="superscript"/>
        </w:rPr>
        <w:footnoteReference w:id="16"/>
      </w:r>
      <w:r>
        <w:rPr>
          <w:rFonts w:ascii="Calibri" w:hAnsi="Calibri"/>
          <w:color w:val="auto"/>
          <w:sz w:val="22"/>
        </w:rPr>
        <w:t>, mainly driven by the indexing of lease contra</w:t>
      </w:r>
      <w:r w:rsidR="00C609C9">
        <w:rPr>
          <w:rFonts w:ascii="Calibri" w:hAnsi="Calibri"/>
          <w:color w:val="auto"/>
          <w:sz w:val="22"/>
        </w:rPr>
        <w:t xml:space="preserve">cts. This result also includes </w:t>
      </w:r>
      <w:r>
        <w:rPr>
          <w:rFonts w:ascii="Calibri" w:hAnsi="Calibri"/>
          <w:color w:val="auto"/>
          <w:sz w:val="22"/>
        </w:rPr>
        <w:t xml:space="preserve">1.6 million </w:t>
      </w:r>
      <w:bookmarkStart w:id="2" w:name="_Hlk481395067"/>
      <w:r w:rsidR="00C609C9" w:rsidRPr="00C609C9">
        <w:rPr>
          <w:rFonts w:ascii="Calibri" w:hAnsi="Calibri"/>
          <w:color w:val="auto"/>
          <w:sz w:val="22"/>
        </w:rPr>
        <w:t>euros</w:t>
      </w:r>
      <w:r w:rsidR="00C609C9">
        <w:rPr>
          <w:rFonts w:ascii="Calibri" w:hAnsi="Calibri"/>
          <w:color w:val="auto"/>
          <w:sz w:val="22"/>
        </w:rPr>
        <w:t xml:space="preserve"> </w:t>
      </w:r>
      <w:bookmarkEnd w:id="2"/>
      <w:r>
        <w:rPr>
          <w:rFonts w:ascii="Calibri" w:hAnsi="Calibri"/>
          <w:color w:val="auto"/>
          <w:sz w:val="22"/>
        </w:rPr>
        <w:t xml:space="preserve">in income </w:t>
      </w:r>
      <w:r w:rsidR="00C609C9">
        <w:rPr>
          <w:rFonts w:ascii="Calibri" w:hAnsi="Calibri"/>
          <w:color w:val="auto"/>
          <w:sz w:val="22"/>
        </w:rPr>
        <w:t xml:space="preserve">from solar panels (compared to </w:t>
      </w:r>
      <w:r>
        <w:rPr>
          <w:rFonts w:ascii="Calibri" w:hAnsi="Calibri"/>
          <w:color w:val="auto"/>
          <w:sz w:val="22"/>
        </w:rPr>
        <w:t xml:space="preserve">1.3 million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in the same period last year, when the installed capacity was smaller).</w:t>
      </w:r>
    </w:p>
    <w:p w14:paraId="46377E54" w14:textId="12321D5C" w:rsidR="00B44F8C" w:rsidRPr="00473F8D" w:rsidRDefault="003952E5" w:rsidP="00992076">
      <w:pPr>
        <w:pStyle w:val="wdp15-txt"/>
        <w:spacing w:line="276" w:lineRule="auto"/>
        <w:rPr>
          <w:rFonts w:ascii="Calibri" w:hAnsi="Calibri" w:cs="Calibri"/>
          <w:color w:val="auto"/>
          <w:sz w:val="22"/>
          <w:szCs w:val="22"/>
        </w:rPr>
      </w:pPr>
      <w:r w:rsidRPr="003952E5">
        <w:rPr>
          <w:noProof/>
          <w:lang w:val="en-US" w:eastAsia="en-US" w:bidi="ar-SA"/>
        </w:rPr>
        <w:lastRenderedPageBreak/>
        <w:drawing>
          <wp:inline distT="0" distB="0" distL="0" distR="0" wp14:anchorId="7E917769" wp14:editId="24B1EBF8">
            <wp:extent cx="5759450" cy="1553091"/>
            <wp:effectExtent l="0" t="0" r="0"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553091"/>
                    </a:xfrm>
                    <a:prstGeom prst="rect">
                      <a:avLst/>
                    </a:prstGeom>
                    <a:noFill/>
                    <a:ln>
                      <a:noFill/>
                    </a:ln>
                  </pic:spPr>
                </pic:pic>
              </a:graphicData>
            </a:graphic>
          </wp:inline>
        </w:drawing>
      </w:r>
    </w:p>
    <w:p w14:paraId="59F62FFC" w14:textId="77777777" w:rsidR="00AC75EB" w:rsidRPr="00473F8D" w:rsidRDefault="00AC75EB" w:rsidP="00992076">
      <w:pPr>
        <w:pStyle w:val="Kop3"/>
        <w:ind w:firstLine="360"/>
      </w:pPr>
      <w:r>
        <w:t>Operating result (before the result on the portfolio)</w:t>
      </w:r>
    </w:p>
    <w:p w14:paraId="549BBDB9" w14:textId="39FEAB22" w:rsidR="00402980" w:rsidRPr="00473F8D" w:rsidRDefault="00402980" w:rsidP="00992076">
      <w:pPr>
        <w:pStyle w:val="wdp15-txt"/>
        <w:spacing w:line="276" w:lineRule="auto"/>
        <w:rPr>
          <w:rFonts w:ascii="Calibri" w:hAnsi="Calibri" w:cs="Calibri"/>
          <w:color w:val="auto"/>
          <w:sz w:val="22"/>
          <w:szCs w:val="22"/>
        </w:rPr>
      </w:pPr>
      <w:r>
        <w:rPr>
          <w:rFonts w:ascii="Calibri" w:hAnsi="Calibri"/>
          <w:color w:val="auto"/>
          <w:sz w:val="22"/>
        </w:rPr>
        <w:t xml:space="preserve">The </w:t>
      </w:r>
      <w:r>
        <w:rPr>
          <w:rFonts w:ascii="Calibri" w:hAnsi="Calibri"/>
          <w:i/>
          <w:color w:val="auto"/>
          <w:sz w:val="22"/>
        </w:rPr>
        <w:t>operating result</w:t>
      </w:r>
      <w:r>
        <w:rPr>
          <w:rFonts w:ascii="Calibri" w:hAnsi="Calibri"/>
          <w:color w:val="auto"/>
          <w:sz w:val="22"/>
        </w:rPr>
        <w:t xml:space="preserve"> (</w:t>
      </w:r>
      <w:r>
        <w:rPr>
          <w:rFonts w:ascii="Calibri" w:hAnsi="Calibri"/>
          <w:i/>
          <w:color w:val="auto"/>
          <w:sz w:val="22"/>
        </w:rPr>
        <w:t>before the result on the portfolio</w:t>
      </w:r>
      <w:r>
        <w:rPr>
          <w:rFonts w:ascii="Calibri" w:hAnsi="Calibri"/>
          <w:color w:val="auto"/>
          <w:sz w:val="22"/>
        </w:rPr>
        <w:t xml:space="preserve">) </w:t>
      </w:r>
      <w:r w:rsidR="00DF6F73">
        <w:rPr>
          <w:rFonts w:ascii="Calibri" w:hAnsi="Calibri"/>
          <w:color w:val="auto"/>
          <w:sz w:val="22"/>
        </w:rPr>
        <w:t xml:space="preserve">amounts </w:t>
      </w:r>
      <w:r>
        <w:rPr>
          <w:rFonts w:ascii="Calibri" w:hAnsi="Calibri"/>
          <w:color w:val="auto"/>
          <w:sz w:val="22"/>
        </w:rPr>
        <w:t xml:space="preserve">to </w:t>
      </w:r>
      <w:r w:rsidR="00F44BEF">
        <w:rPr>
          <w:rFonts w:ascii="Calibri" w:hAnsi="Calibri"/>
          <w:color w:val="auto"/>
          <w:sz w:val="22"/>
        </w:rPr>
        <w:t>32.1</w:t>
      </w:r>
      <w:r>
        <w:rPr>
          <w:rFonts w:ascii="Calibri" w:hAnsi="Calibri"/>
          <w:color w:val="auto"/>
          <w:sz w:val="22"/>
        </w:rPr>
        <w:t xml:space="preserve"> million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 xml:space="preserve">in Q1 2017, an increase of </w:t>
      </w:r>
      <w:r w:rsidR="00F44BEF">
        <w:rPr>
          <w:rFonts w:ascii="Calibri" w:hAnsi="Calibri"/>
          <w:color w:val="auto"/>
          <w:sz w:val="22"/>
        </w:rPr>
        <w:t>9.0</w:t>
      </w:r>
      <w:r>
        <w:rPr>
          <w:rFonts w:ascii="Calibri" w:hAnsi="Calibri"/>
          <w:color w:val="auto"/>
          <w:sz w:val="22"/>
        </w:rPr>
        <w:t>% compared</w:t>
      </w:r>
      <w:r w:rsidR="00C609C9">
        <w:rPr>
          <w:rFonts w:ascii="Calibri" w:hAnsi="Calibri"/>
          <w:color w:val="auto"/>
          <w:sz w:val="22"/>
        </w:rPr>
        <w:t xml:space="preserve"> to the same period last year (</w:t>
      </w:r>
      <w:r>
        <w:rPr>
          <w:rFonts w:ascii="Calibri" w:hAnsi="Calibri"/>
          <w:color w:val="auto"/>
          <w:sz w:val="22"/>
        </w:rPr>
        <w:t>29.4 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 xml:space="preserve">). Property and </w:t>
      </w:r>
      <w:r w:rsidR="00C609C9">
        <w:rPr>
          <w:rFonts w:ascii="Calibri" w:hAnsi="Calibri"/>
          <w:color w:val="auto"/>
          <w:sz w:val="22"/>
        </w:rPr>
        <w:t xml:space="preserve">other general expenses </w:t>
      </w:r>
      <w:r w:rsidR="00DF6F73">
        <w:rPr>
          <w:rFonts w:ascii="Calibri" w:hAnsi="Calibri"/>
          <w:color w:val="auto"/>
          <w:sz w:val="22"/>
        </w:rPr>
        <w:t xml:space="preserve">amount </w:t>
      </w:r>
      <w:r w:rsidR="00C609C9">
        <w:rPr>
          <w:rFonts w:ascii="Calibri" w:hAnsi="Calibri"/>
          <w:color w:val="auto"/>
          <w:sz w:val="22"/>
        </w:rPr>
        <w:t xml:space="preserve">to </w:t>
      </w:r>
      <w:r w:rsidR="00F44BEF">
        <w:rPr>
          <w:rFonts w:ascii="Calibri" w:hAnsi="Calibri"/>
          <w:color w:val="auto"/>
          <w:sz w:val="22"/>
        </w:rPr>
        <w:t>2.9</w:t>
      </w:r>
      <w:r>
        <w:rPr>
          <w:rFonts w:ascii="Calibri" w:hAnsi="Calibri"/>
          <w:color w:val="auto"/>
          <w:sz w:val="22"/>
        </w:rPr>
        <w:t xml:space="preserve"> million euros for Q</w:t>
      </w:r>
      <w:r w:rsidR="00C609C9">
        <w:rPr>
          <w:rFonts w:ascii="Calibri" w:hAnsi="Calibri"/>
          <w:color w:val="auto"/>
          <w:sz w:val="22"/>
        </w:rPr>
        <w:t xml:space="preserve">1 2017, marking an increase of </w:t>
      </w:r>
      <w:r w:rsidR="00F44BEF">
        <w:rPr>
          <w:rFonts w:ascii="Calibri" w:hAnsi="Calibri"/>
          <w:color w:val="auto"/>
          <w:sz w:val="22"/>
        </w:rPr>
        <w:t>1.2</w:t>
      </w:r>
      <w:r>
        <w:rPr>
          <w:rFonts w:ascii="Calibri" w:hAnsi="Calibri"/>
          <w:color w:val="auto"/>
          <w:sz w:val="22"/>
        </w:rPr>
        <w:t xml:space="preserve"> million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 xml:space="preserve">compared to expenses in Q1 2016, when these expenses were unusually </w:t>
      </w:r>
      <w:r w:rsidR="006D3841">
        <w:rPr>
          <w:rFonts w:ascii="Calibri" w:hAnsi="Calibri"/>
          <w:color w:val="auto"/>
          <w:sz w:val="22"/>
        </w:rPr>
        <w:t>low</w:t>
      </w:r>
      <w:r>
        <w:rPr>
          <w:rFonts w:ascii="Calibri" w:hAnsi="Calibri"/>
          <w:color w:val="auto"/>
          <w:sz w:val="22"/>
        </w:rPr>
        <w:t xml:space="preserve">. WDP succeeded in further controlling costs, with the operating margin for Q1 2017 coming to </w:t>
      </w:r>
      <w:r w:rsidR="00F44BEF">
        <w:rPr>
          <w:rFonts w:ascii="Calibri" w:hAnsi="Calibri"/>
          <w:color w:val="auto"/>
          <w:sz w:val="22"/>
        </w:rPr>
        <w:t>91.6</w:t>
      </w:r>
      <w:r>
        <w:rPr>
          <w:rFonts w:ascii="Calibri" w:hAnsi="Calibri"/>
          <w:color w:val="auto"/>
          <w:sz w:val="22"/>
        </w:rPr>
        <w:t xml:space="preserve">% – comparable to </w:t>
      </w:r>
      <w:r w:rsidR="00D10C2F">
        <w:rPr>
          <w:rFonts w:ascii="Calibri" w:hAnsi="Calibri"/>
          <w:color w:val="auto"/>
          <w:sz w:val="22"/>
        </w:rPr>
        <w:t>the average in the past few years.</w:t>
      </w:r>
    </w:p>
    <w:p w14:paraId="75CA409D" w14:textId="77777777" w:rsidR="00AC75EB" w:rsidRPr="00473F8D" w:rsidRDefault="00AC75EB" w:rsidP="00992076">
      <w:pPr>
        <w:pStyle w:val="Kop3"/>
        <w:ind w:firstLine="360"/>
      </w:pPr>
      <w:r>
        <w:t xml:space="preserve">Financial result (excluding change in the fair value of the financial instruments) </w:t>
      </w:r>
    </w:p>
    <w:p w14:paraId="6B1DC224" w14:textId="06A205F6" w:rsidR="00402980" w:rsidRPr="00473F8D" w:rsidRDefault="00402980" w:rsidP="00992076">
      <w:pPr>
        <w:pStyle w:val="wdp15-txt"/>
        <w:spacing w:line="276" w:lineRule="auto"/>
        <w:rPr>
          <w:rFonts w:ascii="Calibri" w:hAnsi="Calibri" w:cs="Calibri"/>
          <w:color w:val="auto"/>
          <w:sz w:val="22"/>
          <w:szCs w:val="22"/>
        </w:rPr>
      </w:pPr>
      <w:r>
        <w:rPr>
          <w:rFonts w:ascii="Calibri" w:hAnsi="Calibri"/>
          <w:color w:val="auto"/>
          <w:sz w:val="22"/>
        </w:rPr>
        <w:t xml:space="preserve">The </w:t>
      </w:r>
      <w:r>
        <w:rPr>
          <w:rFonts w:ascii="Calibri" w:hAnsi="Calibri"/>
          <w:i/>
          <w:color w:val="auto"/>
          <w:sz w:val="22"/>
        </w:rPr>
        <w:t>financial result</w:t>
      </w:r>
      <w:r>
        <w:rPr>
          <w:rFonts w:ascii="Calibri" w:hAnsi="Calibri"/>
          <w:color w:val="auto"/>
          <w:sz w:val="22"/>
        </w:rPr>
        <w:t xml:space="preserve"> (</w:t>
      </w:r>
      <w:r>
        <w:rPr>
          <w:rFonts w:ascii="Calibri" w:hAnsi="Calibri"/>
          <w:i/>
          <w:color w:val="auto"/>
          <w:sz w:val="22"/>
        </w:rPr>
        <w:t>excluding change in the fair value of the financial instruments</w:t>
      </w:r>
      <w:r>
        <w:rPr>
          <w:rFonts w:ascii="Calibri" w:hAnsi="Calibri"/>
          <w:color w:val="auto"/>
          <w:sz w:val="22"/>
        </w:rPr>
        <w:t>)</w:t>
      </w:r>
      <w:r>
        <w:rPr>
          <w:rStyle w:val="Voetnootmarkering"/>
          <w:rFonts w:ascii="Calibri" w:hAnsi="Calibri"/>
          <w:i/>
          <w:color w:val="auto"/>
          <w:sz w:val="22"/>
        </w:rPr>
        <w:footnoteReference w:id="17"/>
      </w:r>
      <w:r>
        <w:rPr>
          <w:rFonts w:ascii="Calibri" w:hAnsi="Calibri"/>
          <w:color w:val="auto"/>
          <w:sz w:val="22"/>
        </w:rPr>
        <w:t xml:space="preserve"> </w:t>
      </w:r>
      <w:r w:rsidR="00DF6F73">
        <w:rPr>
          <w:rFonts w:ascii="Calibri" w:hAnsi="Calibri"/>
          <w:color w:val="auto"/>
          <w:sz w:val="22"/>
        </w:rPr>
        <w:t>amounts</w:t>
      </w:r>
      <w:r>
        <w:rPr>
          <w:rFonts w:ascii="Calibri" w:hAnsi="Calibri"/>
          <w:color w:val="auto"/>
          <w:sz w:val="22"/>
        </w:rPr>
        <w:t xml:space="preserve"> to </w:t>
      </w:r>
      <w:r w:rsidR="00F44BEF">
        <w:rPr>
          <w:rFonts w:ascii="Calibri" w:hAnsi="Calibri"/>
          <w:color w:val="auto"/>
          <w:sz w:val="22"/>
        </w:rPr>
        <w:t>-6.8</w:t>
      </w:r>
      <w:r>
        <w:rPr>
          <w:rFonts w:ascii="Calibri" w:hAnsi="Calibri"/>
          <w:color w:val="auto"/>
          <w:sz w:val="22"/>
        </w:rPr>
        <w:t xml:space="preserve"> million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 xml:space="preserve">for </w:t>
      </w:r>
      <w:r w:rsidR="00F44BEF">
        <w:rPr>
          <w:rFonts w:ascii="Calibri" w:hAnsi="Calibri"/>
          <w:color w:val="auto"/>
          <w:sz w:val="22"/>
        </w:rPr>
        <w:t xml:space="preserve">the first quarter of </w:t>
      </w:r>
      <w:r>
        <w:rPr>
          <w:rFonts w:ascii="Calibri" w:hAnsi="Calibri"/>
          <w:color w:val="auto"/>
          <w:sz w:val="22"/>
        </w:rPr>
        <w:t>201</w:t>
      </w:r>
      <w:r w:rsidR="00C609C9">
        <w:rPr>
          <w:rFonts w:ascii="Calibri" w:hAnsi="Calibri"/>
          <w:color w:val="auto"/>
          <w:sz w:val="22"/>
        </w:rPr>
        <w:t>7, a decrease over last year (</w:t>
      </w:r>
      <w:r w:rsidR="00F44BEF">
        <w:rPr>
          <w:rFonts w:ascii="Calibri" w:hAnsi="Calibri"/>
          <w:color w:val="auto"/>
          <w:sz w:val="22"/>
        </w:rPr>
        <w:t xml:space="preserve">-7.3 </w:t>
      </w:r>
      <w:r>
        <w:rPr>
          <w:rFonts w:ascii="Calibri" w:hAnsi="Calibri"/>
          <w:color w:val="auto"/>
          <w:sz w:val="22"/>
        </w:rPr>
        <w:t>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 due to lower outstanding financial debt on average after the capital increase in November 2016.</w:t>
      </w:r>
    </w:p>
    <w:p w14:paraId="6FADC9B3" w14:textId="41C23436" w:rsidR="00402980" w:rsidRPr="00473F8D" w:rsidRDefault="00402980" w:rsidP="00992076">
      <w:pPr>
        <w:pStyle w:val="wdp15-txt"/>
        <w:spacing w:line="276" w:lineRule="auto"/>
        <w:rPr>
          <w:rFonts w:ascii="Calibri" w:hAnsi="Calibri" w:cs="Calibri"/>
          <w:color w:val="auto"/>
          <w:sz w:val="22"/>
          <w:szCs w:val="22"/>
        </w:rPr>
      </w:pPr>
      <w:r>
        <w:rPr>
          <w:rFonts w:ascii="Calibri" w:hAnsi="Calibri"/>
          <w:color w:val="auto"/>
          <w:sz w:val="22"/>
        </w:rPr>
        <w:t>To</w:t>
      </w:r>
      <w:r w:rsidR="00C609C9">
        <w:rPr>
          <w:rFonts w:ascii="Calibri" w:hAnsi="Calibri"/>
          <w:color w:val="auto"/>
          <w:sz w:val="22"/>
        </w:rPr>
        <w:t xml:space="preserve">tal financial debt </w:t>
      </w:r>
      <w:r w:rsidR="00F44BEF">
        <w:rPr>
          <w:rFonts w:ascii="Calibri" w:hAnsi="Calibri"/>
          <w:color w:val="auto"/>
          <w:sz w:val="22"/>
        </w:rPr>
        <w:t xml:space="preserve">(in line with IFRS) </w:t>
      </w:r>
      <w:r w:rsidR="00C609C9">
        <w:rPr>
          <w:rFonts w:ascii="Calibri" w:hAnsi="Calibri"/>
          <w:color w:val="auto"/>
          <w:sz w:val="22"/>
        </w:rPr>
        <w:t xml:space="preserve">amounted to </w:t>
      </w:r>
      <w:r w:rsidR="00F44BEF">
        <w:rPr>
          <w:rFonts w:ascii="Calibri" w:hAnsi="Calibri"/>
          <w:color w:val="auto"/>
          <w:sz w:val="22"/>
        </w:rPr>
        <w:t>1,070.7 million</w:t>
      </w:r>
      <w:r>
        <w:rPr>
          <w:rFonts w:ascii="Calibri" w:hAnsi="Calibri"/>
          <w:color w:val="auto"/>
          <w:sz w:val="22"/>
        </w:rPr>
        <w:t xml:space="preserve"> </w:t>
      </w:r>
      <w:r w:rsidR="00C609C9" w:rsidRPr="00C609C9">
        <w:rPr>
          <w:rFonts w:ascii="Calibri" w:hAnsi="Calibri"/>
          <w:color w:val="auto"/>
          <w:sz w:val="22"/>
        </w:rPr>
        <w:t>euros</w:t>
      </w:r>
      <w:r w:rsidR="00C609C9">
        <w:rPr>
          <w:rFonts w:ascii="Calibri" w:hAnsi="Calibri"/>
          <w:color w:val="auto"/>
          <w:sz w:val="22"/>
        </w:rPr>
        <w:t xml:space="preserve"> on 31 March 2017, </w:t>
      </w:r>
      <w:r w:rsidR="00F44BEF">
        <w:rPr>
          <w:rFonts w:ascii="Calibri" w:hAnsi="Calibri"/>
          <w:color w:val="auto"/>
          <w:sz w:val="22"/>
        </w:rPr>
        <w:t xml:space="preserve">in comparison </w:t>
      </w:r>
      <w:r w:rsidR="00C609C9">
        <w:rPr>
          <w:rFonts w:ascii="Calibri" w:hAnsi="Calibri"/>
          <w:color w:val="auto"/>
          <w:sz w:val="22"/>
        </w:rPr>
        <w:t xml:space="preserve">with </w:t>
      </w:r>
      <w:r w:rsidR="00F44BEF">
        <w:rPr>
          <w:rFonts w:ascii="Calibri" w:hAnsi="Calibri"/>
          <w:color w:val="auto"/>
          <w:sz w:val="22"/>
        </w:rPr>
        <w:t>1,045.9</w:t>
      </w:r>
      <w:r>
        <w:rPr>
          <w:rFonts w:ascii="Calibri" w:hAnsi="Calibri"/>
          <w:color w:val="auto"/>
          <w:sz w:val="22"/>
        </w:rPr>
        <w:t xml:space="preserve"> million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 xml:space="preserve">at the start of the year. The average cost of debt in Q1 2017 was </w:t>
      </w:r>
      <w:r w:rsidR="00F44BEF">
        <w:rPr>
          <w:rFonts w:ascii="Calibri" w:hAnsi="Calibri"/>
          <w:color w:val="auto"/>
          <w:sz w:val="22"/>
        </w:rPr>
        <w:t>2.8</w:t>
      </w:r>
      <w:r>
        <w:rPr>
          <w:rFonts w:ascii="Calibri" w:hAnsi="Calibri"/>
          <w:color w:val="auto"/>
          <w:sz w:val="22"/>
        </w:rPr>
        <w:t xml:space="preserve">%, unchanged from 2.8% in 2016. </w:t>
      </w:r>
    </w:p>
    <w:p w14:paraId="791FC425" w14:textId="5259DE99" w:rsidR="009020DF" w:rsidRPr="00473F8D" w:rsidRDefault="00430A6D" w:rsidP="00992076">
      <w:pPr>
        <w:pStyle w:val="Kop3"/>
        <w:ind w:firstLine="360"/>
      </w:pPr>
      <w:r>
        <w:rPr>
          <w:color w:val="000000"/>
        </w:rPr>
        <w:t xml:space="preserve">EPRA </w:t>
      </w:r>
      <w:r w:rsidR="00182B85">
        <w:rPr>
          <w:color w:val="000000"/>
        </w:rPr>
        <w:t>E</w:t>
      </w:r>
      <w:r>
        <w:rPr>
          <w:color w:val="000000"/>
        </w:rPr>
        <w:t>arnings</w:t>
      </w:r>
    </w:p>
    <w:p w14:paraId="52B4C3D7" w14:textId="79F7F743" w:rsidR="007F1850" w:rsidRPr="00473F8D" w:rsidRDefault="00430A6D" w:rsidP="00992076">
      <w:pPr>
        <w:jc w:val="both"/>
        <w:rPr>
          <w:rFonts w:cs="Arial"/>
          <w:color w:val="000000"/>
        </w:rPr>
      </w:pPr>
      <w:r>
        <w:rPr>
          <w:color w:val="000000"/>
        </w:rPr>
        <w:t xml:space="preserve">The </w:t>
      </w:r>
      <w:r>
        <w:rPr>
          <w:i/>
          <w:color w:val="000000"/>
        </w:rPr>
        <w:t xml:space="preserve">EPRA </w:t>
      </w:r>
      <w:r w:rsidR="00182B85">
        <w:rPr>
          <w:i/>
          <w:color w:val="000000"/>
        </w:rPr>
        <w:t>E</w:t>
      </w:r>
      <w:r>
        <w:rPr>
          <w:i/>
          <w:color w:val="000000"/>
        </w:rPr>
        <w:t>arnings</w:t>
      </w:r>
      <w:r w:rsidR="00C609C9">
        <w:rPr>
          <w:color w:val="000000"/>
        </w:rPr>
        <w:t xml:space="preserve"> of WDP for Q1 2017 </w:t>
      </w:r>
      <w:r w:rsidR="00DF6F73">
        <w:rPr>
          <w:color w:val="000000"/>
        </w:rPr>
        <w:t xml:space="preserve">amounts </w:t>
      </w:r>
      <w:r w:rsidR="00C609C9">
        <w:rPr>
          <w:color w:val="000000"/>
        </w:rPr>
        <w:t xml:space="preserve">to </w:t>
      </w:r>
      <w:r w:rsidR="00F44BEF">
        <w:rPr>
          <w:color w:val="000000"/>
        </w:rPr>
        <w:t>25.6</w:t>
      </w:r>
      <w:r>
        <w:rPr>
          <w:color w:val="000000"/>
        </w:rPr>
        <w:t xml:space="preserve"> million</w:t>
      </w:r>
      <w:r w:rsidR="00C609C9">
        <w:rPr>
          <w:color w:val="000000"/>
        </w:rPr>
        <w:t xml:space="preserve"> </w:t>
      </w:r>
      <w:r w:rsidR="00C609C9" w:rsidRPr="00C609C9">
        <w:t>euros</w:t>
      </w:r>
      <w:r>
        <w:rPr>
          <w:color w:val="000000"/>
        </w:rPr>
        <w:t xml:space="preserve">. This result marks an increase of </w:t>
      </w:r>
      <w:r w:rsidR="00F44BEF">
        <w:rPr>
          <w:color w:val="000000"/>
        </w:rPr>
        <w:t>15.2</w:t>
      </w:r>
      <w:r>
        <w:rPr>
          <w:color w:val="000000"/>
        </w:rPr>
        <w:t xml:space="preserve">% compared to the result of 22.2 million </w:t>
      </w:r>
      <w:r w:rsidR="00C609C9" w:rsidRPr="00C609C9">
        <w:t>euros</w:t>
      </w:r>
      <w:r w:rsidR="00C609C9">
        <w:t xml:space="preserve"> </w:t>
      </w:r>
      <w:r>
        <w:rPr>
          <w:color w:val="000000"/>
        </w:rPr>
        <w:t xml:space="preserve">in 2016. The EPRA </w:t>
      </w:r>
      <w:r w:rsidR="00182B85">
        <w:rPr>
          <w:color w:val="000000"/>
        </w:rPr>
        <w:t>E</w:t>
      </w:r>
      <w:r>
        <w:rPr>
          <w:color w:val="000000"/>
        </w:rPr>
        <w:t xml:space="preserve">arnings per share is steady year-on-year, </w:t>
      </w:r>
      <w:r w:rsidR="00D10C2F">
        <w:rPr>
          <w:color w:val="000000"/>
        </w:rPr>
        <w:t xml:space="preserve">including </w:t>
      </w:r>
      <w:r>
        <w:rPr>
          <w:color w:val="000000"/>
        </w:rPr>
        <w:t xml:space="preserve">an increase in the number of outstanding shares by 15%, primarily due to the recent capital increase, which significantly improved the balance sheet. </w:t>
      </w:r>
    </w:p>
    <w:p w14:paraId="7BC9E771" w14:textId="5497255B" w:rsidR="00AC75EB" w:rsidRPr="00473F8D" w:rsidRDefault="00AC75EB" w:rsidP="00992076">
      <w:pPr>
        <w:pStyle w:val="Kop3"/>
        <w:ind w:firstLine="360"/>
      </w:pPr>
      <w:r>
        <w:lastRenderedPageBreak/>
        <w:t xml:space="preserve">Result on the portfolio (including the </w:t>
      </w:r>
      <w:r w:rsidR="00DF6F73">
        <w:t xml:space="preserve">participation </w:t>
      </w:r>
      <w:r>
        <w:t>joint ventures)</w:t>
      </w:r>
    </w:p>
    <w:p w14:paraId="0BC0E02D" w14:textId="17733BA5" w:rsidR="00402980" w:rsidRPr="00473F8D" w:rsidRDefault="00402980" w:rsidP="00992076">
      <w:pPr>
        <w:pStyle w:val="wdp15-txt"/>
        <w:spacing w:line="276" w:lineRule="auto"/>
        <w:rPr>
          <w:rFonts w:ascii="Calibri" w:hAnsi="Calibri" w:cs="Calibri"/>
          <w:color w:val="auto"/>
          <w:sz w:val="22"/>
          <w:szCs w:val="22"/>
        </w:rPr>
      </w:pPr>
      <w:r>
        <w:rPr>
          <w:rFonts w:ascii="Calibri" w:hAnsi="Calibri"/>
          <w:color w:val="auto"/>
          <w:sz w:val="22"/>
        </w:rPr>
        <w:t xml:space="preserve">The </w:t>
      </w:r>
      <w:r>
        <w:rPr>
          <w:rFonts w:ascii="Calibri" w:hAnsi="Calibri"/>
          <w:i/>
          <w:color w:val="auto"/>
          <w:sz w:val="22"/>
        </w:rPr>
        <w:t xml:space="preserve">result on the portfolio (including the </w:t>
      </w:r>
      <w:r w:rsidR="00DF6F73">
        <w:rPr>
          <w:rFonts w:ascii="Calibri" w:hAnsi="Calibri"/>
          <w:i/>
          <w:color w:val="auto"/>
          <w:sz w:val="22"/>
        </w:rPr>
        <w:t xml:space="preserve">participation </w:t>
      </w:r>
      <w:r>
        <w:rPr>
          <w:rFonts w:ascii="Calibri" w:hAnsi="Calibri"/>
          <w:i/>
          <w:color w:val="auto"/>
          <w:sz w:val="22"/>
        </w:rPr>
        <w:t>joint ventures</w:t>
      </w:r>
      <w:r>
        <w:rPr>
          <w:rFonts w:ascii="Calibri" w:hAnsi="Calibri"/>
          <w:color w:val="auto"/>
          <w:sz w:val="22"/>
        </w:rPr>
        <w:t>)</w:t>
      </w:r>
      <w:r>
        <w:rPr>
          <w:rFonts w:ascii="Calibri" w:hAnsi="Calibri"/>
          <w:color w:val="auto"/>
          <w:sz w:val="22"/>
          <w:vertAlign w:val="superscript"/>
        </w:rPr>
        <w:footnoteReference w:id="18"/>
      </w:r>
      <w:r>
        <w:rPr>
          <w:rFonts w:ascii="Calibri" w:hAnsi="Calibri"/>
          <w:color w:val="auto"/>
          <w:sz w:val="22"/>
        </w:rPr>
        <w:t xml:space="preserve"> for the Q1 2017 </w:t>
      </w:r>
      <w:r w:rsidR="00DF6F73">
        <w:rPr>
          <w:rFonts w:ascii="Calibri" w:hAnsi="Calibri"/>
          <w:color w:val="auto"/>
          <w:sz w:val="22"/>
        </w:rPr>
        <w:t xml:space="preserve">amounts </w:t>
      </w:r>
      <w:r>
        <w:rPr>
          <w:rFonts w:ascii="Calibri" w:hAnsi="Calibri"/>
          <w:color w:val="auto"/>
          <w:sz w:val="22"/>
        </w:rPr>
        <w:t xml:space="preserve">to </w:t>
      </w:r>
      <w:r w:rsidR="00F44BEF">
        <w:rPr>
          <w:rFonts w:ascii="Calibri" w:hAnsi="Calibri"/>
          <w:color w:val="auto"/>
          <w:sz w:val="22"/>
        </w:rPr>
        <w:t>+18.5</w:t>
      </w:r>
      <w:r>
        <w:rPr>
          <w:rFonts w:ascii="Calibri" w:hAnsi="Calibri"/>
          <w:color w:val="auto"/>
          <w:sz w:val="22"/>
        </w:rPr>
        <w:t xml:space="preserve"> million</w:t>
      </w:r>
      <w:r w:rsidR="00C609C9">
        <w:rPr>
          <w:rFonts w:ascii="Calibri" w:hAnsi="Calibri"/>
          <w:color w:val="auto"/>
          <w:sz w:val="22"/>
        </w:rPr>
        <w:t xml:space="preserve"> </w:t>
      </w:r>
      <w:r w:rsidR="00C609C9" w:rsidRPr="00C609C9">
        <w:rPr>
          <w:rFonts w:ascii="Calibri" w:hAnsi="Calibri"/>
          <w:color w:val="auto"/>
          <w:sz w:val="22"/>
        </w:rPr>
        <w:t>e</w:t>
      </w:r>
      <w:r w:rsidR="00C609C9">
        <w:rPr>
          <w:rFonts w:ascii="Calibri" w:hAnsi="Calibri"/>
          <w:color w:val="auto"/>
          <w:sz w:val="22"/>
        </w:rPr>
        <w:t>uros</w:t>
      </w:r>
      <w:r>
        <w:rPr>
          <w:rFonts w:ascii="Calibri" w:hAnsi="Calibri"/>
          <w:color w:val="auto"/>
          <w:sz w:val="22"/>
        </w:rPr>
        <w:t xml:space="preserve">, or </w:t>
      </w:r>
      <w:r w:rsidR="00F44BEF">
        <w:rPr>
          <w:rFonts w:ascii="Calibri" w:hAnsi="Calibri"/>
          <w:color w:val="auto"/>
          <w:sz w:val="22"/>
        </w:rPr>
        <w:t>+0.87</w:t>
      </w:r>
      <w:r>
        <w:rPr>
          <w:rFonts w:ascii="Calibri" w:hAnsi="Calibri"/>
          <w:color w:val="auto"/>
          <w:sz w:val="22"/>
        </w:rPr>
        <w:t xml:space="preserve"> </w:t>
      </w:r>
      <w:r w:rsidR="00C609C9" w:rsidRPr="00C609C9">
        <w:rPr>
          <w:rFonts w:ascii="Calibri" w:hAnsi="Calibri"/>
          <w:color w:val="auto"/>
          <w:sz w:val="22"/>
        </w:rPr>
        <w:t>euro</w:t>
      </w:r>
      <w:r w:rsidR="00360D75">
        <w:rPr>
          <w:rFonts w:ascii="Calibri" w:hAnsi="Calibri"/>
          <w:color w:val="auto"/>
          <w:sz w:val="22"/>
        </w:rPr>
        <w:t>s</w:t>
      </w:r>
      <w:r w:rsidR="00C609C9">
        <w:rPr>
          <w:rFonts w:ascii="Calibri" w:hAnsi="Calibri"/>
          <w:color w:val="auto"/>
          <w:sz w:val="22"/>
        </w:rPr>
        <w:t xml:space="preserve"> </w:t>
      </w:r>
      <w:r>
        <w:rPr>
          <w:rFonts w:ascii="Calibri" w:hAnsi="Calibri"/>
          <w:color w:val="auto"/>
          <w:sz w:val="22"/>
        </w:rPr>
        <w:t>per share</w:t>
      </w:r>
      <w:r>
        <w:rPr>
          <w:rFonts w:ascii="Calibri" w:hAnsi="Calibri"/>
          <w:color w:val="auto"/>
          <w:sz w:val="22"/>
          <w:vertAlign w:val="superscript"/>
        </w:rPr>
        <w:footnoteReference w:id="19"/>
      </w:r>
      <w:r>
        <w:rPr>
          <w:rFonts w:ascii="Calibri" w:hAnsi="Calibri"/>
          <w:color w:val="auto"/>
          <w:sz w:val="22"/>
        </w:rPr>
        <w:t>. For the same period last year, this</w:t>
      </w:r>
      <w:r w:rsidR="00C609C9">
        <w:rPr>
          <w:rFonts w:ascii="Calibri" w:hAnsi="Calibri"/>
          <w:color w:val="auto"/>
          <w:sz w:val="22"/>
        </w:rPr>
        <w:t xml:space="preserve"> result amounted to +</w:t>
      </w:r>
      <w:r>
        <w:rPr>
          <w:rFonts w:ascii="Calibri" w:hAnsi="Calibri"/>
          <w:color w:val="auto"/>
          <w:sz w:val="22"/>
        </w:rPr>
        <w:t>5.8 million</w:t>
      </w:r>
      <w:r w:rsidR="00C609C9">
        <w:rPr>
          <w:rFonts w:ascii="Calibri" w:hAnsi="Calibri"/>
          <w:color w:val="auto"/>
          <w:sz w:val="22"/>
        </w:rPr>
        <w:t xml:space="preserve"> </w:t>
      </w:r>
      <w:r w:rsidR="00C609C9" w:rsidRPr="00C609C9">
        <w:rPr>
          <w:rFonts w:ascii="Calibri" w:hAnsi="Calibri"/>
          <w:color w:val="auto"/>
          <w:sz w:val="22"/>
        </w:rPr>
        <w:t>euros</w:t>
      </w:r>
      <w:r w:rsidR="00C609C9">
        <w:rPr>
          <w:rFonts w:ascii="Calibri" w:hAnsi="Calibri"/>
          <w:color w:val="auto"/>
          <w:sz w:val="22"/>
        </w:rPr>
        <w:t>, or +</w:t>
      </w:r>
      <w:r>
        <w:rPr>
          <w:rFonts w:ascii="Calibri" w:hAnsi="Calibri"/>
          <w:color w:val="auto"/>
          <w:sz w:val="22"/>
        </w:rPr>
        <w:t xml:space="preserve">0.31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 xml:space="preserve">per share. This breaks down as follows by country for Q1 2017: Belgium </w:t>
      </w:r>
      <w:r w:rsidRPr="00720A46">
        <w:rPr>
          <w:rFonts w:ascii="Calibri" w:hAnsi="Calibri"/>
          <w:color w:val="auto"/>
          <w:sz w:val="22"/>
        </w:rPr>
        <w:t>(</w:t>
      </w:r>
      <w:r w:rsidR="00360D75" w:rsidRPr="00720A46">
        <w:rPr>
          <w:rFonts w:ascii="Calibri" w:hAnsi="Calibri"/>
          <w:color w:val="auto"/>
          <w:sz w:val="22"/>
        </w:rPr>
        <w:t>+3.3</w:t>
      </w:r>
      <w:r>
        <w:rPr>
          <w:rFonts w:ascii="Calibri" w:hAnsi="Calibri"/>
          <w:color w:val="auto"/>
          <w:sz w:val="22"/>
        </w:rPr>
        <w:t xml:space="preserve"> 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 xml:space="preserve">), the Netherlands </w:t>
      </w:r>
      <w:r w:rsidRPr="00720A46">
        <w:rPr>
          <w:rFonts w:ascii="Calibri" w:hAnsi="Calibri"/>
          <w:color w:val="auto"/>
          <w:sz w:val="22"/>
        </w:rPr>
        <w:t>(</w:t>
      </w:r>
      <w:r w:rsidR="00360D75" w:rsidRPr="00720A46">
        <w:rPr>
          <w:rFonts w:ascii="Calibri" w:hAnsi="Calibri"/>
          <w:color w:val="auto"/>
          <w:sz w:val="22"/>
        </w:rPr>
        <w:t>+14.5</w:t>
      </w:r>
      <w:r>
        <w:rPr>
          <w:rFonts w:ascii="Calibri" w:hAnsi="Calibri"/>
          <w:color w:val="auto"/>
          <w:sz w:val="22"/>
        </w:rPr>
        <w:t xml:space="preserve"> 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 xml:space="preserve">), France </w:t>
      </w:r>
      <w:r w:rsidRPr="00720A46">
        <w:rPr>
          <w:rFonts w:ascii="Calibri" w:hAnsi="Calibri"/>
          <w:color w:val="auto"/>
          <w:sz w:val="22"/>
        </w:rPr>
        <w:t>(</w:t>
      </w:r>
      <w:r w:rsidR="00360D75" w:rsidRPr="00720A46">
        <w:rPr>
          <w:rFonts w:ascii="Calibri" w:hAnsi="Calibri"/>
          <w:color w:val="auto"/>
          <w:sz w:val="22"/>
        </w:rPr>
        <w:t>+0.6</w:t>
      </w:r>
      <w:r>
        <w:rPr>
          <w:rFonts w:ascii="Calibri" w:hAnsi="Calibri"/>
          <w:color w:val="auto"/>
          <w:sz w:val="22"/>
        </w:rPr>
        <w:t xml:space="preserve"> 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 and Romania (</w:t>
      </w:r>
      <w:r w:rsidR="00360D75">
        <w:rPr>
          <w:rFonts w:ascii="Calibri" w:hAnsi="Calibri"/>
          <w:color w:val="auto"/>
          <w:sz w:val="22"/>
        </w:rPr>
        <w:t>+0.0</w:t>
      </w:r>
      <w:r>
        <w:rPr>
          <w:rFonts w:ascii="Calibri" w:hAnsi="Calibri"/>
          <w:color w:val="auto"/>
          <w:sz w:val="22"/>
        </w:rPr>
        <w:t xml:space="preserve"> million</w:t>
      </w:r>
      <w:r w:rsidR="00C609C9">
        <w:rPr>
          <w:rFonts w:ascii="Calibri" w:hAnsi="Calibri"/>
          <w:color w:val="auto"/>
          <w:sz w:val="22"/>
        </w:rPr>
        <w:t xml:space="preserve"> </w:t>
      </w:r>
      <w:r w:rsidR="00C609C9" w:rsidRPr="00C609C9">
        <w:rPr>
          <w:rFonts w:ascii="Calibri" w:hAnsi="Calibri"/>
          <w:color w:val="auto"/>
          <w:sz w:val="22"/>
        </w:rPr>
        <w:t>euros</w:t>
      </w:r>
      <w:r>
        <w:rPr>
          <w:rFonts w:ascii="Calibri" w:hAnsi="Calibri"/>
          <w:color w:val="auto"/>
          <w:sz w:val="22"/>
        </w:rPr>
        <w:t>).</w:t>
      </w:r>
    </w:p>
    <w:p w14:paraId="0164D739" w14:textId="77777777" w:rsidR="00AC75EB" w:rsidRPr="00473F8D" w:rsidRDefault="000C6F39" w:rsidP="00992076">
      <w:pPr>
        <w:pStyle w:val="Kop3"/>
        <w:ind w:firstLine="360"/>
      </w:pPr>
      <w:r>
        <w:t>Change in the fair value of the financial instruments</w:t>
      </w:r>
      <w:r>
        <w:rPr>
          <w:vertAlign w:val="superscript"/>
        </w:rPr>
        <w:footnoteReference w:id="20"/>
      </w:r>
      <w:r>
        <w:rPr>
          <w:vertAlign w:val="superscript"/>
        </w:rPr>
        <w:t xml:space="preserve"> </w:t>
      </w:r>
    </w:p>
    <w:p w14:paraId="14A15404" w14:textId="7AD1F94E" w:rsidR="00402980" w:rsidRPr="00473F8D" w:rsidRDefault="000D169D" w:rsidP="00992076">
      <w:pPr>
        <w:pStyle w:val="wdp15-txt"/>
        <w:spacing w:line="276" w:lineRule="auto"/>
        <w:rPr>
          <w:rFonts w:ascii="Calibri" w:hAnsi="Calibri" w:cs="Calibri"/>
          <w:color w:val="auto"/>
          <w:sz w:val="22"/>
          <w:szCs w:val="22"/>
        </w:rPr>
      </w:pPr>
      <w:r>
        <w:rPr>
          <w:rFonts w:ascii="Calibri" w:hAnsi="Calibri"/>
          <w:color w:val="auto"/>
          <w:sz w:val="22"/>
        </w:rPr>
        <w:t xml:space="preserve">The change in the fair value of financial assets and liabilities amounts to </w:t>
      </w:r>
      <w:r w:rsidR="00360D75">
        <w:rPr>
          <w:rFonts w:ascii="Calibri" w:hAnsi="Calibri"/>
          <w:color w:val="auto"/>
          <w:sz w:val="22"/>
        </w:rPr>
        <w:t>+7.5</w:t>
      </w:r>
      <w:r>
        <w:rPr>
          <w:rFonts w:ascii="Calibri" w:hAnsi="Calibri"/>
          <w:color w:val="auto"/>
          <w:sz w:val="22"/>
        </w:rPr>
        <w:t xml:space="preserve"> million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 xml:space="preserve">or </w:t>
      </w:r>
      <w:r w:rsidR="00360D75">
        <w:rPr>
          <w:rFonts w:ascii="Calibri" w:hAnsi="Calibri"/>
          <w:color w:val="auto"/>
          <w:sz w:val="22"/>
        </w:rPr>
        <w:t>+0.35</w:t>
      </w:r>
      <w:r>
        <w:rPr>
          <w:rFonts w:ascii="Calibri" w:hAnsi="Calibri"/>
          <w:color w:val="auto"/>
          <w:sz w:val="22"/>
        </w:rPr>
        <w:t xml:space="preserve">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per s</w:t>
      </w:r>
      <w:r w:rsidR="00C609C9">
        <w:rPr>
          <w:rFonts w:ascii="Calibri" w:hAnsi="Calibri"/>
          <w:color w:val="auto"/>
          <w:sz w:val="22"/>
        </w:rPr>
        <w:t>hare for Q1 2017 (compared to -</w:t>
      </w:r>
      <w:r>
        <w:rPr>
          <w:rFonts w:ascii="Calibri" w:hAnsi="Calibri"/>
          <w:color w:val="auto"/>
          <w:sz w:val="22"/>
        </w:rPr>
        <w:t xml:space="preserve">15.8 million </w:t>
      </w:r>
      <w:r w:rsidR="00C609C9" w:rsidRPr="00C609C9">
        <w:rPr>
          <w:rFonts w:ascii="Calibri" w:hAnsi="Calibri"/>
          <w:color w:val="auto"/>
          <w:sz w:val="22"/>
        </w:rPr>
        <w:t>euros</w:t>
      </w:r>
      <w:r w:rsidR="00C609C9">
        <w:rPr>
          <w:rFonts w:ascii="Calibri" w:hAnsi="Calibri"/>
          <w:color w:val="auto"/>
          <w:sz w:val="22"/>
        </w:rPr>
        <w:t xml:space="preserve"> or -</w:t>
      </w:r>
      <w:r>
        <w:rPr>
          <w:rFonts w:ascii="Calibri" w:hAnsi="Calibri"/>
          <w:color w:val="auto"/>
          <w:sz w:val="22"/>
        </w:rPr>
        <w:t xml:space="preserve">0.86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 xml:space="preserve">per share in 2016). This </w:t>
      </w:r>
      <w:r w:rsidRPr="00720A46">
        <w:rPr>
          <w:rFonts w:ascii="Calibri" w:hAnsi="Calibri"/>
          <w:color w:val="auto"/>
          <w:sz w:val="22"/>
        </w:rPr>
        <w:t>positive i</w:t>
      </w:r>
      <w:r>
        <w:rPr>
          <w:rFonts w:ascii="Calibri" w:hAnsi="Calibri"/>
          <w:color w:val="auto"/>
          <w:sz w:val="22"/>
        </w:rPr>
        <w:t xml:space="preserve">mpact </w:t>
      </w:r>
      <w:r w:rsidR="00DF6F73">
        <w:rPr>
          <w:rFonts w:ascii="Calibri" w:hAnsi="Calibri"/>
          <w:color w:val="auto"/>
          <w:sz w:val="22"/>
        </w:rPr>
        <w:t>stems from</w:t>
      </w:r>
      <w:r>
        <w:rPr>
          <w:rFonts w:ascii="Calibri" w:hAnsi="Calibri"/>
          <w:color w:val="auto"/>
          <w:sz w:val="22"/>
        </w:rPr>
        <w:t xml:space="preserve"> the change in fair value of the interest rate hedges concluded (mainly Interest Rate Swaps) as at 31 March 2017, as a result of an increase in long-term interest rates during Q1 2017.</w:t>
      </w:r>
    </w:p>
    <w:p w14:paraId="0C20DAAD" w14:textId="77777777" w:rsidR="00402980" w:rsidRPr="00473F8D" w:rsidRDefault="00402980" w:rsidP="00992076">
      <w:pPr>
        <w:pStyle w:val="wdp15-txt"/>
        <w:spacing w:line="276" w:lineRule="auto"/>
        <w:rPr>
          <w:rFonts w:ascii="Calibri" w:hAnsi="Calibri" w:cs="Calibri"/>
          <w:color w:val="auto"/>
          <w:sz w:val="22"/>
          <w:szCs w:val="22"/>
        </w:rPr>
      </w:pPr>
      <w:r>
        <w:rPr>
          <w:rFonts w:ascii="Calibri" w:hAnsi="Calibri"/>
          <w:color w:val="auto"/>
          <w:sz w:val="22"/>
        </w:rPr>
        <w:t>The change in the fair value of these interest rate hedges is recognised in full in the income statement and not in shareholders' equity. Since this effect involves a non-cash and unrealised item, it is excluded from the financial result in the analytical presentation of the results and is shown separately in the income statement.</w:t>
      </w:r>
    </w:p>
    <w:p w14:paraId="6371C6D2" w14:textId="77777777" w:rsidR="008E09AF" w:rsidRPr="00473F8D" w:rsidRDefault="0066498C" w:rsidP="00992076">
      <w:pPr>
        <w:pStyle w:val="Kop3"/>
        <w:ind w:firstLine="360"/>
      </w:pPr>
      <w:r>
        <w:t>Depreciation and write-down on solar panels</w:t>
      </w:r>
    </w:p>
    <w:p w14:paraId="1EE54FAE" w14:textId="581EAE8D" w:rsidR="00402980" w:rsidRPr="00473F8D" w:rsidRDefault="00402980" w:rsidP="00992076">
      <w:pPr>
        <w:pStyle w:val="wdp15-txt"/>
        <w:spacing w:line="276" w:lineRule="auto"/>
        <w:rPr>
          <w:rFonts w:ascii="Calibri" w:hAnsi="Calibri" w:cs="Calibri"/>
          <w:color w:val="auto"/>
          <w:sz w:val="22"/>
          <w:szCs w:val="22"/>
        </w:rPr>
      </w:pPr>
      <w:r>
        <w:rPr>
          <w:rFonts w:ascii="Calibri" w:hAnsi="Calibri"/>
          <w:color w:val="auto"/>
          <w:sz w:val="22"/>
        </w:rPr>
        <w:t xml:space="preserve">The solar panels are </w:t>
      </w:r>
      <w:proofErr w:type="spellStart"/>
      <w:r>
        <w:rPr>
          <w:rFonts w:ascii="Calibri" w:hAnsi="Calibri"/>
          <w:color w:val="auto"/>
          <w:sz w:val="22"/>
        </w:rPr>
        <w:t>valuated</w:t>
      </w:r>
      <w:proofErr w:type="spellEnd"/>
      <w:r>
        <w:rPr>
          <w:rFonts w:ascii="Calibri" w:hAnsi="Calibri"/>
          <w:color w:val="auto"/>
          <w:sz w:val="22"/>
        </w:rPr>
        <w:t xml:space="preserve"> on the balance sheet at fair value based on the revaluation model in accordance with IAS 16 </w:t>
      </w:r>
      <w:r>
        <w:rPr>
          <w:rStyle w:val="Bodyitalic"/>
          <w:rFonts w:ascii="Calibri" w:hAnsi="Calibri"/>
          <w:color w:val="auto"/>
          <w:sz w:val="22"/>
        </w:rPr>
        <w:t>Tangible fixed assets</w:t>
      </w:r>
      <w:r>
        <w:rPr>
          <w:rFonts w:ascii="Calibri" w:hAnsi="Calibri"/>
          <w:color w:val="auto"/>
          <w:sz w:val="22"/>
        </w:rPr>
        <w:t xml:space="preserve">. In compliance with IAS 16, WDP must include a depreciation component in its IFRS accounts according to the residual life of the PV systems. The depreciation is calculated based on the fair value from the previous balance sheet date. This newly calculated net book value is then revaluated at fair value. This revaluation is booked directly in the shareholders' equity if it is still greater than the historical cost-price minus cumulative depreciations. Otherwise, the depreciation is incorporated into the profit and loss accounts. The depreciation component comes </w:t>
      </w:r>
      <w:r w:rsidRPr="00720A46">
        <w:rPr>
          <w:rFonts w:ascii="Calibri" w:hAnsi="Calibri"/>
          <w:color w:val="auto"/>
          <w:sz w:val="22"/>
        </w:rPr>
        <w:t xml:space="preserve">to </w:t>
      </w:r>
      <w:r w:rsidR="00360D75" w:rsidRPr="00720A46">
        <w:rPr>
          <w:rFonts w:ascii="Calibri" w:hAnsi="Calibri"/>
          <w:color w:val="auto"/>
          <w:sz w:val="22"/>
        </w:rPr>
        <w:t>-1.0</w:t>
      </w:r>
      <w:r>
        <w:rPr>
          <w:rFonts w:ascii="Calibri" w:hAnsi="Calibri"/>
          <w:color w:val="auto"/>
          <w:sz w:val="22"/>
        </w:rPr>
        <w:t xml:space="preserve"> million </w:t>
      </w:r>
      <w:r w:rsidR="00C609C9" w:rsidRPr="00C609C9">
        <w:rPr>
          <w:rFonts w:ascii="Calibri" w:hAnsi="Calibri"/>
          <w:color w:val="auto"/>
          <w:sz w:val="22"/>
        </w:rPr>
        <w:t>euros</w:t>
      </w:r>
      <w:r w:rsidR="00C609C9">
        <w:rPr>
          <w:rFonts w:ascii="Calibri" w:hAnsi="Calibri"/>
          <w:color w:val="auto"/>
          <w:sz w:val="22"/>
        </w:rPr>
        <w:t xml:space="preserve"> </w:t>
      </w:r>
      <w:r>
        <w:rPr>
          <w:rFonts w:ascii="Calibri" w:hAnsi="Calibri"/>
          <w:color w:val="auto"/>
          <w:sz w:val="22"/>
        </w:rPr>
        <w:t>for Q1 2017. Because this impact is a non-cash and unrealised item, in the analytic breakdown of the results this is taken from the operating results and shown separately in the income statement.</w:t>
      </w:r>
    </w:p>
    <w:p w14:paraId="5E2E78DC" w14:textId="77777777" w:rsidR="00AC75EB" w:rsidRPr="00473F8D" w:rsidRDefault="00AC75EB" w:rsidP="00992076">
      <w:pPr>
        <w:pStyle w:val="Kop3"/>
        <w:ind w:firstLine="426"/>
      </w:pPr>
      <w:r>
        <w:lastRenderedPageBreak/>
        <w:t>Net result (IFRS)</w:t>
      </w:r>
    </w:p>
    <w:p w14:paraId="37DF8808" w14:textId="7C76A57E" w:rsidR="00AC1F5B" w:rsidRPr="00473F8D" w:rsidRDefault="00430A6D" w:rsidP="00992076">
      <w:pPr>
        <w:pStyle w:val="wdp15-txt"/>
        <w:spacing w:line="276" w:lineRule="auto"/>
        <w:rPr>
          <w:rFonts w:ascii="Calibri" w:hAnsi="Calibri" w:cs="Calibri"/>
          <w:color w:val="auto"/>
          <w:sz w:val="22"/>
          <w:szCs w:val="22"/>
        </w:rPr>
      </w:pPr>
      <w:r>
        <w:rPr>
          <w:rFonts w:ascii="Calibri" w:hAnsi="Calibri"/>
          <w:color w:val="auto"/>
          <w:sz w:val="22"/>
        </w:rPr>
        <w:t xml:space="preserve">The EPRA </w:t>
      </w:r>
      <w:r w:rsidR="00182B85">
        <w:rPr>
          <w:rFonts w:ascii="Calibri" w:hAnsi="Calibri"/>
          <w:color w:val="auto"/>
          <w:sz w:val="22"/>
        </w:rPr>
        <w:t>E</w:t>
      </w:r>
      <w:r>
        <w:rPr>
          <w:rFonts w:ascii="Calibri" w:hAnsi="Calibri"/>
          <w:color w:val="auto"/>
          <w:sz w:val="22"/>
        </w:rPr>
        <w:t xml:space="preserve">arnings along with the result on the portfolio (including the </w:t>
      </w:r>
      <w:r w:rsidR="00DF6F73">
        <w:rPr>
          <w:rFonts w:ascii="Calibri" w:hAnsi="Calibri"/>
          <w:color w:val="auto"/>
          <w:sz w:val="22"/>
        </w:rPr>
        <w:t xml:space="preserve">participation </w:t>
      </w:r>
      <w:r>
        <w:rPr>
          <w:rFonts w:ascii="Calibri" w:hAnsi="Calibri"/>
          <w:color w:val="auto"/>
          <w:sz w:val="22"/>
        </w:rPr>
        <w:t xml:space="preserve">joint ventures), the change in the fair value of financial instruments and the depreciation and write-down for solar panels result in a </w:t>
      </w:r>
      <w:r>
        <w:rPr>
          <w:rFonts w:ascii="Calibri" w:hAnsi="Calibri"/>
          <w:i/>
          <w:color w:val="auto"/>
          <w:sz w:val="22"/>
        </w:rPr>
        <w:t>net result</w:t>
      </w:r>
      <w:r>
        <w:rPr>
          <w:rFonts w:ascii="Calibri" w:hAnsi="Calibri"/>
          <w:color w:val="auto"/>
          <w:sz w:val="22"/>
        </w:rPr>
        <w:t xml:space="preserve"> </w:t>
      </w:r>
      <w:r w:rsidRPr="00720A46">
        <w:rPr>
          <w:rFonts w:ascii="Calibri" w:hAnsi="Calibri"/>
          <w:i/>
          <w:color w:val="auto"/>
          <w:sz w:val="22"/>
        </w:rPr>
        <w:t>(IFRS</w:t>
      </w:r>
      <w:r w:rsidR="00FA27F4" w:rsidRPr="00720A46">
        <w:rPr>
          <w:rFonts w:ascii="Calibri" w:hAnsi="Calibri"/>
          <w:i/>
          <w:color w:val="auto"/>
          <w:sz w:val="22"/>
        </w:rPr>
        <w:t>)</w:t>
      </w:r>
      <w:r w:rsidR="00FA27F4">
        <w:rPr>
          <w:rFonts w:ascii="Calibri" w:hAnsi="Calibri"/>
          <w:color w:val="auto"/>
          <w:sz w:val="22"/>
        </w:rPr>
        <w:t xml:space="preserve"> of </w:t>
      </w:r>
      <w:r w:rsidR="00360D75">
        <w:rPr>
          <w:rFonts w:ascii="Calibri" w:hAnsi="Calibri"/>
          <w:color w:val="auto"/>
          <w:sz w:val="22"/>
        </w:rPr>
        <w:t>50.6</w:t>
      </w:r>
      <w:r>
        <w:rPr>
          <w:rFonts w:ascii="Calibri" w:hAnsi="Calibri"/>
          <w:color w:val="auto"/>
          <w:sz w:val="22"/>
        </w:rPr>
        <w:t xml:space="preserve"> million </w:t>
      </w:r>
      <w:r w:rsidR="00FA27F4" w:rsidRPr="00C609C9">
        <w:rPr>
          <w:rFonts w:ascii="Calibri" w:hAnsi="Calibri"/>
          <w:color w:val="auto"/>
          <w:sz w:val="22"/>
        </w:rPr>
        <w:t>euros</w:t>
      </w:r>
      <w:r w:rsidR="00FA27F4">
        <w:rPr>
          <w:rFonts w:ascii="Calibri" w:hAnsi="Calibri"/>
          <w:color w:val="auto"/>
          <w:sz w:val="22"/>
        </w:rPr>
        <w:t xml:space="preserve"> in Q1 2017 (compared to </w:t>
      </w:r>
      <w:r>
        <w:rPr>
          <w:rFonts w:ascii="Calibri" w:hAnsi="Calibri"/>
          <w:color w:val="auto"/>
          <w:sz w:val="22"/>
        </w:rPr>
        <w:t xml:space="preserve">11.3 million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 xml:space="preserve">in the same period last year). </w:t>
      </w:r>
    </w:p>
    <w:p w14:paraId="15727B44" w14:textId="1F02BD1A" w:rsidR="00AC1F5B" w:rsidRPr="00473F8D" w:rsidRDefault="00AC1F5B" w:rsidP="00992076">
      <w:pPr>
        <w:pStyle w:val="wdp15-txt"/>
        <w:spacing w:line="276" w:lineRule="auto"/>
        <w:rPr>
          <w:rFonts w:ascii="Calibri" w:hAnsi="Calibri" w:cs="Calibri"/>
          <w:color w:val="auto"/>
          <w:sz w:val="22"/>
          <w:szCs w:val="22"/>
        </w:rPr>
      </w:pPr>
      <w:r>
        <w:rPr>
          <w:rFonts w:ascii="Calibri" w:hAnsi="Calibri"/>
          <w:color w:val="auto"/>
          <w:sz w:val="22"/>
        </w:rPr>
        <w:t>The difference be</w:t>
      </w:r>
      <w:r w:rsidR="00FA27F4">
        <w:rPr>
          <w:rFonts w:ascii="Calibri" w:hAnsi="Calibri"/>
          <w:color w:val="auto"/>
          <w:sz w:val="22"/>
        </w:rPr>
        <w:t xml:space="preserve">tween the net result (IFRS) of </w:t>
      </w:r>
      <w:r w:rsidR="00360D75">
        <w:rPr>
          <w:rFonts w:ascii="Calibri" w:hAnsi="Calibri"/>
          <w:color w:val="auto"/>
          <w:sz w:val="22"/>
        </w:rPr>
        <w:t>50.6</w:t>
      </w:r>
      <w:r>
        <w:rPr>
          <w:rFonts w:ascii="Calibri" w:hAnsi="Calibri"/>
          <w:color w:val="auto"/>
          <w:sz w:val="22"/>
        </w:rPr>
        <w:t xml:space="preserve"> million </w:t>
      </w:r>
      <w:r w:rsidR="00FA27F4" w:rsidRPr="00C609C9">
        <w:rPr>
          <w:rFonts w:ascii="Calibri" w:hAnsi="Calibri"/>
          <w:color w:val="auto"/>
          <w:sz w:val="22"/>
        </w:rPr>
        <w:t>euros</w:t>
      </w:r>
      <w:r w:rsidR="00FA27F4">
        <w:rPr>
          <w:rFonts w:ascii="Calibri" w:hAnsi="Calibri"/>
          <w:color w:val="auto"/>
          <w:sz w:val="22"/>
        </w:rPr>
        <w:t xml:space="preserve"> and the EPRA Earnings of </w:t>
      </w:r>
      <w:r w:rsidR="00360D75">
        <w:rPr>
          <w:rFonts w:ascii="Calibri" w:hAnsi="Calibri"/>
          <w:color w:val="auto"/>
          <w:sz w:val="22"/>
        </w:rPr>
        <w:t>25.6</w:t>
      </w:r>
      <w:r>
        <w:rPr>
          <w:rFonts w:ascii="Calibri" w:hAnsi="Calibri"/>
          <w:color w:val="auto"/>
          <w:sz w:val="22"/>
        </w:rPr>
        <w:t xml:space="preserve"> million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is attributable to t</w:t>
      </w:r>
      <w:r w:rsidRPr="00720A46">
        <w:rPr>
          <w:rFonts w:ascii="Calibri" w:hAnsi="Calibri"/>
          <w:color w:val="auto"/>
          <w:sz w:val="22"/>
        </w:rPr>
        <w:t>he positive</w:t>
      </w:r>
      <w:r>
        <w:rPr>
          <w:rFonts w:ascii="Calibri" w:hAnsi="Calibri"/>
          <w:color w:val="auto"/>
          <w:sz w:val="22"/>
        </w:rPr>
        <w:t xml:space="preserve"> change in the fair value of the interest hedging instruments, the positive fluctuation in the value of the portfolio and the depreciation and write-down of the solar panels.</w:t>
      </w:r>
    </w:p>
    <w:p w14:paraId="63EFA9CE" w14:textId="77777777" w:rsidR="00AC75EB" w:rsidRPr="00473F8D" w:rsidRDefault="00AC75EB" w:rsidP="00992076">
      <w:pPr>
        <w:pStyle w:val="Kop2"/>
      </w:pPr>
      <w:r>
        <w:t>3.5. Balance sheet</w:t>
      </w:r>
    </w:p>
    <w:p w14:paraId="7C523653" w14:textId="77777777" w:rsidR="00AC75EB" w:rsidRPr="00473F8D" w:rsidRDefault="00AC75EB" w:rsidP="00992076">
      <w:pPr>
        <w:pStyle w:val="Kop3"/>
        <w:ind w:firstLine="360"/>
      </w:pPr>
      <w:r>
        <w:t>Additional notes to the balance sheet as at 31 March 2017</w:t>
      </w:r>
    </w:p>
    <w:p w14:paraId="78FAFCF8" w14:textId="77777777" w:rsidR="00AC75EB" w:rsidRPr="00473F8D" w:rsidRDefault="00AC75EB" w:rsidP="00992076">
      <w:pPr>
        <w:pStyle w:val="Kop3"/>
        <w:ind w:firstLine="360"/>
      </w:pPr>
      <w:r>
        <w:t>Property portfolio</w:t>
      </w:r>
      <w:r>
        <w:rPr>
          <w:rStyle w:val="Voetnootmarkering"/>
        </w:rPr>
        <w:footnoteReference w:id="21"/>
      </w:r>
      <w:r>
        <w:t xml:space="preserve"> </w:t>
      </w:r>
    </w:p>
    <w:p w14:paraId="4FC7A8CF" w14:textId="790EE0B0" w:rsidR="002845B0" w:rsidRPr="00473F8D" w:rsidRDefault="002845B0" w:rsidP="00992076">
      <w:pPr>
        <w:pStyle w:val="wdp15-txt"/>
        <w:spacing w:line="276" w:lineRule="auto"/>
        <w:rPr>
          <w:rFonts w:ascii="Calibri" w:hAnsi="Calibri" w:cs="Calibri"/>
          <w:color w:val="auto"/>
          <w:sz w:val="22"/>
          <w:szCs w:val="22"/>
        </w:rPr>
      </w:pPr>
      <w:r>
        <w:rPr>
          <w:rFonts w:ascii="Calibri" w:hAnsi="Calibri"/>
          <w:color w:val="auto"/>
          <w:sz w:val="22"/>
        </w:rPr>
        <w:t xml:space="preserve">According to independent property experts </w:t>
      </w:r>
      <w:proofErr w:type="spellStart"/>
      <w:r>
        <w:rPr>
          <w:rFonts w:ascii="Calibri" w:hAnsi="Calibri"/>
          <w:color w:val="auto"/>
          <w:sz w:val="22"/>
        </w:rPr>
        <w:t>Stadim</w:t>
      </w:r>
      <w:proofErr w:type="spellEnd"/>
      <w:r>
        <w:rPr>
          <w:rFonts w:ascii="Calibri" w:hAnsi="Calibri"/>
          <w:color w:val="auto"/>
          <w:sz w:val="22"/>
        </w:rPr>
        <w:t>, Cushman &amp; Wakefield and BNP Paribas Real Estate, the fair value</w:t>
      </w:r>
      <w:r>
        <w:rPr>
          <w:rFonts w:ascii="Calibri" w:hAnsi="Calibri"/>
          <w:color w:val="auto"/>
          <w:sz w:val="22"/>
          <w:vertAlign w:val="superscript"/>
        </w:rPr>
        <w:footnoteReference w:id="22"/>
      </w:r>
      <w:r>
        <w:rPr>
          <w:rFonts w:ascii="Calibri" w:hAnsi="Calibri"/>
          <w:color w:val="auto"/>
          <w:sz w:val="22"/>
        </w:rPr>
        <w:t xml:space="preserve"> of the WDP property portfol</w:t>
      </w:r>
      <w:r w:rsidR="00FA27F4">
        <w:rPr>
          <w:rFonts w:ascii="Calibri" w:hAnsi="Calibri"/>
          <w:color w:val="auto"/>
          <w:sz w:val="22"/>
        </w:rPr>
        <w:t xml:space="preserve">io according to IAS 40 </w:t>
      </w:r>
      <w:r w:rsidR="0096399C">
        <w:rPr>
          <w:rFonts w:ascii="Calibri" w:hAnsi="Calibri"/>
          <w:color w:val="auto"/>
          <w:sz w:val="22"/>
        </w:rPr>
        <w:t xml:space="preserve">amounted </w:t>
      </w:r>
      <w:r w:rsidR="00FA27F4">
        <w:rPr>
          <w:rFonts w:ascii="Calibri" w:hAnsi="Calibri"/>
          <w:color w:val="auto"/>
          <w:sz w:val="22"/>
        </w:rPr>
        <w:t xml:space="preserve">to </w:t>
      </w:r>
      <w:r w:rsidR="00360D75">
        <w:rPr>
          <w:rFonts w:ascii="Calibri" w:hAnsi="Calibri"/>
          <w:color w:val="auto"/>
          <w:sz w:val="22"/>
        </w:rPr>
        <w:t>2,173.7 million</w:t>
      </w:r>
      <w:r>
        <w:rPr>
          <w:rFonts w:ascii="Calibri" w:hAnsi="Calibri"/>
          <w:color w:val="auto"/>
          <w:sz w:val="22"/>
        </w:rPr>
        <w:t xml:space="preserve">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on 31 March 2017, steady with 2</w:t>
      </w:r>
      <w:r w:rsidR="00360D75">
        <w:rPr>
          <w:rFonts w:ascii="Calibri" w:hAnsi="Calibri"/>
          <w:color w:val="auto"/>
          <w:sz w:val="22"/>
        </w:rPr>
        <w:t>,</w:t>
      </w:r>
      <w:r>
        <w:rPr>
          <w:rFonts w:ascii="Calibri" w:hAnsi="Calibri"/>
          <w:color w:val="auto"/>
          <w:sz w:val="22"/>
        </w:rPr>
        <w:t>110</w:t>
      </w:r>
      <w:r w:rsidR="00360D75">
        <w:rPr>
          <w:rFonts w:ascii="Calibri" w:hAnsi="Calibri"/>
          <w:color w:val="auto"/>
          <w:sz w:val="22"/>
        </w:rPr>
        <w:t>.</w:t>
      </w:r>
      <w:r>
        <w:rPr>
          <w:rFonts w:ascii="Calibri" w:hAnsi="Calibri"/>
          <w:color w:val="auto"/>
          <w:sz w:val="22"/>
        </w:rPr>
        <w:t xml:space="preserve">0 </w:t>
      </w:r>
      <w:r w:rsidR="00360D75">
        <w:rPr>
          <w:rFonts w:ascii="Calibri" w:hAnsi="Calibri"/>
          <w:color w:val="auto"/>
          <w:sz w:val="22"/>
        </w:rPr>
        <w:t xml:space="preserve">million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 xml:space="preserve">at the start of the financial year (including </w:t>
      </w:r>
      <w:r>
        <w:rPr>
          <w:rStyle w:val="Bodyitalic"/>
          <w:rFonts w:ascii="Calibri" w:hAnsi="Calibri"/>
          <w:color w:val="auto"/>
          <w:sz w:val="22"/>
        </w:rPr>
        <w:t>Assets held for sale</w:t>
      </w:r>
      <w:r>
        <w:rPr>
          <w:rFonts w:ascii="Calibri" w:hAnsi="Calibri"/>
          <w:color w:val="auto"/>
          <w:sz w:val="22"/>
        </w:rPr>
        <w:t>). Together with the valuation at fair value of the investments in solar panels</w:t>
      </w:r>
      <w:r>
        <w:rPr>
          <w:rFonts w:ascii="Calibri" w:hAnsi="Calibri"/>
          <w:color w:val="auto"/>
          <w:sz w:val="22"/>
          <w:vertAlign w:val="superscript"/>
        </w:rPr>
        <w:footnoteReference w:id="23"/>
      </w:r>
      <w:r>
        <w:rPr>
          <w:rFonts w:ascii="Calibri" w:hAnsi="Calibri"/>
          <w:color w:val="auto"/>
          <w:sz w:val="22"/>
        </w:rPr>
        <w:t>, the</w:t>
      </w:r>
      <w:r w:rsidR="00FA27F4">
        <w:rPr>
          <w:rFonts w:ascii="Calibri" w:hAnsi="Calibri"/>
          <w:color w:val="auto"/>
          <w:sz w:val="22"/>
        </w:rPr>
        <w:t xml:space="preserve"> total portfolio value grew to </w:t>
      </w:r>
      <w:r w:rsidR="00360D75">
        <w:rPr>
          <w:rFonts w:ascii="Calibri" w:hAnsi="Calibri"/>
          <w:color w:val="auto"/>
          <w:sz w:val="22"/>
        </w:rPr>
        <w:t>2,269.7 million</w:t>
      </w:r>
      <w:r>
        <w:rPr>
          <w:rFonts w:ascii="Calibri" w:hAnsi="Calibri"/>
          <w:color w:val="auto"/>
          <w:sz w:val="22"/>
        </w:rPr>
        <w:t xml:space="preserve"> </w:t>
      </w:r>
      <w:r w:rsidR="00FA27F4" w:rsidRPr="00C609C9">
        <w:rPr>
          <w:rFonts w:ascii="Calibri" w:hAnsi="Calibri"/>
          <w:color w:val="auto"/>
          <w:sz w:val="22"/>
        </w:rPr>
        <w:t>euros</w:t>
      </w:r>
      <w:r w:rsidR="00FA27F4">
        <w:rPr>
          <w:rFonts w:ascii="Calibri" w:hAnsi="Calibri"/>
          <w:color w:val="auto"/>
          <w:sz w:val="22"/>
        </w:rPr>
        <w:t xml:space="preserve"> compared to </w:t>
      </w:r>
      <w:r>
        <w:rPr>
          <w:rFonts w:ascii="Calibri" w:hAnsi="Calibri"/>
          <w:color w:val="auto"/>
          <w:sz w:val="22"/>
        </w:rPr>
        <w:t>2</w:t>
      </w:r>
      <w:r w:rsidR="00360D75">
        <w:rPr>
          <w:rFonts w:ascii="Calibri" w:hAnsi="Calibri"/>
          <w:color w:val="auto"/>
          <w:sz w:val="22"/>
        </w:rPr>
        <w:t>,</w:t>
      </w:r>
      <w:r>
        <w:rPr>
          <w:rFonts w:ascii="Calibri" w:hAnsi="Calibri"/>
          <w:color w:val="auto"/>
          <w:sz w:val="22"/>
        </w:rPr>
        <w:t>203</w:t>
      </w:r>
      <w:r w:rsidR="00360D75">
        <w:rPr>
          <w:rFonts w:ascii="Calibri" w:hAnsi="Calibri"/>
          <w:color w:val="auto"/>
          <w:sz w:val="22"/>
        </w:rPr>
        <w:t>.</w:t>
      </w:r>
      <w:r>
        <w:rPr>
          <w:rFonts w:ascii="Calibri" w:hAnsi="Calibri"/>
          <w:color w:val="auto"/>
          <w:sz w:val="22"/>
        </w:rPr>
        <w:t xml:space="preserve">8 </w:t>
      </w:r>
      <w:r w:rsidR="00360D75">
        <w:rPr>
          <w:rFonts w:ascii="Calibri" w:hAnsi="Calibri"/>
          <w:color w:val="auto"/>
          <w:sz w:val="22"/>
        </w:rPr>
        <w:t>m</w:t>
      </w:r>
      <w:r>
        <w:rPr>
          <w:rFonts w:ascii="Calibri" w:hAnsi="Calibri"/>
          <w:color w:val="auto"/>
          <w:sz w:val="22"/>
        </w:rPr>
        <w:t xml:space="preserve">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at 2016 year-end.</w:t>
      </w:r>
    </w:p>
    <w:p w14:paraId="39A3EAA3" w14:textId="2D44F64D" w:rsidR="002845B0" w:rsidRPr="00473F8D" w:rsidRDefault="00FA27F4" w:rsidP="00992076">
      <w:pPr>
        <w:pStyle w:val="wdp15-txt"/>
        <w:spacing w:line="276" w:lineRule="auto"/>
        <w:rPr>
          <w:rFonts w:ascii="Calibri" w:hAnsi="Calibri" w:cs="Calibri"/>
          <w:color w:val="auto"/>
          <w:sz w:val="22"/>
          <w:szCs w:val="22"/>
        </w:rPr>
      </w:pPr>
      <w:r>
        <w:rPr>
          <w:rFonts w:ascii="Calibri" w:hAnsi="Calibri"/>
          <w:color w:val="auto"/>
          <w:sz w:val="22"/>
        </w:rPr>
        <w:t xml:space="preserve">This value of </w:t>
      </w:r>
      <w:r w:rsidR="00360D75">
        <w:rPr>
          <w:rFonts w:ascii="Calibri" w:hAnsi="Calibri"/>
          <w:color w:val="auto"/>
          <w:sz w:val="22"/>
        </w:rPr>
        <w:t>2,</w:t>
      </w:r>
      <w:r w:rsidR="00DB5B1D">
        <w:rPr>
          <w:rFonts w:ascii="Calibri" w:hAnsi="Calibri"/>
          <w:color w:val="auto"/>
          <w:sz w:val="22"/>
        </w:rPr>
        <w:t>2</w:t>
      </w:r>
      <w:r w:rsidR="00360D75">
        <w:rPr>
          <w:rFonts w:ascii="Calibri" w:hAnsi="Calibri"/>
          <w:color w:val="auto"/>
          <w:sz w:val="22"/>
        </w:rPr>
        <w:t>69.7 million</w:t>
      </w:r>
      <w:r w:rsidR="002845B0">
        <w:rPr>
          <w:rFonts w:ascii="Calibri" w:hAnsi="Calibri"/>
          <w:color w:val="auto"/>
          <w:sz w:val="22"/>
        </w:rPr>
        <w:t xml:space="preserve"> </w:t>
      </w:r>
      <w:r w:rsidRPr="00C609C9">
        <w:rPr>
          <w:rFonts w:ascii="Calibri" w:hAnsi="Calibri"/>
          <w:color w:val="auto"/>
          <w:sz w:val="22"/>
        </w:rPr>
        <w:t>euros</w:t>
      </w:r>
      <w:r>
        <w:rPr>
          <w:rFonts w:ascii="Calibri" w:hAnsi="Calibri"/>
          <w:color w:val="auto"/>
          <w:sz w:val="22"/>
        </w:rPr>
        <w:t xml:space="preserve"> </w:t>
      </w:r>
      <w:r w:rsidR="002845B0">
        <w:rPr>
          <w:rFonts w:ascii="Calibri" w:hAnsi="Calibri"/>
          <w:color w:val="auto"/>
          <w:sz w:val="22"/>
        </w:rPr>
        <w:t xml:space="preserve">includes </w:t>
      </w:r>
      <w:r w:rsidR="00360D75">
        <w:rPr>
          <w:rFonts w:ascii="Calibri" w:hAnsi="Calibri"/>
          <w:color w:val="auto"/>
          <w:sz w:val="22"/>
        </w:rPr>
        <w:t>2,037.5 million</w:t>
      </w:r>
      <w:r w:rsidR="002845B0">
        <w:rPr>
          <w:rFonts w:ascii="Calibri" w:hAnsi="Calibri"/>
          <w:color w:val="auto"/>
          <w:sz w:val="22"/>
        </w:rPr>
        <w:t xml:space="preserve"> </w:t>
      </w:r>
      <w:r w:rsidRPr="00C609C9">
        <w:rPr>
          <w:rFonts w:ascii="Calibri" w:hAnsi="Calibri"/>
          <w:color w:val="auto"/>
          <w:sz w:val="22"/>
        </w:rPr>
        <w:t>euros</w:t>
      </w:r>
      <w:r>
        <w:rPr>
          <w:rFonts w:ascii="Calibri" w:hAnsi="Calibri"/>
          <w:color w:val="auto"/>
          <w:sz w:val="22"/>
        </w:rPr>
        <w:t xml:space="preserve"> </w:t>
      </w:r>
      <w:r w:rsidR="002845B0">
        <w:rPr>
          <w:rFonts w:ascii="Calibri" w:hAnsi="Calibri"/>
          <w:color w:val="auto"/>
          <w:sz w:val="22"/>
        </w:rPr>
        <w:t xml:space="preserve">in completed properties (standing </w:t>
      </w:r>
      <w:r w:rsidR="002845B0" w:rsidRPr="00720A46">
        <w:rPr>
          <w:rFonts w:ascii="Calibri" w:hAnsi="Calibri"/>
          <w:color w:val="auto"/>
          <w:sz w:val="22"/>
        </w:rPr>
        <w:t xml:space="preserve">portfolio). The projects under development account for </w:t>
      </w:r>
      <w:r w:rsidR="00360D75" w:rsidRPr="00720A46">
        <w:rPr>
          <w:rFonts w:ascii="Calibri" w:hAnsi="Calibri"/>
          <w:color w:val="auto"/>
          <w:sz w:val="22"/>
        </w:rPr>
        <w:t>83.3</w:t>
      </w:r>
      <w:r w:rsidR="002845B0" w:rsidRPr="00720A46">
        <w:rPr>
          <w:rFonts w:ascii="Calibri" w:hAnsi="Calibri"/>
          <w:color w:val="auto"/>
          <w:sz w:val="22"/>
        </w:rPr>
        <w:t xml:space="preserve"> million</w:t>
      </w:r>
      <w:r w:rsidRPr="00720A46">
        <w:rPr>
          <w:rFonts w:ascii="Calibri" w:hAnsi="Calibri"/>
          <w:color w:val="auto"/>
          <w:sz w:val="22"/>
        </w:rPr>
        <w:t xml:space="preserve"> euros</w:t>
      </w:r>
      <w:r w:rsidR="002845B0" w:rsidRPr="00720A46">
        <w:rPr>
          <w:rFonts w:ascii="Calibri" w:hAnsi="Calibri"/>
          <w:color w:val="auto"/>
          <w:sz w:val="22"/>
        </w:rPr>
        <w:t xml:space="preserve">, including Belgian projects in </w:t>
      </w:r>
      <w:proofErr w:type="spellStart"/>
      <w:r w:rsidR="002845B0" w:rsidRPr="00720A46">
        <w:rPr>
          <w:rFonts w:ascii="Calibri" w:hAnsi="Calibri"/>
          <w:color w:val="auto"/>
          <w:sz w:val="22"/>
        </w:rPr>
        <w:t>Zellik</w:t>
      </w:r>
      <w:proofErr w:type="spellEnd"/>
      <w:r w:rsidR="00360D75" w:rsidRPr="00720A46">
        <w:rPr>
          <w:rFonts w:ascii="Calibri" w:hAnsi="Calibri"/>
          <w:color w:val="auto"/>
          <w:sz w:val="22"/>
        </w:rPr>
        <w:t xml:space="preserve"> and the </w:t>
      </w:r>
      <w:proofErr w:type="spellStart"/>
      <w:r w:rsidR="00360D75" w:rsidRPr="00720A46">
        <w:rPr>
          <w:rFonts w:ascii="Calibri" w:hAnsi="Calibri"/>
          <w:color w:val="auto"/>
          <w:sz w:val="22"/>
        </w:rPr>
        <w:t>WDPort</w:t>
      </w:r>
      <w:proofErr w:type="spellEnd"/>
      <w:r w:rsidR="00360D75" w:rsidRPr="00720A46">
        <w:rPr>
          <w:rFonts w:ascii="Calibri" w:hAnsi="Calibri"/>
          <w:color w:val="auto"/>
          <w:sz w:val="22"/>
        </w:rPr>
        <w:t xml:space="preserve"> of Ghent</w:t>
      </w:r>
      <w:r w:rsidR="002845B0" w:rsidRPr="00720A46">
        <w:rPr>
          <w:rFonts w:ascii="Calibri" w:hAnsi="Calibri"/>
          <w:color w:val="auto"/>
          <w:sz w:val="22"/>
        </w:rPr>
        <w:t xml:space="preserve">, Dutch projects in </w:t>
      </w:r>
      <w:proofErr w:type="spellStart"/>
      <w:r w:rsidR="002845B0" w:rsidRPr="00720A46">
        <w:rPr>
          <w:rFonts w:ascii="Calibri" w:hAnsi="Calibri"/>
          <w:color w:val="auto"/>
          <w:sz w:val="22"/>
        </w:rPr>
        <w:t>Barendrecht</w:t>
      </w:r>
      <w:proofErr w:type="spellEnd"/>
      <w:r w:rsidR="002845B0" w:rsidRPr="00720A46">
        <w:rPr>
          <w:rFonts w:ascii="Calibri" w:hAnsi="Calibri"/>
          <w:color w:val="auto"/>
          <w:sz w:val="22"/>
        </w:rPr>
        <w:t xml:space="preserve">, Heerlen, </w:t>
      </w:r>
      <w:proofErr w:type="spellStart"/>
      <w:r w:rsidR="002845B0" w:rsidRPr="00720A46">
        <w:rPr>
          <w:rFonts w:ascii="Calibri" w:hAnsi="Calibri"/>
          <w:color w:val="auto"/>
          <w:sz w:val="22"/>
        </w:rPr>
        <w:t>Bleiswijk</w:t>
      </w:r>
      <w:proofErr w:type="spellEnd"/>
      <w:r w:rsidR="002845B0" w:rsidRPr="00720A46">
        <w:rPr>
          <w:rFonts w:ascii="Calibri" w:hAnsi="Calibri"/>
          <w:color w:val="auto"/>
          <w:sz w:val="22"/>
        </w:rPr>
        <w:t xml:space="preserve">, </w:t>
      </w:r>
      <w:proofErr w:type="spellStart"/>
      <w:r w:rsidR="002845B0" w:rsidRPr="00720A46">
        <w:rPr>
          <w:rFonts w:ascii="Calibri" w:hAnsi="Calibri"/>
          <w:color w:val="auto"/>
          <w:sz w:val="22"/>
        </w:rPr>
        <w:t>Veghel</w:t>
      </w:r>
      <w:proofErr w:type="spellEnd"/>
      <w:r w:rsidR="002845B0" w:rsidRPr="00720A46">
        <w:rPr>
          <w:rFonts w:ascii="Calibri" w:hAnsi="Calibri"/>
          <w:color w:val="auto"/>
          <w:sz w:val="22"/>
        </w:rPr>
        <w:t xml:space="preserve"> and Venlo, and Romanian projects in Bucharest, Cluj-Napoca, </w:t>
      </w:r>
      <w:proofErr w:type="spellStart"/>
      <w:r w:rsidR="002845B0" w:rsidRPr="00720A46">
        <w:rPr>
          <w:rFonts w:ascii="Calibri" w:hAnsi="Calibri"/>
          <w:color w:val="auto"/>
          <w:sz w:val="22"/>
        </w:rPr>
        <w:t>Oarja</w:t>
      </w:r>
      <w:proofErr w:type="spellEnd"/>
      <w:r w:rsidR="00663D6C" w:rsidRPr="00720A46">
        <w:rPr>
          <w:rFonts w:ascii="Calibri" w:hAnsi="Calibri"/>
          <w:color w:val="auto"/>
          <w:sz w:val="22"/>
        </w:rPr>
        <w:t xml:space="preserve">, </w:t>
      </w:r>
      <w:proofErr w:type="spellStart"/>
      <w:r w:rsidR="00663D6C" w:rsidRPr="00720A46">
        <w:rPr>
          <w:rFonts w:ascii="Calibri" w:hAnsi="Calibri"/>
          <w:color w:val="auto"/>
          <w:sz w:val="22"/>
        </w:rPr>
        <w:t>Aricestii</w:t>
      </w:r>
      <w:proofErr w:type="spellEnd"/>
      <w:r w:rsidR="00663D6C" w:rsidRPr="00720A46">
        <w:rPr>
          <w:rFonts w:ascii="Calibri" w:hAnsi="Calibri"/>
          <w:color w:val="auto"/>
          <w:sz w:val="22"/>
        </w:rPr>
        <w:t xml:space="preserve"> </w:t>
      </w:r>
      <w:proofErr w:type="spellStart"/>
      <w:r w:rsidR="00663D6C" w:rsidRPr="00720A46">
        <w:rPr>
          <w:rFonts w:ascii="Calibri" w:hAnsi="Calibri"/>
          <w:color w:val="auto"/>
          <w:sz w:val="22"/>
        </w:rPr>
        <w:t>Rahtivani</w:t>
      </w:r>
      <w:proofErr w:type="spellEnd"/>
      <w:r w:rsidR="00663D6C" w:rsidRPr="00720A46">
        <w:rPr>
          <w:rFonts w:ascii="Calibri" w:hAnsi="Calibri"/>
          <w:color w:val="auto"/>
          <w:sz w:val="22"/>
        </w:rPr>
        <w:t xml:space="preserve"> (Ploiesti), Roman</w:t>
      </w:r>
      <w:r w:rsidR="002845B0" w:rsidRPr="00720A46">
        <w:rPr>
          <w:rFonts w:ascii="Calibri" w:hAnsi="Calibri"/>
          <w:color w:val="auto"/>
          <w:sz w:val="22"/>
        </w:rPr>
        <w:t xml:space="preserve"> and Timisoara.</w:t>
      </w:r>
      <w:r w:rsidR="002845B0">
        <w:rPr>
          <w:rFonts w:ascii="Calibri" w:hAnsi="Calibri"/>
          <w:color w:val="auto"/>
          <w:sz w:val="22"/>
        </w:rPr>
        <w:t xml:space="preserve"> In addition, there are the land reserves in Sint-Niklaas, </w:t>
      </w:r>
      <w:proofErr w:type="spellStart"/>
      <w:r w:rsidR="002845B0">
        <w:rPr>
          <w:rFonts w:ascii="Calibri" w:hAnsi="Calibri"/>
          <w:color w:val="auto"/>
          <w:sz w:val="22"/>
        </w:rPr>
        <w:t>Courcelles</w:t>
      </w:r>
      <w:proofErr w:type="spellEnd"/>
      <w:r w:rsidR="002845B0">
        <w:rPr>
          <w:rFonts w:ascii="Calibri" w:hAnsi="Calibri"/>
          <w:color w:val="auto"/>
          <w:sz w:val="22"/>
        </w:rPr>
        <w:t xml:space="preserve">, </w:t>
      </w:r>
      <w:proofErr w:type="spellStart"/>
      <w:r w:rsidR="002845B0">
        <w:rPr>
          <w:rFonts w:ascii="Calibri" w:hAnsi="Calibri"/>
          <w:color w:val="auto"/>
          <w:sz w:val="22"/>
        </w:rPr>
        <w:t>Heppignies</w:t>
      </w:r>
      <w:proofErr w:type="spellEnd"/>
      <w:r w:rsidR="002845B0">
        <w:rPr>
          <w:rFonts w:ascii="Calibri" w:hAnsi="Calibri"/>
          <w:color w:val="auto"/>
          <w:sz w:val="22"/>
        </w:rPr>
        <w:t xml:space="preserve">, </w:t>
      </w:r>
      <w:proofErr w:type="spellStart"/>
      <w:r w:rsidR="002845B0">
        <w:rPr>
          <w:rFonts w:ascii="Calibri" w:hAnsi="Calibri"/>
          <w:color w:val="auto"/>
          <w:sz w:val="22"/>
        </w:rPr>
        <w:t>Tiel</w:t>
      </w:r>
      <w:proofErr w:type="spellEnd"/>
      <w:r w:rsidR="002845B0">
        <w:rPr>
          <w:rFonts w:ascii="Calibri" w:hAnsi="Calibri"/>
          <w:color w:val="auto"/>
          <w:sz w:val="22"/>
        </w:rPr>
        <w:t xml:space="preserve"> and the land bank i</w:t>
      </w:r>
      <w:r>
        <w:rPr>
          <w:rFonts w:ascii="Calibri" w:hAnsi="Calibri"/>
          <w:color w:val="auto"/>
          <w:sz w:val="22"/>
        </w:rPr>
        <w:t xml:space="preserve">n Romania with a fair value of </w:t>
      </w:r>
      <w:r w:rsidR="002845B0" w:rsidRPr="00720A46">
        <w:rPr>
          <w:rFonts w:ascii="Calibri" w:hAnsi="Calibri"/>
          <w:color w:val="auto"/>
          <w:sz w:val="22"/>
        </w:rPr>
        <w:t>52.9</w:t>
      </w:r>
      <w:r w:rsidR="002845B0">
        <w:rPr>
          <w:rFonts w:ascii="Calibri" w:hAnsi="Calibri"/>
          <w:color w:val="auto"/>
          <w:sz w:val="22"/>
        </w:rPr>
        <w:t xml:space="preserve"> million</w:t>
      </w:r>
      <w:r>
        <w:rPr>
          <w:rFonts w:ascii="Calibri" w:hAnsi="Calibri"/>
          <w:color w:val="auto"/>
          <w:sz w:val="22"/>
        </w:rPr>
        <w:t xml:space="preserve"> </w:t>
      </w:r>
      <w:r w:rsidRPr="00C609C9">
        <w:rPr>
          <w:rFonts w:ascii="Calibri" w:hAnsi="Calibri"/>
          <w:color w:val="auto"/>
          <w:sz w:val="22"/>
        </w:rPr>
        <w:t>euros</w:t>
      </w:r>
      <w:r w:rsidR="002845B0">
        <w:rPr>
          <w:rFonts w:ascii="Calibri" w:hAnsi="Calibri"/>
          <w:color w:val="auto"/>
          <w:sz w:val="22"/>
        </w:rPr>
        <w:t xml:space="preserve">. </w:t>
      </w:r>
    </w:p>
    <w:p w14:paraId="606D3618" w14:textId="1B8974F5" w:rsidR="002845B0" w:rsidRPr="00473F8D" w:rsidRDefault="002845B0" w:rsidP="00992076">
      <w:pPr>
        <w:pStyle w:val="wdp15-txt"/>
        <w:spacing w:line="276" w:lineRule="auto"/>
        <w:rPr>
          <w:rFonts w:ascii="Calibri" w:hAnsi="Calibri" w:cs="Calibri"/>
          <w:color w:val="auto"/>
          <w:sz w:val="22"/>
          <w:szCs w:val="22"/>
        </w:rPr>
      </w:pPr>
      <w:r>
        <w:rPr>
          <w:rFonts w:ascii="Calibri" w:hAnsi="Calibri"/>
          <w:color w:val="auto"/>
          <w:sz w:val="22"/>
        </w:rPr>
        <w:t>As at 31 March 2017, the implemented investments in solar panels we</w:t>
      </w:r>
      <w:r w:rsidR="00FA27F4">
        <w:rPr>
          <w:rFonts w:ascii="Calibri" w:hAnsi="Calibri"/>
          <w:color w:val="auto"/>
          <w:sz w:val="22"/>
        </w:rPr>
        <w:t xml:space="preserve">re valuated at a fair value of </w:t>
      </w:r>
      <w:r w:rsidR="00663D6C">
        <w:rPr>
          <w:rFonts w:ascii="Calibri" w:hAnsi="Calibri"/>
          <w:color w:val="auto"/>
          <w:sz w:val="22"/>
        </w:rPr>
        <w:t>96.0</w:t>
      </w:r>
      <w:r>
        <w:rPr>
          <w:rFonts w:ascii="Calibri" w:hAnsi="Calibri"/>
          <w:color w:val="auto"/>
          <w:sz w:val="22"/>
        </w:rPr>
        <w:t xml:space="preserve"> million</w:t>
      </w:r>
      <w:r w:rsidR="00FA27F4">
        <w:rPr>
          <w:rFonts w:ascii="Calibri" w:hAnsi="Calibri"/>
          <w:color w:val="auto"/>
          <w:sz w:val="22"/>
        </w:rPr>
        <w:t xml:space="preserve"> </w:t>
      </w:r>
      <w:r w:rsidR="00FA27F4" w:rsidRPr="00C609C9">
        <w:rPr>
          <w:rFonts w:ascii="Calibri" w:hAnsi="Calibri"/>
          <w:color w:val="auto"/>
          <w:sz w:val="22"/>
        </w:rPr>
        <w:t>euros</w:t>
      </w:r>
      <w:r>
        <w:rPr>
          <w:rFonts w:ascii="Calibri" w:hAnsi="Calibri"/>
          <w:color w:val="auto"/>
          <w:sz w:val="22"/>
        </w:rPr>
        <w:t>.</w:t>
      </w:r>
    </w:p>
    <w:p w14:paraId="58C1307A" w14:textId="38D5C338" w:rsidR="002845B0" w:rsidRPr="00473F8D" w:rsidRDefault="002845B0" w:rsidP="00992076">
      <w:pPr>
        <w:pStyle w:val="wdp15-txt"/>
        <w:spacing w:line="276" w:lineRule="auto"/>
        <w:rPr>
          <w:rFonts w:ascii="Calibri" w:hAnsi="Calibri" w:cs="Calibri"/>
          <w:color w:val="auto"/>
          <w:sz w:val="22"/>
          <w:szCs w:val="22"/>
        </w:rPr>
      </w:pPr>
      <w:r>
        <w:rPr>
          <w:rFonts w:ascii="Calibri" w:hAnsi="Calibri"/>
          <w:color w:val="auto"/>
          <w:sz w:val="22"/>
        </w:rPr>
        <w:t xml:space="preserve">The overall portfolio is currently valuated at a gross rental yield of </w:t>
      </w:r>
      <w:r w:rsidR="00663D6C">
        <w:rPr>
          <w:rFonts w:ascii="Calibri" w:hAnsi="Calibri"/>
          <w:color w:val="auto"/>
          <w:sz w:val="22"/>
        </w:rPr>
        <w:t>7.4</w:t>
      </w:r>
      <w:r>
        <w:rPr>
          <w:rFonts w:ascii="Calibri" w:hAnsi="Calibri"/>
          <w:color w:val="auto"/>
          <w:sz w:val="22"/>
        </w:rPr>
        <w:t>%</w:t>
      </w:r>
      <w:r>
        <w:rPr>
          <w:rFonts w:ascii="Calibri" w:hAnsi="Calibri"/>
          <w:color w:val="auto"/>
          <w:sz w:val="22"/>
          <w:vertAlign w:val="superscript"/>
        </w:rPr>
        <w:footnoteReference w:id="24"/>
      </w:r>
      <w:r>
        <w:rPr>
          <w:rFonts w:ascii="Calibri" w:hAnsi="Calibri"/>
          <w:color w:val="auto"/>
          <w:sz w:val="22"/>
        </w:rPr>
        <w:t xml:space="preserve">. The gross rental yield after </w:t>
      </w:r>
      <w:r>
        <w:rPr>
          <w:rFonts w:ascii="Calibri" w:hAnsi="Calibri"/>
          <w:color w:val="auto"/>
          <w:sz w:val="22"/>
        </w:rPr>
        <w:lastRenderedPageBreak/>
        <w:t xml:space="preserve">addition of the estimated market rental value for the unleased </w:t>
      </w:r>
      <w:r w:rsidR="00B47375">
        <w:rPr>
          <w:rFonts w:ascii="Calibri" w:hAnsi="Calibri"/>
          <w:color w:val="auto"/>
          <w:sz w:val="22"/>
        </w:rPr>
        <w:t xml:space="preserve">spaces </w:t>
      </w:r>
      <w:r>
        <w:rPr>
          <w:rFonts w:ascii="Calibri" w:hAnsi="Calibri"/>
          <w:color w:val="auto"/>
          <w:sz w:val="22"/>
        </w:rPr>
        <w:t>is 7.</w:t>
      </w:r>
      <w:r w:rsidR="00663D6C">
        <w:rPr>
          <w:rFonts w:ascii="Calibri" w:hAnsi="Calibri"/>
          <w:color w:val="auto"/>
          <w:sz w:val="22"/>
        </w:rPr>
        <w:t>6</w:t>
      </w:r>
      <w:r>
        <w:rPr>
          <w:rFonts w:ascii="Calibri" w:hAnsi="Calibri"/>
          <w:color w:val="auto"/>
          <w:sz w:val="22"/>
        </w:rPr>
        <w:t>%.</w:t>
      </w:r>
    </w:p>
    <w:p w14:paraId="066D9888" w14:textId="1D94AEDC" w:rsidR="006747AF" w:rsidRPr="00473F8D" w:rsidRDefault="00E71C0D" w:rsidP="00992076">
      <w:pPr>
        <w:pStyle w:val="wdp15-txt"/>
        <w:spacing w:line="276" w:lineRule="auto"/>
        <w:rPr>
          <w:rFonts w:ascii="Calibri" w:hAnsi="Calibri" w:cs="Calibri"/>
          <w:color w:val="auto"/>
          <w:sz w:val="22"/>
          <w:szCs w:val="22"/>
        </w:rPr>
      </w:pPr>
      <w:r w:rsidRPr="00E71C0D">
        <w:rPr>
          <w:noProof/>
          <w:lang w:val="en-US" w:eastAsia="en-US" w:bidi="ar-SA"/>
        </w:rPr>
        <w:drawing>
          <wp:anchor distT="0" distB="0" distL="114300" distR="114300" simplePos="0" relativeHeight="251669504" behindDoc="1" locked="0" layoutInCell="1" allowOverlap="1" wp14:anchorId="588F461B" wp14:editId="7AF45EAA">
            <wp:simplePos x="899160" y="1752600"/>
            <wp:positionH relativeFrom="page">
              <wp:align>center</wp:align>
            </wp:positionH>
            <wp:positionV relativeFrom="paragraph">
              <wp:posOffset>144145</wp:posOffset>
            </wp:positionV>
            <wp:extent cx="5760000" cy="3823200"/>
            <wp:effectExtent l="0" t="0" r="0" b="6350"/>
            <wp:wrapTight wrapText="bothSides">
              <wp:wrapPolygon edited="0">
                <wp:start x="0" y="0"/>
                <wp:lineTo x="0" y="21528"/>
                <wp:lineTo x="21505" y="21528"/>
                <wp:lineTo x="21505" y="2476"/>
                <wp:lineTo x="21219" y="2260"/>
                <wp:lineTo x="19290" y="1722"/>
                <wp:lineTo x="21290" y="1722"/>
                <wp:lineTo x="21505" y="1507"/>
                <wp:lineTo x="2150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82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CBCC6" w14:textId="77777777" w:rsidR="00AC75EB" w:rsidRPr="00473F8D" w:rsidRDefault="00A561FF" w:rsidP="00992076">
      <w:pPr>
        <w:pStyle w:val="Kop3"/>
        <w:ind w:firstLine="360"/>
      </w:pPr>
      <w:r>
        <w:t>NAV per share</w:t>
      </w:r>
    </w:p>
    <w:p w14:paraId="0CA2BFA4" w14:textId="754A2863" w:rsidR="00AC75EB" w:rsidRPr="00473F8D" w:rsidRDefault="00AC75EB" w:rsidP="00992076">
      <w:pPr>
        <w:jc w:val="both"/>
        <w:rPr>
          <w:rFonts w:cs="Arial"/>
          <w:color w:val="000000"/>
        </w:rPr>
      </w:pPr>
      <w:r>
        <w:rPr>
          <w:color w:val="000000"/>
        </w:rPr>
        <w:t xml:space="preserve">The </w:t>
      </w:r>
      <w:r>
        <w:rPr>
          <w:i/>
          <w:color w:val="000000"/>
        </w:rPr>
        <w:t>EPRA NAV per share</w:t>
      </w:r>
      <w:r w:rsidR="00FA27F4">
        <w:rPr>
          <w:color w:val="000000"/>
        </w:rPr>
        <w:t xml:space="preserve"> amounted to </w:t>
      </w:r>
      <w:r w:rsidR="00663D6C">
        <w:rPr>
          <w:color w:val="000000"/>
        </w:rPr>
        <w:t>53.3</w:t>
      </w:r>
      <w:r>
        <w:rPr>
          <w:color w:val="000000"/>
        </w:rPr>
        <w:t xml:space="preserve"> </w:t>
      </w:r>
      <w:r w:rsidR="00FA27F4" w:rsidRPr="00C609C9">
        <w:t>euros</w:t>
      </w:r>
      <w:r w:rsidR="00FA27F4">
        <w:t xml:space="preserve"> </w:t>
      </w:r>
      <w:r>
        <w:rPr>
          <w:color w:val="000000"/>
        </w:rPr>
        <w:t>on 31 March 2</w:t>
      </w:r>
      <w:r w:rsidR="00FA27F4">
        <w:rPr>
          <w:color w:val="000000"/>
        </w:rPr>
        <w:t xml:space="preserve">017. This marks an increase of </w:t>
      </w:r>
      <w:r w:rsidR="00663D6C">
        <w:rPr>
          <w:color w:val="000000"/>
        </w:rPr>
        <w:t>2.1</w:t>
      </w:r>
      <w:r>
        <w:rPr>
          <w:color w:val="000000"/>
        </w:rPr>
        <w:t xml:space="preserve"> </w:t>
      </w:r>
      <w:r w:rsidR="00FA27F4" w:rsidRPr="00C609C9">
        <w:t>euros</w:t>
      </w:r>
      <w:r w:rsidR="00FA27F4">
        <w:t xml:space="preserve"> </w:t>
      </w:r>
      <w:r>
        <w:rPr>
          <w:color w:val="000000"/>
        </w:rPr>
        <w:t xml:space="preserve">compared to the EPRA NAV per share of 51.2 </w:t>
      </w:r>
      <w:r w:rsidR="00FA27F4" w:rsidRPr="00C609C9">
        <w:t>euros</w:t>
      </w:r>
      <w:r w:rsidR="00FA27F4">
        <w:t xml:space="preserve"> </w:t>
      </w:r>
      <w:r>
        <w:rPr>
          <w:color w:val="000000"/>
        </w:rPr>
        <w:t xml:space="preserve">on 31 December 2016. The </w:t>
      </w:r>
      <w:r>
        <w:rPr>
          <w:i/>
          <w:color w:val="000000"/>
        </w:rPr>
        <w:t>IFRS NAV per share</w:t>
      </w:r>
      <w:r>
        <w:rPr>
          <w:rStyle w:val="Voetnootmarkering"/>
          <w:i/>
          <w:color w:val="000000"/>
        </w:rPr>
        <w:footnoteReference w:id="25"/>
      </w:r>
      <w:r>
        <w:rPr>
          <w:color w:val="000000"/>
        </w:rPr>
        <w:t xml:space="preserve"> </w:t>
      </w:r>
      <w:r w:rsidR="0096399C">
        <w:rPr>
          <w:color w:val="000000"/>
        </w:rPr>
        <w:t xml:space="preserve">amounted </w:t>
      </w:r>
      <w:r>
        <w:rPr>
          <w:color w:val="000000"/>
        </w:rPr>
        <w:t xml:space="preserve">to </w:t>
      </w:r>
      <w:r w:rsidR="00663D6C">
        <w:rPr>
          <w:color w:val="000000"/>
        </w:rPr>
        <w:t>50.8</w:t>
      </w:r>
      <w:r>
        <w:rPr>
          <w:color w:val="000000"/>
        </w:rPr>
        <w:t xml:space="preserve"> </w:t>
      </w:r>
      <w:r w:rsidR="00FA27F4" w:rsidRPr="00C609C9">
        <w:t>euros</w:t>
      </w:r>
      <w:r w:rsidR="00FA27F4">
        <w:t xml:space="preserve"> </w:t>
      </w:r>
      <w:r>
        <w:rPr>
          <w:color w:val="000000"/>
        </w:rPr>
        <w:t xml:space="preserve">on 31 March 2017, steady with 48.4 </w:t>
      </w:r>
      <w:r w:rsidR="00FA27F4" w:rsidRPr="00C609C9">
        <w:t>euros</w:t>
      </w:r>
      <w:r w:rsidR="00FA27F4">
        <w:t xml:space="preserve"> </w:t>
      </w:r>
      <w:r>
        <w:rPr>
          <w:color w:val="000000"/>
        </w:rPr>
        <w:t>on 31 December 2016.</w:t>
      </w:r>
    </w:p>
    <w:p w14:paraId="5A9EA389" w14:textId="77777777" w:rsidR="00AC75EB" w:rsidRPr="00473F8D" w:rsidRDefault="00AC75EB" w:rsidP="00992076">
      <w:pPr>
        <w:pStyle w:val="Kop2"/>
      </w:pPr>
      <w:r>
        <w:t>3.6. Financial position</w:t>
      </w:r>
    </w:p>
    <w:p w14:paraId="12F49803" w14:textId="3AC12D7B" w:rsidR="002845B0" w:rsidRPr="00473F8D" w:rsidRDefault="002845B0" w:rsidP="00992076">
      <w:pPr>
        <w:pStyle w:val="wdp15-txt"/>
        <w:spacing w:line="276" w:lineRule="auto"/>
        <w:rPr>
          <w:rFonts w:ascii="Calibri" w:hAnsi="Calibri" w:cs="Calibri"/>
          <w:color w:val="auto"/>
          <w:sz w:val="22"/>
          <w:szCs w:val="22"/>
        </w:rPr>
      </w:pPr>
      <w:r>
        <w:rPr>
          <w:rFonts w:ascii="Calibri" w:hAnsi="Calibri"/>
          <w:color w:val="auto"/>
          <w:sz w:val="22"/>
        </w:rPr>
        <w:t>The total (current and non-current) financi</w:t>
      </w:r>
      <w:r w:rsidR="00FA27F4">
        <w:rPr>
          <w:rFonts w:ascii="Calibri" w:hAnsi="Calibri"/>
          <w:color w:val="auto"/>
          <w:sz w:val="22"/>
        </w:rPr>
        <w:t xml:space="preserve">al debts increased slightly to </w:t>
      </w:r>
      <w:r w:rsidR="00663D6C">
        <w:rPr>
          <w:rFonts w:ascii="Calibri" w:hAnsi="Calibri"/>
          <w:color w:val="auto"/>
          <w:sz w:val="22"/>
        </w:rPr>
        <w:t>1,070.7</w:t>
      </w:r>
      <w:r>
        <w:rPr>
          <w:rFonts w:ascii="Calibri" w:hAnsi="Calibri"/>
          <w:color w:val="auto"/>
          <w:sz w:val="22"/>
        </w:rPr>
        <w:t xml:space="preserve"> </w:t>
      </w:r>
      <w:r w:rsidR="00663D6C">
        <w:rPr>
          <w:rFonts w:ascii="Calibri" w:hAnsi="Calibri"/>
          <w:color w:val="auto"/>
          <w:sz w:val="22"/>
        </w:rPr>
        <w:t>m</w:t>
      </w:r>
      <w:r>
        <w:rPr>
          <w:rFonts w:ascii="Calibri" w:hAnsi="Calibri"/>
          <w:color w:val="auto"/>
          <w:sz w:val="22"/>
        </w:rPr>
        <w:t xml:space="preserve">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on 31 March 2017, compared to 1</w:t>
      </w:r>
      <w:r w:rsidR="00663D6C">
        <w:rPr>
          <w:rFonts w:ascii="Calibri" w:hAnsi="Calibri"/>
          <w:color w:val="auto"/>
          <w:sz w:val="22"/>
        </w:rPr>
        <w:t>,</w:t>
      </w:r>
      <w:r>
        <w:rPr>
          <w:rFonts w:ascii="Calibri" w:hAnsi="Calibri"/>
          <w:color w:val="auto"/>
          <w:sz w:val="22"/>
        </w:rPr>
        <w:t>045</w:t>
      </w:r>
      <w:r w:rsidR="00663D6C">
        <w:rPr>
          <w:rFonts w:ascii="Calibri" w:hAnsi="Calibri"/>
          <w:color w:val="auto"/>
          <w:sz w:val="22"/>
        </w:rPr>
        <w:t>.</w:t>
      </w:r>
      <w:r>
        <w:rPr>
          <w:rFonts w:ascii="Calibri" w:hAnsi="Calibri"/>
          <w:color w:val="auto"/>
          <w:sz w:val="22"/>
        </w:rPr>
        <w:t xml:space="preserve">9 </w:t>
      </w:r>
      <w:r w:rsidR="00663D6C">
        <w:rPr>
          <w:rFonts w:ascii="Calibri" w:hAnsi="Calibri"/>
          <w:color w:val="auto"/>
          <w:sz w:val="22"/>
        </w:rPr>
        <w:t>m</w:t>
      </w:r>
      <w:r>
        <w:rPr>
          <w:rFonts w:ascii="Calibri" w:hAnsi="Calibri"/>
          <w:color w:val="auto"/>
          <w:sz w:val="22"/>
        </w:rPr>
        <w:t xml:space="preserve">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in late December 2016. At the same time, the</w:t>
      </w:r>
      <w:r w:rsidR="00FA27F4">
        <w:rPr>
          <w:rFonts w:ascii="Calibri" w:hAnsi="Calibri"/>
          <w:color w:val="auto"/>
          <w:sz w:val="22"/>
        </w:rPr>
        <w:t xml:space="preserve"> balance sheet total rose from </w:t>
      </w:r>
      <w:r w:rsidR="00663D6C">
        <w:rPr>
          <w:rFonts w:ascii="Calibri" w:hAnsi="Calibri"/>
          <w:color w:val="auto"/>
          <w:sz w:val="22"/>
        </w:rPr>
        <w:t>2,182.6 million</w:t>
      </w:r>
      <w:r>
        <w:rPr>
          <w:rFonts w:ascii="Calibri" w:hAnsi="Calibri"/>
          <w:color w:val="auto"/>
          <w:sz w:val="22"/>
        </w:rPr>
        <w:t xml:space="preserve">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 xml:space="preserve">as at 31 December 2016 to </w:t>
      </w:r>
      <w:r w:rsidR="00663D6C">
        <w:rPr>
          <w:rFonts w:ascii="Calibri" w:hAnsi="Calibri"/>
          <w:color w:val="auto"/>
          <w:sz w:val="22"/>
        </w:rPr>
        <w:t>2,268.0 m</w:t>
      </w:r>
      <w:r>
        <w:rPr>
          <w:rFonts w:ascii="Calibri" w:hAnsi="Calibri"/>
          <w:color w:val="auto"/>
          <w:sz w:val="22"/>
        </w:rPr>
        <w:t xml:space="preserve">illion </w:t>
      </w:r>
      <w:r w:rsidR="00FA27F4" w:rsidRPr="00C609C9">
        <w:rPr>
          <w:rFonts w:ascii="Calibri" w:hAnsi="Calibri"/>
          <w:color w:val="auto"/>
          <w:sz w:val="22"/>
        </w:rPr>
        <w:t>euros</w:t>
      </w:r>
      <w:r w:rsidR="00FA27F4">
        <w:rPr>
          <w:rFonts w:ascii="Calibri" w:hAnsi="Calibri"/>
          <w:color w:val="auto"/>
          <w:sz w:val="22"/>
        </w:rPr>
        <w:t xml:space="preserve"> </w:t>
      </w:r>
      <w:r>
        <w:rPr>
          <w:rFonts w:ascii="Calibri" w:hAnsi="Calibri"/>
          <w:color w:val="auto"/>
          <w:sz w:val="22"/>
        </w:rPr>
        <w:t xml:space="preserve">by late March 2017. </w:t>
      </w:r>
      <w:r w:rsidR="00663D6C">
        <w:rPr>
          <w:rFonts w:ascii="Calibri" w:hAnsi="Calibri"/>
          <w:color w:val="auto"/>
          <w:sz w:val="22"/>
        </w:rPr>
        <w:t xml:space="preserve">This gearing ratio (IFRS) </w:t>
      </w:r>
      <w:r w:rsidR="00D10C2F">
        <w:rPr>
          <w:rFonts w:ascii="Calibri" w:hAnsi="Calibri"/>
          <w:color w:val="auto"/>
          <w:sz w:val="22"/>
        </w:rPr>
        <w:t xml:space="preserve">amounted </w:t>
      </w:r>
      <w:r w:rsidR="00663D6C">
        <w:rPr>
          <w:rFonts w:ascii="Calibri" w:hAnsi="Calibri"/>
          <w:color w:val="auto"/>
          <w:sz w:val="22"/>
        </w:rPr>
        <w:t xml:space="preserve">to 49.2% in late December 2016 and to 49.1% again in late March 2017. </w:t>
      </w:r>
      <w:r>
        <w:rPr>
          <w:rFonts w:ascii="Calibri" w:hAnsi="Calibri"/>
          <w:color w:val="auto"/>
          <w:sz w:val="22"/>
        </w:rPr>
        <w:t>The gearing ratio (proportionate)</w:t>
      </w:r>
      <w:r w:rsidR="00D10C2F">
        <w:rPr>
          <w:rFonts w:ascii="Calibri" w:hAnsi="Calibri"/>
          <w:color w:val="auto"/>
          <w:sz w:val="22"/>
        </w:rPr>
        <w:t>,</w:t>
      </w:r>
      <w:r>
        <w:rPr>
          <w:rFonts w:ascii="Calibri" w:hAnsi="Calibri"/>
          <w:color w:val="auto"/>
          <w:sz w:val="22"/>
        </w:rPr>
        <w:t xml:space="preserve"> 50.5% in late December 2016</w:t>
      </w:r>
      <w:r w:rsidR="00D10C2F">
        <w:rPr>
          <w:rFonts w:ascii="Calibri" w:hAnsi="Calibri"/>
          <w:color w:val="auto"/>
          <w:sz w:val="22"/>
        </w:rPr>
        <w:t>, amounted to</w:t>
      </w:r>
      <w:r>
        <w:rPr>
          <w:rFonts w:ascii="Calibri" w:hAnsi="Calibri"/>
          <w:color w:val="auto"/>
          <w:sz w:val="22"/>
        </w:rPr>
        <w:t xml:space="preserve"> </w:t>
      </w:r>
      <w:r w:rsidR="00663D6C">
        <w:rPr>
          <w:rFonts w:ascii="Calibri" w:hAnsi="Calibri"/>
          <w:color w:val="auto"/>
          <w:sz w:val="22"/>
        </w:rPr>
        <w:t>50.3</w:t>
      </w:r>
      <w:r>
        <w:rPr>
          <w:rFonts w:ascii="Calibri" w:hAnsi="Calibri"/>
          <w:color w:val="auto"/>
          <w:sz w:val="22"/>
        </w:rPr>
        <w:t xml:space="preserve">% in 31 March 2017. </w:t>
      </w:r>
    </w:p>
    <w:p w14:paraId="4C786B61" w14:textId="77777777" w:rsidR="0011027F" w:rsidRPr="00473F8D" w:rsidRDefault="0011027F" w:rsidP="00992076">
      <w:pPr>
        <w:jc w:val="both"/>
        <w:rPr>
          <w:rFonts w:cs="Arial"/>
          <w:color w:val="000000"/>
        </w:rPr>
      </w:pPr>
    </w:p>
    <w:p w14:paraId="42BC3C3C" w14:textId="144DD77C" w:rsidR="00733CDE" w:rsidRPr="00473F8D" w:rsidRDefault="00072F67" w:rsidP="00992076">
      <w:pPr>
        <w:jc w:val="both"/>
        <w:rPr>
          <w:rFonts w:cs="Arial"/>
          <w:color w:val="000000"/>
        </w:rPr>
      </w:pPr>
      <w:r>
        <w:rPr>
          <w:color w:val="000000"/>
        </w:rPr>
        <w:t>The weighted average term of WDP’s outstanding financial debts on 31 March 2017 was 4.0 years</w:t>
      </w:r>
      <w:r>
        <w:rPr>
          <w:color w:val="000000"/>
          <w:vertAlign w:val="superscript"/>
        </w:rPr>
        <w:footnoteReference w:id="26"/>
      </w:r>
      <w:r>
        <w:rPr>
          <w:color w:val="000000"/>
        </w:rPr>
        <w:t>. If only the total drawn and undrawn long-term credits are taken into account, the weighted average term amounts to at least 4.7 years</w:t>
      </w:r>
      <w:r>
        <w:rPr>
          <w:color w:val="000000"/>
          <w:vertAlign w:val="superscript"/>
        </w:rPr>
        <w:footnoteReference w:id="27"/>
      </w:r>
      <w:r>
        <w:rPr>
          <w:color w:val="000000"/>
        </w:rPr>
        <w:t>. On 31 March 2017, the total amount of undrawn and confirmed l</w:t>
      </w:r>
      <w:r w:rsidR="00FA27F4">
        <w:rPr>
          <w:color w:val="000000"/>
        </w:rPr>
        <w:t xml:space="preserve">ong-term credit facilities was </w:t>
      </w:r>
      <w:r>
        <w:rPr>
          <w:color w:val="000000"/>
        </w:rPr>
        <w:t>275 million</w:t>
      </w:r>
      <w:r w:rsidR="00FA27F4">
        <w:rPr>
          <w:color w:val="000000"/>
        </w:rPr>
        <w:t xml:space="preserve"> </w:t>
      </w:r>
      <w:r w:rsidR="00FA27F4" w:rsidRPr="00C609C9">
        <w:t>euros</w:t>
      </w:r>
      <w:r>
        <w:rPr>
          <w:color w:val="000000"/>
          <w:vertAlign w:val="superscript"/>
        </w:rPr>
        <w:footnoteReference w:id="28"/>
      </w:r>
      <w:r>
        <w:rPr>
          <w:color w:val="000000"/>
        </w:rPr>
        <w:t>. There are no maturity dates for long-term debts during 2017. The average cost of debt was 2.8% in the first quarter of 2017. The Interest Coverage Ratio</w:t>
      </w:r>
      <w:r>
        <w:rPr>
          <w:color w:val="000000"/>
          <w:vertAlign w:val="superscript"/>
        </w:rPr>
        <w:footnoteReference w:id="29"/>
      </w:r>
      <w:r>
        <w:rPr>
          <w:color w:val="000000"/>
        </w:rPr>
        <w:t xml:space="preserve"> is equal to </w:t>
      </w:r>
      <w:r w:rsidR="00663D6C">
        <w:rPr>
          <w:color w:val="000000"/>
        </w:rPr>
        <w:t>4.5</w:t>
      </w:r>
      <w:r>
        <w:rPr>
          <w:color w:val="000000"/>
        </w:rPr>
        <w:t xml:space="preserve">x for the same period, compared to 4.1x for the entire </w:t>
      </w:r>
      <w:r w:rsidR="00EF351D">
        <w:rPr>
          <w:color w:val="000000"/>
        </w:rPr>
        <w:t>2016 financial year. The hedge</w:t>
      </w:r>
      <w:r>
        <w:rPr>
          <w:color w:val="000000"/>
        </w:rPr>
        <w:t xml:space="preserve"> ratio</w:t>
      </w:r>
      <w:r>
        <w:rPr>
          <w:rStyle w:val="Voetnootmarkering"/>
          <w:color w:val="000000"/>
        </w:rPr>
        <w:footnoteReference w:id="30"/>
      </w:r>
      <w:r>
        <w:rPr>
          <w:color w:val="000000"/>
        </w:rPr>
        <w:t>, which measures the percentage of financial debts with a fixed or floating interest rate and subsequently hedges these by means of Interest Rate Swaps (IRS), comes to 91%, with a weighted average hedge term of 7.3 years.</w:t>
      </w:r>
    </w:p>
    <w:p w14:paraId="4A5F9506" w14:textId="282F239B" w:rsidR="00EC71E0" w:rsidRPr="00473F8D" w:rsidRDefault="00733CDE" w:rsidP="00992076">
      <w:pPr>
        <w:pStyle w:val="Kop1"/>
        <w:ind w:left="0"/>
      </w:pPr>
      <w:r>
        <w:br w:type="page"/>
      </w:r>
      <w:r>
        <w:lastRenderedPageBreak/>
        <w:t>4. Outlook</w:t>
      </w:r>
    </w:p>
    <w:p w14:paraId="4FE4EF1B" w14:textId="6D809E6F" w:rsidR="00557213" w:rsidRPr="00473F8D" w:rsidRDefault="00B6246E" w:rsidP="00557213">
      <w:pPr>
        <w:jc w:val="both"/>
        <w:rPr>
          <w:rFonts w:cs="Arial"/>
          <w:color w:val="000000"/>
        </w:rPr>
      </w:pPr>
      <w:r>
        <w:t xml:space="preserve">As announced previously </w:t>
      </w:r>
      <w:r w:rsidR="0096399C">
        <w:t xml:space="preserve">at the time of the </w:t>
      </w:r>
      <w:r>
        <w:t xml:space="preserve">publication of the annual results for 2016, WDP projects EPRA </w:t>
      </w:r>
      <w:r w:rsidR="00182B85">
        <w:t>E</w:t>
      </w:r>
      <w:r w:rsidR="00FA27F4">
        <w:t xml:space="preserve">arnings per share of at least </w:t>
      </w:r>
      <w:r>
        <w:t xml:space="preserve">5.35 </w:t>
      </w:r>
      <w:r w:rsidR="00FA27F4" w:rsidRPr="00C609C9">
        <w:t>euros</w:t>
      </w:r>
      <w:r w:rsidR="00FA27F4">
        <w:t xml:space="preserve"> </w:t>
      </w:r>
      <w:r>
        <w:t xml:space="preserve">in 2017, compared to 5.30 </w:t>
      </w:r>
      <w:r w:rsidR="00FA27F4" w:rsidRPr="00C609C9">
        <w:t>euros</w:t>
      </w:r>
      <w:r w:rsidR="00FA27F4">
        <w:t xml:space="preserve"> </w:t>
      </w:r>
      <w:r>
        <w:t xml:space="preserve">in 2016, </w:t>
      </w:r>
      <w:r w:rsidR="00D10C2F">
        <w:t xml:space="preserve">including </w:t>
      </w:r>
      <w:r>
        <w:t>an increase in the expected average number of outstanding shares</w:t>
      </w:r>
      <w:r>
        <w:rPr>
          <w:rStyle w:val="Voetnootmarkering"/>
        </w:rPr>
        <w:footnoteReference w:id="31"/>
      </w:r>
      <w:r>
        <w:t xml:space="preserve">, mainly due to the recent capital increase in late November 2016. As a result of this capital increase, the gearing ratio (IFRS) comes to approx. 50% as at 31 March 2017 and a strong buffer of untapped credit facilities is available. </w:t>
      </w:r>
      <w:r>
        <w:rPr>
          <w:color w:val="000000"/>
        </w:rPr>
        <w:t>Therefore, WDP plans to achieve at least the same results, while the balance sheet and cash positions have enjoyed a considerable boost. The driving force behind this is the strong growth in the portfolio in 2016 thanks to the acquisitions, pre-leased new construction projects and solar power projects which will yield fully in 2017.</w:t>
      </w:r>
    </w:p>
    <w:p w14:paraId="1CB5B62D" w14:textId="1291EF11" w:rsidR="00055969" w:rsidRPr="00473F8D" w:rsidRDefault="00055969" w:rsidP="00992076">
      <w:pPr>
        <w:jc w:val="both"/>
        <w:rPr>
          <w:rFonts w:cs="Arial"/>
          <w:color w:val="000000"/>
        </w:rPr>
      </w:pPr>
      <w:r>
        <w:rPr>
          <w:color w:val="000000"/>
        </w:rPr>
        <w:t xml:space="preserve">In addition, WDP is currently executing a strong project development pipeline of </w:t>
      </w:r>
      <w:r w:rsidRPr="00EE71E1">
        <w:rPr>
          <w:color w:val="000000"/>
        </w:rPr>
        <w:t xml:space="preserve">approx. </w:t>
      </w:r>
      <w:r w:rsidR="00BD7DF7" w:rsidRPr="00EE71E1">
        <w:rPr>
          <w:color w:val="000000"/>
        </w:rPr>
        <w:t>350</w:t>
      </w:r>
      <w:r w:rsidRPr="00EE71E1">
        <w:rPr>
          <w:color w:val="000000"/>
        </w:rPr>
        <w:t>,000 m</w:t>
      </w:r>
      <w:r>
        <w:rPr>
          <w:color w:val="000000"/>
        </w:rPr>
        <w:t>²</w:t>
      </w:r>
      <w:r w:rsidR="00FA27F4">
        <w:rPr>
          <w:color w:val="000000"/>
        </w:rPr>
        <w:t xml:space="preserve"> and a projected investment of </w:t>
      </w:r>
      <w:r w:rsidR="00D10C2F">
        <w:rPr>
          <w:color w:val="000000"/>
        </w:rPr>
        <w:t>2</w:t>
      </w:r>
      <w:r w:rsidR="00BD7DF7">
        <w:rPr>
          <w:color w:val="000000"/>
        </w:rPr>
        <w:t>30</w:t>
      </w:r>
      <w:r w:rsidR="00D10C2F">
        <w:rPr>
          <w:color w:val="000000"/>
        </w:rPr>
        <w:t xml:space="preserve"> </w:t>
      </w:r>
      <w:r>
        <w:rPr>
          <w:color w:val="000000"/>
        </w:rPr>
        <w:t>million</w:t>
      </w:r>
      <w:r w:rsidR="00FA27F4">
        <w:rPr>
          <w:color w:val="000000"/>
        </w:rPr>
        <w:t xml:space="preserve"> </w:t>
      </w:r>
      <w:r w:rsidR="00FA27F4" w:rsidRPr="00C609C9">
        <w:t>euros</w:t>
      </w:r>
      <w:r>
        <w:rPr>
          <w:color w:val="000000"/>
        </w:rPr>
        <w:t>, all of which will contribute to the 2018 result. Moreover, the current gearing ratio of approx. 50% allows us to make additional investments financed by debt. Based on this, WDP will stri</w:t>
      </w:r>
      <w:r w:rsidR="00FA27F4">
        <w:rPr>
          <w:color w:val="000000"/>
        </w:rPr>
        <w:t xml:space="preserve">ve to achieve EPRA </w:t>
      </w:r>
      <w:r w:rsidR="00182B85">
        <w:rPr>
          <w:color w:val="000000"/>
        </w:rPr>
        <w:t>E</w:t>
      </w:r>
      <w:r w:rsidR="00FA27F4">
        <w:rPr>
          <w:color w:val="000000"/>
        </w:rPr>
        <w:t xml:space="preserve">arnings of </w:t>
      </w:r>
      <w:r>
        <w:rPr>
          <w:color w:val="000000"/>
        </w:rPr>
        <w:t xml:space="preserve">5.85 </w:t>
      </w:r>
      <w:r w:rsidR="00FA27F4" w:rsidRPr="00C609C9">
        <w:t>euros</w:t>
      </w:r>
      <w:r w:rsidR="00FA27F4">
        <w:t xml:space="preserve"> </w:t>
      </w:r>
      <w:r>
        <w:rPr>
          <w:color w:val="000000"/>
        </w:rPr>
        <w:t xml:space="preserve">in 2018, which amounts to a cumulative increase of 10% for 2017-18. This puts WDP </w:t>
      </w:r>
      <w:r w:rsidR="00D10C2F">
        <w:rPr>
          <w:color w:val="000000"/>
        </w:rPr>
        <w:t xml:space="preserve">well </w:t>
      </w:r>
      <w:r>
        <w:rPr>
          <w:color w:val="000000"/>
        </w:rPr>
        <w:t xml:space="preserve">on track to reach the 2016-20 growth plan objective of an annual increase of 5% in EPRA </w:t>
      </w:r>
      <w:r w:rsidR="00182B85">
        <w:rPr>
          <w:color w:val="000000"/>
        </w:rPr>
        <w:t>E</w:t>
      </w:r>
      <w:r>
        <w:rPr>
          <w:color w:val="000000"/>
        </w:rPr>
        <w:t>arnings per share, bringing it to 6.25</w:t>
      </w:r>
      <w:r w:rsidR="00FA27F4">
        <w:rPr>
          <w:color w:val="000000"/>
        </w:rPr>
        <w:t xml:space="preserve"> </w:t>
      </w:r>
      <w:r w:rsidR="00FA27F4" w:rsidRPr="00C609C9">
        <w:t>euros</w:t>
      </w:r>
      <w:r>
        <w:rPr>
          <w:color w:val="000000"/>
        </w:rPr>
        <w:t>.</w:t>
      </w:r>
    </w:p>
    <w:p w14:paraId="021AAE40" w14:textId="77777777" w:rsidR="00055969" w:rsidRPr="00473F8D" w:rsidRDefault="0083211C" w:rsidP="00992076">
      <w:pPr>
        <w:jc w:val="both"/>
        <w:rPr>
          <w:rFonts w:cs="Arial"/>
          <w:color w:val="000000"/>
        </w:rPr>
      </w:pPr>
      <w:r>
        <w:rPr>
          <w:color w:val="000000"/>
        </w:rPr>
        <w:t>In 2017, 13% of the contracts will reach their next expiry date</w:t>
      </w:r>
      <w:r w:rsidRPr="00720A46">
        <w:rPr>
          <w:color w:val="000000"/>
        </w:rPr>
        <w:t>, more than 70% of which</w:t>
      </w:r>
      <w:r>
        <w:rPr>
          <w:color w:val="000000"/>
        </w:rPr>
        <w:t xml:space="preserve"> have now been extended. Based on information currently available and the current rental market situation, WDP projects a minimum average occupancy rate of 96% for 2017.</w:t>
      </w:r>
    </w:p>
    <w:p w14:paraId="549B6ED1" w14:textId="77777777" w:rsidR="0083211C" w:rsidRPr="00473F8D" w:rsidRDefault="0083211C" w:rsidP="00992076">
      <w:pPr>
        <w:jc w:val="both"/>
        <w:rPr>
          <w:rFonts w:cs="Arial"/>
          <w:color w:val="000000"/>
        </w:rPr>
      </w:pPr>
      <w:r>
        <w:rPr>
          <w:color w:val="000000"/>
        </w:rPr>
        <w:t>The envisaged growth in 2017 based on the execution of the project development pipeline takes into account a projected gearing ratio (IFRS, proportionate) of around 51% (52%) at 2017 year-end and an average cost of debt of 2.8%. WDP aims for a gearing ratio of between 55 and 60% over the medium term.</w:t>
      </w:r>
      <w:r>
        <w:rPr>
          <w:rStyle w:val="Voetnootmarkering"/>
          <w:color w:val="000000"/>
        </w:rPr>
        <w:footnoteReference w:id="32"/>
      </w:r>
    </w:p>
    <w:p w14:paraId="69F73027" w14:textId="08D66DA3" w:rsidR="0083211C" w:rsidRPr="00473F8D" w:rsidRDefault="0083211C" w:rsidP="00992076">
      <w:pPr>
        <w:jc w:val="both"/>
        <w:rPr>
          <w:rFonts w:cs="Arial"/>
          <w:color w:val="000000"/>
          <w:highlight w:val="yellow"/>
        </w:rPr>
      </w:pPr>
      <w:r>
        <w:rPr>
          <w:color w:val="000000"/>
        </w:rPr>
        <w:t>Based on this outlook, WD</w:t>
      </w:r>
      <w:r w:rsidR="00FA27F4">
        <w:rPr>
          <w:color w:val="000000"/>
        </w:rPr>
        <w:t xml:space="preserve">P intends to set a dividend of 4.45 </w:t>
      </w:r>
      <w:r w:rsidR="00FA27F4" w:rsidRPr="00C609C9">
        <w:t>euros</w:t>
      </w:r>
      <w:r w:rsidR="00FA27F4">
        <w:t xml:space="preserve"> </w:t>
      </w:r>
      <w:r w:rsidR="00FA27F4">
        <w:rPr>
          <w:color w:val="000000"/>
        </w:rPr>
        <w:t xml:space="preserve">for 2017 and </w:t>
      </w:r>
      <w:r>
        <w:rPr>
          <w:color w:val="000000"/>
        </w:rPr>
        <w:t xml:space="preserve">4.70 </w:t>
      </w:r>
      <w:r w:rsidR="00FA27F4" w:rsidRPr="00C609C9">
        <w:t>euros</w:t>
      </w:r>
      <w:r w:rsidR="00FA27F4">
        <w:t xml:space="preserve"> </w:t>
      </w:r>
      <w:r>
        <w:rPr>
          <w:color w:val="000000"/>
        </w:rPr>
        <w:t xml:space="preserve">for 2018, i.e. an increase of 5% per year, based on a </w:t>
      </w:r>
      <w:proofErr w:type="spellStart"/>
      <w:r>
        <w:rPr>
          <w:color w:val="000000"/>
        </w:rPr>
        <w:t>payout</w:t>
      </w:r>
      <w:proofErr w:type="spellEnd"/>
      <w:r>
        <w:rPr>
          <w:color w:val="000000"/>
        </w:rPr>
        <w:t xml:space="preserve"> rate of approximately 80%.</w:t>
      </w:r>
    </w:p>
    <w:p w14:paraId="4AFF2C0C" w14:textId="77777777" w:rsidR="00052BA8" w:rsidRPr="00473F8D" w:rsidRDefault="00052BA8" w:rsidP="00992076">
      <w:pPr>
        <w:jc w:val="both"/>
        <w:rPr>
          <w:rFonts w:cs="Arial"/>
          <w:color w:val="000000"/>
        </w:rPr>
      </w:pPr>
    </w:p>
    <w:p w14:paraId="3A49A712" w14:textId="77777777" w:rsidR="00052BA8" w:rsidRPr="00473F8D" w:rsidRDefault="00052BA8" w:rsidP="00992076">
      <w:pPr>
        <w:jc w:val="both"/>
        <w:rPr>
          <w:rFonts w:cs="Arial"/>
          <w:color w:val="000000"/>
        </w:rPr>
      </w:pPr>
    </w:p>
    <w:p w14:paraId="369B27CB" w14:textId="77777777" w:rsidR="00072F67" w:rsidRPr="00473F8D" w:rsidRDefault="0033534C" w:rsidP="00992076">
      <w:pPr>
        <w:pStyle w:val="Kop1"/>
        <w:ind w:left="0"/>
      </w:pPr>
      <w:r>
        <w:br w:type="page"/>
      </w:r>
      <w:r>
        <w:lastRenderedPageBreak/>
        <w:t>5. FINANCIAL STATEMENTS – Key figures as at 31 March 2017 – analytical (results and balance sheet)</w:t>
      </w:r>
    </w:p>
    <w:p w14:paraId="6ABE9BC6" w14:textId="52E5846E" w:rsidR="00AA450A" w:rsidRPr="00473F8D" w:rsidRDefault="003A73E4" w:rsidP="00720A46">
      <w:pPr>
        <w:pStyle w:val="Kop2"/>
        <w:rPr>
          <w:b w:val="0"/>
          <w:noProof/>
        </w:rPr>
      </w:pPr>
      <w:r>
        <w:t xml:space="preserve">5.1. Consolidated results </w:t>
      </w:r>
    </w:p>
    <w:p w14:paraId="2D6AEE65" w14:textId="6BFFCFAC" w:rsidR="00F33DB4" w:rsidRPr="00473F8D" w:rsidRDefault="00E71C0D" w:rsidP="00F33DB4">
      <w:r w:rsidRPr="00E71C0D">
        <w:rPr>
          <w:noProof/>
          <w:lang w:val="en-US" w:eastAsia="en-US" w:bidi="ar-SA"/>
        </w:rPr>
        <w:drawing>
          <wp:anchor distT="0" distB="0" distL="114300" distR="114300" simplePos="0" relativeHeight="251670528" behindDoc="1" locked="0" layoutInCell="1" allowOverlap="1" wp14:anchorId="23D102AD" wp14:editId="20088D3B">
            <wp:simplePos x="899160" y="2232660"/>
            <wp:positionH relativeFrom="page">
              <wp:align>center</wp:align>
            </wp:positionH>
            <wp:positionV relativeFrom="paragraph">
              <wp:posOffset>0</wp:posOffset>
            </wp:positionV>
            <wp:extent cx="5760000" cy="5389200"/>
            <wp:effectExtent l="0" t="0" r="0" b="2540"/>
            <wp:wrapTight wrapText="bothSides">
              <wp:wrapPolygon edited="0">
                <wp:start x="0" y="0"/>
                <wp:lineTo x="0" y="21534"/>
                <wp:lineTo x="21505" y="21534"/>
                <wp:lineTo x="21505"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86F01" w14:textId="77777777" w:rsidR="004E4F8F" w:rsidRPr="00473F8D" w:rsidRDefault="00110E78" w:rsidP="00720A46">
      <w:r>
        <w:t xml:space="preserve"> </w:t>
      </w:r>
    </w:p>
    <w:p w14:paraId="47D78328" w14:textId="77777777" w:rsidR="004E4F8F" w:rsidRPr="00473F8D" w:rsidRDefault="00C91C3C" w:rsidP="00720A46">
      <w:r>
        <w:br w:type="page"/>
      </w:r>
    </w:p>
    <w:p w14:paraId="7E11332D" w14:textId="311BA873" w:rsidR="00E71C0D" w:rsidRDefault="009E40EE">
      <w:pPr>
        <w:spacing w:after="0" w:line="240" w:lineRule="auto"/>
        <w:rPr>
          <w:rFonts w:eastAsia="Times New Roman"/>
          <w:b/>
          <w:bCs/>
          <w:szCs w:val="26"/>
        </w:rPr>
      </w:pPr>
      <w:r w:rsidRPr="009E40EE">
        <w:rPr>
          <w:noProof/>
          <w:lang w:val="en-US" w:eastAsia="en-US" w:bidi="ar-SA"/>
        </w:rPr>
        <w:lastRenderedPageBreak/>
        <w:drawing>
          <wp:inline distT="0" distB="0" distL="0" distR="0" wp14:anchorId="1B3A72CA" wp14:editId="491D17FB">
            <wp:extent cx="5759450" cy="3260368"/>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60368"/>
                    </a:xfrm>
                    <a:prstGeom prst="rect">
                      <a:avLst/>
                    </a:prstGeom>
                    <a:noFill/>
                    <a:ln>
                      <a:noFill/>
                    </a:ln>
                  </pic:spPr>
                </pic:pic>
              </a:graphicData>
            </a:graphic>
          </wp:inline>
        </w:drawing>
      </w:r>
      <w:r w:rsidR="00E71C0D">
        <w:br w:type="page"/>
      </w:r>
    </w:p>
    <w:p w14:paraId="7E29DE98" w14:textId="2E1B703C" w:rsidR="00AA450A" w:rsidRPr="00473F8D" w:rsidRDefault="00C32642" w:rsidP="00720A46">
      <w:pPr>
        <w:pStyle w:val="Kop2"/>
        <w:rPr>
          <w:b w:val="0"/>
          <w:noProof/>
        </w:rPr>
      </w:pPr>
      <w:r w:rsidRPr="00C32642">
        <w:rPr>
          <w:noProof/>
          <w:lang w:val="en-US" w:eastAsia="en-US" w:bidi="ar-SA"/>
        </w:rPr>
        <w:lastRenderedPageBreak/>
        <w:drawing>
          <wp:anchor distT="0" distB="0" distL="114300" distR="114300" simplePos="0" relativeHeight="251683840" behindDoc="1" locked="0" layoutInCell="1" allowOverlap="1" wp14:anchorId="6D62B04E" wp14:editId="4FC0445E">
            <wp:simplePos x="0" y="0"/>
            <wp:positionH relativeFrom="page">
              <wp:posOffset>893329</wp:posOffset>
            </wp:positionH>
            <wp:positionV relativeFrom="paragraph">
              <wp:posOffset>348615</wp:posOffset>
            </wp:positionV>
            <wp:extent cx="5760000" cy="7905600"/>
            <wp:effectExtent l="0" t="0" r="0" b="635"/>
            <wp:wrapTight wrapText="bothSides">
              <wp:wrapPolygon edited="0">
                <wp:start x="0" y="0"/>
                <wp:lineTo x="0" y="21550"/>
                <wp:lineTo x="21505" y="21550"/>
                <wp:lineTo x="21505"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79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3E4">
        <w:t xml:space="preserve">5.2. Consolidated balance sheet </w:t>
      </w:r>
      <w:r w:rsidR="00E71C0D" w:rsidRPr="00E71C0D" w:rsidDel="00663D6C">
        <w:rPr>
          <w:highlight w:val="yellow"/>
        </w:rPr>
        <w:t xml:space="preserve"> </w:t>
      </w:r>
    </w:p>
    <w:p w14:paraId="5F7FE496" w14:textId="67A1637D" w:rsidR="00301F86" w:rsidRPr="00473F8D" w:rsidRDefault="009B14E4" w:rsidP="00301F86">
      <w:pPr>
        <w:pStyle w:val="Kop1"/>
        <w:ind w:left="0"/>
      </w:pPr>
      <w:r>
        <w:br w:type="page"/>
      </w:r>
      <w:r>
        <w:lastRenderedPageBreak/>
        <w:t>6. FINANCIAL STATEMENTS - Balance sheet and profit and loss accounts as at 31 March 2017 – IFRS</w:t>
      </w:r>
    </w:p>
    <w:p w14:paraId="48712782" w14:textId="64A1BCB7" w:rsidR="00301F86" w:rsidRPr="00473F8D" w:rsidRDefault="00A967D1" w:rsidP="00301F86">
      <w:pPr>
        <w:pStyle w:val="Kop2"/>
      </w:pPr>
      <w:r w:rsidRPr="00A967D1">
        <w:rPr>
          <w:noProof/>
          <w:lang w:val="en-US" w:eastAsia="en-US" w:bidi="ar-SA"/>
        </w:rPr>
        <w:drawing>
          <wp:anchor distT="0" distB="0" distL="114300" distR="114300" simplePos="0" relativeHeight="251678720" behindDoc="1" locked="0" layoutInCell="1" allowOverlap="1" wp14:anchorId="60F64C8C" wp14:editId="061A2131">
            <wp:simplePos x="0" y="0"/>
            <wp:positionH relativeFrom="page">
              <wp:posOffset>900430</wp:posOffset>
            </wp:positionH>
            <wp:positionV relativeFrom="paragraph">
              <wp:posOffset>400050</wp:posOffset>
            </wp:positionV>
            <wp:extent cx="5760000" cy="6627600"/>
            <wp:effectExtent l="0" t="0" r="0" b="1905"/>
            <wp:wrapTight wrapText="bothSides">
              <wp:wrapPolygon edited="0">
                <wp:start x="0" y="0"/>
                <wp:lineTo x="0" y="17446"/>
                <wp:lineTo x="10788" y="17881"/>
                <wp:lineTo x="0" y="18067"/>
                <wp:lineTo x="0" y="18999"/>
                <wp:lineTo x="10788" y="19868"/>
                <wp:lineTo x="0" y="19930"/>
                <wp:lineTo x="0" y="21544"/>
                <wp:lineTo x="19219" y="21544"/>
                <wp:lineTo x="21005" y="21482"/>
                <wp:lineTo x="21505" y="21358"/>
                <wp:lineTo x="21505" y="19930"/>
                <wp:lineTo x="10788" y="19868"/>
                <wp:lineTo x="21433" y="18999"/>
                <wp:lineTo x="21505" y="18874"/>
                <wp:lineTo x="21505" y="18378"/>
                <wp:lineTo x="10788" y="17881"/>
                <wp:lineTo x="16504" y="17881"/>
                <wp:lineTo x="21505" y="17446"/>
                <wp:lineTo x="21505"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66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F86">
        <w:t>6.1 Profit and loss account</w:t>
      </w:r>
    </w:p>
    <w:p w14:paraId="380577F9" w14:textId="77777777" w:rsidR="00301F86" w:rsidRPr="00473F8D" w:rsidRDefault="00301F86">
      <w:pPr>
        <w:spacing w:after="0" w:line="240" w:lineRule="auto"/>
        <w:rPr>
          <w:rFonts w:eastAsia="Times New Roman"/>
          <w:b/>
          <w:bCs/>
          <w:color w:val="000000"/>
          <w:szCs w:val="28"/>
        </w:rPr>
      </w:pPr>
      <w:r>
        <w:br w:type="page"/>
      </w:r>
    </w:p>
    <w:p w14:paraId="44D86BD1" w14:textId="6DC24DDC" w:rsidR="00747341" w:rsidRPr="00473F8D" w:rsidRDefault="00C32642" w:rsidP="00301F86">
      <w:pPr>
        <w:pStyle w:val="Kop2"/>
        <w:rPr>
          <w:highlight w:val="yellow"/>
        </w:rPr>
      </w:pPr>
      <w:r w:rsidRPr="00C32642">
        <w:rPr>
          <w:noProof/>
          <w:lang w:val="en-US" w:eastAsia="en-US" w:bidi="ar-SA"/>
        </w:rPr>
        <w:lastRenderedPageBreak/>
        <w:drawing>
          <wp:anchor distT="0" distB="0" distL="114300" distR="114300" simplePos="0" relativeHeight="251682816" behindDoc="1" locked="0" layoutInCell="1" allowOverlap="1" wp14:anchorId="1B41A4D3" wp14:editId="1FCABDEB">
            <wp:simplePos x="0" y="0"/>
            <wp:positionH relativeFrom="page">
              <wp:posOffset>900430</wp:posOffset>
            </wp:positionH>
            <wp:positionV relativeFrom="paragraph">
              <wp:posOffset>3229206</wp:posOffset>
            </wp:positionV>
            <wp:extent cx="5760000" cy="3474000"/>
            <wp:effectExtent l="0" t="0" r="0" b="0"/>
            <wp:wrapTight wrapText="bothSides">
              <wp:wrapPolygon edited="0">
                <wp:start x="0" y="0"/>
                <wp:lineTo x="0" y="5686"/>
                <wp:lineTo x="357" y="5686"/>
                <wp:lineTo x="0" y="6160"/>
                <wp:lineTo x="0" y="21442"/>
                <wp:lineTo x="19219" y="21442"/>
                <wp:lineTo x="21505" y="21205"/>
                <wp:lineTo x="21505" y="0"/>
                <wp:lineTo x="0" y="0"/>
              </wp:wrapPolygon>
            </wp:wrapTight>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34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F86">
        <w:t>6.2</w:t>
      </w:r>
      <w:r w:rsidRPr="00C32642">
        <w:rPr>
          <w:b w:val="0"/>
          <w:bCs w:val="0"/>
        </w:rPr>
        <w:t xml:space="preserve"> </w:t>
      </w:r>
      <w:r w:rsidR="00333A7A">
        <w:t>.</w:t>
      </w:r>
      <w:r w:rsidR="00301F86">
        <w:t xml:space="preserve"> Balance sheet</w:t>
      </w:r>
      <w:r w:rsidR="00333A7A" w:rsidRPr="00333A7A">
        <w:rPr>
          <w:noProof/>
          <w:lang w:val="en-US" w:eastAsia="en-US" w:bidi="ar-SA"/>
        </w:rPr>
        <w:drawing>
          <wp:anchor distT="0" distB="0" distL="114300" distR="114300" simplePos="0" relativeHeight="251679744" behindDoc="1" locked="0" layoutInCell="1" allowOverlap="1" wp14:anchorId="6B535911" wp14:editId="72223E65">
            <wp:simplePos x="900430" y="1329690"/>
            <wp:positionH relativeFrom="page">
              <wp:align>center</wp:align>
            </wp:positionH>
            <wp:positionV relativeFrom="paragraph">
              <wp:posOffset>194310</wp:posOffset>
            </wp:positionV>
            <wp:extent cx="5760000" cy="2703600"/>
            <wp:effectExtent l="0" t="0" r="0" b="1905"/>
            <wp:wrapTight wrapText="bothSides">
              <wp:wrapPolygon edited="0">
                <wp:start x="0" y="0"/>
                <wp:lineTo x="0" y="4871"/>
                <wp:lineTo x="14146" y="4871"/>
                <wp:lineTo x="0" y="5480"/>
                <wp:lineTo x="0" y="21463"/>
                <wp:lineTo x="19219" y="21463"/>
                <wp:lineTo x="21076" y="21311"/>
                <wp:lineTo x="21505" y="21006"/>
                <wp:lineTo x="21505" y="0"/>
                <wp:lineTo x="0" y="0"/>
              </wp:wrapPolygon>
            </wp:wrapTight>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270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F86">
        <w:br w:type="page"/>
      </w:r>
    </w:p>
    <w:p w14:paraId="3DACFB08" w14:textId="77777777" w:rsidR="003C3178" w:rsidRPr="00473F8D" w:rsidRDefault="003C3178" w:rsidP="00742CE2">
      <w:pPr>
        <w:pStyle w:val="Kop1"/>
        <w:ind w:left="0"/>
      </w:pPr>
      <w:r w:rsidRPr="00720A46">
        <w:lastRenderedPageBreak/>
        <w:t>7. EPRA Performance measures</w:t>
      </w:r>
      <w:r w:rsidRPr="00720A46">
        <w:rPr>
          <w:rStyle w:val="Voetnootmarkering"/>
        </w:rPr>
        <w:footnoteReference w:id="33"/>
      </w:r>
    </w:p>
    <w:p w14:paraId="30272E09" w14:textId="5AE35C1F" w:rsidR="00A13B30" w:rsidRPr="00473F8D" w:rsidRDefault="00C32642" w:rsidP="00A13B30">
      <w:r w:rsidRPr="00C32642">
        <w:rPr>
          <w:noProof/>
          <w:lang w:val="en-US" w:eastAsia="en-US" w:bidi="ar-SA"/>
        </w:rPr>
        <w:drawing>
          <wp:inline distT="0" distB="0" distL="0" distR="0" wp14:anchorId="0BC37F8D" wp14:editId="740A6E36">
            <wp:extent cx="5759450" cy="3211695"/>
            <wp:effectExtent l="0" t="0" r="0" b="8255"/>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211695"/>
                    </a:xfrm>
                    <a:prstGeom prst="rect">
                      <a:avLst/>
                    </a:prstGeom>
                    <a:noFill/>
                    <a:ln>
                      <a:noFill/>
                    </a:ln>
                  </pic:spPr>
                </pic:pic>
              </a:graphicData>
            </a:graphic>
          </wp:inline>
        </w:drawing>
      </w:r>
    </w:p>
    <w:p w14:paraId="6A1DD7B9" w14:textId="569C8865" w:rsidR="005E6A09" w:rsidRDefault="005E6A09">
      <w:pPr>
        <w:spacing w:after="0" w:line="240" w:lineRule="auto"/>
      </w:pPr>
      <w:r>
        <w:br w:type="page"/>
      </w:r>
    </w:p>
    <w:p w14:paraId="4E297025" w14:textId="71B4AFA5" w:rsidR="00A13B30" w:rsidRPr="00473F8D" w:rsidRDefault="00885E95" w:rsidP="00A13B30">
      <w:r w:rsidRPr="00885E95">
        <w:rPr>
          <w:noProof/>
          <w:lang w:val="en-US" w:eastAsia="en-US" w:bidi="ar-SA"/>
        </w:rPr>
        <w:lastRenderedPageBreak/>
        <w:drawing>
          <wp:inline distT="0" distB="0" distL="0" distR="0" wp14:anchorId="3778DD35" wp14:editId="3C15A0CB">
            <wp:extent cx="5759450" cy="3962179"/>
            <wp:effectExtent l="0" t="0" r="0" b="63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962179"/>
                    </a:xfrm>
                    <a:prstGeom prst="rect">
                      <a:avLst/>
                    </a:prstGeom>
                    <a:noFill/>
                    <a:ln>
                      <a:noFill/>
                    </a:ln>
                  </pic:spPr>
                </pic:pic>
              </a:graphicData>
            </a:graphic>
          </wp:inline>
        </w:drawing>
      </w:r>
    </w:p>
    <w:p w14:paraId="15E9C6DA" w14:textId="6E127656" w:rsidR="005E6A09" w:rsidRDefault="005E6A09">
      <w:pPr>
        <w:spacing w:after="0" w:line="240" w:lineRule="auto"/>
      </w:pPr>
      <w:r>
        <w:br w:type="page"/>
      </w:r>
    </w:p>
    <w:p w14:paraId="5552C39E" w14:textId="6D6E8CD3" w:rsidR="003410AA" w:rsidRPr="00473F8D" w:rsidRDefault="005E6A09" w:rsidP="00A13B30">
      <w:r w:rsidRPr="005E6A09">
        <w:rPr>
          <w:noProof/>
          <w:lang w:val="en-US" w:eastAsia="en-US" w:bidi="ar-SA"/>
        </w:rPr>
        <w:lastRenderedPageBreak/>
        <w:drawing>
          <wp:inline distT="0" distB="0" distL="0" distR="0" wp14:anchorId="2881F808" wp14:editId="30B748DC">
            <wp:extent cx="5759450" cy="3622574"/>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622574"/>
                    </a:xfrm>
                    <a:prstGeom prst="rect">
                      <a:avLst/>
                    </a:prstGeom>
                    <a:noFill/>
                    <a:ln>
                      <a:noFill/>
                    </a:ln>
                  </pic:spPr>
                </pic:pic>
              </a:graphicData>
            </a:graphic>
          </wp:inline>
        </w:drawing>
      </w:r>
    </w:p>
    <w:p w14:paraId="447E4939" w14:textId="56AAABB9" w:rsidR="005E6A09" w:rsidRDefault="005E6A09">
      <w:pPr>
        <w:spacing w:after="0" w:line="240" w:lineRule="auto"/>
      </w:pPr>
      <w:r>
        <w:br w:type="page"/>
      </w:r>
    </w:p>
    <w:p w14:paraId="6C8ACA8C" w14:textId="7E3CA504" w:rsidR="00A41DC0" w:rsidRPr="00473F8D" w:rsidRDefault="005E6A09" w:rsidP="00A13B30">
      <w:r w:rsidRPr="005E6A09">
        <w:rPr>
          <w:noProof/>
          <w:lang w:val="en-US" w:eastAsia="en-US" w:bidi="ar-SA"/>
        </w:rPr>
        <w:lastRenderedPageBreak/>
        <w:drawing>
          <wp:inline distT="0" distB="0" distL="0" distR="0" wp14:anchorId="7E3B20C0" wp14:editId="42B0C1C0">
            <wp:extent cx="5759450" cy="3119976"/>
            <wp:effectExtent l="0" t="0" r="0" b="444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119976"/>
                    </a:xfrm>
                    <a:prstGeom prst="rect">
                      <a:avLst/>
                    </a:prstGeom>
                    <a:noFill/>
                    <a:ln>
                      <a:noFill/>
                    </a:ln>
                  </pic:spPr>
                </pic:pic>
              </a:graphicData>
            </a:graphic>
          </wp:inline>
        </w:drawing>
      </w:r>
    </w:p>
    <w:p w14:paraId="3BCBFA1B" w14:textId="77777777" w:rsidR="00A41DC0" w:rsidRPr="00473F8D" w:rsidRDefault="00A41DC0" w:rsidP="00A13B30"/>
    <w:p w14:paraId="1B46B4F4" w14:textId="77777777" w:rsidR="00A41DC0" w:rsidRPr="00473F8D" w:rsidRDefault="00A41DC0" w:rsidP="00A13B30"/>
    <w:p w14:paraId="0298B1A3" w14:textId="77777777" w:rsidR="00A41DC0" w:rsidRPr="00473F8D" w:rsidRDefault="00A41DC0" w:rsidP="00A13B30"/>
    <w:p w14:paraId="36E36826" w14:textId="77777777" w:rsidR="00A41DC0" w:rsidRPr="00473F8D" w:rsidRDefault="00A41DC0" w:rsidP="00A13B30"/>
    <w:p w14:paraId="4D1F3A8B" w14:textId="146BE58E" w:rsidR="00DE5472" w:rsidRPr="00473F8D" w:rsidRDefault="003C3178" w:rsidP="00742CE2">
      <w:pPr>
        <w:pStyle w:val="Kop1"/>
        <w:ind w:left="0"/>
      </w:pPr>
      <w:r>
        <w:br w:type="page"/>
      </w:r>
      <w:r w:rsidR="005E6A09" w:rsidRPr="005E6A09">
        <w:rPr>
          <w:noProof/>
          <w:lang w:val="en-US" w:eastAsia="en-US" w:bidi="ar-SA"/>
        </w:rPr>
        <w:lastRenderedPageBreak/>
        <w:drawing>
          <wp:anchor distT="0" distB="0" distL="114300" distR="114300" simplePos="0" relativeHeight="251675648" behindDoc="1" locked="0" layoutInCell="1" allowOverlap="1" wp14:anchorId="5E31E97A" wp14:editId="506F0A47">
            <wp:simplePos x="0" y="0"/>
            <wp:positionH relativeFrom="column">
              <wp:posOffset>-1270</wp:posOffset>
            </wp:positionH>
            <wp:positionV relativeFrom="paragraph">
              <wp:posOffset>379095</wp:posOffset>
            </wp:positionV>
            <wp:extent cx="5759450" cy="1638300"/>
            <wp:effectExtent l="0" t="0" r="0" b="0"/>
            <wp:wrapTight wrapText="bothSides">
              <wp:wrapPolygon edited="0">
                <wp:start x="0" y="0"/>
                <wp:lineTo x="0" y="21349"/>
                <wp:lineTo x="19219" y="21349"/>
                <wp:lineTo x="21505" y="20847"/>
                <wp:lineTo x="21505" y="8288"/>
                <wp:lineTo x="21362" y="8037"/>
                <wp:lineTo x="20576" y="8037"/>
                <wp:lineTo x="21505" y="6279"/>
                <wp:lineTo x="21505"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1638300"/>
                    </a:xfrm>
                    <a:prstGeom prst="rect">
                      <a:avLst/>
                    </a:prstGeom>
                    <a:noFill/>
                    <a:ln>
                      <a:noFill/>
                    </a:ln>
                  </pic:spPr>
                </pic:pic>
              </a:graphicData>
            </a:graphic>
          </wp:anchor>
        </w:drawing>
      </w:r>
      <w:r w:rsidRPr="00720A46">
        <w:t>8. Detailed calculation of the Alternative Performance Measures applied by WDP</w:t>
      </w:r>
      <w:r w:rsidRPr="00720A46">
        <w:rPr>
          <w:rStyle w:val="Voetnootmarkering"/>
        </w:rPr>
        <w:footnoteReference w:id="34"/>
      </w:r>
      <w:r>
        <w:t xml:space="preserve"> </w:t>
      </w:r>
    </w:p>
    <w:p w14:paraId="4215D4F1" w14:textId="76409238" w:rsidR="00E74788" w:rsidRPr="00473F8D" w:rsidRDefault="00815F21" w:rsidP="00DE5472">
      <w:r>
        <w:t xml:space="preserve"> </w:t>
      </w:r>
    </w:p>
    <w:p w14:paraId="5A96F159" w14:textId="4BA763ED" w:rsidR="009B0F38" w:rsidRPr="00473F8D" w:rsidRDefault="00E37777" w:rsidP="00DE5472">
      <w:r w:rsidRPr="00E37777">
        <w:rPr>
          <w:noProof/>
          <w:lang w:val="en-US" w:eastAsia="en-US" w:bidi="ar-SA"/>
        </w:rPr>
        <w:drawing>
          <wp:inline distT="0" distB="0" distL="0" distR="0" wp14:anchorId="345CC8F9" wp14:editId="32AC3788">
            <wp:extent cx="5759450" cy="1936033"/>
            <wp:effectExtent l="0" t="0" r="0" b="762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936033"/>
                    </a:xfrm>
                    <a:prstGeom prst="rect">
                      <a:avLst/>
                    </a:prstGeom>
                    <a:noFill/>
                    <a:ln>
                      <a:noFill/>
                    </a:ln>
                  </pic:spPr>
                </pic:pic>
              </a:graphicData>
            </a:graphic>
          </wp:inline>
        </w:drawing>
      </w:r>
    </w:p>
    <w:p w14:paraId="6BB5CE54" w14:textId="3A26D9FB" w:rsidR="009B0F38" w:rsidRPr="00473F8D" w:rsidRDefault="00815F21" w:rsidP="00DE5472">
      <w:r>
        <w:t xml:space="preserve"> </w:t>
      </w:r>
    </w:p>
    <w:p w14:paraId="38B9550B" w14:textId="4AF5B1BE" w:rsidR="00D40AE5" w:rsidRPr="00473F8D" w:rsidRDefault="00E37777" w:rsidP="00DE5472">
      <w:r w:rsidRPr="00E37777">
        <w:rPr>
          <w:noProof/>
          <w:lang w:val="en-US" w:eastAsia="en-US" w:bidi="ar-SA"/>
        </w:rPr>
        <w:drawing>
          <wp:inline distT="0" distB="0" distL="0" distR="0" wp14:anchorId="6F6CA8D1" wp14:editId="3AF5CA0D">
            <wp:extent cx="5759450" cy="1284792"/>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1284792"/>
                    </a:xfrm>
                    <a:prstGeom prst="rect">
                      <a:avLst/>
                    </a:prstGeom>
                    <a:noFill/>
                    <a:ln>
                      <a:noFill/>
                    </a:ln>
                  </pic:spPr>
                </pic:pic>
              </a:graphicData>
            </a:graphic>
          </wp:inline>
        </w:drawing>
      </w:r>
    </w:p>
    <w:p w14:paraId="39004975" w14:textId="435F94CB" w:rsidR="00F76AC5" w:rsidRPr="00473F8D" w:rsidRDefault="00815F21" w:rsidP="00DE5472">
      <w:r>
        <w:t xml:space="preserve"> </w:t>
      </w:r>
    </w:p>
    <w:p w14:paraId="5B0EEBC3" w14:textId="77777777" w:rsidR="00F76AC5" w:rsidRPr="00473F8D" w:rsidRDefault="00F76AC5" w:rsidP="00DE5472"/>
    <w:p w14:paraId="66778502" w14:textId="77777777" w:rsidR="00E74788" w:rsidRPr="00473F8D" w:rsidRDefault="00E74788" w:rsidP="00DE5472"/>
    <w:p w14:paraId="12369085" w14:textId="0995E4AB" w:rsidR="0011027F" w:rsidRPr="00473F8D" w:rsidRDefault="00815F21" w:rsidP="00DE5472">
      <w:r>
        <w:lastRenderedPageBreak/>
        <w:t xml:space="preserve"> </w:t>
      </w:r>
      <w:r w:rsidR="005E6A09" w:rsidRPr="005E6A09">
        <w:rPr>
          <w:noProof/>
          <w:lang w:val="en-US" w:eastAsia="en-US" w:bidi="ar-SA"/>
        </w:rPr>
        <w:drawing>
          <wp:inline distT="0" distB="0" distL="0" distR="0" wp14:anchorId="4FBB27A9" wp14:editId="399182CE">
            <wp:extent cx="5759450" cy="2713842"/>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2713842"/>
                    </a:xfrm>
                    <a:prstGeom prst="rect">
                      <a:avLst/>
                    </a:prstGeom>
                    <a:noFill/>
                    <a:ln>
                      <a:noFill/>
                    </a:ln>
                  </pic:spPr>
                </pic:pic>
              </a:graphicData>
            </a:graphic>
          </wp:inline>
        </w:drawing>
      </w:r>
    </w:p>
    <w:p w14:paraId="5252FC48" w14:textId="77777777" w:rsidR="00115536" w:rsidRPr="00473F8D" w:rsidRDefault="00115536" w:rsidP="00DE5472"/>
    <w:p w14:paraId="54A53850" w14:textId="05061027" w:rsidR="00E74788" w:rsidRPr="00473F8D" w:rsidRDefault="005E6A09" w:rsidP="00DE5472">
      <w:r w:rsidRPr="005E6A09">
        <w:rPr>
          <w:noProof/>
          <w:lang w:val="en-US" w:eastAsia="en-US" w:bidi="ar-SA"/>
        </w:rPr>
        <w:drawing>
          <wp:inline distT="0" distB="0" distL="0" distR="0" wp14:anchorId="088D3414" wp14:editId="7C274216">
            <wp:extent cx="5759450" cy="1473039"/>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473039"/>
                    </a:xfrm>
                    <a:prstGeom prst="rect">
                      <a:avLst/>
                    </a:prstGeom>
                    <a:noFill/>
                    <a:ln>
                      <a:noFill/>
                    </a:ln>
                  </pic:spPr>
                </pic:pic>
              </a:graphicData>
            </a:graphic>
          </wp:inline>
        </w:drawing>
      </w:r>
    </w:p>
    <w:p w14:paraId="616E2CF4" w14:textId="77777777" w:rsidR="00E74788" w:rsidRPr="00473F8D" w:rsidRDefault="00E74788" w:rsidP="00DE5472"/>
    <w:p w14:paraId="5ABF68F3" w14:textId="6C4D2233" w:rsidR="006A22F2" w:rsidRPr="00473F8D" w:rsidRDefault="005E6A09" w:rsidP="00DE5472">
      <w:r w:rsidRPr="005E6A09">
        <w:rPr>
          <w:noProof/>
          <w:lang w:val="en-US" w:eastAsia="en-US" w:bidi="ar-SA"/>
        </w:rPr>
        <w:drawing>
          <wp:inline distT="0" distB="0" distL="0" distR="0" wp14:anchorId="4DBFCBA3" wp14:editId="3285F691">
            <wp:extent cx="5759450" cy="2302453"/>
            <wp:effectExtent l="0" t="0" r="0" b="317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2302453"/>
                    </a:xfrm>
                    <a:prstGeom prst="rect">
                      <a:avLst/>
                    </a:prstGeom>
                    <a:noFill/>
                    <a:ln>
                      <a:noFill/>
                    </a:ln>
                  </pic:spPr>
                </pic:pic>
              </a:graphicData>
            </a:graphic>
          </wp:inline>
        </w:drawing>
      </w:r>
    </w:p>
    <w:p w14:paraId="7C2A2A16" w14:textId="77777777" w:rsidR="00E74788" w:rsidRPr="00473F8D" w:rsidRDefault="00E74788" w:rsidP="00DE5472"/>
    <w:p w14:paraId="789D78D6" w14:textId="66208A33" w:rsidR="00FA2E97" w:rsidRPr="00720A46" w:rsidRDefault="00815F21" w:rsidP="00DE5472">
      <w:r w:rsidRPr="00720A46">
        <w:rPr>
          <w:lang w:val="en-US"/>
        </w:rPr>
        <w:lastRenderedPageBreak/>
        <w:t xml:space="preserve"> </w:t>
      </w:r>
      <w:r w:rsidR="00291AF8" w:rsidRPr="00291AF8">
        <w:rPr>
          <w:noProof/>
          <w:lang w:val="en-US" w:eastAsia="en-US" w:bidi="ar-SA"/>
        </w:rPr>
        <w:drawing>
          <wp:inline distT="0" distB="0" distL="0" distR="0" wp14:anchorId="1CE5B41F" wp14:editId="3595FCC4">
            <wp:extent cx="5759450" cy="2977818"/>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2977818"/>
                    </a:xfrm>
                    <a:prstGeom prst="rect">
                      <a:avLst/>
                    </a:prstGeom>
                    <a:noFill/>
                    <a:ln>
                      <a:noFill/>
                    </a:ln>
                  </pic:spPr>
                </pic:pic>
              </a:graphicData>
            </a:graphic>
          </wp:inline>
        </w:drawing>
      </w:r>
    </w:p>
    <w:p w14:paraId="4C31AAD8" w14:textId="77777777" w:rsidR="00E74788" w:rsidRPr="00720A46" w:rsidRDefault="00E74788" w:rsidP="00DE5472">
      <w:pPr>
        <w:rPr>
          <w:lang w:val="en-US"/>
        </w:rPr>
      </w:pPr>
    </w:p>
    <w:p w14:paraId="2873F91C" w14:textId="77777777" w:rsidR="00DE5472" w:rsidRPr="00720A46" w:rsidRDefault="00DE5472" w:rsidP="00DE5472">
      <w:pPr>
        <w:rPr>
          <w:lang w:val="en-US"/>
        </w:rPr>
      </w:pPr>
      <w:r w:rsidRPr="00720A46">
        <w:rPr>
          <w:lang w:val="en-US"/>
        </w:rPr>
        <w:br w:type="page"/>
      </w:r>
    </w:p>
    <w:p w14:paraId="04287C72" w14:textId="77777777" w:rsidR="00F76AC5" w:rsidRPr="00720A46" w:rsidRDefault="00F76AC5" w:rsidP="00DE5472">
      <w:pPr>
        <w:rPr>
          <w:lang w:val="en-US"/>
        </w:rPr>
      </w:pPr>
    </w:p>
    <w:p w14:paraId="203AC9A7" w14:textId="77777777" w:rsidR="00F76AC5" w:rsidRPr="00720A46" w:rsidRDefault="00F76AC5" w:rsidP="00DE5472">
      <w:pPr>
        <w:rPr>
          <w:lang w:val="en-US"/>
        </w:rPr>
      </w:pPr>
    </w:p>
    <w:p w14:paraId="0A56D3E7" w14:textId="77777777" w:rsidR="00F76AC5" w:rsidRPr="00720A46" w:rsidRDefault="00F76AC5" w:rsidP="00DE5472">
      <w:pPr>
        <w:rPr>
          <w:lang w:val="en-US"/>
        </w:rPr>
      </w:pPr>
    </w:p>
    <w:p w14:paraId="400BFC4A" w14:textId="77777777" w:rsidR="00F76AC5" w:rsidRPr="00720A46" w:rsidRDefault="00F76AC5" w:rsidP="00DE5472">
      <w:pPr>
        <w:rPr>
          <w:lang w:val="en-US"/>
        </w:rPr>
      </w:pPr>
    </w:p>
    <w:p w14:paraId="26DA85A4" w14:textId="6B08598F" w:rsidR="00F76AC5" w:rsidRDefault="00F76AC5" w:rsidP="00DE5472">
      <w:pPr>
        <w:rPr>
          <w:lang w:val="en-US"/>
        </w:rPr>
      </w:pPr>
    </w:p>
    <w:p w14:paraId="3A60B3B8" w14:textId="220F1F3F" w:rsidR="00720A46" w:rsidRDefault="00720A46" w:rsidP="00DE5472">
      <w:pPr>
        <w:rPr>
          <w:lang w:val="en-US"/>
        </w:rPr>
      </w:pPr>
    </w:p>
    <w:p w14:paraId="392E6F4E" w14:textId="77777777" w:rsidR="00720A46" w:rsidRPr="00720A46" w:rsidRDefault="00720A46" w:rsidP="00DE5472">
      <w:pPr>
        <w:rPr>
          <w:lang w:val="en-US"/>
        </w:rPr>
      </w:pPr>
    </w:p>
    <w:p w14:paraId="2845A77E" w14:textId="77777777" w:rsidR="00F76AC5" w:rsidRPr="00720A46" w:rsidRDefault="00F76AC5" w:rsidP="00DE5472">
      <w:pPr>
        <w:rPr>
          <w:lang w:val="en-US"/>
        </w:rPr>
      </w:pPr>
    </w:p>
    <w:p w14:paraId="1337481F" w14:textId="77777777" w:rsidR="009B14E4" w:rsidRPr="00720A46" w:rsidRDefault="00815F21" w:rsidP="00992076">
      <w:pPr>
        <w:rPr>
          <w:lang w:val="en-US"/>
        </w:rPr>
      </w:pPr>
      <w:r>
        <w:rPr>
          <w:noProof/>
          <w:lang w:val="en-US" w:eastAsia="en-US" w:bidi="ar-SA"/>
        </w:rPr>
        <w:drawing>
          <wp:anchor distT="0" distB="0" distL="114300" distR="114300" simplePos="0" relativeHeight="251658240" behindDoc="1" locked="0" layoutInCell="1" allowOverlap="1" wp14:anchorId="5DA99806" wp14:editId="4E3A1970">
            <wp:simplePos x="0" y="0"/>
            <wp:positionH relativeFrom="column">
              <wp:posOffset>1520190</wp:posOffset>
            </wp:positionH>
            <wp:positionV relativeFrom="paragraph">
              <wp:posOffset>487680</wp:posOffset>
            </wp:positionV>
            <wp:extent cx="1216660" cy="1348740"/>
            <wp:effectExtent l="0" t="0" r="0" b="0"/>
            <wp:wrapTight wrapText="bothSides">
              <wp:wrapPolygon edited="0">
                <wp:start x="0" y="0"/>
                <wp:lineTo x="0" y="21356"/>
                <wp:lineTo x="21307" y="21356"/>
                <wp:lineTo x="21307" y="0"/>
                <wp:lineTo x="0" y="0"/>
              </wp:wrapPolygon>
            </wp:wrapTight>
            <wp:docPr id="189" name="Afbeelding 189" descr="BF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FCA_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666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67B58" w14:textId="77777777" w:rsidR="009B14E4" w:rsidRPr="00720A46" w:rsidRDefault="009B14E4" w:rsidP="00992076">
      <w:pPr>
        <w:rPr>
          <w:lang w:val="en-US"/>
        </w:rPr>
      </w:pPr>
    </w:p>
    <w:p w14:paraId="2146ADA5" w14:textId="77777777" w:rsidR="009B14E4" w:rsidRPr="00720A46" w:rsidRDefault="00815F21" w:rsidP="00992076">
      <w:pPr>
        <w:rPr>
          <w:lang w:val="en-US"/>
        </w:rPr>
      </w:pPr>
      <w:r>
        <w:rPr>
          <w:noProof/>
          <w:lang w:val="en-US" w:eastAsia="en-US" w:bidi="ar-SA"/>
        </w:rPr>
        <w:drawing>
          <wp:anchor distT="0" distB="0" distL="114300" distR="114300" simplePos="0" relativeHeight="251659264" behindDoc="1" locked="0" layoutInCell="1" allowOverlap="1" wp14:anchorId="25EEAFD0" wp14:editId="50DB7509">
            <wp:simplePos x="0" y="0"/>
            <wp:positionH relativeFrom="column">
              <wp:posOffset>2823845</wp:posOffset>
            </wp:positionH>
            <wp:positionV relativeFrom="paragraph">
              <wp:posOffset>46990</wp:posOffset>
            </wp:positionV>
            <wp:extent cx="1629410" cy="1039495"/>
            <wp:effectExtent l="0" t="0" r="0" b="0"/>
            <wp:wrapTight wrapText="bothSides">
              <wp:wrapPolygon edited="0">
                <wp:start x="0" y="0"/>
                <wp:lineTo x="0" y="21376"/>
                <wp:lineTo x="21465" y="21376"/>
                <wp:lineTo x="21465" y="0"/>
                <wp:lineTo x="0" y="0"/>
              </wp:wrapPolygon>
            </wp:wrapTight>
            <wp:docPr id="190" name="Afbeelding 190" descr="Image result for epra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age result for epra gold"/>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62941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06224" w14:textId="19BEF529" w:rsidR="009B14E4" w:rsidRPr="00720A46" w:rsidRDefault="009B14E4" w:rsidP="00992076">
      <w:pPr>
        <w:rPr>
          <w:lang w:val="en-US"/>
        </w:rPr>
      </w:pPr>
    </w:p>
    <w:p w14:paraId="4DCFD58C" w14:textId="77777777" w:rsidR="001602B6" w:rsidRPr="00720A46" w:rsidRDefault="001602B6" w:rsidP="00992076">
      <w:pPr>
        <w:rPr>
          <w:lang w:val="en-US"/>
        </w:rPr>
      </w:pPr>
    </w:p>
    <w:p w14:paraId="6B41D8B1" w14:textId="77777777" w:rsidR="009B14E4" w:rsidRPr="00720A46" w:rsidRDefault="009B14E4" w:rsidP="00992076">
      <w:pPr>
        <w:rPr>
          <w:lang w:val="en-US"/>
        </w:rPr>
      </w:pPr>
    </w:p>
    <w:p w14:paraId="5822E16E" w14:textId="6044F6F0" w:rsidR="009B14E4" w:rsidRPr="00720A46" w:rsidRDefault="001602B6" w:rsidP="00992076">
      <w:pPr>
        <w:rPr>
          <w:lang w:val="en-US"/>
        </w:rPr>
      </w:pPr>
      <w:r>
        <w:rPr>
          <w:noProof/>
          <w:lang w:val="en-US" w:eastAsia="en-US" w:bidi="ar-SA"/>
        </w:rPr>
        <mc:AlternateContent>
          <mc:Choice Requires="wps">
            <w:drawing>
              <wp:anchor distT="4294967295" distB="4294967295" distL="114300" distR="114300" simplePos="0" relativeHeight="251663360" behindDoc="0" locked="0" layoutInCell="1" allowOverlap="1" wp14:anchorId="55C5CB9D" wp14:editId="192AAFA8">
                <wp:simplePos x="0" y="0"/>
                <wp:positionH relativeFrom="column">
                  <wp:posOffset>-1270</wp:posOffset>
                </wp:positionH>
                <wp:positionV relativeFrom="paragraph">
                  <wp:posOffset>223520</wp:posOffset>
                </wp:positionV>
                <wp:extent cx="5695950" cy="0"/>
                <wp:effectExtent l="0" t="0" r="19050"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0" cy="0"/>
                        </a:xfrm>
                        <a:prstGeom prst="line">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A177CE" id="Straight Connector 16"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6pt" to="448.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" strokecolor="#d8d8d8"/>
            </w:pict>
          </mc:Fallback>
        </mc:AlternateContent>
      </w:r>
    </w:p>
    <w:p w14:paraId="5F124A4B" w14:textId="084BBD8E" w:rsidR="001602B6" w:rsidRPr="009F1191" w:rsidRDefault="001602B6" w:rsidP="001602B6">
      <w:pPr>
        <w:rPr>
          <w:b/>
          <w:szCs w:val="24"/>
          <w:lang w:val="en-US"/>
        </w:rPr>
      </w:pPr>
      <w:r w:rsidRPr="009F1191">
        <w:rPr>
          <w:b/>
          <w:szCs w:val="24"/>
          <w:lang w:val="en-US"/>
        </w:rPr>
        <w:t>For more information, please contact:</w:t>
      </w:r>
    </w:p>
    <w:p w14:paraId="5BB915B5" w14:textId="77777777" w:rsidR="001602B6" w:rsidRPr="00720A46" w:rsidRDefault="001602B6" w:rsidP="001602B6">
      <w:pPr>
        <w:spacing w:after="0" w:line="240" w:lineRule="auto"/>
        <w:rPr>
          <w:sz w:val="21"/>
          <w:szCs w:val="24"/>
          <w:lang w:val="nl-BE"/>
        </w:rPr>
      </w:pPr>
      <w:r w:rsidRPr="00720A46">
        <w:rPr>
          <w:sz w:val="21"/>
          <w:szCs w:val="24"/>
          <w:lang w:val="nl-BE"/>
        </w:rPr>
        <w:t xml:space="preserve">WDP </w:t>
      </w:r>
      <w:proofErr w:type="spellStart"/>
      <w:r w:rsidRPr="00720A46">
        <w:rPr>
          <w:sz w:val="21"/>
          <w:szCs w:val="24"/>
          <w:lang w:val="nl-BE"/>
        </w:rPr>
        <w:t>Comm</w:t>
      </w:r>
      <w:proofErr w:type="spellEnd"/>
      <w:r w:rsidRPr="00720A46">
        <w:rPr>
          <w:sz w:val="21"/>
          <w:szCs w:val="24"/>
          <w:lang w:val="nl-BE"/>
        </w:rPr>
        <w:t>. VA</w:t>
      </w:r>
      <w:r w:rsidRPr="00720A46">
        <w:rPr>
          <w:sz w:val="21"/>
          <w:szCs w:val="24"/>
          <w:lang w:val="nl-BE"/>
        </w:rPr>
        <w:tab/>
      </w:r>
      <w:r w:rsidRPr="00720A46">
        <w:rPr>
          <w:sz w:val="21"/>
          <w:szCs w:val="24"/>
          <w:lang w:val="nl-BE"/>
        </w:rPr>
        <w:tab/>
      </w:r>
      <w:r w:rsidRPr="00720A46">
        <w:rPr>
          <w:sz w:val="21"/>
          <w:szCs w:val="24"/>
          <w:lang w:val="nl-BE"/>
        </w:rPr>
        <w:tab/>
      </w:r>
      <w:r w:rsidRPr="00720A46">
        <w:rPr>
          <w:color w:val="E36C0A"/>
          <w:sz w:val="21"/>
          <w:szCs w:val="24"/>
          <w:lang w:val="nl-BE"/>
        </w:rPr>
        <w:t>Joost Uwents</w:t>
      </w:r>
      <w:r w:rsidRPr="00720A46">
        <w:rPr>
          <w:sz w:val="21"/>
          <w:szCs w:val="24"/>
          <w:lang w:val="nl-BE"/>
        </w:rPr>
        <w:tab/>
      </w:r>
      <w:r w:rsidRPr="00720A46">
        <w:rPr>
          <w:sz w:val="21"/>
          <w:szCs w:val="24"/>
          <w:lang w:val="nl-BE"/>
        </w:rPr>
        <w:tab/>
      </w:r>
      <w:r w:rsidRPr="00720A46">
        <w:rPr>
          <w:sz w:val="21"/>
          <w:szCs w:val="24"/>
          <w:lang w:val="nl-BE"/>
        </w:rPr>
        <w:tab/>
      </w:r>
      <w:r w:rsidRPr="00720A46">
        <w:rPr>
          <w:color w:val="E36C0A"/>
          <w:sz w:val="21"/>
          <w:szCs w:val="24"/>
          <w:lang w:val="nl-BE"/>
        </w:rPr>
        <w:t>Mickael Van den Hauwe</w:t>
      </w:r>
    </w:p>
    <w:p w14:paraId="6682A142" w14:textId="64748F7D" w:rsidR="001602B6" w:rsidRPr="00720A46" w:rsidRDefault="001602B6" w:rsidP="001602B6">
      <w:pPr>
        <w:spacing w:after="0" w:line="240" w:lineRule="auto"/>
        <w:rPr>
          <w:sz w:val="21"/>
          <w:szCs w:val="24"/>
          <w:lang w:val="nl-BE"/>
        </w:rPr>
      </w:pPr>
      <w:r w:rsidRPr="00720A46">
        <w:rPr>
          <w:sz w:val="21"/>
          <w:szCs w:val="24"/>
          <w:lang w:val="nl-BE"/>
        </w:rPr>
        <w:t>Blakebergen 15</w:t>
      </w:r>
      <w:r w:rsidRPr="00720A46">
        <w:rPr>
          <w:sz w:val="21"/>
          <w:szCs w:val="24"/>
          <w:lang w:val="nl-BE"/>
        </w:rPr>
        <w:tab/>
      </w:r>
      <w:r w:rsidRPr="00720A46">
        <w:rPr>
          <w:sz w:val="21"/>
          <w:szCs w:val="24"/>
          <w:lang w:val="nl-BE"/>
        </w:rPr>
        <w:tab/>
      </w:r>
      <w:r w:rsidRPr="00720A46">
        <w:rPr>
          <w:sz w:val="21"/>
          <w:szCs w:val="24"/>
          <w:lang w:val="nl-BE"/>
        </w:rPr>
        <w:tab/>
      </w:r>
      <w:r w:rsidRPr="00720A46">
        <w:rPr>
          <w:i/>
          <w:sz w:val="21"/>
          <w:szCs w:val="24"/>
          <w:lang w:val="nl-BE"/>
        </w:rPr>
        <w:t>CEO</w:t>
      </w:r>
      <w:r w:rsidRPr="00720A46">
        <w:rPr>
          <w:sz w:val="21"/>
          <w:szCs w:val="24"/>
          <w:lang w:val="nl-BE"/>
        </w:rPr>
        <w:tab/>
      </w:r>
      <w:r w:rsidRPr="00720A46">
        <w:rPr>
          <w:sz w:val="21"/>
          <w:szCs w:val="24"/>
          <w:lang w:val="nl-BE"/>
        </w:rPr>
        <w:tab/>
      </w:r>
      <w:r w:rsidRPr="00720A46">
        <w:rPr>
          <w:sz w:val="21"/>
          <w:szCs w:val="24"/>
          <w:lang w:val="nl-BE"/>
        </w:rPr>
        <w:tab/>
      </w:r>
      <w:r w:rsidRPr="00720A46">
        <w:rPr>
          <w:sz w:val="21"/>
          <w:szCs w:val="24"/>
          <w:lang w:val="nl-BE"/>
        </w:rPr>
        <w:tab/>
      </w:r>
      <w:r w:rsidRPr="00720A46">
        <w:rPr>
          <w:i/>
          <w:sz w:val="21"/>
          <w:szCs w:val="24"/>
          <w:lang w:val="nl-BE"/>
        </w:rPr>
        <w:t>CFO</w:t>
      </w:r>
    </w:p>
    <w:p w14:paraId="3C715F62" w14:textId="77777777" w:rsidR="001602B6" w:rsidRPr="00720A46" w:rsidRDefault="001602B6" w:rsidP="001602B6">
      <w:pPr>
        <w:spacing w:after="0" w:line="240" w:lineRule="auto"/>
        <w:rPr>
          <w:sz w:val="21"/>
          <w:szCs w:val="24"/>
          <w:lang w:val="nl-BE"/>
        </w:rPr>
      </w:pPr>
      <w:r w:rsidRPr="00720A46">
        <w:rPr>
          <w:sz w:val="21"/>
          <w:szCs w:val="24"/>
          <w:lang w:val="nl-BE"/>
        </w:rPr>
        <w:t xml:space="preserve">1861 </w:t>
      </w:r>
      <w:proofErr w:type="spellStart"/>
      <w:r w:rsidRPr="00720A46">
        <w:rPr>
          <w:sz w:val="21"/>
          <w:szCs w:val="24"/>
          <w:lang w:val="nl-BE"/>
        </w:rPr>
        <w:t>Wolvertem</w:t>
      </w:r>
      <w:proofErr w:type="spellEnd"/>
    </w:p>
    <w:p w14:paraId="6464F67C" w14:textId="5FBE2E86" w:rsidR="001602B6" w:rsidRPr="00720A46" w:rsidRDefault="001602B6" w:rsidP="001602B6">
      <w:pPr>
        <w:spacing w:after="0" w:line="240" w:lineRule="auto"/>
        <w:rPr>
          <w:sz w:val="21"/>
          <w:szCs w:val="24"/>
          <w:lang w:val="nl-BE"/>
        </w:rPr>
      </w:pPr>
      <w:r w:rsidRPr="00720A46">
        <w:rPr>
          <w:sz w:val="21"/>
          <w:szCs w:val="24"/>
          <w:lang w:val="nl-BE"/>
        </w:rPr>
        <w:t>Belgium</w:t>
      </w:r>
      <w:r w:rsidRPr="00720A46">
        <w:rPr>
          <w:sz w:val="21"/>
          <w:szCs w:val="24"/>
          <w:lang w:val="nl-BE"/>
        </w:rPr>
        <w:tab/>
      </w:r>
      <w:r w:rsidRPr="00720A46">
        <w:rPr>
          <w:sz w:val="21"/>
          <w:szCs w:val="24"/>
          <w:lang w:val="nl-BE"/>
        </w:rPr>
        <w:tab/>
      </w:r>
      <w:r w:rsidRPr="00720A46">
        <w:rPr>
          <w:sz w:val="21"/>
          <w:szCs w:val="24"/>
          <w:lang w:val="nl-BE"/>
        </w:rPr>
        <w:tab/>
      </w:r>
      <w:r w:rsidRPr="00720A46">
        <w:rPr>
          <w:sz w:val="21"/>
          <w:szCs w:val="24"/>
          <w:lang w:val="nl-BE"/>
        </w:rPr>
        <w:tab/>
      </w:r>
    </w:p>
    <w:p w14:paraId="1050E29E" w14:textId="77777777" w:rsidR="001602B6" w:rsidRPr="00720A46" w:rsidRDefault="003D1A55" w:rsidP="001602B6">
      <w:pPr>
        <w:spacing w:after="0" w:line="240" w:lineRule="auto"/>
        <w:rPr>
          <w:sz w:val="21"/>
          <w:szCs w:val="24"/>
          <w:lang w:val="nl-BE"/>
        </w:rPr>
      </w:pPr>
      <w:hyperlink r:id="rId34" w:history="1">
        <w:r w:rsidR="001602B6" w:rsidRPr="00720A46">
          <w:rPr>
            <w:color w:val="E36C0A"/>
            <w:sz w:val="21"/>
            <w:szCs w:val="24"/>
            <w:lang w:val="nl-BE"/>
          </w:rPr>
          <w:t>www.wdp.eu</w:t>
        </w:r>
      </w:hyperlink>
      <w:r w:rsidR="001602B6" w:rsidRPr="00720A46">
        <w:rPr>
          <w:color w:val="E36C0A"/>
          <w:sz w:val="21"/>
          <w:szCs w:val="24"/>
          <w:lang w:val="nl-BE"/>
        </w:rPr>
        <w:tab/>
      </w:r>
      <w:r w:rsidR="001602B6" w:rsidRPr="00720A46">
        <w:rPr>
          <w:sz w:val="21"/>
          <w:szCs w:val="24"/>
          <w:lang w:val="nl-BE"/>
        </w:rPr>
        <w:tab/>
      </w:r>
      <w:r w:rsidR="001602B6" w:rsidRPr="00720A46">
        <w:rPr>
          <w:sz w:val="21"/>
          <w:szCs w:val="24"/>
          <w:lang w:val="nl-BE"/>
        </w:rPr>
        <w:tab/>
        <w:t>M +32 (0)476 88 99 26</w:t>
      </w:r>
      <w:r w:rsidR="001602B6" w:rsidRPr="00720A46">
        <w:rPr>
          <w:sz w:val="21"/>
          <w:szCs w:val="24"/>
          <w:lang w:val="nl-BE"/>
        </w:rPr>
        <w:tab/>
      </w:r>
      <w:r w:rsidR="001602B6" w:rsidRPr="00720A46">
        <w:rPr>
          <w:sz w:val="21"/>
          <w:szCs w:val="24"/>
          <w:lang w:val="nl-BE"/>
        </w:rPr>
        <w:tab/>
        <w:t>M +32 (0)473 93 74 91</w:t>
      </w:r>
    </w:p>
    <w:p w14:paraId="0A128CA3" w14:textId="77777777" w:rsidR="001602B6" w:rsidRPr="00720A46" w:rsidRDefault="003D1A55" w:rsidP="001602B6">
      <w:pPr>
        <w:spacing w:after="0" w:line="240" w:lineRule="auto"/>
        <w:rPr>
          <w:color w:val="E36C0A"/>
          <w:sz w:val="21"/>
          <w:szCs w:val="24"/>
          <w:lang w:val="nl-BE"/>
        </w:rPr>
      </w:pPr>
      <w:hyperlink r:id="rId35" w:history="1">
        <w:r w:rsidR="001602B6" w:rsidRPr="00720A46">
          <w:rPr>
            <w:color w:val="E36C0A"/>
            <w:sz w:val="21"/>
            <w:szCs w:val="24"/>
            <w:lang w:val="nl-BE"/>
          </w:rPr>
          <w:t>investorrelations@wdp.eu</w:t>
        </w:r>
      </w:hyperlink>
      <w:r w:rsidR="001602B6" w:rsidRPr="00720A46">
        <w:rPr>
          <w:color w:val="E36C0A"/>
          <w:sz w:val="21"/>
          <w:szCs w:val="24"/>
          <w:lang w:val="nl-BE"/>
        </w:rPr>
        <w:tab/>
      </w:r>
      <w:hyperlink r:id="rId36" w:history="1">
        <w:r w:rsidR="001602B6" w:rsidRPr="00720A46">
          <w:rPr>
            <w:color w:val="E36C0A"/>
            <w:sz w:val="21"/>
            <w:szCs w:val="24"/>
            <w:lang w:val="nl-BE"/>
          </w:rPr>
          <w:t>joost.uwents@wdp.eu</w:t>
        </w:r>
      </w:hyperlink>
      <w:r w:rsidR="001602B6" w:rsidRPr="00720A46">
        <w:rPr>
          <w:color w:val="E36C0A"/>
          <w:sz w:val="21"/>
          <w:szCs w:val="24"/>
          <w:lang w:val="nl-BE"/>
        </w:rPr>
        <w:tab/>
        <w:t xml:space="preserve">              </w:t>
      </w:r>
      <w:hyperlink r:id="rId37" w:history="1">
        <w:r w:rsidR="001602B6" w:rsidRPr="00720A46">
          <w:rPr>
            <w:color w:val="E36C0A"/>
            <w:sz w:val="21"/>
            <w:szCs w:val="24"/>
            <w:lang w:val="nl-BE"/>
          </w:rPr>
          <w:t>mickael.vandenhauwe@wdp.eu</w:t>
        </w:r>
      </w:hyperlink>
    </w:p>
    <w:p w14:paraId="04A9F667" w14:textId="6504D1EC" w:rsidR="001602B6" w:rsidRPr="00720A46" w:rsidRDefault="001602B6" w:rsidP="001602B6">
      <w:pPr>
        <w:spacing w:after="0" w:line="240" w:lineRule="auto"/>
        <w:rPr>
          <w:color w:val="E36C0A"/>
          <w:sz w:val="21"/>
          <w:szCs w:val="24"/>
          <w:lang w:val="nl-BE"/>
        </w:rPr>
      </w:pPr>
    </w:p>
    <w:p w14:paraId="075E6ED7" w14:textId="77777777" w:rsidR="001602B6" w:rsidRPr="009F1191" w:rsidRDefault="001602B6" w:rsidP="001602B6">
      <w:pPr>
        <w:spacing w:after="0" w:line="240" w:lineRule="auto"/>
        <w:rPr>
          <w:color w:val="E36C0A"/>
          <w:sz w:val="21"/>
          <w:szCs w:val="24"/>
          <w:lang w:val="en-US"/>
        </w:rPr>
      </w:pPr>
      <w:r w:rsidRPr="009F1191">
        <w:rPr>
          <w:color w:val="E36C0A"/>
          <w:sz w:val="21"/>
          <w:szCs w:val="24"/>
          <w:lang w:val="en-US"/>
        </w:rPr>
        <w:t xml:space="preserve">Image gallery: </w:t>
      </w:r>
      <w:hyperlink r:id="rId38" w:history="1">
        <w:r w:rsidRPr="009F1191">
          <w:rPr>
            <w:color w:val="E36C0A"/>
            <w:sz w:val="21"/>
            <w:szCs w:val="24"/>
            <w:lang w:val="en-US"/>
          </w:rPr>
          <w:t>www.wdp.eu/pictures</w:t>
        </w:r>
      </w:hyperlink>
    </w:p>
    <w:p w14:paraId="4CCEE208" w14:textId="5809AA10" w:rsidR="001602B6" w:rsidRPr="009F1191" w:rsidRDefault="001602B6" w:rsidP="001602B6">
      <w:pPr>
        <w:spacing w:after="0" w:line="240" w:lineRule="auto"/>
        <w:rPr>
          <w:sz w:val="21"/>
          <w:szCs w:val="24"/>
          <w:lang w:val="en-US"/>
        </w:rPr>
      </w:pPr>
      <w:r>
        <w:rPr>
          <w:noProof/>
          <w:lang w:val="en-US" w:eastAsia="en-US" w:bidi="ar-SA"/>
        </w:rPr>
        <mc:AlternateContent>
          <mc:Choice Requires="wps">
            <w:drawing>
              <wp:anchor distT="4294967295" distB="4294967295" distL="114300" distR="114300" simplePos="0" relativeHeight="251661312" behindDoc="0" locked="0" layoutInCell="1" allowOverlap="1" wp14:anchorId="14388099" wp14:editId="59E22F90">
                <wp:simplePos x="0" y="0"/>
                <wp:positionH relativeFrom="column">
                  <wp:posOffset>24130</wp:posOffset>
                </wp:positionH>
                <wp:positionV relativeFrom="paragraph">
                  <wp:posOffset>118744</wp:posOffset>
                </wp:positionV>
                <wp:extent cx="5695950" cy="0"/>
                <wp:effectExtent l="0" t="0" r="19050" b="19050"/>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0" cy="0"/>
                        </a:xfrm>
                        <a:prstGeom prst="line">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65CDB7" id="Straight Connector 16"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9.35pt" to="45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" strokecolor="#d8d8d8"/>
            </w:pict>
          </mc:Fallback>
        </mc:AlternateContent>
      </w:r>
    </w:p>
    <w:p w14:paraId="37C22207" w14:textId="573F1C74" w:rsidR="001602B6" w:rsidRPr="009F1191" w:rsidRDefault="001602B6" w:rsidP="001602B6">
      <w:pPr>
        <w:spacing w:after="0" w:line="240" w:lineRule="auto"/>
        <w:jc w:val="both"/>
        <w:rPr>
          <w:i/>
          <w:sz w:val="18"/>
          <w:szCs w:val="24"/>
          <w:lang w:val="en-US"/>
        </w:rPr>
      </w:pPr>
    </w:p>
    <w:p w14:paraId="2DA02735" w14:textId="00EDF798" w:rsidR="001602B6" w:rsidRDefault="001602B6" w:rsidP="001602B6">
      <w:pPr>
        <w:autoSpaceDE w:val="0"/>
        <w:autoSpaceDN w:val="0"/>
        <w:adjustRightInd w:val="0"/>
        <w:spacing w:after="0" w:line="240" w:lineRule="auto"/>
        <w:jc w:val="both"/>
        <w:rPr>
          <w:rFonts w:cs="Calibri"/>
          <w:color w:val="000000"/>
          <w:sz w:val="18"/>
          <w:szCs w:val="18"/>
          <w:lang w:val="en-US"/>
        </w:rPr>
      </w:pPr>
      <w:r w:rsidRPr="002139E2">
        <w:rPr>
          <w:i/>
          <w:color w:val="E36C0A"/>
          <w:sz w:val="18"/>
          <w:szCs w:val="18"/>
          <w:lang w:val="en-US"/>
        </w:rPr>
        <w:t>WDP</w:t>
      </w:r>
      <w:r w:rsidRPr="006B496B">
        <w:rPr>
          <w:rFonts w:cs="Calibri"/>
          <w:i/>
          <w:iCs/>
          <w:color w:val="000000"/>
          <w:sz w:val="18"/>
          <w:szCs w:val="18"/>
          <w:lang w:val="en-US"/>
        </w:rPr>
        <w:t xml:space="preserve"> develops and invests in logistics property (warehouses and offices). WDP's property portfolio amounts to more than </w:t>
      </w:r>
      <w:r>
        <w:rPr>
          <w:rFonts w:cs="Calibri"/>
          <w:i/>
          <w:iCs/>
          <w:color w:val="000000"/>
          <w:sz w:val="18"/>
          <w:szCs w:val="18"/>
          <w:lang w:val="en-US"/>
        </w:rPr>
        <w:t>3</w:t>
      </w:r>
      <w:r w:rsidRPr="006B496B">
        <w:rPr>
          <w:rFonts w:cs="Calibri"/>
          <w:i/>
          <w:iCs/>
          <w:color w:val="000000"/>
          <w:sz w:val="18"/>
          <w:szCs w:val="18"/>
          <w:lang w:val="en-US"/>
        </w:rPr>
        <w:t xml:space="preserve"> million m². This international portfolio of semi-industrial and logistics buildings is spread over more than </w:t>
      </w:r>
      <w:r>
        <w:rPr>
          <w:rFonts w:cs="Calibri"/>
          <w:i/>
          <w:iCs/>
          <w:color w:val="000000"/>
          <w:sz w:val="18"/>
          <w:szCs w:val="18"/>
          <w:lang w:val="en-US"/>
        </w:rPr>
        <w:t>160</w:t>
      </w:r>
      <w:r w:rsidRPr="006B496B">
        <w:rPr>
          <w:rFonts w:cs="Calibri"/>
          <w:i/>
          <w:iCs/>
          <w:color w:val="000000"/>
          <w:sz w:val="18"/>
          <w:szCs w:val="18"/>
          <w:lang w:val="en-US"/>
        </w:rPr>
        <w:t xml:space="preserve"> sites at prime logistics locations for storage and distribution in Belgium, France, the Netherlands</w:t>
      </w:r>
      <w:r>
        <w:rPr>
          <w:rFonts w:cs="Calibri"/>
          <w:i/>
          <w:iCs/>
          <w:color w:val="000000"/>
          <w:sz w:val="18"/>
          <w:szCs w:val="18"/>
          <w:lang w:val="en-US"/>
        </w:rPr>
        <w:t>, Luxembourg</w:t>
      </w:r>
      <w:r w:rsidRPr="006B496B">
        <w:rPr>
          <w:rFonts w:cs="Calibri"/>
          <w:i/>
          <w:iCs/>
          <w:color w:val="000000"/>
          <w:sz w:val="18"/>
          <w:szCs w:val="18"/>
          <w:lang w:val="en-US"/>
        </w:rPr>
        <w:t xml:space="preserve"> and Romania. More information about WDP can be found at </w:t>
      </w:r>
      <w:r w:rsidRPr="002139E2">
        <w:rPr>
          <w:i/>
          <w:color w:val="E36C0A"/>
          <w:sz w:val="18"/>
          <w:szCs w:val="18"/>
          <w:lang w:val="en-US"/>
        </w:rPr>
        <w:t>www.wdp.</w:t>
      </w:r>
      <w:r>
        <w:rPr>
          <w:i/>
          <w:color w:val="E36C0A"/>
          <w:sz w:val="18"/>
          <w:szCs w:val="18"/>
          <w:lang w:val="en-US"/>
        </w:rPr>
        <w:t>eu</w:t>
      </w:r>
      <w:r w:rsidRPr="006B496B">
        <w:rPr>
          <w:rFonts w:cs="Calibri"/>
          <w:color w:val="000000"/>
          <w:sz w:val="18"/>
          <w:szCs w:val="18"/>
          <w:lang w:val="en-US"/>
        </w:rPr>
        <w:t xml:space="preserve">. </w:t>
      </w:r>
    </w:p>
    <w:p w14:paraId="740CECB9" w14:textId="1AC2DFEE" w:rsidR="001602B6" w:rsidRPr="006B496B" w:rsidRDefault="001602B6" w:rsidP="001602B6">
      <w:pPr>
        <w:autoSpaceDE w:val="0"/>
        <w:autoSpaceDN w:val="0"/>
        <w:adjustRightInd w:val="0"/>
        <w:spacing w:after="0" w:line="240" w:lineRule="auto"/>
        <w:jc w:val="both"/>
        <w:rPr>
          <w:rFonts w:cs="Calibri"/>
          <w:color w:val="000000"/>
          <w:sz w:val="18"/>
          <w:szCs w:val="18"/>
          <w:lang w:val="en-US" w:eastAsia="nl-BE"/>
        </w:rPr>
      </w:pPr>
    </w:p>
    <w:p w14:paraId="2EE2788F" w14:textId="34D85636" w:rsidR="001602B6" w:rsidRPr="006B496B" w:rsidRDefault="001602B6" w:rsidP="001602B6">
      <w:pPr>
        <w:autoSpaceDE w:val="0"/>
        <w:autoSpaceDN w:val="0"/>
        <w:adjustRightInd w:val="0"/>
        <w:spacing w:after="0" w:line="240" w:lineRule="auto"/>
        <w:jc w:val="both"/>
        <w:rPr>
          <w:rFonts w:cs="Calibri"/>
          <w:color w:val="000000"/>
          <w:sz w:val="18"/>
          <w:szCs w:val="18"/>
          <w:lang w:val="en-US" w:eastAsia="nl-BE"/>
        </w:rPr>
      </w:pPr>
      <w:r w:rsidRPr="006B496B">
        <w:rPr>
          <w:rFonts w:cs="Calibri"/>
          <w:i/>
          <w:iCs/>
          <w:color w:val="000000"/>
          <w:sz w:val="18"/>
          <w:szCs w:val="18"/>
          <w:lang w:val="en-US" w:eastAsia="nl-BE"/>
        </w:rPr>
        <w:t>WDP Comm. VA – B</w:t>
      </w:r>
      <w:r>
        <w:rPr>
          <w:rFonts w:cs="Calibri"/>
          <w:i/>
          <w:iCs/>
          <w:color w:val="000000"/>
          <w:sz w:val="18"/>
          <w:szCs w:val="18"/>
          <w:lang w:val="en-US" w:eastAsia="nl-BE"/>
        </w:rPr>
        <w:t>E</w:t>
      </w:r>
      <w:r w:rsidRPr="006B496B">
        <w:rPr>
          <w:rFonts w:cs="Calibri"/>
          <w:i/>
          <w:iCs/>
          <w:color w:val="000000"/>
          <w:sz w:val="18"/>
          <w:szCs w:val="18"/>
          <w:lang w:val="en-US" w:eastAsia="nl-BE"/>
        </w:rPr>
        <w:t xml:space="preserve">-REIT (Public Regulated Real Estate Company under Belgian law). </w:t>
      </w:r>
    </w:p>
    <w:p w14:paraId="4137C976" w14:textId="05CE088C" w:rsidR="001602B6" w:rsidRPr="0033207C" w:rsidRDefault="001602B6" w:rsidP="001602B6">
      <w:pPr>
        <w:spacing w:line="240" w:lineRule="auto"/>
        <w:jc w:val="both"/>
        <w:rPr>
          <w:i/>
          <w:sz w:val="18"/>
          <w:szCs w:val="18"/>
          <w:lang w:val="en-US"/>
        </w:rPr>
      </w:pPr>
      <w:r>
        <w:rPr>
          <w:noProof/>
          <w:lang w:val="en-US" w:eastAsia="en-US" w:bidi="ar-SA"/>
        </w:rPr>
        <mc:AlternateContent>
          <mc:Choice Requires="wps">
            <w:drawing>
              <wp:anchor distT="4294967295" distB="4294967295" distL="114300" distR="114300" simplePos="0" relativeHeight="251665408" behindDoc="0" locked="0" layoutInCell="1" allowOverlap="1" wp14:anchorId="41CA83E4" wp14:editId="3CF316DE">
                <wp:simplePos x="0" y="0"/>
                <wp:positionH relativeFrom="column">
                  <wp:posOffset>-1270</wp:posOffset>
                </wp:positionH>
                <wp:positionV relativeFrom="paragraph">
                  <wp:posOffset>248920</wp:posOffset>
                </wp:positionV>
                <wp:extent cx="5695950" cy="0"/>
                <wp:effectExtent l="0" t="0" r="19050" b="19050"/>
                <wp:wrapNone/>
                <wp:docPr id="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0" cy="0"/>
                        </a:xfrm>
                        <a:prstGeom prst="line">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E2BBFA" id="Straight Connector 16"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9.6pt" to="44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" strokecolor="#d8d8d8"/>
            </w:pict>
          </mc:Fallback>
        </mc:AlternateContent>
      </w:r>
      <w:r w:rsidRPr="006B496B">
        <w:rPr>
          <w:rFonts w:cs="Calibri"/>
          <w:i/>
          <w:iCs/>
          <w:color w:val="000000"/>
          <w:sz w:val="18"/>
          <w:szCs w:val="18"/>
          <w:lang w:val="en-US" w:eastAsia="nl-BE"/>
        </w:rPr>
        <w:t>Company number 0417.199.869 (Brussels Trade Register)</w:t>
      </w:r>
    </w:p>
    <w:p w14:paraId="6BDFB5C8" w14:textId="6D96A856" w:rsidR="009B14E4" w:rsidRPr="00720A46" w:rsidRDefault="00815F21" w:rsidP="00992076">
      <w:pPr>
        <w:jc w:val="both"/>
        <w:rPr>
          <w:i/>
          <w:sz w:val="18"/>
          <w:szCs w:val="18"/>
          <w:lang w:val="en-US"/>
        </w:rPr>
      </w:pPr>
      <w:r w:rsidRPr="00720A46">
        <w:rPr>
          <w:noProof/>
          <w:highlight w:val="yellow"/>
          <w:lang w:val="en-US"/>
        </w:rPr>
        <w:t xml:space="preserve"> </w:t>
      </w:r>
    </w:p>
    <w:p w14:paraId="004DA40F" w14:textId="77777777" w:rsidR="007B41F7" w:rsidRPr="00EE71E1" w:rsidRDefault="00F10F33" w:rsidP="00992076">
      <w:pPr>
        <w:pStyle w:val="Kop1"/>
        <w:ind w:left="0"/>
        <w:rPr>
          <w:lang w:val="en-US"/>
        </w:rPr>
      </w:pPr>
      <w:r w:rsidRPr="00720A46">
        <w:rPr>
          <w:lang w:val="en-US"/>
        </w:rPr>
        <w:br w:type="page"/>
      </w:r>
      <w:r w:rsidRPr="00EE71E1">
        <w:rPr>
          <w:lang w:val="en-US"/>
        </w:rPr>
        <w:lastRenderedPageBreak/>
        <w:t>Disclaimer</w:t>
      </w:r>
    </w:p>
    <w:p w14:paraId="40EA64F5" w14:textId="77777777" w:rsidR="001602B6" w:rsidRPr="00C2391F" w:rsidRDefault="001602B6" w:rsidP="001602B6">
      <w:pPr>
        <w:jc w:val="both"/>
        <w:rPr>
          <w:i/>
          <w:sz w:val="18"/>
          <w:szCs w:val="18"/>
          <w:lang w:val="en-US"/>
        </w:rPr>
      </w:pPr>
      <w:r w:rsidRPr="00C2391F">
        <w:rPr>
          <w:i/>
          <w:sz w:val="18"/>
          <w:szCs w:val="18"/>
          <w:lang w:val="en-US"/>
        </w:rPr>
        <w:t xml:space="preserve">Warehouses De </w:t>
      </w:r>
      <w:proofErr w:type="spellStart"/>
      <w:r w:rsidRPr="00C2391F">
        <w:rPr>
          <w:i/>
          <w:sz w:val="18"/>
          <w:szCs w:val="18"/>
          <w:lang w:val="en-US"/>
        </w:rPr>
        <w:t>Pauw</w:t>
      </w:r>
      <w:proofErr w:type="spellEnd"/>
      <w:r w:rsidRPr="00C2391F">
        <w:rPr>
          <w:i/>
          <w:sz w:val="18"/>
          <w:szCs w:val="18"/>
          <w:lang w:val="en-US"/>
        </w:rPr>
        <w:t xml:space="preserve"> Comm.VA, abbreviated WDP, having its registered office at </w:t>
      </w:r>
      <w:proofErr w:type="spellStart"/>
      <w:r w:rsidRPr="00C2391F">
        <w:rPr>
          <w:i/>
          <w:sz w:val="18"/>
          <w:szCs w:val="18"/>
          <w:lang w:val="en-US"/>
        </w:rPr>
        <w:t>Blakebergen</w:t>
      </w:r>
      <w:proofErr w:type="spellEnd"/>
      <w:r w:rsidRPr="00C2391F">
        <w:rPr>
          <w:i/>
          <w:sz w:val="18"/>
          <w:szCs w:val="18"/>
          <w:lang w:val="en-US"/>
        </w:rPr>
        <w:t xml:space="preserve"> 15, 1861 </w:t>
      </w:r>
      <w:proofErr w:type="spellStart"/>
      <w:r w:rsidRPr="00C2391F">
        <w:rPr>
          <w:i/>
          <w:sz w:val="18"/>
          <w:szCs w:val="18"/>
          <w:lang w:val="en-US"/>
        </w:rPr>
        <w:t>Wolvertem</w:t>
      </w:r>
      <w:proofErr w:type="spellEnd"/>
      <w:r w:rsidRPr="00C2391F">
        <w:rPr>
          <w:i/>
          <w:sz w:val="18"/>
          <w:szCs w:val="18"/>
          <w:lang w:val="en-US"/>
        </w:rPr>
        <w:t xml:space="preserve"> (Belgium), is a public Regulated Real Estate Company, incorporated under Belgian law and listed on Euronext. </w:t>
      </w:r>
    </w:p>
    <w:p w14:paraId="7B2FD0C2" w14:textId="77777777" w:rsidR="001602B6" w:rsidRPr="00C2391F" w:rsidRDefault="001602B6" w:rsidP="001602B6">
      <w:pPr>
        <w:jc w:val="both"/>
        <w:rPr>
          <w:i/>
          <w:sz w:val="18"/>
          <w:szCs w:val="18"/>
          <w:lang w:val="en-US"/>
        </w:rPr>
      </w:pPr>
      <w:r w:rsidRPr="00C2391F">
        <w:rPr>
          <w:i/>
          <w:sz w:val="18"/>
          <w:szCs w:val="18"/>
          <w:lang w:val="en-US"/>
        </w:rPr>
        <w:t>This press release contains forward-looking information, forecasts, beliefs, opinions and estimates prepared by WDP, relating to the currently expected future performance of WDP and the market in which WDP operates (“forward-looking statements”). By their very nature, forward-looking statements involve inherent risks, uncertainties and assumptions, both general and specific, and risks exist that the forward-looking statements will not prove accurate. Investors should be aware that a number of important factors could cause actual results to differ materially from the plans, objectives, expectations, estimates and intentions expressed in, or implied by, such forward-looking statements. Such forward-looking statements are based on various hypotheses and assessments of known and unknown risks, uncertainties and other factors which seemed sound at the time they were made, but which may or may not prove to be accurate. Some events are difficult to predict and can depend on factors on which WDP has no control. Statements contained in this press release regarding past trends or activities should not be taken as a representation that such trends or activities will continue in the future.</w:t>
      </w:r>
    </w:p>
    <w:p w14:paraId="7468A6CC" w14:textId="77777777" w:rsidR="001602B6" w:rsidRPr="000D39FC" w:rsidRDefault="001602B6" w:rsidP="001602B6">
      <w:pPr>
        <w:pStyle w:val="Kop2"/>
        <w:rPr>
          <w:b w:val="0"/>
          <w:lang w:val="en-US"/>
        </w:rPr>
      </w:pPr>
      <w:r w:rsidRPr="000D39FC">
        <w:rPr>
          <w:b w:val="0"/>
          <w:i/>
          <w:sz w:val="18"/>
          <w:szCs w:val="18"/>
          <w:lang w:val="en-US"/>
        </w:rPr>
        <w:t xml:space="preserve">This uncertainty is further increased due to financial, operational and regulatory risks and risks related to the economic outlook, which reduces the predictability of any declaration, forecast or estimate made by WDP. Consequently, the reality of the earnings, financial situation, performance or achievements of WDP may prove substantially different from the guidance regarding the future earnings, financial situation, performance or achievements set out in, or implied by, such forward-looking statements. Given these uncertainties, investors are advised not to place undue reliance on these forward-looking statements. Additionally, the forward-looking statements only apply on the date of this press release. WDP expressly disclaims any obligation or undertaking, unless if required by applicable law, to release any update or revision in respect of any </w:t>
      </w:r>
      <w:proofErr w:type="spellStart"/>
      <w:r w:rsidRPr="000D39FC">
        <w:rPr>
          <w:b w:val="0"/>
          <w:i/>
          <w:sz w:val="18"/>
          <w:szCs w:val="18"/>
          <w:lang w:val="en-US"/>
        </w:rPr>
        <w:t>forwardlooking</w:t>
      </w:r>
      <w:proofErr w:type="spellEnd"/>
      <w:r w:rsidRPr="000D39FC">
        <w:rPr>
          <w:b w:val="0"/>
          <w:i/>
          <w:sz w:val="18"/>
          <w:szCs w:val="18"/>
          <w:lang w:val="en-US"/>
        </w:rPr>
        <w:t xml:space="preserve"> statement, to reflect any changes in its expectations or any change in the events, conditions, assumptions or circumstances on which such forward-looking statements are based. Neither WDP, nor its representatives, officers or advisers, guarantee that the assumptions underlying the forward-looking statements are free from errors, and neither do they make any representation, warranty or prediction that the results anticipated by such forward-looking statements will be achieved.</w:t>
      </w:r>
    </w:p>
    <w:p w14:paraId="517AA047" w14:textId="7355787F" w:rsidR="007B41F7" w:rsidRPr="00EE71E1" w:rsidRDefault="007B41F7" w:rsidP="001602B6">
      <w:pPr>
        <w:jc w:val="both"/>
        <w:rPr>
          <w:b/>
          <w:lang w:val="en-US"/>
        </w:rPr>
      </w:pPr>
    </w:p>
    <w:sectPr w:rsidR="007B41F7" w:rsidRPr="00EE71E1" w:rsidSect="007470EE">
      <w:headerReference w:type="default" r:id="rId39"/>
      <w:footerReference w:type="default" r:id="rId40"/>
      <w:pgSz w:w="11906" w:h="16838"/>
      <w:pgMar w:top="212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4E08" w14:textId="77777777" w:rsidR="00F44BEF" w:rsidRDefault="00F44BEF" w:rsidP="00DF3DE4">
      <w:pPr>
        <w:spacing w:after="0" w:line="240" w:lineRule="auto"/>
      </w:pPr>
      <w:r>
        <w:separator/>
      </w:r>
    </w:p>
  </w:endnote>
  <w:endnote w:type="continuationSeparator" w:id="0">
    <w:p w14:paraId="0DACE2A8" w14:textId="77777777" w:rsidR="00F44BEF" w:rsidRDefault="00F44BEF" w:rsidP="00DF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HelveticaNeueLTStd-Bd">
    <w:altName w:val="Cambria"/>
    <w:panose1 w:val="00000000000000000000"/>
    <w:charset w:val="4D"/>
    <w:family w:val="auto"/>
    <w:notTrueType/>
    <w:pitch w:val="default"/>
    <w:sig w:usb0="00000003" w:usb1="00000000" w:usb2="00000000" w:usb3="00000000" w:csb0="00000001" w:csb1="00000000"/>
  </w:font>
  <w:font w:name="HelveticaNeueLTStd-Md">
    <w:panose1 w:val="00000000000000000000"/>
    <w:charset w:val="4D"/>
    <w:family w:val="auto"/>
    <w:notTrueType/>
    <w:pitch w:val="default"/>
    <w:sig w:usb0="00000003" w:usb1="00000000" w:usb2="00000000" w:usb3="00000000" w:csb0="00000001" w:csb1="00000000"/>
  </w:font>
  <w:font w:name="HelveticaNeueLTStd-LtIt">
    <w:panose1 w:val="00000000000000000000"/>
    <w:charset w:val="4D"/>
    <w:family w:val="auto"/>
    <w:notTrueType/>
    <w:pitch w:val="default"/>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Std-Cn">
    <w:altName w:val="Arial"/>
    <w:panose1 w:val="00000000000000000000"/>
    <w:charset w:val="4D"/>
    <w:family w:val="auto"/>
    <w:notTrueType/>
    <w:pitch w:val="default"/>
    <w:sig w:usb0="00000003" w:usb1="00000000" w:usb2="00000000" w:usb3="00000000" w:csb0="00000001" w:csb1="00000000"/>
  </w:font>
  <w:font w:name="HelveticaNeueLTStd-LtC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A51F" w14:textId="77777777" w:rsidR="00F44BEF" w:rsidRDefault="00F44BEF">
    <w:pPr>
      <w:pStyle w:val="Voettekst"/>
      <w:jc w:val="right"/>
    </w:pPr>
  </w:p>
  <w:p w14:paraId="4A8F81C9" w14:textId="715BF35D" w:rsidR="00F44BEF" w:rsidRDefault="00F44BEF">
    <w:pPr>
      <w:pStyle w:val="Voettekst"/>
      <w:jc w:val="right"/>
    </w:pPr>
    <w:r w:rsidRPr="00E54840">
      <w:fldChar w:fldCharType="begin"/>
    </w:r>
    <w:r w:rsidRPr="00E54840">
      <w:instrText xml:space="preserve"> PAGE   \* MERGEFORMAT </w:instrText>
    </w:r>
    <w:r w:rsidRPr="00E54840">
      <w:fldChar w:fldCharType="separate"/>
    </w:r>
    <w:r w:rsidR="00B36227">
      <w:rPr>
        <w:noProof/>
      </w:rPr>
      <w:t>11</w:t>
    </w:r>
    <w:r w:rsidRPr="00E54840">
      <w:rPr>
        <w:noProof/>
      </w:rPr>
      <w:fldChar w:fldCharType="end"/>
    </w:r>
    <w:r>
      <w:t>/</w:t>
    </w:r>
    <w:r w:rsidR="00720A46">
      <w:rPr>
        <w:noProof/>
      </w:rPr>
      <w:t>31</w:t>
    </w:r>
  </w:p>
  <w:p w14:paraId="7E72C8AB" w14:textId="77777777" w:rsidR="00F44BEF" w:rsidRDefault="00F44BE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62E9" w14:textId="77777777" w:rsidR="00F44BEF" w:rsidRDefault="00F44BEF" w:rsidP="00DF3DE4">
      <w:pPr>
        <w:spacing w:after="0" w:line="240" w:lineRule="auto"/>
      </w:pPr>
      <w:r>
        <w:separator/>
      </w:r>
    </w:p>
  </w:footnote>
  <w:footnote w:type="continuationSeparator" w:id="0">
    <w:p w14:paraId="52FFBD84" w14:textId="77777777" w:rsidR="00F44BEF" w:rsidRDefault="00F44BEF" w:rsidP="00DF3DE4">
      <w:pPr>
        <w:spacing w:after="0" w:line="240" w:lineRule="auto"/>
      </w:pPr>
      <w:r>
        <w:continuationSeparator/>
      </w:r>
    </w:p>
  </w:footnote>
  <w:footnote w:id="1">
    <w:p w14:paraId="3A91E24A" w14:textId="5630A48E" w:rsidR="00F44BEF" w:rsidRDefault="00F44BEF" w:rsidP="00F70EA3">
      <w:pPr>
        <w:pStyle w:val="Voetnoottekst"/>
        <w:jc w:val="both"/>
        <w:rPr>
          <w:i/>
          <w:sz w:val="18"/>
          <w:szCs w:val="18"/>
        </w:rPr>
      </w:pPr>
      <w:r>
        <w:rPr>
          <w:i/>
          <w:sz w:val="18"/>
        </w:rPr>
        <w:t>In accordance with the guidelines issued by ESMA (the European Securities and Markets Authority), applicable as at 3 July 2016, the Alternative Performance Measures (APM) used by WDP must now be defined in a footnote on their first mention in this press release. This definition will also be accompanied by a symbol (</w:t>
      </w:r>
      <w:r w:rsidRPr="008862B5">
        <w:rPr>
          <w:color w:val="808080"/>
          <w:sz w:val="18"/>
          <w:szCs w:val="18"/>
        </w:rPr>
        <w:sym w:font="Wingdings 3" w:char="F07A"/>
      </w:r>
      <w:r>
        <w:rPr>
          <w:i/>
          <w:sz w:val="18"/>
        </w:rPr>
        <w:t>) so the reader can easily recognise it as an APM definition. Chapter</w:t>
      </w:r>
      <w:r w:rsidR="00C87DBA">
        <w:rPr>
          <w:i/>
          <w:sz w:val="18"/>
        </w:rPr>
        <w:t>s</w:t>
      </w:r>
      <w:r>
        <w:rPr>
          <w:i/>
          <w:sz w:val="18"/>
        </w:rPr>
        <w:t xml:space="preserve"> 7-8 of this press release also gives a reconciliation of these indicators.</w:t>
      </w:r>
    </w:p>
    <w:p w14:paraId="09A31212" w14:textId="77777777" w:rsidR="00F44BEF" w:rsidRDefault="00F44BEF" w:rsidP="00464641">
      <w:pPr>
        <w:pStyle w:val="Voetnoottekst"/>
        <w:jc w:val="both"/>
      </w:pPr>
    </w:p>
    <w:p w14:paraId="4FF8E034" w14:textId="5211BF4C" w:rsidR="00F44BEF" w:rsidRPr="00720A46" w:rsidRDefault="00F44BEF" w:rsidP="00965A4B">
      <w:pPr>
        <w:pStyle w:val="Voetnoottekst"/>
        <w:jc w:val="both"/>
        <w:rPr>
          <w:sz w:val="18"/>
          <w:szCs w:val="18"/>
        </w:rPr>
      </w:pPr>
      <w:r w:rsidRPr="00720A46">
        <w:rPr>
          <w:rStyle w:val="Voetnootmarkering"/>
          <w:sz w:val="18"/>
          <w:szCs w:val="18"/>
        </w:rPr>
        <w:footnoteRef/>
      </w:r>
      <w:r w:rsidRPr="00720A46">
        <w:rPr>
          <w:sz w:val="18"/>
          <w:szCs w:val="18"/>
        </w:rPr>
        <w:t xml:space="preserve"> </w:t>
      </w:r>
      <w:r w:rsidRPr="00720A46">
        <w:rPr>
          <w:color w:val="808080"/>
          <w:sz w:val="18"/>
          <w:szCs w:val="18"/>
        </w:rPr>
        <w:sym w:font="Wingdings 3" w:char="F07A"/>
      </w:r>
      <w:r w:rsidRPr="00720A46">
        <w:rPr>
          <w:i/>
          <w:sz w:val="18"/>
          <w:szCs w:val="18"/>
        </w:rPr>
        <w:t xml:space="preserve">EPRA Earnings: this is the underlying result of core activities and indicates the degree to which the current dividend payments are supported by the profit. This result is calculated as the net result (IFRS) exclusive of the result on the portfolio, the change in the fair value of financial instruments and depreciation and write-down on solar panels. See also </w:t>
      </w:r>
      <w:hyperlink r:id="rId1">
        <w:r w:rsidRPr="00720A46">
          <w:rPr>
            <w:i/>
            <w:sz w:val="18"/>
            <w:szCs w:val="18"/>
          </w:rPr>
          <w:t>www.epra.com</w:t>
        </w:r>
      </w:hyperlink>
      <w:r w:rsidRPr="00720A46">
        <w:rPr>
          <w:i/>
          <w:sz w:val="18"/>
          <w:szCs w:val="18"/>
        </w:rPr>
        <w:t xml:space="preserve">. </w:t>
      </w:r>
    </w:p>
  </w:footnote>
  <w:footnote w:id="2">
    <w:p w14:paraId="19BE166A" w14:textId="162E75FD" w:rsidR="00F44BEF" w:rsidRPr="00720A46" w:rsidRDefault="00F44BEF" w:rsidP="00965A4B">
      <w:pPr>
        <w:pStyle w:val="Voetnoottekst"/>
        <w:jc w:val="both"/>
        <w:rPr>
          <w:sz w:val="18"/>
          <w:szCs w:val="18"/>
        </w:rPr>
      </w:pPr>
      <w:r w:rsidRPr="00720A46">
        <w:rPr>
          <w:rStyle w:val="Voetnootmarkering"/>
          <w:sz w:val="18"/>
          <w:szCs w:val="18"/>
        </w:rPr>
        <w:footnoteRef/>
      </w:r>
      <w:r w:rsidRPr="00720A46">
        <w:rPr>
          <w:sz w:val="18"/>
          <w:szCs w:val="18"/>
        </w:rPr>
        <w:t xml:space="preserve"> </w:t>
      </w:r>
      <w:r w:rsidRPr="00720A46">
        <w:rPr>
          <w:color w:val="808080"/>
          <w:sz w:val="18"/>
          <w:szCs w:val="18"/>
        </w:rPr>
        <w:sym w:font="Wingdings 3" w:char="F07A"/>
      </w:r>
      <w:r w:rsidRPr="00720A46">
        <w:rPr>
          <w:i/>
          <w:sz w:val="18"/>
          <w:szCs w:val="18"/>
        </w:rPr>
        <w:t>The EPRA Earnings per share is the EPRA Earnings based on the weighted average number of shares.</w:t>
      </w:r>
    </w:p>
  </w:footnote>
  <w:footnote w:id="3">
    <w:p w14:paraId="2C6EAD16" w14:textId="77777777" w:rsidR="00F44BEF" w:rsidRPr="00720A46" w:rsidRDefault="00F44BEF" w:rsidP="000D3BBF">
      <w:pPr>
        <w:pStyle w:val="Voetnoottekst"/>
        <w:jc w:val="both"/>
        <w:rPr>
          <w:sz w:val="18"/>
          <w:szCs w:val="18"/>
        </w:rPr>
      </w:pPr>
      <w:r w:rsidRPr="00720A46">
        <w:rPr>
          <w:rStyle w:val="Voetnootmarkering"/>
          <w:sz w:val="18"/>
          <w:szCs w:val="18"/>
        </w:rPr>
        <w:footnoteRef/>
      </w:r>
      <w:r w:rsidRPr="00720A46">
        <w:rPr>
          <w:sz w:val="18"/>
          <w:szCs w:val="18"/>
        </w:rPr>
        <w:t xml:space="preserve"> </w:t>
      </w:r>
      <w:r w:rsidRPr="00720A46">
        <w:rPr>
          <w:i/>
          <w:sz w:val="18"/>
          <w:szCs w:val="18"/>
        </w:rPr>
        <w:t>The occupancy rate is calculated on the basis of the rental values of the leased buildings and the unleased space and includes income from solar panels. Projects under construction and/or renovations are not taken into account.</w:t>
      </w:r>
    </w:p>
  </w:footnote>
  <w:footnote w:id="4">
    <w:p w14:paraId="2CF2F0E5" w14:textId="77777777" w:rsidR="00F44BEF" w:rsidRDefault="00F44BEF" w:rsidP="00D6546D">
      <w:pPr>
        <w:pStyle w:val="Voetnoottekst"/>
        <w:jc w:val="both"/>
      </w:pPr>
      <w:r w:rsidRPr="00720A46">
        <w:rPr>
          <w:rStyle w:val="Voetnootmarkering"/>
          <w:sz w:val="18"/>
          <w:szCs w:val="18"/>
        </w:rPr>
        <w:footnoteRef/>
      </w:r>
      <w:r w:rsidRPr="00720A46">
        <w:rPr>
          <w:sz w:val="18"/>
          <w:szCs w:val="18"/>
        </w:rPr>
        <w:t xml:space="preserve"> </w:t>
      </w:r>
      <w:r w:rsidRPr="00720A46">
        <w:rPr>
          <w:color w:val="808080"/>
          <w:sz w:val="18"/>
          <w:szCs w:val="18"/>
        </w:rPr>
        <w:sym w:font="Wingdings 3" w:char="F07A"/>
      </w:r>
      <w:r w:rsidRPr="00720A46">
        <w:rPr>
          <w:i/>
          <w:sz w:val="18"/>
          <w:szCs w:val="18"/>
        </w:rPr>
        <w:t>The gearing ratio (IFRS) is calculated in the same manner as the gearing ratio (proportionate) in accordance with the GVV/SIR KB, but based on a consolidated balance sheet in accordance with IFRS that incorporates joint ventures using the equity method</w:t>
      </w:r>
      <w:r w:rsidRPr="00720A46">
        <w:rPr>
          <w:sz w:val="18"/>
          <w:szCs w:val="18"/>
        </w:rPr>
        <w:t>.</w:t>
      </w:r>
    </w:p>
  </w:footnote>
  <w:footnote w:id="5">
    <w:p w14:paraId="7F105B1A" w14:textId="77777777" w:rsidR="00F44BEF" w:rsidRPr="007029C1" w:rsidRDefault="00F44BEF" w:rsidP="00756EF9">
      <w:pPr>
        <w:pStyle w:val="Voetnoottekst"/>
        <w:jc w:val="both"/>
        <w:rPr>
          <w:i/>
          <w:sz w:val="18"/>
          <w:szCs w:val="18"/>
        </w:rPr>
      </w:pPr>
      <w:r>
        <w:rPr>
          <w:rStyle w:val="Voetnootmarkering"/>
        </w:rPr>
        <w:footnoteRef/>
      </w:r>
      <w:r>
        <w:rPr>
          <w:sz w:val="18"/>
        </w:rPr>
        <w:t xml:space="preserve"> </w:t>
      </w:r>
      <w:r w:rsidRPr="008862B5">
        <w:rPr>
          <w:color w:val="808080"/>
          <w:sz w:val="18"/>
          <w:szCs w:val="18"/>
        </w:rPr>
        <w:sym w:font="Wingdings 3" w:char="F07A"/>
      </w:r>
      <w:r>
        <w:rPr>
          <w:i/>
          <w:sz w:val="18"/>
        </w:rPr>
        <w:t xml:space="preserve">EPRA NAV: this is the NAV that was adjusted to include properties and other investments at their fair value and exclude certain line items that are not expected to take shape in a business model with real estate investments over the long term. See also </w:t>
      </w:r>
      <w:hyperlink r:id="rId2">
        <w:r>
          <w:rPr>
            <w:i/>
            <w:sz w:val="18"/>
          </w:rPr>
          <w:t>www.epra.com</w:t>
        </w:r>
      </w:hyperlink>
      <w:r>
        <w:rPr>
          <w:i/>
          <w:sz w:val="18"/>
        </w:rPr>
        <w:t>.</w:t>
      </w:r>
    </w:p>
  </w:footnote>
  <w:footnote w:id="6">
    <w:p w14:paraId="3183F373" w14:textId="77777777" w:rsidR="00F44BEF" w:rsidRDefault="00F44BEF">
      <w:pPr>
        <w:pStyle w:val="Voetnoottekst"/>
      </w:pPr>
      <w:r>
        <w:rPr>
          <w:rStyle w:val="Voetnootmarkering"/>
        </w:rPr>
        <w:footnoteRef/>
      </w:r>
      <w:r>
        <w:t xml:space="preserve"> </w:t>
      </w:r>
      <w:r>
        <w:rPr>
          <w:i/>
          <w:sz w:val="18"/>
        </w:rPr>
        <w:t>Including the expected optional dividend for 2017.</w:t>
      </w:r>
    </w:p>
  </w:footnote>
  <w:footnote w:id="7">
    <w:p w14:paraId="2E1F581F" w14:textId="77777777" w:rsidR="00F44BEF" w:rsidRDefault="00F44BEF" w:rsidP="001A2E92">
      <w:pPr>
        <w:pStyle w:val="Voetnoottekst"/>
        <w:jc w:val="both"/>
      </w:pPr>
      <w:r>
        <w:rPr>
          <w:rStyle w:val="Voetnootmarkering"/>
        </w:rPr>
        <w:footnoteRef/>
      </w:r>
      <w:r>
        <w:t xml:space="preserve"> </w:t>
      </w:r>
      <w:r>
        <w:rPr>
          <w:i/>
          <w:sz w:val="18"/>
        </w:rPr>
        <w:t>This profit forecast is based on the current situation, barring presently unforeseen circumstances (such as a material deterioration of the economic and financial climate), and a normal number of hours of sunshine.</w:t>
      </w:r>
    </w:p>
  </w:footnote>
  <w:footnote w:id="8">
    <w:p w14:paraId="0B36197E" w14:textId="77777777" w:rsidR="00F44BEF" w:rsidRPr="000D3BBF" w:rsidRDefault="00F44BEF">
      <w:pPr>
        <w:pStyle w:val="Voetnoottekst"/>
        <w:rPr>
          <w:i/>
        </w:rPr>
      </w:pPr>
      <w:r>
        <w:rPr>
          <w:rStyle w:val="Voetnootmarkering"/>
          <w:sz w:val="18"/>
        </w:rPr>
        <w:footnoteRef/>
      </w:r>
      <w:r>
        <w:rPr>
          <w:sz w:val="18"/>
        </w:rPr>
        <w:t xml:space="preserve"> </w:t>
      </w:r>
      <w:r>
        <w:rPr>
          <w:i/>
          <w:sz w:val="18"/>
        </w:rPr>
        <w:t>Based on 100% of the investment.</w:t>
      </w:r>
    </w:p>
  </w:footnote>
  <w:footnote w:id="9">
    <w:p w14:paraId="357CAE85" w14:textId="77777777" w:rsidR="00F44BEF" w:rsidRPr="000D3BBF" w:rsidRDefault="00F44BEF" w:rsidP="0065625F">
      <w:pPr>
        <w:pStyle w:val="Voetnoottekst"/>
        <w:jc w:val="both"/>
        <w:rPr>
          <w:i/>
        </w:rPr>
      </w:pPr>
      <w:r>
        <w:rPr>
          <w:rStyle w:val="Voetnootmarkering"/>
          <w:sz w:val="18"/>
        </w:rPr>
        <w:footnoteRef/>
      </w:r>
      <w:r>
        <w:rPr>
          <w:sz w:val="18"/>
        </w:rPr>
        <w:t xml:space="preserve"> </w:t>
      </w:r>
      <w:r>
        <w:rPr>
          <w:i/>
          <w:sz w:val="18"/>
        </w:rPr>
        <w:t>See press release dated 30 April 2015.</w:t>
      </w:r>
    </w:p>
  </w:footnote>
  <w:footnote w:id="10">
    <w:p w14:paraId="555C6A68" w14:textId="3DAD7287" w:rsidR="00F44BEF" w:rsidRPr="001F1550" w:rsidRDefault="00F44BEF" w:rsidP="00947DC9">
      <w:pPr>
        <w:pStyle w:val="Voetnoottekst"/>
        <w:jc w:val="both"/>
        <w:rPr>
          <w:rFonts w:cs="Calibri"/>
          <w:i/>
          <w:sz w:val="18"/>
          <w:szCs w:val="18"/>
        </w:rPr>
      </w:pPr>
      <w:r>
        <w:rPr>
          <w:rStyle w:val="Voetnootmarkering"/>
          <w:sz w:val="18"/>
        </w:rPr>
        <w:footnoteRef/>
      </w:r>
      <w:r>
        <w:rPr>
          <w:sz w:val="18"/>
        </w:rPr>
        <w:t xml:space="preserve"> </w:t>
      </w:r>
      <w:r>
        <w:rPr>
          <w:i/>
          <w:sz w:val="18"/>
        </w:rPr>
        <w:t>Good Distribution Practice, primarily known by its abbreviation GDP, refers to the guidelines for proper distribution of medicine and related products for human use.</w:t>
      </w:r>
    </w:p>
  </w:footnote>
  <w:footnote w:id="11">
    <w:p w14:paraId="36C0D79D" w14:textId="1A3A5E21" w:rsidR="00F44BEF" w:rsidRPr="00720A46" w:rsidRDefault="00F44BEF">
      <w:pPr>
        <w:pStyle w:val="Voetnoottekst"/>
        <w:rPr>
          <w:sz w:val="18"/>
          <w:szCs w:val="18"/>
        </w:rPr>
      </w:pPr>
      <w:r w:rsidRPr="00720A46">
        <w:rPr>
          <w:rStyle w:val="Voetnootmarkering"/>
          <w:sz w:val="18"/>
          <w:szCs w:val="18"/>
        </w:rPr>
        <w:footnoteRef/>
      </w:r>
      <w:r w:rsidRPr="00720A46">
        <w:rPr>
          <w:sz w:val="18"/>
          <w:szCs w:val="18"/>
        </w:rPr>
        <w:t xml:space="preserve"> </w:t>
      </w:r>
      <w:r w:rsidRPr="00720A46">
        <w:rPr>
          <w:i/>
          <w:sz w:val="18"/>
          <w:szCs w:val="18"/>
        </w:rPr>
        <w:t>FMCG stands for Fast Moving Consumer Goods.</w:t>
      </w:r>
    </w:p>
  </w:footnote>
  <w:footnote w:id="12">
    <w:p w14:paraId="556B00FB" w14:textId="77777777" w:rsidR="00F44BEF" w:rsidRDefault="00F44BEF" w:rsidP="00C1041E">
      <w:pPr>
        <w:pStyle w:val="Voetnoottekst"/>
        <w:jc w:val="both"/>
      </w:pPr>
      <w:r>
        <w:rPr>
          <w:rStyle w:val="Voetnootmarkering"/>
          <w:sz w:val="18"/>
        </w:rPr>
        <w:footnoteRef/>
      </w:r>
      <w:r>
        <w:rPr>
          <w:sz w:val="18"/>
        </w:rPr>
        <w:t xml:space="preserve"> </w:t>
      </w:r>
      <w:r>
        <w:rPr>
          <w:i/>
          <w:sz w:val="18"/>
        </w:rPr>
        <w:t>Based on 100% of the investment.</w:t>
      </w:r>
    </w:p>
  </w:footnote>
  <w:footnote w:id="13">
    <w:p w14:paraId="090BC379" w14:textId="181D0F75" w:rsidR="00690903" w:rsidRPr="00EE71E1" w:rsidRDefault="00690903">
      <w:pPr>
        <w:pStyle w:val="Voetnoottekst"/>
        <w:rPr>
          <w:sz w:val="18"/>
          <w:szCs w:val="18"/>
        </w:rPr>
      </w:pPr>
      <w:r w:rsidRPr="00EE71E1">
        <w:rPr>
          <w:rStyle w:val="Voetnootmarkering"/>
          <w:sz w:val="18"/>
          <w:szCs w:val="18"/>
        </w:rPr>
        <w:footnoteRef/>
      </w:r>
      <w:r w:rsidRPr="00EE71E1">
        <w:rPr>
          <w:sz w:val="18"/>
          <w:szCs w:val="18"/>
        </w:rPr>
        <w:t xml:space="preserve"> </w:t>
      </w:r>
      <w:r w:rsidRPr="00EE71E1">
        <w:rPr>
          <w:i/>
          <w:sz w:val="18"/>
          <w:szCs w:val="18"/>
        </w:rPr>
        <w:t>More information is available via www.thesolarfuture.nl.</w:t>
      </w:r>
    </w:p>
  </w:footnote>
  <w:footnote w:id="14">
    <w:p w14:paraId="051177ED" w14:textId="420F6BB3" w:rsidR="00F44BEF" w:rsidRDefault="00F44BEF">
      <w:pPr>
        <w:pStyle w:val="Voetnoottekst"/>
      </w:pPr>
      <w:r>
        <w:rPr>
          <w:rStyle w:val="Voetnootmarkering"/>
        </w:rPr>
        <w:footnoteRef/>
      </w:r>
      <w:r>
        <w:t xml:space="preserve"> </w:t>
      </w:r>
      <w:r>
        <w:rPr>
          <w:i/>
          <w:sz w:val="18"/>
        </w:rPr>
        <w:t>See press release dated 26 April 2017.</w:t>
      </w:r>
    </w:p>
  </w:footnote>
  <w:footnote w:id="15">
    <w:p w14:paraId="0A32714E" w14:textId="77777777" w:rsidR="00F44BEF" w:rsidRDefault="00F44BEF" w:rsidP="007E6B48">
      <w:pPr>
        <w:pStyle w:val="Voetnoottekst"/>
        <w:jc w:val="both"/>
      </w:pPr>
      <w:r>
        <w:rPr>
          <w:rStyle w:val="Voetnootmarkering"/>
        </w:rPr>
        <w:footnoteRef/>
      </w:r>
      <w:r>
        <w:t xml:space="preserve"> </w:t>
      </w:r>
      <w:r>
        <w:rPr>
          <w:i/>
          <w:sz w:val="18"/>
        </w:rPr>
        <w:t>See Article 269 of the Belgian Income Tax Code 1992, as amended by Articles 93 to 95 of the Belgian Programme Act of 25 December 2016.</w:t>
      </w:r>
    </w:p>
  </w:footnote>
  <w:footnote w:id="16">
    <w:p w14:paraId="4C316546" w14:textId="7BF707C7" w:rsidR="00F44BEF" w:rsidRPr="001F1550" w:rsidRDefault="00F44BEF" w:rsidP="000D3BBF">
      <w:pPr>
        <w:pStyle w:val="FootnotePirre"/>
        <w:jc w:val="both"/>
        <w:rPr>
          <w:rFonts w:ascii="Calibri" w:hAnsi="Calibri" w:cs="Calibri"/>
        </w:rPr>
      </w:pPr>
      <w:r>
        <w:rPr>
          <w:rFonts w:ascii="Calibri" w:hAnsi="Calibri"/>
          <w:color w:val="auto"/>
          <w:sz w:val="18"/>
          <w:vertAlign w:val="superscript"/>
        </w:rPr>
        <w:footnoteRef/>
      </w:r>
      <w:r>
        <w:tab/>
      </w:r>
      <w:r w:rsidRPr="00591CD7">
        <w:rPr>
          <w:color w:val="808080"/>
          <w:sz w:val="18"/>
          <w:szCs w:val="18"/>
        </w:rPr>
        <w:sym w:font="Wingdings 3" w:char="F07A"/>
      </w:r>
      <w:r>
        <w:rPr>
          <w:rFonts w:ascii="Calibri" w:hAnsi="Calibri"/>
          <w:i/>
          <w:color w:val="auto"/>
          <w:sz w:val="18"/>
        </w:rPr>
        <w:t xml:space="preserve">Like-for-like rental growth: this is the organic growth in gross rental income year-on-year on the basis of an unchanged portfolio, exclusive of project developments, acquisitions and sales during these two comparison periods. </w:t>
      </w:r>
    </w:p>
  </w:footnote>
  <w:footnote w:id="17">
    <w:p w14:paraId="1E070127" w14:textId="77777777" w:rsidR="00F44BEF" w:rsidRDefault="00F44BEF" w:rsidP="009508BF">
      <w:pPr>
        <w:pStyle w:val="Voetnoottekst"/>
        <w:jc w:val="both"/>
      </w:pPr>
      <w:r>
        <w:rPr>
          <w:rStyle w:val="Voetnootmarkering"/>
        </w:rPr>
        <w:footnoteRef/>
      </w:r>
      <w:r>
        <w:t xml:space="preserve"> </w:t>
      </w:r>
      <w:r w:rsidRPr="008862B5">
        <w:rPr>
          <w:color w:val="808080"/>
          <w:sz w:val="18"/>
          <w:szCs w:val="18"/>
        </w:rPr>
        <w:sym w:font="Wingdings 3" w:char="F07A"/>
      </w:r>
      <w:r>
        <w:rPr>
          <w:i/>
          <w:sz w:val="18"/>
        </w:rPr>
        <w:t>Financial result (exclusive of change in the fair value of the financial instruments): this is the financial result according to IFRS exclusive of the change in fair value of financial assets and liabilities, and reflects the actual financial expenses of the company.</w:t>
      </w:r>
    </w:p>
  </w:footnote>
  <w:footnote w:id="18">
    <w:p w14:paraId="0DC3FD07" w14:textId="203B7C2F" w:rsidR="00F44BEF" w:rsidRPr="001F1550" w:rsidRDefault="00F44BEF" w:rsidP="00C2096E">
      <w:pPr>
        <w:pStyle w:val="FootnotePirre"/>
        <w:ind w:left="0" w:firstLine="0"/>
        <w:jc w:val="both"/>
        <w:rPr>
          <w:rFonts w:ascii="Calibri" w:hAnsi="Calibri" w:cs="Calibri"/>
          <w:color w:val="auto"/>
          <w:sz w:val="18"/>
          <w:szCs w:val="18"/>
        </w:rPr>
      </w:pPr>
      <w:r>
        <w:rPr>
          <w:rFonts w:ascii="Calibri" w:hAnsi="Calibri"/>
          <w:color w:val="auto"/>
          <w:sz w:val="18"/>
          <w:vertAlign w:val="superscript"/>
        </w:rPr>
        <w:footnoteRef/>
      </w:r>
      <w:r>
        <w:rPr>
          <w:rFonts w:ascii="Calibri" w:hAnsi="Calibri"/>
          <w:color w:val="auto"/>
          <w:sz w:val="18"/>
        </w:rPr>
        <w:t xml:space="preserve"> </w:t>
      </w:r>
      <w:r w:rsidRPr="008862B5">
        <w:rPr>
          <w:color w:val="808080"/>
          <w:sz w:val="18"/>
          <w:szCs w:val="18"/>
        </w:rPr>
        <w:sym w:font="Wingdings 3" w:char="F07A"/>
      </w:r>
      <w:r>
        <w:rPr>
          <w:rFonts w:ascii="Calibri" w:hAnsi="Calibri"/>
          <w:i/>
          <w:color w:val="auto"/>
          <w:sz w:val="18"/>
        </w:rPr>
        <w:t xml:space="preserve">Result on the portfolio (including </w:t>
      </w:r>
      <w:r w:rsidR="00DF6F73">
        <w:rPr>
          <w:rFonts w:ascii="Calibri" w:hAnsi="Calibri"/>
          <w:i/>
          <w:color w:val="auto"/>
          <w:sz w:val="18"/>
        </w:rPr>
        <w:t xml:space="preserve">participation </w:t>
      </w:r>
      <w:r>
        <w:rPr>
          <w:rFonts w:ascii="Calibri" w:hAnsi="Calibri"/>
          <w:i/>
          <w:color w:val="auto"/>
          <w:sz w:val="18"/>
        </w:rPr>
        <w:t>joint ventures): realised and unrealised capital gains/loss with respect to the latest valuation by the real-estate experts, taking into account the effective or deferred capital gains tax due, including WDP’s proportionate share in the portfolio of associated companies and joint ventures</w:t>
      </w:r>
      <w:r>
        <w:rPr>
          <w:rFonts w:ascii="Calibri" w:hAnsi="Calibri"/>
          <w:color w:val="auto"/>
          <w:sz w:val="18"/>
        </w:rPr>
        <w:t>.</w:t>
      </w:r>
    </w:p>
  </w:footnote>
  <w:footnote w:id="19">
    <w:p w14:paraId="32CEB070" w14:textId="745641A8" w:rsidR="00F44BEF" w:rsidRPr="001F1550" w:rsidRDefault="00F44BEF" w:rsidP="002F268B">
      <w:pPr>
        <w:pStyle w:val="FootnotePirre"/>
        <w:ind w:left="0" w:firstLine="0"/>
        <w:jc w:val="both"/>
        <w:rPr>
          <w:rFonts w:ascii="Calibri" w:hAnsi="Calibri" w:cs="Calibri"/>
          <w:color w:val="auto"/>
          <w:sz w:val="18"/>
          <w:szCs w:val="18"/>
        </w:rPr>
      </w:pPr>
      <w:r>
        <w:rPr>
          <w:rFonts w:ascii="Calibri" w:hAnsi="Calibri"/>
          <w:color w:val="auto"/>
          <w:sz w:val="18"/>
          <w:vertAlign w:val="superscript"/>
        </w:rPr>
        <w:footnoteRef/>
      </w:r>
      <w:r>
        <w:rPr>
          <w:rFonts w:ascii="Calibri" w:hAnsi="Calibri"/>
          <w:color w:val="auto"/>
          <w:sz w:val="18"/>
        </w:rPr>
        <w:t xml:space="preserve"> </w:t>
      </w:r>
      <w:r w:rsidRPr="008862B5">
        <w:rPr>
          <w:color w:val="808080"/>
          <w:sz w:val="18"/>
          <w:szCs w:val="18"/>
        </w:rPr>
        <w:sym w:font="Wingdings 3" w:char="F07A"/>
      </w:r>
      <w:r>
        <w:rPr>
          <w:rFonts w:ascii="Calibri" w:hAnsi="Calibri"/>
          <w:i/>
          <w:color w:val="auto"/>
          <w:sz w:val="18"/>
        </w:rPr>
        <w:t xml:space="preserve">Result on the portfolio (including </w:t>
      </w:r>
      <w:r w:rsidR="00DF6F73">
        <w:rPr>
          <w:rFonts w:ascii="Calibri" w:hAnsi="Calibri"/>
          <w:i/>
          <w:color w:val="auto"/>
          <w:sz w:val="18"/>
        </w:rPr>
        <w:t xml:space="preserve">participation </w:t>
      </w:r>
      <w:r>
        <w:rPr>
          <w:rFonts w:ascii="Calibri" w:hAnsi="Calibri"/>
          <w:i/>
          <w:color w:val="auto"/>
          <w:sz w:val="18"/>
        </w:rPr>
        <w:t xml:space="preserve">joint ventures) per share: this is the result on the portfolio (including the </w:t>
      </w:r>
      <w:r w:rsidR="00DF6F73">
        <w:rPr>
          <w:rFonts w:ascii="Calibri" w:hAnsi="Calibri"/>
          <w:i/>
          <w:color w:val="auto"/>
          <w:sz w:val="18"/>
        </w:rPr>
        <w:t xml:space="preserve">participation </w:t>
      </w:r>
      <w:r>
        <w:rPr>
          <w:rFonts w:ascii="Calibri" w:hAnsi="Calibri"/>
          <w:i/>
          <w:color w:val="auto"/>
          <w:sz w:val="18"/>
        </w:rPr>
        <w:t>joint ventures) based on the weighted average number of shares.</w:t>
      </w:r>
    </w:p>
  </w:footnote>
  <w:footnote w:id="20">
    <w:p w14:paraId="3E5389AF" w14:textId="1547E97B" w:rsidR="00F44BEF" w:rsidRPr="00326593" w:rsidRDefault="00F44BEF" w:rsidP="0078369A">
      <w:pPr>
        <w:pStyle w:val="Voetnoottekst"/>
        <w:jc w:val="both"/>
        <w:rPr>
          <w:i/>
          <w:sz w:val="18"/>
          <w:szCs w:val="18"/>
        </w:rPr>
      </w:pPr>
      <w:r>
        <w:rPr>
          <w:rStyle w:val="Voetnootmarkering"/>
          <w:i/>
          <w:sz w:val="18"/>
        </w:rPr>
        <w:footnoteRef/>
      </w:r>
      <w:r>
        <w:rPr>
          <w:i/>
          <w:sz w:val="18"/>
        </w:rPr>
        <w:t xml:space="preserve"> Changes in the fair value of financial assets and liabilities (non-cash item) are calculated based on the mark-to-market (M</w:t>
      </w:r>
      <w:r w:rsidR="00DF6F73">
        <w:rPr>
          <w:i/>
          <w:sz w:val="18"/>
        </w:rPr>
        <w:t>-</w:t>
      </w:r>
      <w:r>
        <w:rPr>
          <w:i/>
          <w:sz w:val="18"/>
        </w:rPr>
        <w:t>t</w:t>
      </w:r>
      <w:r w:rsidR="00DF6F73">
        <w:rPr>
          <w:i/>
          <w:sz w:val="18"/>
        </w:rPr>
        <w:t>-</w:t>
      </w:r>
      <w:r>
        <w:rPr>
          <w:i/>
          <w:sz w:val="18"/>
        </w:rPr>
        <w:t xml:space="preserve">M) value of the interest rate hedges entered into. </w:t>
      </w:r>
    </w:p>
  </w:footnote>
  <w:footnote w:id="21">
    <w:p w14:paraId="25D5E5FA" w14:textId="41A86590" w:rsidR="00F44BEF" w:rsidRPr="00720A46" w:rsidRDefault="00F44BEF" w:rsidP="007E75B0">
      <w:pPr>
        <w:pStyle w:val="Voetnoottekst"/>
        <w:jc w:val="both"/>
        <w:rPr>
          <w:rFonts w:asciiTheme="minorHAnsi" w:hAnsiTheme="minorHAnsi" w:cstheme="minorHAnsi"/>
        </w:rPr>
      </w:pPr>
      <w:r w:rsidRPr="00720A46">
        <w:rPr>
          <w:rStyle w:val="Voetnootmarkering"/>
          <w:rFonts w:asciiTheme="minorHAnsi" w:hAnsiTheme="minorHAnsi" w:cstheme="minorHAnsi"/>
          <w:sz w:val="18"/>
        </w:rPr>
        <w:footnoteRef/>
      </w:r>
      <w:r w:rsidRPr="00720A46">
        <w:rPr>
          <w:rFonts w:asciiTheme="minorHAnsi" w:hAnsiTheme="minorHAnsi" w:cstheme="minorHAnsi"/>
          <w:sz w:val="18"/>
        </w:rPr>
        <w:t xml:space="preserve"> </w:t>
      </w:r>
      <w:r w:rsidRPr="00720A46">
        <w:rPr>
          <w:rFonts w:asciiTheme="minorHAnsi" w:hAnsiTheme="minorHAnsi" w:cstheme="minorHAnsi"/>
          <w:i/>
          <w:sz w:val="18"/>
        </w:rPr>
        <w:t>Under IFRS</w:t>
      </w:r>
      <w:r w:rsidR="00663D6C" w:rsidRPr="00720A46">
        <w:rPr>
          <w:rFonts w:asciiTheme="minorHAnsi" w:hAnsiTheme="minorHAnsi" w:cstheme="minorHAnsi"/>
          <w:i/>
          <w:sz w:val="18"/>
        </w:rPr>
        <w:t xml:space="preserve"> 11</w:t>
      </w:r>
      <w:r w:rsidRPr="00720A46">
        <w:rPr>
          <w:rFonts w:asciiTheme="minorHAnsi" w:hAnsiTheme="minorHAnsi" w:cstheme="minorHAnsi"/>
          <w:i/>
          <w:sz w:val="18"/>
        </w:rPr>
        <w:t xml:space="preserve"> ‘Joint arrangements’, the joint ventures (mainly WDP Development RO, in which WDP retains 51%) are incorporated using the equity method. With regard to the statistics associated with reporting on the portfolio, WDP’s proportionate share in the portfolio of WDP Development RO was still shown (51%).</w:t>
      </w:r>
    </w:p>
  </w:footnote>
  <w:footnote w:id="22">
    <w:p w14:paraId="19E474C6" w14:textId="77777777" w:rsidR="00F44BEF" w:rsidRPr="00720A46" w:rsidRDefault="00F44BEF" w:rsidP="002845B0">
      <w:pPr>
        <w:pStyle w:val="FootnotePirre"/>
        <w:jc w:val="both"/>
        <w:rPr>
          <w:rFonts w:asciiTheme="minorHAnsi" w:hAnsiTheme="minorHAnsi" w:cstheme="minorHAnsi"/>
          <w:color w:val="auto"/>
          <w:sz w:val="18"/>
          <w:szCs w:val="18"/>
        </w:rPr>
      </w:pPr>
      <w:r w:rsidRPr="00720A46">
        <w:rPr>
          <w:rFonts w:asciiTheme="minorHAnsi" w:hAnsiTheme="minorHAnsi" w:cstheme="minorHAnsi"/>
          <w:color w:val="auto"/>
          <w:sz w:val="18"/>
          <w:vertAlign w:val="superscript"/>
        </w:rPr>
        <w:footnoteRef/>
      </w:r>
      <w:r w:rsidRPr="00720A46">
        <w:rPr>
          <w:rFonts w:asciiTheme="minorHAnsi" w:hAnsiTheme="minorHAnsi" w:cstheme="minorHAnsi"/>
        </w:rPr>
        <w:tab/>
      </w:r>
      <w:r w:rsidRPr="00720A46">
        <w:rPr>
          <w:rFonts w:asciiTheme="minorHAnsi" w:hAnsiTheme="minorHAnsi" w:cstheme="minorHAnsi"/>
          <w:i/>
          <w:color w:val="auto"/>
          <w:sz w:val="18"/>
        </w:rPr>
        <w:t>For the precise valuation method used, please refer to the BE-REIT press release dated 10 November 2016.</w:t>
      </w:r>
    </w:p>
  </w:footnote>
  <w:footnote w:id="23">
    <w:p w14:paraId="6C60984F" w14:textId="77777777" w:rsidR="00F44BEF" w:rsidRPr="00720A46" w:rsidRDefault="00F44BEF" w:rsidP="002845B0">
      <w:pPr>
        <w:pStyle w:val="FootnotePirre"/>
        <w:jc w:val="both"/>
        <w:rPr>
          <w:rFonts w:asciiTheme="minorHAnsi" w:eastAsia="Calibri" w:hAnsiTheme="minorHAnsi" w:cstheme="minorHAnsi"/>
          <w:i/>
          <w:color w:val="auto"/>
          <w:sz w:val="18"/>
          <w:szCs w:val="18"/>
          <w:lang w:val="en-US"/>
        </w:rPr>
      </w:pPr>
      <w:r w:rsidRPr="00720A46">
        <w:rPr>
          <w:rFonts w:asciiTheme="minorHAnsi" w:hAnsiTheme="minorHAnsi" w:cstheme="minorHAnsi"/>
          <w:color w:val="auto"/>
          <w:sz w:val="18"/>
          <w:vertAlign w:val="superscript"/>
        </w:rPr>
        <w:footnoteRef/>
      </w:r>
      <w:r w:rsidRPr="00720A46">
        <w:rPr>
          <w:rFonts w:asciiTheme="minorHAnsi" w:hAnsiTheme="minorHAnsi" w:cstheme="minorHAnsi"/>
        </w:rPr>
        <w:tab/>
      </w:r>
      <w:r w:rsidRPr="00720A46">
        <w:rPr>
          <w:rFonts w:asciiTheme="minorHAnsi" w:hAnsiTheme="minorHAnsi" w:cstheme="minorHAnsi"/>
          <w:i/>
          <w:color w:val="auto"/>
          <w:sz w:val="18"/>
        </w:rPr>
        <w:t>Investments in solar panels are valuated in compliance with IAS 16 by applying the revaluation model.</w:t>
      </w:r>
    </w:p>
  </w:footnote>
  <w:footnote w:id="24">
    <w:p w14:paraId="50BFFA5F" w14:textId="77777777" w:rsidR="00F44BEF" w:rsidRPr="002845B0" w:rsidRDefault="00F44BEF" w:rsidP="00FD4D59">
      <w:pPr>
        <w:pStyle w:val="FootnotePirre"/>
        <w:ind w:left="0" w:firstLine="0"/>
        <w:jc w:val="both"/>
        <w:rPr>
          <w:rFonts w:ascii="Calibri Light" w:hAnsi="Calibri Light" w:cs="Calibri Light"/>
          <w:color w:val="auto"/>
          <w:sz w:val="18"/>
          <w:szCs w:val="18"/>
        </w:rPr>
      </w:pPr>
      <w:r w:rsidRPr="00720A46">
        <w:rPr>
          <w:rFonts w:asciiTheme="minorHAnsi" w:hAnsiTheme="minorHAnsi" w:cstheme="minorHAnsi"/>
          <w:color w:val="auto"/>
          <w:sz w:val="18"/>
          <w:vertAlign w:val="superscript"/>
        </w:rPr>
        <w:footnoteRef/>
      </w:r>
      <w:r w:rsidRPr="00720A46">
        <w:rPr>
          <w:rFonts w:asciiTheme="minorHAnsi" w:hAnsiTheme="minorHAnsi" w:cstheme="minorHAnsi"/>
          <w:color w:val="auto"/>
          <w:sz w:val="18"/>
        </w:rPr>
        <w:t xml:space="preserve"> </w:t>
      </w:r>
      <w:r w:rsidRPr="00720A46">
        <w:rPr>
          <w:rFonts w:asciiTheme="minorHAnsi" w:hAnsiTheme="minorHAnsi" w:cstheme="minorHAnsi"/>
          <w:i/>
          <w:color w:val="auto"/>
          <w:sz w:val="18"/>
        </w:rPr>
        <w:t>Calculated by dividing the annualised contractual gross (cash) rents by fair value. The fair value is the value of the investment properties after deduction of transaction costs (mainly transfer tax).</w:t>
      </w:r>
    </w:p>
  </w:footnote>
  <w:footnote w:id="25">
    <w:p w14:paraId="6FF4E919" w14:textId="77777777" w:rsidR="00F44BEF" w:rsidRDefault="00F44BEF" w:rsidP="00360FDF">
      <w:pPr>
        <w:pStyle w:val="Voetnoottekst"/>
        <w:jc w:val="both"/>
      </w:pPr>
      <w:r>
        <w:rPr>
          <w:rStyle w:val="Voetnootmarkering"/>
          <w:sz w:val="18"/>
        </w:rPr>
        <w:footnoteRef/>
      </w:r>
      <w:r>
        <w:rPr>
          <w:sz w:val="18"/>
        </w:rPr>
        <w:t xml:space="preserve"> </w:t>
      </w:r>
      <w:r>
        <w:rPr>
          <w:i/>
          <w:sz w:val="18"/>
        </w:rPr>
        <w:t>The IFRS NAV is calculated as shareholders’ equity as per IFRS divided by the total number of dividend-entitled shares on the balance sheet date. This is the net value according to Belgian GVV/SIR legislation.</w:t>
      </w:r>
    </w:p>
  </w:footnote>
  <w:footnote w:id="26">
    <w:p w14:paraId="219F5513" w14:textId="77777777" w:rsidR="00F44BEF" w:rsidRPr="00720A46" w:rsidRDefault="00F44BEF">
      <w:pPr>
        <w:pStyle w:val="Voetnoottekst"/>
        <w:jc w:val="both"/>
        <w:rPr>
          <w:i/>
          <w:sz w:val="18"/>
          <w:szCs w:val="18"/>
        </w:rPr>
      </w:pPr>
      <w:r w:rsidRPr="00720A46">
        <w:rPr>
          <w:rStyle w:val="Voetnootmarkering"/>
          <w:sz w:val="18"/>
          <w:szCs w:val="18"/>
        </w:rPr>
        <w:footnoteRef/>
      </w:r>
      <w:r w:rsidRPr="00720A46">
        <w:rPr>
          <w:i/>
          <w:sz w:val="18"/>
          <w:szCs w:val="18"/>
        </w:rPr>
        <w:t xml:space="preserve"> Including the short-term debts, consisting mainly of the commercial paper programme, which is fully covered by backup facilities.</w:t>
      </w:r>
    </w:p>
  </w:footnote>
  <w:footnote w:id="27">
    <w:p w14:paraId="788F9071" w14:textId="77777777" w:rsidR="00F44BEF" w:rsidRPr="00720A46" w:rsidRDefault="00F44BEF">
      <w:pPr>
        <w:pStyle w:val="Voetnoottekst"/>
        <w:jc w:val="both"/>
        <w:rPr>
          <w:i/>
          <w:sz w:val="18"/>
          <w:szCs w:val="18"/>
        </w:rPr>
      </w:pPr>
      <w:r w:rsidRPr="00720A46">
        <w:rPr>
          <w:rStyle w:val="Voetnootmarkering"/>
          <w:sz w:val="18"/>
          <w:szCs w:val="18"/>
        </w:rPr>
        <w:footnoteRef/>
      </w:r>
      <w:r w:rsidRPr="00720A46">
        <w:rPr>
          <w:i/>
          <w:sz w:val="18"/>
          <w:szCs w:val="18"/>
        </w:rPr>
        <w:t xml:space="preserve"> For some credits, at the request of the company, the lender may decide to extend the credit by means of an extension option. If this option is exercised every time, the weighted average maturity of long-term loans will be 5.0 years.</w:t>
      </w:r>
    </w:p>
  </w:footnote>
  <w:footnote w:id="28">
    <w:p w14:paraId="36A53763" w14:textId="77777777" w:rsidR="00F44BEF" w:rsidRPr="00720A46" w:rsidRDefault="00F44BEF">
      <w:pPr>
        <w:pStyle w:val="Voetnoottekst"/>
        <w:jc w:val="both"/>
        <w:rPr>
          <w:i/>
          <w:sz w:val="18"/>
          <w:szCs w:val="18"/>
        </w:rPr>
      </w:pPr>
      <w:r w:rsidRPr="00720A46">
        <w:rPr>
          <w:rStyle w:val="Voetnootmarkering"/>
          <w:sz w:val="18"/>
          <w:szCs w:val="18"/>
        </w:rPr>
        <w:footnoteRef/>
      </w:r>
      <w:r w:rsidRPr="00720A46">
        <w:rPr>
          <w:i/>
          <w:sz w:val="18"/>
          <w:szCs w:val="18"/>
        </w:rPr>
        <w:t xml:space="preserve"> Exclusive of the credit facilities at the European Investment Bank for financing pre-leased projects in Romania, and the credit facilities for hedging the commercial paper programme.</w:t>
      </w:r>
    </w:p>
  </w:footnote>
  <w:footnote w:id="29">
    <w:p w14:paraId="7B4AA003" w14:textId="77777777" w:rsidR="00F44BEF" w:rsidRPr="00720A46" w:rsidRDefault="00F44BEF">
      <w:pPr>
        <w:pStyle w:val="Voetnoottekst"/>
        <w:jc w:val="both"/>
        <w:rPr>
          <w:i/>
          <w:sz w:val="18"/>
          <w:szCs w:val="18"/>
        </w:rPr>
      </w:pPr>
      <w:r w:rsidRPr="00720A46">
        <w:rPr>
          <w:rStyle w:val="Voetnootmarkering"/>
          <w:sz w:val="18"/>
          <w:szCs w:val="18"/>
        </w:rPr>
        <w:footnoteRef/>
      </w:r>
      <w:r w:rsidRPr="00720A46">
        <w:rPr>
          <w:i/>
          <w:sz w:val="18"/>
          <w:szCs w:val="18"/>
        </w:rPr>
        <w:t xml:space="preserve"> Defined as operating result (before result on the portfolio), divided by interest charges, minus interest income and dividends, minus income from financial leases and similar.</w:t>
      </w:r>
    </w:p>
  </w:footnote>
  <w:footnote w:id="30">
    <w:p w14:paraId="78E98521" w14:textId="77777777" w:rsidR="00F44BEF" w:rsidRPr="005E42A0" w:rsidRDefault="00F44BEF" w:rsidP="00A434E8">
      <w:pPr>
        <w:pStyle w:val="Voetnoottekst"/>
        <w:jc w:val="both"/>
        <w:rPr>
          <w:i/>
          <w:sz w:val="18"/>
          <w:szCs w:val="18"/>
        </w:rPr>
      </w:pPr>
      <w:r w:rsidRPr="005E42A0">
        <w:rPr>
          <w:rStyle w:val="Voetnootmarkering"/>
          <w:sz w:val="18"/>
          <w:szCs w:val="18"/>
        </w:rPr>
        <w:footnoteRef/>
      </w:r>
      <w:r w:rsidRPr="005E42A0">
        <w:rPr>
          <w:sz w:val="18"/>
          <w:szCs w:val="18"/>
        </w:rPr>
        <w:t xml:space="preserve"> </w:t>
      </w:r>
      <w:r w:rsidRPr="005E42A0">
        <w:rPr>
          <w:color w:val="808080"/>
          <w:sz w:val="18"/>
          <w:szCs w:val="18"/>
        </w:rPr>
        <w:sym w:font="Wingdings 3" w:char="F07A"/>
      </w:r>
      <w:r w:rsidRPr="005E42A0">
        <w:rPr>
          <w:i/>
          <w:sz w:val="18"/>
          <w:szCs w:val="18"/>
        </w:rPr>
        <w:t xml:space="preserve">Hedge ratio: percentage of fixed-rate and floating-rate debts hedged against interest rate fluctuations by means of derivatives. This economic parameter is not an obligatory parameter under the Belgian Regulated Real-Estate Investment Companies Act (Wet </w:t>
      </w:r>
      <w:proofErr w:type="spellStart"/>
      <w:r w:rsidRPr="005E42A0">
        <w:rPr>
          <w:i/>
          <w:sz w:val="18"/>
          <w:szCs w:val="18"/>
        </w:rPr>
        <w:t>betreffende</w:t>
      </w:r>
      <w:proofErr w:type="spellEnd"/>
      <w:r w:rsidRPr="005E42A0">
        <w:rPr>
          <w:i/>
          <w:sz w:val="18"/>
          <w:szCs w:val="18"/>
        </w:rPr>
        <w:t xml:space="preserve"> de </w:t>
      </w:r>
      <w:proofErr w:type="spellStart"/>
      <w:r w:rsidRPr="005E42A0">
        <w:rPr>
          <w:i/>
          <w:sz w:val="18"/>
          <w:szCs w:val="18"/>
        </w:rPr>
        <w:t>gereglementeerde</w:t>
      </w:r>
      <w:proofErr w:type="spellEnd"/>
      <w:r w:rsidRPr="005E42A0">
        <w:rPr>
          <w:i/>
          <w:sz w:val="18"/>
          <w:szCs w:val="18"/>
        </w:rPr>
        <w:t xml:space="preserve"> </w:t>
      </w:r>
      <w:proofErr w:type="spellStart"/>
      <w:r w:rsidRPr="005E42A0">
        <w:rPr>
          <w:i/>
          <w:sz w:val="18"/>
          <w:szCs w:val="18"/>
        </w:rPr>
        <w:t>vastgoedvennootschappen</w:t>
      </w:r>
      <w:proofErr w:type="spellEnd"/>
      <w:r w:rsidRPr="005E42A0">
        <w:rPr>
          <w:i/>
          <w:sz w:val="18"/>
          <w:szCs w:val="18"/>
        </w:rPr>
        <w:t xml:space="preserve"> or GVV-Wet).</w:t>
      </w:r>
    </w:p>
  </w:footnote>
  <w:footnote w:id="31">
    <w:p w14:paraId="31A52E83" w14:textId="77777777" w:rsidR="00F44BEF" w:rsidRPr="00DA2D9E" w:rsidRDefault="00F44BEF">
      <w:pPr>
        <w:pStyle w:val="Voetnoottekst"/>
        <w:rPr>
          <w:sz w:val="18"/>
          <w:szCs w:val="18"/>
        </w:rPr>
      </w:pPr>
      <w:r>
        <w:rPr>
          <w:rStyle w:val="Voetnootmarkering"/>
          <w:sz w:val="18"/>
        </w:rPr>
        <w:footnoteRef/>
      </w:r>
      <w:r>
        <w:rPr>
          <w:sz w:val="18"/>
        </w:rPr>
        <w:t xml:space="preserve"> </w:t>
      </w:r>
      <w:r>
        <w:rPr>
          <w:i/>
          <w:sz w:val="18"/>
        </w:rPr>
        <w:t>Including the optional dividend for 2017.</w:t>
      </w:r>
    </w:p>
  </w:footnote>
  <w:footnote w:id="32">
    <w:p w14:paraId="28F6243E" w14:textId="77777777" w:rsidR="00F44BEF" w:rsidRPr="00DA2D9E" w:rsidRDefault="00F44BEF" w:rsidP="00DA2D9E">
      <w:pPr>
        <w:pStyle w:val="Voetnoottekst"/>
        <w:jc w:val="both"/>
        <w:rPr>
          <w:i/>
          <w:sz w:val="18"/>
          <w:szCs w:val="18"/>
        </w:rPr>
      </w:pPr>
      <w:r>
        <w:rPr>
          <w:rStyle w:val="Voetnootmarkering"/>
          <w:sz w:val="18"/>
        </w:rPr>
        <w:footnoteRef/>
      </w:r>
      <w:r>
        <w:rPr>
          <w:sz w:val="18"/>
        </w:rPr>
        <w:t xml:space="preserve"> </w:t>
      </w:r>
      <w:r>
        <w:rPr>
          <w:i/>
          <w:sz w:val="18"/>
        </w:rPr>
        <w:t>In principle, in order to reinforce shareholders’ equity, financing of the growth plan based on a constant capital structure takes into account retained earnings, optional dividends and contributions in kind. The debt component factors in traditional credit facilities and bond issues.</w:t>
      </w:r>
    </w:p>
  </w:footnote>
  <w:footnote w:id="33">
    <w:p w14:paraId="05D93166" w14:textId="77777777" w:rsidR="00F44BEF" w:rsidRPr="00DA2D9E" w:rsidRDefault="00F44BEF">
      <w:pPr>
        <w:pStyle w:val="Voetnoottekst"/>
        <w:rPr>
          <w:i/>
          <w:sz w:val="18"/>
          <w:szCs w:val="18"/>
        </w:rPr>
      </w:pPr>
      <w:r>
        <w:rPr>
          <w:rStyle w:val="Voetnootmarkering"/>
          <w:sz w:val="18"/>
        </w:rPr>
        <w:footnoteRef/>
      </w:r>
      <w:r>
        <w:rPr>
          <w:sz w:val="18"/>
        </w:rPr>
        <w:t xml:space="preserve"> </w:t>
      </w:r>
      <w:r>
        <w:rPr>
          <w:i/>
          <w:sz w:val="18"/>
        </w:rPr>
        <w:t>EPRA is a registered trademark of the European Public Real-estate Association.</w:t>
      </w:r>
    </w:p>
  </w:footnote>
  <w:footnote w:id="34">
    <w:p w14:paraId="7848C57B" w14:textId="77777777" w:rsidR="00F44BEF" w:rsidRPr="00051A48" w:rsidRDefault="00F44BEF" w:rsidP="00051A48">
      <w:pPr>
        <w:pStyle w:val="Voetnoottekst"/>
        <w:jc w:val="both"/>
        <w:rPr>
          <w:sz w:val="18"/>
          <w:szCs w:val="18"/>
        </w:rPr>
      </w:pPr>
      <w:r>
        <w:rPr>
          <w:rStyle w:val="Voetnootmarkering"/>
          <w:sz w:val="18"/>
        </w:rPr>
        <w:footnoteRef/>
      </w:r>
      <w:r>
        <w:rPr>
          <w:sz w:val="18"/>
        </w:rPr>
        <w:t xml:space="preserve"> </w:t>
      </w:r>
      <w:r>
        <w:rPr>
          <w:i/>
          <w:sz w:val="18"/>
        </w:rPr>
        <w:t>Excluding EPRA metrics, some of which are regarded as APMs and are reconciled under Chapter ‘7 EPRA Performance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6E89" w14:textId="77777777" w:rsidR="00F44BEF" w:rsidRDefault="00F44BEF" w:rsidP="0007202F">
    <w:pPr>
      <w:pStyle w:val="Koptekst"/>
      <w:jc w:val="right"/>
      <w:rPr>
        <w:noProof/>
      </w:rPr>
    </w:pPr>
  </w:p>
  <w:p w14:paraId="32F84EFE" w14:textId="77777777" w:rsidR="00F44BEF" w:rsidRDefault="00F44BEF" w:rsidP="00981A46">
    <w:pPr>
      <w:pStyle w:val="Koptekst"/>
      <w:jc w:val="center"/>
      <w:rPr>
        <w:noProof/>
      </w:rPr>
    </w:pPr>
    <w:r>
      <w:rPr>
        <w:noProof/>
        <w:lang w:val="en-US" w:eastAsia="en-US" w:bidi="ar-SA"/>
      </w:rPr>
      <w:drawing>
        <wp:anchor distT="0" distB="0" distL="114300" distR="114300" simplePos="0" relativeHeight="251657728" behindDoc="1" locked="0" layoutInCell="1" allowOverlap="1" wp14:anchorId="5561E4F3" wp14:editId="27992E4C">
          <wp:simplePos x="0" y="0"/>
          <wp:positionH relativeFrom="page">
            <wp:posOffset>896620</wp:posOffset>
          </wp:positionH>
          <wp:positionV relativeFrom="page">
            <wp:posOffset>459740</wp:posOffset>
          </wp:positionV>
          <wp:extent cx="1871980" cy="719455"/>
          <wp:effectExtent l="0" t="0" r="0" b="0"/>
          <wp:wrapTight wrapText="bothSides">
            <wp:wrapPolygon edited="0">
              <wp:start x="0" y="0"/>
              <wp:lineTo x="0" y="21162"/>
              <wp:lineTo x="21322" y="21162"/>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B3C37" w14:textId="77777777" w:rsidR="00F44BEF" w:rsidRPr="00F8411A" w:rsidRDefault="00F44BEF" w:rsidP="00AB75B3">
    <w:pPr>
      <w:pStyle w:val="Koptekst"/>
      <w:jc w:val="right"/>
      <w:rPr>
        <w:noProof/>
        <w:sz w:val="18"/>
        <w:szCs w:val="18"/>
      </w:rPr>
    </w:pPr>
    <w:r>
      <w:rPr>
        <w:noProof/>
        <w:sz w:val="18"/>
      </w:rPr>
      <w:t>PRESS RELEASE</w:t>
    </w:r>
  </w:p>
  <w:p w14:paraId="1341F0EF" w14:textId="64A6121D" w:rsidR="00F44BEF" w:rsidRDefault="00F44BEF" w:rsidP="00AB75B3">
    <w:pPr>
      <w:pStyle w:val="Koptekst"/>
      <w:jc w:val="right"/>
      <w:rPr>
        <w:noProof/>
        <w:sz w:val="18"/>
        <w:szCs w:val="18"/>
      </w:rPr>
    </w:pPr>
    <w:r>
      <w:rPr>
        <w:noProof/>
        <w:sz w:val="18"/>
      </w:rPr>
      <w:t>Wednesday 3 May 2017, 07.00 am</w:t>
    </w:r>
  </w:p>
  <w:p w14:paraId="63C4CA7A" w14:textId="77777777" w:rsidR="00F44BEF" w:rsidRDefault="00F44BEF">
    <w:pPr>
      <w:pStyle w:val="Koptekst"/>
      <w:rPr>
        <w:noProof/>
      </w:rPr>
    </w:pPr>
  </w:p>
  <w:p w14:paraId="0F98995E" w14:textId="77777777" w:rsidR="00F44BEF" w:rsidRDefault="00F44BEF" w:rsidP="00944F38">
    <w:pPr>
      <w:pStyle w:val="Kopteks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C5B"/>
    <w:multiLevelType w:val="hybridMultilevel"/>
    <w:tmpl w:val="4F68BEC0"/>
    <w:lvl w:ilvl="0" w:tplc="40D473CA">
      <w:start w:val="1"/>
      <w:numFmt w:val="bullet"/>
      <w:lvlText w:val=""/>
      <w:lvlJc w:val="left"/>
      <w:pPr>
        <w:ind w:left="720" w:hanging="360"/>
      </w:pPr>
      <w:rPr>
        <w:rFonts w:ascii="Wingdings" w:hAnsi="Wingdings" w:hint="default"/>
        <w:color w:val="808080"/>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632DAD"/>
    <w:multiLevelType w:val="hybridMultilevel"/>
    <w:tmpl w:val="14823DF0"/>
    <w:lvl w:ilvl="0" w:tplc="40D473CA">
      <w:start w:val="1"/>
      <w:numFmt w:val="bullet"/>
      <w:lvlText w:val=""/>
      <w:lvlJc w:val="left"/>
      <w:pPr>
        <w:ind w:left="720" w:hanging="360"/>
      </w:pPr>
      <w:rPr>
        <w:rFonts w:ascii="Wingdings" w:hAnsi="Wingdings" w:hint="default"/>
        <w:color w:val="808080"/>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292265"/>
    <w:multiLevelType w:val="hybridMultilevel"/>
    <w:tmpl w:val="8D1258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021E4A"/>
    <w:multiLevelType w:val="hybridMultilevel"/>
    <w:tmpl w:val="7A5EF0C0"/>
    <w:lvl w:ilvl="0" w:tplc="40D473CA">
      <w:start w:val="1"/>
      <w:numFmt w:val="bullet"/>
      <w:lvlText w:val=""/>
      <w:lvlJc w:val="left"/>
      <w:pPr>
        <w:ind w:left="720" w:hanging="360"/>
      </w:pPr>
      <w:rPr>
        <w:rFonts w:ascii="Wingdings" w:hAnsi="Wingdings" w:hint="default"/>
        <w:color w:val="808080"/>
        <w:u w:color="FFFFFF"/>
      </w:rPr>
    </w:lvl>
    <w:lvl w:ilvl="1" w:tplc="40D473CA">
      <w:start w:val="1"/>
      <w:numFmt w:val="bullet"/>
      <w:lvlText w:val=""/>
      <w:lvlJc w:val="left"/>
      <w:pPr>
        <w:ind w:left="1440" w:hanging="360"/>
      </w:pPr>
      <w:rPr>
        <w:rFonts w:ascii="Wingdings" w:hAnsi="Wingdings" w:hint="default"/>
        <w:color w:val="808080"/>
        <w:u w:color="FFFFFF"/>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7D5C71"/>
    <w:multiLevelType w:val="hybridMultilevel"/>
    <w:tmpl w:val="0944F7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5A0E4B"/>
    <w:multiLevelType w:val="hybridMultilevel"/>
    <w:tmpl w:val="D7D24D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B00022"/>
    <w:multiLevelType w:val="hybridMultilevel"/>
    <w:tmpl w:val="A54847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CF673A"/>
    <w:multiLevelType w:val="hybridMultilevel"/>
    <w:tmpl w:val="E9BEB82C"/>
    <w:lvl w:ilvl="0" w:tplc="40D473CA">
      <w:start w:val="1"/>
      <w:numFmt w:val="bullet"/>
      <w:lvlText w:val=""/>
      <w:lvlJc w:val="left"/>
      <w:pPr>
        <w:ind w:left="720" w:hanging="360"/>
      </w:pPr>
      <w:rPr>
        <w:rFonts w:ascii="Wingdings" w:hAnsi="Wingdings" w:hint="default"/>
        <w:color w:val="808080"/>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7A527E"/>
    <w:multiLevelType w:val="hybridMultilevel"/>
    <w:tmpl w:val="559CD72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AB00D03"/>
    <w:multiLevelType w:val="hybridMultilevel"/>
    <w:tmpl w:val="A3F2F34C"/>
    <w:lvl w:ilvl="0" w:tplc="8E5CFFB2">
      <w:start w:val="1"/>
      <w:numFmt w:val="bullet"/>
      <w:lvlText w:val=""/>
      <w:lvlJc w:val="left"/>
      <w:pPr>
        <w:ind w:left="2880" w:hanging="360"/>
      </w:pPr>
      <w:rPr>
        <w:rFonts w:ascii="Wingdings" w:hAnsi="Wingdings" w:hint="default"/>
        <w:u w:color="808080"/>
      </w:rPr>
    </w:lvl>
    <w:lvl w:ilvl="1" w:tplc="08130003" w:tentative="1">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0" w15:restartNumberingAfterBreak="0">
    <w:nsid w:val="58C37A57"/>
    <w:multiLevelType w:val="hybridMultilevel"/>
    <w:tmpl w:val="7862A7D2"/>
    <w:lvl w:ilvl="0" w:tplc="40D473CA">
      <w:start w:val="1"/>
      <w:numFmt w:val="bullet"/>
      <w:lvlText w:val=""/>
      <w:lvlJc w:val="left"/>
      <w:pPr>
        <w:ind w:left="1440" w:hanging="360"/>
      </w:pPr>
      <w:rPr>
        <w:rFonts w:ascii="Wingdings" w:hAnsi="Wingdings" w:hint="default"/>
        <w:color w:val="808080"/>
        <w:u w:color="FFFFFF"/>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5A094BEF"/>
    <w:multiLevelType w:val="hybridMultilevel"/>
    <w:tmpl w:val="98A0CBDC"/>
    <w:lvl w:ilvl="0" w:tplc="04130001">
      <w:start w:val="1"/>
      <w:numFmt w:val="bullet"/>
      <w:lvlText w:val=""/>
      <w:lvlJc w:val="left"/>
      <w:pPr>
        <w:tabs>
          <w:tab w:val="num" w:pos="720"/>
        </w:tabs>
        <w:ind w:left="720" w:hanging="360"/>
      </w:pPr>
      <w:rPr>
        <w:rFonts w:ascii="Symbol" w:hAnsi="Symbol" w:hint="default"/>
      </w:rPr>
    </w:lvl>
    <w:lvl w:ilvl="1" w:tplc="A9C8FE6A">
      <w:start w:val="3"/>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85C2B"/>
    <w:multiLevelType w:val="hybridMultilevel"/>
    <w:tmpl w:val="290ACFA4"/>
    <w:lvl w:ilvl="0" w:tplc="40D473CA">
      <w:start w:val="1"/>
      <w:numFmt w:val="bullet"/>
      <w:lvlText w:val=""/>
      <w:lvlJc w:val="left"/>
      <w:pPr>
        <w:ind w:left="720" w:hanging="360"/>
      </w:pPr>
      <w:rPr>
        <w:rFonts w:ascii="Wingdings" w:hAnsi="Wingdings" w:hint="default"/>
        <w:color w:val="808080"/>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AF13DF"/>
    <w:multiLevelType w:val="hybridMultilevel"/>
    <w:tmpl w:val="A63605FA"/>
    <w:lvl w:ilvl="0" w:tplc="40D473CA">
      <w:start w:val="1"/>
      <w:numFmt w:val="bullet"/>
      <w:lvlText w:val=""/>
      <w:lvlJc w:val="left"/>
      <w:pPr>
        <w:ind w:left="720" w:hanging="360"/>
      </w:pPr>
      <w:rPr>
        <w:rFonts w:ascii="Wingdings" w:hAnsi="Wingdings" w:hint="default"/>
        <w:color w:val="80808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4575A"/>
    <w:multiLevelType w:val="hybridMultilevel"/>
    <w:tmpl w:val="B1F2285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9813BB7"/>
    <w:multiLevelType w:val="hybridMultilevel"/>
    <w:tmpl w:val="EDA69B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A1E4C97"/>
    <w:multiLevelType w:val="hybridMultilevel"/>
    <w:tmpl w:val="BBA40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3104D3"/>
    <w:multiLevelType w:val="hybridMultilevel"/>
    <w:tmpl w:val="8D989FBA"/>
    <w:lvl w:ilvl="0" w:tplc="40D473CA">
      <w:start w:val="1"/>
      <w:numFmt w:val="bullet"/>
      <w:lvlText w:val=""/>
      <w:lvlJc w:val="left"/>
      <w:pPr>
        <w:ind w:left="720" w:hanging="360"/>
      </w:pPr>
      <w:rPr>
        <w:rFonts w:ascii="Wingdings" w:hAnsi="Wingdings" w:hint="default"/>
        <w:color w:val="808080"/>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EAB3B8A"/>
    <w:multiLevelType w:val="hybridMultilevel"/>
    <w:tmpl w:val="A09AC690"/>
    <w:lvl w:ilvl="0" w:tplc="8E5CFFB2">
      <w:start w:val="1"/>
      <w:numFmt w:val="bullet"/>
      <w:lvlText w:val=""/>
      <w:lvlJc w:val="left"/>
      <w:pPr>
        <w:ind w:left="1440" w:hanging="360"/>
      </w:pPr>
      <w:rPr>
        <w:rFonts w:ascii="Wingdings" w:hAnsi="Wingdings" w:hint="default"/>
        <w:u w:color="80808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7B6DB3"/>
    <w:multiLevelType w:val="hybridMultilevel"/>
    <w:tmpl w:val="9E70B964"/>
    <w:lvl w:ilvl="0" w:tplc="40D473CA">
      <w:start w:val="1"/>
      <w:numFmt w:val="bullet"/>
      <w:lvlText w:val=""/>
      <w:lvlJc w:val="left"/>
      <w:pPr>
        <w:ind w:left="720" w:hanging="360"/>
      </w:pPr>
      <w:rPr>
        <w:rFonts w:ascii="Wingdings" w:hAnsi="Wingdings" w:hint="default"/>
        <w:color w:val="808080"/>
        <w:u w:color="FFFF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9"/>
  </w:num>
  <w:num w:numId="4">
    <w:abstractNumId w:val="3"/>
  </w:num>
  <w:num w:numId="5">
    <w:abstractNumId w:val="15"/>
  </w:num>
  <w:num w:numId="6">
    <w:abstractNumId w:val="0"/>
  </w:num>
  <w:num w:numId="7">
    <w:abstractNumId w:val="1"/>
  </w:num>
  <w:num w:numId="8">
    <w:abstractNumId w:val="4"/>
  </w:num>
  <w:num w:numId="9">
    <w:abstractNumId w:val="2"/>
  </w:num>
  <w:num w:numId="10">
    <w:abstractNumId w:val="11"/>
  </w:num>
  <w:num w:numId="11">
    <w:abstractNumId w:val="12"/>
  </w:num>
  <w:num w:numId="12">
    <w:abstractNumId w:val="10"/>
  </w:num>
  <w:num w:numId="13">
    <w:abstractNumId w:val="7"/>
  </w:num>
  <w:num w:numId="14">
    <w:abstractNumId w:val="14"/>
  </w:num>
  <w:num w:numId="15">
    <w:abstractNumId w:val="5"/>
  </w:num>
  <w:num w:numId="16">
    <w:abstractNumId w:val="8"/>
  </w:num>
  <w:num w:numId="17">
    <w:abstractNumId w:val="16"/>
  </w:num>
  <w:num w:numId="18">
    <w:abstractNumId w:val="19"/>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E4"/>
    <w:rsid w:val="000011A4"/>
    <w:rsid w:val="00003A97"/>
    <w:rsid w:val="00004947"/>
    <w:rsid w:val="00005AE1"/>
    <w:rsid w:val="00006D2C"/>
    <w:rsid w:val="0001359A"/>
    <w:rsid w:val="00013CD1"/>
    <w:rsid w:val="00014124"/>
    <w:rsid w:val="000160E2"/>
    <w:rsid w:val="00020A26"/>
    <w:rsid w:val="000228EF"/>
    <w:rsid w:val="000250BA"/>
    <w:rsid w:val="00025260"/>
    <w:rsid w:val="000301BA"/>
    <w:rsid w:val="00031C06"/>
    <w:rsid w:val="00032208"/>
    <w:rsid w:val="00032A40"/>
    <w:rsid w:val="00033811"/>
    <w:rsid w:val="000347EC"/>
    <w:rsid w:val="000354AB"/>
    <w:rsid w:val="000354C1"/>
    <w:rsid w:val="00035AAC"/>
    <w:rsid w:val="00035C28"/>
    <w:rsid w:val="00037A17"/>
    <w:rsid w:val="00042B64"/>
    <w:rsid w:val="0004318A"/>
    <w:rsid w:val="00043376"/>
    <w:rsid w:val="00043385"/>
    <w:rsid w:val="00046FC0"/>
    <w:rsid w:val="000479BC"/>
    <w:rsid w:val="00051101"/>
    <w:rsid w:val="00051A48"/>
    <w:rsid w:val="00052BA8"/>
    <w:rsid w:val="00053383"/>
    <w:rsid w:val="000542BC"/>
    <w:rsid w:val="0005482E"/>
    <w:rsid w:val="00055969"/>
    <w:rsid w:val="000576FC"/>
    <w:rsid w:val="00063988"/>
    <w:rsid w:val="000655AA"/>
    <w:rsid w:val="00066287"/>
    <w:rsid w:val="000663AD"/>
    <w:rsid w:val="00066E2D"/>
    <w:rsid w:val="000673BD"/>
    <w:rsid w:val="00067EAA"/>
    <w:rsid w:val="00071EC1"/>
    <w:rsid w:val="0007202F"/>
    <w:rsid w:val="00072BD1"/>
    <w:rsid w:val="00072F67"/>
    <w:rsid w:val="00075CEB"/>
    <w:rsid w:val="00075FB4"/>
    <w:rsid w:val="0008258F"/>
    <w:rsid w:val="00082FFD"/>
    <w:rsid w:val="00083FF4"/>
    <w:rsid w:val="000848B8"/>
    <w:rsid w:val="000850A8"/>
    <w:rsid w:val="00085634"/>
    <w:rsid w:val="00086CBD"/>
    <w:rsid w:val="00090C49"/>
    <w:rsid w:val="00090D7A"/>
    <w:rsid w:val="00091085"/>
    <w:rsid w:val="00091AD3"/>
    <w:rsid w:val="00091F2C"/>
    <w:rsid w:val="0009443C"/>
    <w:rsid w:val="00094ED2"/>
    <w:rsid w:val="0009791B"/>
    <w:rsid w:val="00097F44"/>
    <w:rsid w:val="000A2A34"/>
    <w:rsid w:val="000A35B3"/>
    <w:rsid w:val="000A3F18"/>
    <w:rsid w:val="000A572D"/>
    <w:rsid w:val="000A6678"/>
    <w:rsid w:val="000A68A2"/>
    <w:rsid w:val="000A6A15"/>
    <w:rsid w:val="000A6AD5"/>
    <w:rsid w:val="000A73DC"/>
    <w:rsid w:val="000A758D"/>
    <w:rsid w:val="000B2B3C"/>
    <w:rsid w:val="000B3F44"/>
    <w:rsid w:val="000B3FCE"/>
    <w:rsid w:val="000B42E2"/>
    <w:rsid w:val="000B4507"/>
    <w:rsid w:val="000B473D"/>
    <w:rsid w:val="000C081A"/>
    <w:rsid w:val="000C13D2"/>
    <w:rsid w:val="000C2CB6"/>
    <w:rsid w:val="000C427D"/>
    <w:rsid w:val="000C4F02"/>
    <w:rsid w:val="000C5170"/>
    <w:rsid w:val="000C6F39"/>
    <w:rsid w:val="000C7401"/>
    <w:rsid w:val="000D169D"/>
    <w:rsid w:val="000D24D3"/>
    <w:rsid w:val="000D3BBF"/>
    <w:rsid w:val="000D3DDD"/>
    <w:rsid w:val="000D41F9"/>
    <w:rsid w:val="000D582D"/>
    <w:rsid w:val="000D79D1"/>
    <w:rsid w:val="000E0241"/>
    <w:rsid w:val="000E05C9"/>
    <w:rsid w:val="000E0924"/>
    <w:rsid w:val="000E2B71"/>
    <w:rsid w:val="000E6330"/>
    <w:rsid w:val="000F0AA5"/>
    <w:rsid w:val="000F18B1"/>
    <w:rsid w:val="000F2421"/>
    <w:rsid w:val="000F3460"/>
    <w:rsid w:val="000F4594"/>
    <w:rsid w:val="000F4C18"/>
    <w:rsid w:val="000F542E"/>
    <w:rsid w:val="000F5AB5"/>
    <w:rsid w:val="000F7028"/>
    <w:rsid w:val="000F7596"/>
    <w:rsid w:val="001010D0"/>
    <w:rsid w:val="001013A3"/>
    <w:rsid w:val="001017CC"/>
    <w:rsid w:val="0010220F"/>
    <w:rsid w:val="00104930"/>
    <w:rsid w:val="0010761A"/>
    <w:rsid w:val="00107F7C"/>
    <w:rsid w:val="0011027F"/>
    <w:rsid w:val="00110991"/>
    <w:rsid w:val="00110E78"/>
    <w:rsid w:val="001143F2"/>
    <w:rsid w:val="00115536"/>
    <w:rsid w:val="00116086"/>
    <w:rsid w:val="001209C7"/>
    <w:rsid w:val="0012480B"/>
    <w:rsid w:val="00124D1E"/>
    <w:rsid w:val="00126CC1"/>
    <w:rsid w:val="001277F7"/>
    <w:rsid w:val="00127841"/>
    <w:rsid w:val="00133986"/>
    <w:rsid w:val="001416C2"/>
    <w:rsid w:val="00141BFE"/>
    <w:rsid w:val="00141F48"/>
    <w:rsid w:val="0014298A"/>
    <w:rsid w:val="00142B6E"/>
    <w:rsid w:val="00142E3C"/>
    <w:rsid w:val="00142F2F"/>
    <w:rsid w:val="00144171"/>
    <w:rsid w:val="00144F8E"/>
    <w:rsid w:val="001466DF"/>
    <w:rsid w:val="001472A4"/>
    <w:rsid w:val="001474FC"/>
    <w:rsid w:val="00151754"/>
    <w:rsid w:val="00152ED5"/>
    <w:rsid w:val="00154478"/>
    <w:rsid w:val="00154FD9"/>
    <w:rsid w:val="00155746"/>
    <w:rsid w:val="00156C0D"/>
    <w:rsid w:val="001602B6"/>
    <w:rsid w:val="00162CF7"/>
    <w:rsid w:val="00165B5E"/>
    <w:rsid w:val="0016708D"/>
    <w:rsid w:val="0017068C"/>
    <w:rsid w:val="00170C07"/>
    <w:rsid w:val="00171DAF"/>
    <w:rsid w:val="001721D7"/>
    <w:rsid w:val="00174CFC"/>
    <w:rsid w:val="00175312"/>
    <w:rsid w:val="00175483"/>
    <w:rsid w:val="00175544"/>
    <w:rsid w:val="00176F33"/>
    <w:rsid w:val="001775CF"/>
    <w:rsid w:val="00177EFD"/>
    <w:rsid w:val="00182AC1"/>
    <w:rsid w:val="00182AD2"/>
    <w:rsid w:val="00182B85"/>
    <w:rsid w:val="00182C61"/>
    <w:rsid w:val="00184171"/>
    <w:rsid w:val="00184F5D"/>
    <w:rsid w:val="001852E3"/>
    <w:rsid w:val="00186E53"/>
    <w:rsid w:val="0019763B"/>
    <w:rsid w:val="001A03DD"/>
    <w:rsid w:val="001A27A0"/>
    <w:rsid w:val="001A2E92"/>
    <w:rsid w:val="001B2EF8"/>
    <w:rsid w:val="001B353D"/>
    <w:rsid w:val="001B753D"/>
    <w:rsid w:val="001B761B"/>
    <w:rsid w:val="001B7869"/>
    <w:rsid w:val="001C01F2"/>
    <w:rsid w:val="001C1957"/>
    <w:rsid w:val="001C367A"/>
    <w:rsid w:val="001C4E02"/>
    <w:rsid w:val="001C5560"/>
    <w:rsid w:val="001C7773"/>
    <w:rsid w:val="001C7F11"/>
    <w:rsid w:val="001D0AB0"/>
    <w:rsid w:val="001D17E4"/>
    <w:rsid w:val="001D27F0"/>
    <w:rsid w:val="001D2F96"/>
    <w:rsid w:val="001D3494"/>
    <w:rsid w:val="001D35FA"/>
    <w:rsid w:val="001D479D"/>
    <w:rsid w:val="001D4A8A"/>
    <w:rsid w:val="001D6390"/>
    <w:rsid w:val="001D7091"/>
    <w:rsid w:val="001D7461"/>
    <w:rsid w:val="001E0811"/>
    <w:rsid w:val="001E0D57"/>
    <w:rsid w:val="001E1B83"/>
    <w:rsid w:val="001E2115"/>
    <w:rsid w:val="001E762A"/>
    <w:rsid w:val="001F1550"/>
    <w:rsid w:val="001F1552"/>
    <w:rsid w:val="001F2198"/>
    <w:rsid w:val="001F23F7"/>
    <w:rsid w:val="001F283F"/>
    <w:rsid w:val="001F3234"/>
    <w:rsid w:val="001F4704"/>
    <w:rsid w:val="001F4BC7"/>
    <w:rsid w:val="001F6144"/>
    <w:rsid w:val="001F6381"/>
    <w:rsid w:val="00200922"/>
    <w:rsid w:val="00200BE6"/>
    <w:rsid w:val="002018FA"/>
    <w:rsid w:val="00202CCB"/>
    <w:rsid w:val="00203FE2"/>
    <w:rsid w:val="0020434E"/>
    <w:rsid w:val="002046E7"/>
    <w:rsid w:val="00205F99"/>
    <w:rsid w:val="00211A72"/>
    <w:rsid w:val="00212357"/>
    <w:rsid w:val="00212E18"/>
    <w:rsid w:val="002146C5"/>
    <w:rsid w:val="00216DE0"/>
    <w:rsid w:val="0022131A"/>
    <w:rsid w:val="002214E5"/>
    <w:rsid w:val="002218B8"/>
    <w:rsid w:val="002238D4"/>
    <w:rsid w:val="00225C4E"/>
    <w:rsid w:val="0023047D"/>
    <w:rsid w:val="00234B43"/>
    <w:rsid w:val="002360FF"/>
    <w:rsid w:val="0023736F"/>
    <w:rsid w:val="00237418"/>
    <w:rsid w:val="00241D8A"/>
    <w:rsid w:val="00242138"/>
    <w:rsid w:val="00242DF7"/>
    <w:rsid w:val="00243A4C"/>
    <w:rsid w:val="0024407B"/>
    <w:rsid w:val="0024524D"/>
    <w:rsid w:val="0024665C"/>
    <w:rsid w:val="002511CF"/>
    <w:rsid w:val="002515C1"/>
    <w:rsid w:val="00251F0C"/>
    <w:rsid w:val="00252AEF"/>
    <w:rsid w:val="00253248"/>
    <w:rsid w:val="00253348"/>
    <w:rsid w:val="00255D5C"/>
    <w:rsid w:val="00256E01"/>
    <w:rsid w:val="00257143"/>
    <w:rsid w:val="00261B03"/>
    <w:rsid w:val="00266A0C"/>
    <w:rsid w:val="00267788"/>
    <w:rsid w:val="00267B87"/>
    <w:rsid w:val="00271212"/>
    <w:rsid w:val="002752BD"/>
    <w:rsid w:val="00275C92"/>
    <w:rsid w:val="0027770F"/>
    <w:rsid w:val="00277B9A"/>
    <w:rsid w:val="00280705"/>
    <w:rsid w:val="00280D40"/>
    <w:rsid w:val="002813FE"/>
    <w:rsid w:val="002828A7"/>
    <w:rsid w:val="002845B0"/>
    <w:rsid w:val="002855C0"/>
    <w:rsid w:val="00285CF4"/>
    <w:rsid w:val="00290388"/>
    <w:rsid w:val="002904C3"/>
    <w:rsid w:val="00291AF8"/>
    <w:rsid w:val="002921B6"/>
    <w:rsid w:val="0029300C"/>
    <w:rsid w:val="00294669"/>
    <w:rsid w:val="00296BB4"/>
    <w:rsid w:val="0029775D"/>
    <w:rsid w:val="002A0D6B"/>
    <w:rsid w:val="002A306D"/>
    <w:rsid w:val="002A634C"/>
    <w:rsid w:val="002A773B"/>
    <w:rsid w:val="002A7B4B"/>
    <w:rsid w:val="002A7FDA"/>
    <w:rsid w:val="002B059C"/>
    <w:rsid w:val="002B0C15"/>
    <w:rsid w:val="002B2135"/>
    <w:rsid w:val="002B5293"/>
    <w:rsid w:val="002B79F9"/>
    <w:rsid w:val="002C1798"/>
    <w:rsid w:val="002C3840"/>
    <w:rsid w:val="002C6D1C"/>
    <w:rsid w:val="002C7E53"/>
    <w:rsid w:val="002D041E"/>
    <w:rsid w:val="002D21AA"/>
    <w:rsid w:val="002D29D5"/>
    <w:rsid w:val="002D4948"/>
    <w:rsid w:val="002D5ACE"/>
    <w:rsid w:val="002D5B30"/>
    <w:rsid w:val="002D629B"/>
    <w:rsid w:val="002D6E02"/>
    <w:rsid w:val="002D70BD"/>
    <w:rsid w:val="002D7456"/>
    <w:rsid w:val="002D7D20"/>
    <w:rsid w:val="002E5AE1"/>
    <w:rsid w:val="002E5C54"/>
    <w:rsid w:val="002E6635"/>
    <w:rsid w:val="002E79AC"/>
    <w:rsid w:val="002E7B63"/>
    <w:rsid w:val="002F0989"/>
    <w:rsid w:val="002F268B"/>
    <w:rsid w:val="00301F86"/>
    <w:rsid w:val="003021E4"/>
    <w:rsid w:val="003032E8"/>
    <w:rsid w:val="003036FE"/>
    <w:rsid w:val="00304800"/>
    <w:rsid w:val="00304C30"/>
    <w:rsid w:val="00305B09"/>
    <w:rsid w:val="00307DDB"/>
    <w:rsid w:val="0031182E"/>
    <w:rsid w:val="0031491E"/>
    <w:rsid w:val="003213A2"/>
    <w:rsid w:val="003230A5"/>
    <w:rsid w:val="00324162"/>
    <w:rsid w:val="0032473D"/>
    <w:rsid w:val="00324B7A"/>
    <w:rsid w:val="00326593"/>
    <w:rsid w:val="00330D17"/>
    <w:rsid w:val="00332E3E"/>
    <w:rsid w:val="00333A7A"/>
    <w:rsid w:val="0033471E"/>
    <w:rsid w:val="00334A27"/>
    <w:rsid w:val="00334DBC"/>
    <w:rsid w:val="0033534C"/>
    <w:rsid w:val="00335C06"/>
    <w:rsid w:val="00336357"/>
    <w:rsid w:val="00340535"/>
    <w:rsid w:val="00340D18"/>
    <w:rsid w:val="00340F8F"/>
    <w:rsid w:val="003410AA"/>
    <w:rsid w:val="003437CF"/>
    <w:rsid w:val="00343F91"/>
    <w:rsid w:val="003441A6"/>
    <w:rsid w:val="0034470F"/>
    <w:rsid w:val="003453CA"/>
    <w:rsid w:val="00345F69"/>
    <w:rsid w:val="0034674A"/>
    <w:rsid w:val="00350DD0"/>
    <w:rsid w:val="00350FBF"/>
    <w:rsid w:val="00353E1E"/>
    <w:rsid w:val="003542A7"/>
    <w:rsid w:val="003549E5"/>
    <w:rsid w:val="00355B46"/>
    <w:rsid w:val="00356D3D"/>
    <w:rsid w:val="00357790"/>
    <w:rsid w:val="00360D75"/>
    <w:rsid w:val="00360DA6"/>
    <w:rsid w:val="00360FDF"/>
    <w:rsid w:val="003611AB"/>
    <w:rsid w:val="00361EFB"/>
    <w:rsid w:val="00362463"/>
    <w:rsid w:val="00363CBB"/>
    <w:rsid w:val="00364370"/>
    <w:rsid w:val="003662C6"/>
    <w:rsid w:val="00366AFF"/>
    <w:rsid w:val="00371570"/>
    <w:rsid w:val="00372128"/>
    <w:rsid w:val="0037385C"/>
    <w:rsid w:val="00380408"/>
    <w:rsid w:val="003831C6"/>
    <w:rsid w:val="00383BCD"/>
    <w:rsid w:val="00385D8B"/>
    <w:rsid w:val="00386737"/>
    <w:rsid w:val="00387FCE"/>
    <w:rsid w:val="0039016E"/>
    <w:rsid w:val="0039339A"/>
    <w:rsid w:val="003934B0"/>
    <w:rsid w:val="00394F50"/>
    <w:rsid w:val="003952E5"/>
    <w:rsid w:val="00396068"/>
    <w:rsid w:val="003978CA"/>
    <w:rsid w:val="003978D1"/>
    <w:rsid w:val="003A0BA7"/>
    <w:rsid w:val="003A117A"/>
    <w:rsid w:val="003A2A14"/>
    <w:rsid w:val="003A3440"/>
    <w:rsid w:val="003A3F79"/>
    <w:rsid w:val="003A51F3"/>
    <w:rsid w:val="003A6491"/>
    <w:rsid w:val="003A73E4"/>
    <w:rsid w:val="003B1910"/>
    <w:rsid w:val="003B225D"/>
    <w:rsid w:val="003B3046"/>
    <w:rsid w:val="003B57B8"/>
    <w:rsid w:val="003B650E"/>
    <w:rsid w:val="003B7756"/>
    <w:rsid w:val="003C0216"/>
    <w:rsid w:val="003C0CC6"/>
    <w:rsid w:val="003C140E"/>
    <w:rsid w:val="003C1CD8"/>
    <w:rsid w:val="003C3178"/>
    <w:rsid w:val="003C722A"/>
    <w:rsid w:val="003D0463"/>
    <w:rsid w:val="003D0C9E"/>
    <w:rsid w:val="003D0E94"/>
    <w:rsid w:val="003D1A55"/>
    <w:rsid w:val="003D1AC9"/>
    <w:rsid w:val="003D2EAC"/>
    <w:rsid w:val="003E21F8"/>
    <w:rsid w:val="003E31A3"/>
    <w:rsid w:val="003E3E0D"/>
    <w:rsid w:val="003E3E56"/>
    <w:rsid w:val="003E40BF"/>
    <w:rsid w:val="003E709F"/>
    <w:rsid w:val="003F1859"/>
    <w:rsid w:val="003F19CC"/>
    <w:rsid w:val="003F2E8D"/>
    <w:rsid w:val="003F3700"/>
    <w:rsid w:val="003F5830"/>
    <w:rsid w:val="003F6B50"/>
    <w:rsid w:val="003F6CC1"/>
    <w:rsid w:val="003F6EAA"/>
    <w:rsid w:val="00401F20"/>
    <w:rsid w:val="00402980"/>
    <w:rsid w:val="00403440"/>
    <w:rsid w:val="00403F54"/>
    <w:rsid w:val="0040457E"/>
    <w:rsid w:val="004056B5"/>
    <w:rsid w:val="00406268"/>
    <w:rsid w:val="004062FD"/>
    <w:rsid w:val="004064EB"/>
    <w:rsid w:val="00412040"/>
    <w:rsid w:val="0041339C"/>
    <w:rsid w:val="004138C1"/>
    <w:rsid w:val="00413DF7"/>
    <w:rsid w:val="004175C4"/>
    <w:rsid w:val="00417730"/>
    <w:rsid w:val="004201FC"/>
    <w:rsid w:val="004202FD"/>
    <w:rsid w:val="004231B8"/>
    <w:rsid w:val="0042612B"/>
    <w:rsid w:val="00430A6D"/>
    <w:rsid w:val="00430C73"/>
    <w:rsid w:val="00431FE1"/>
    <w:rsid w:val="004323DC"/>
    <w:rsid w:val="0043281A"/>
    <w:rsid w:val="004333B2"/>
    <w:rsid w:val="00435BFE"/>
    <w:rsid w:val="00440AFB"/>
    <w:rsid w:val="00442062"/>
    <w:rsid w:val="004423C8"/>
    <w:rsid w:val="00442EC5"/>
    <w:rsid w:val="00450F77"/>
    <w:rsid w:val="00452742"/>
    <w:rsid w:val="00453E88"/>
    <w:rsid w:val="00454054"/>
    <w:rsid w:val="004570BD"/>
    <w:rsid w:val="00460301"/>
    <w:rsid w:val="00460A17"/>
    <w:rsid w:val="00462F0C"/>
    <w:rsid w:val="00463160"/>
    <w:rsid w:val="00464641"/>
    <w:rsid w:val="00464E48"/>
    <w:rsid w:val="00466B76"/>
    <w:rsid w:val="00467612"/>
    <w:rsid w:val="0047044F"/>
    <w:rsid w:val="00471AB8"/>
    <w:rsid w:val="00472135"/>
    <w:rsid w:val="0047271C"/>
    <w:rsid w:val="00473014"/>
    <w:rsid w:val="00473A8A"/>
    <w:rsid w:val="00473AFD"/>
    <w:rsid w:val="00473F8D"/>
    <w:rsid w:val="00481960"/>
    <w:rsid w:val="00481D59"/>
    <w:rsid w:val="00481DBC"/>
    <w:rsid w:val="00482AA9"/>
    <w:rsid w:val="00482BAF"/>
    <w:rsid w:val="00482DE2"/>
    <w:rsid w:val="00483165"/>
    <w:rsid w:val="00487636"/>
    <w:rsid w:val="00491D01"/>
    <w:rsid w:val="00492254"/>
    <w:rsid w:val="004941A1"/>
    <w:rsid w:val="00495484"/>
    <w:rsid w:val="00495C28"/>
    <w:rsid w:val="00496155"/>
    <w:rsid w:val="00497796"/>
    <w:rsid w:val="004A2330"/>
    <w:rsid w:val="004A2553"/>
    <w:rsid w:val="004A37C1"/>
    <w:rsid w:val="004B0252"/>
    <w:rsid w:val="004B0420"/>
    <w:rsid w:val="004B19A0"/>
    <w:rsid w:val="004B29D6"/>
    <w:rsid w:val="004B29FC"/>
    <w:rsid w:val="004B4E4D"/>
    <w:rsid w:val="004C0CD5"/>
    <w:rsid w:val="004C1936"/>
    <w:rsid w:val="004C231F"/>
    <w:rsid w:val="004C2BE4"/>
    <w:rsid w:val="004C2D03"/>
    <w:rsid w:val="004C39A4"/>
    <w:rsid w:val="004C45C7"/>
    <w:rsid w:val="004C4A4C"/>
    <w:rsid w:val="004C6226"/>
    <w:rsid w:val="004D1B45"/>
    <w:rsid w:val="004D4234"/>
    <w:rsid w:val="004D4304"/>
    <w:rsid w:val="004D4589"/>
    <w:rsid w:val="004D4CBA"/>
    <w:rsid w:val="004E0564"/>
    <w:rsid w:val="004E1AF1"/>
    <w:rsid w:val="004E1D0D"/>
    <w:rsid w:val="004E29A2"/>
    <w:rsid w:val="004E4069"/>
    <w:rsid w:val="004E4F8F"/>
    <w:rsid w:val="004E65C6"/>
    <w:rsid w:val="004E763D"/>
    <w:rsid w:val="004E76B7"/>
    <w:rsid w:val="004F1CDD"/>
    <w:rsid w:val="004F66C8"/>
    <w:rsid w:val="004F6872"/>
    <w:rsid w:val="004F74F7"/>
    <w:rsid w:val="00500EA6"/>
    <w:rsid w:val="00501F11"/>
    <w:rsid w:val="00502B3A"/>
    <w:rsid w:val="005053FE"/>
    <w:rsid w:val="0050630F"/>
    <w:rsid w:val="00511A09"/>
    <w:rsid w:val="00512454"/>
    <w:rsid w:val="00512F05"/>
    <w:rsid w:val="00514F93"/>
    <w:rsid w:val="00515E52"/>
    <w:rsid w:val="00516C8B"/>
    <w:rsid w:val="00516FAC"/>
    <w:rsid w:val="005172D1"/>
    <w:rsid w:val="00520A9A"/>
    <w:rsid w:val="00520B3F"/>
    <w:rsid w:val="00522196"/>
    <w:rsid w:val="00523DAD"/>
    <w:rsid w:val="00532292"/>
    <w:rsid w:val="00535B9C"/>
    <w:rsid w:val="005366B6"/>
    <w:rsid w:val="00536AEA"/>
    <w:rsid w:val="00537F13"/>
    <w:rsid w:val="0054166A"/>
    <w:rsid w:val="00543DEE"/>
    <w:rsid w:val="005449AB"/>
    <w:rsid w:val="00545A72"/>
    <w:rsid w:val="00546281"/>
    <w:rsid w:val="00547085"/>
    <w:rsid w:val="0054799B"/>
    <w:rsid w:val="00552F7D"/>
    <w:rsid w:val="00553189"/>
    <w:rsid w:val="005562C4"/>
    <w:rsid w:val="00556D6C"/>
    <w:rsid w:val="00557213"/>
    <w:rsid w:val="00560CC8"/>
    <w:rsid w:val="00561B90"/>
    <w:rsid w:val="005652BF"/>
    <w:rsid w:val="00566077"/>
    <w:rsid w:val="0057219C"/>
    <w:rsid w:val="00572C6B"/>
    <w:rsid w:val="00576124"/>
    <w:rsid w:val="00576405"/>
    <w:rsid w:val="00577AB6"/>
    <w:rsid w:val="0058056F"/>
    <w:rsid w:val="00580E9B"/>
    <w:rsid w:val="00581F17"/>
    <w:rsid w:val="00582C9D"/>
    <w:rsid w:val="005846C1"/>
    <w:rsid w:val="00585006"/>
    <w:rsid w:val="00585045"/>
    <w:rsid w:val="00591C5C"/>
    <w:rsid w:val="00591C7C"/>
    <w:rsid w:val="00591CD7"/>
    <w:rsid w:val="00592654"/>
    <w:rsid w:val="0059777E"/>
    <w:rsid w:val="005A039A"/>
    <w:rsid w:val="005A03BD"/>
    <w:rsid w:val="005A335A"/>
    <w:rsid w:val="005A5FA9"/>
    <w:rsid w:val="005A665E"/>
    <w:rsid w:val="005A792C"/>
    <w:rsid w:val="005B08A3"/>
    <w:rsid w:val="005B0E94"/>
    <w:rsid w:val="005B1F52"/>
    <w:rsid w:val="005B54A9"/>
    <w:rsid w:val="005B5756"/>
    <w:rsid w:val="005B67F2"/>
    <w:rsid w:val="005B75F6"/>
    <w:rsid w:val="005B7E16"/>
    <w:rsid w:val="005C07C1"/>
    <w:rsid w:val="005C09BC"/>
    <w:rsid w:val="005C214E"/>
    <w:rsid w:val="005C3D67"/>
    <w:rsid w:val="005C4CA8"/>
    <w:rsid w:val="005C5661"/>
    <w:rsid w:val="005C6AA8"/>
    <w:rsid w:val="005C76C3"/>
    <w:rsid w:val="005D18F7"/>
    <w:rsid w:val="005D3995"/>
    <w:rsid w:val="005D668C"/>
    <w:rsid w:val="005D6B7D"/>
    <w:rsid w:val="005E0AB7"/>
    <w:rsid w:val="005E42A0"/>
    <w:rsid w:val="005E67DA"/>
    <w:rsid w:val="005E6A09"/>
    <w:rsid w:val="005F0345"/>
    <w:rsid w:val="005F0826"/>
    <w:rsid w:val="005F2216"/>
    <w:rsid w:val="005F36E3"/>
    <w:rsid w:val="005F5076"/>
    <w:rsid w:val="005F52C5"/>
    <w:rsid w:val="005F732B"/>
    <w:rsid w:val="005F7DB6"/>
    <w:rsid w:val="00600F82"/>
    <w:rsid w:val="0060143A"/>
    <w:rsid w:val="00602C49"/>
    <w:rsid w:val="0060507B"/>
    <w:rsid w:val="0060777A"/>
    <w:rsid w:val="00610429"/>
    <w:rsid w:val="006104E5"/>
    <w:rsid w:val="006111BE"/>
    <w:rsid w:val="00611D62"/>
    <w:rsid w:val="0061231F"/>
    <w:rsid w:val="00612D28"/>
    <w:rsid w:val="0061350A"/>
    <w:rsid w:val="0061528E"/>
    <w:rsid w:val="006156E3"/>
    <w:rsid w:val="00615C8D"/>
    <w:rsid w:val="00615CAC"/>
    <w:rsid w:val="00620331"/>
    <w:rsid w:val="00621A1A"/>
    <w:rsid w:val="00621C0F"/>
    <w:rsid w:val="0062202F"/>
    <w:rsid w:val="00622BC5"/>
    <w:rsid w:val="00623065"/>
    <w:rsid w:val="006239E9"/>
    <w:rsid w:val="006300DB"/>
    <w:rsid w:val="006315E0"/>
    <w:rsid w:val="00633924"/>
    <w:rsid w:val="006355B7"/>
    <w:rsid w:val="00643A25"/>
    <w:rsid w:val="00643E26"/>
    <w:rsid w:val="006446A6"/>
    <w:rsid w:val="0064679B"/>
    <w:rsid w:val="0065112A"/>
    <w:rsid w:val="00651AEA"/>
    <w:rsid w:val="00651BC4"/>
    <w:rsid w:val="00652EE5"/>
    <w:rsid w:val="00653A95"/>
    <w:rsid w:val="00654F7B"/>
    <w:rsid w:val="00655118"/>
    <w:rsid w:val="006551F3"/>
    <w:rsid w:val="006561BD"/>
    <w:rsid w:val="0065625F"/>
    <w:rsid w:val="00656DEB"/>
    <w:rsid w:val="00661559"/>
    <w:rsid w:val="00663121"/>
    <w:rsid w:val="00663D6C"/>
    <w:rsid w:val="0066498C"/>
    <w:rsid w:val="0066607C"/>
    <w:rsid w:val="00666082"/>
    <w:rsid w:val="00666584"/>
    <w:rsid w:val="006665EE"/>
    <w:rsid w:val="00666B06"/>
    <w:rsid w:val="00667A5E"/>
    <w:rsid w:val="00667BC2"/>
    <w:rsid w:val="00670713"/>
    <w:rsid w:val="00672EB0"/>
    <w:rsid w:val="00673F7A"/>
    <w:rsid w:val="006747AF"/>
    <w:rsid w:val="00676778"/>
    <w:rsid w:val="00680825"/>
    <w:rsid w:val="0068249C"/>
    <w:rsid w:val="00682B74"/>
    <w:rsid w:val="006842ED"/>
    <w:rsid w:val="0068550C"/>
    <w:rsid w:val="00685547"/>
    <w:rsid w:val="006872A5"/>
    <w:rsid w:val="00690517"/>
    <w:rsid w:val="00690903"/>
    <w:rsid w:val="00692456"/>
    <w:rsid w:val="00693753"/>
    <w:rsid w:val="00696001"/>
    <w:rsid w:val="006A0BB4"/>
    <w:rsid w:val="006A22F2"/>
    <w:rsid w:val="006A2644"/>
    <w:rsid w:val="006A3A17"/>
    <w:rsid w:val="006A4EB5"/>
    <w:rsid w:val="006A55EB"/>
    <w:rsid w:val="006A61DD"/>
    <w:rsid w:val="006A7B64"/>
    <w:rsid w:val="006B099B"/>
    <w:rsid w:val="006B1B05"/>
    <w:rsid w:val="006B23E8"/>
    <w:rsid w:val="006B32FD"/>
    <w:rsid w:val="006B3397"/>
    <w:rsid w:val="006B39CB"/>
    <w:rsid w:val="006B53C5"/>
    <w:rsid w:val="006B5D4C"/>
    <w:rsid w:val="006B5E8B"/>
    <w:rsid w:val="006B7089"/>
    <w:rsid w:val="006C0876"/>
    <w:rsid w:val="006C0AE8"/>
    <w:rsid w:val="006C1460"/>
    <w:rsid w:val="006C17F3"/>
    <w:rsid w:val="006C23DD"/>
    <w:rsid w:val="006C24E6"/>
    <w:rsid w:val="006C2A1D"/>
    <w:rsid w:val="006C2CE5"/>
    <w:rsid w:val="006C3026"/>
    <w:rsid w:val="006C3073"/>
    <w:rsid w:val="006C4FAA"/>
    <w:rsid w:val="006C6AD7"/>
    <w:rsid w:val="006C6AD9"/>
    <w:rsid w:val="006C7A94"/>
    <w:rsid w:val="006D0293"/>
    <w:rsid w:val="006D0749"/>
    <w:rsid w:val="006D0A1C"/>
    <w:rsid w:val="006D0C28"/>
    <w:rsid w:val="006D100C"/>
    <w:rsid w:val="006D291F"/>
    <w:rsid w:val="006D2FC1"/>
    <w:rsid w:val="006D3841"/>
    <w:rsid w:val="006D408B"/>
    <w:rsid w:val="006D50ED"/>
    <w:rsid w:val="006E15F5"/>
    <w:rsid w:val="006E181D"/>
    <w:rsid w:val="006E348E"/>
    <w:rsid w:val="006E4E42"/>
    <w:rsid w:val="006E6660"/>
    <w:rsid w:val="006F069B"/>
    <w:rsid w:val="006F0F5C"/>
    <w:rsid w:val="006F1BAF"/>
    <w:rsid w:val="006F251C"/>
    <w:rsid w:val="006F4481"/>
    <w:rsid w:val="006F46C5"/>
    <w:rsid w:val="006F681A"/>
    <w:rsid w:val="0070037C"/>
    <w:rsid w:val="00700597"/>
    <w:rsid w:val="00700D6B"/>
    <w:rsid w:val="00700FB4"/>
    <w:rsid w:val="0070200A"/>
    <w:rsid w:val="007029C1"/>
    <w:rsid w:val="00702AE9"/>
    <w:rsid w:val="00703C43"/>
    <w:rsid w:val="007058BE"/>
    <w:rsid w:val="007101E9"/>
    <w:rsid w:val="007129A6"/>
    <w:rsid w:val="0071308E"/>
    <w:rsid w:val="00713306"/>
    <w:rsid w:val="0071367B"/>
    <w:rsid w:val="00713C02"/>
    <w:rsid w:val="007156CA"/>
    <w:rsid w:val="00716ECE"/>
    <w:rsid w:val="00720A46"/>
    <w:rsid w:val="00725462"/>
    <w:rsid w:val="0072618A"/>
    <w:rsid w:val="007261E3"/>
    <w:rsid w:val="0072663F"/>
    <w:rsid w:val="00727410"/>
    <w:rsid w:val="0073076B"/>
    <w:rsid w:val="00730CBD"/>
    <w:rsid w:val="007314B7"/>
    <w:rsid w:val="00731B14"/>
    <w:rsid w:val="00731F1B"/>
    <w:rsid w:val="00733CDE"/>
    <w:rsid w:val="00735C65"/>
    <w:rsid w:val="007377A6"/>
    <w:rsid w:val="00740F60"/>
    <w:rsid w:val="00742CE2"/>
    <w:rsid w:val="00743D85"/>
    <w:rsid w:val="007463BF"/>
    <w:rsid w:val="007470EE"/>
    <w:rsid w:val="00747341"/>
    <w:rsid w:val="00750FB0"/>
    <w:rsid w:val="007510D6"/>
    <w:rsid w:val="00751F89"/>
    <w:rsid w:val="007524D1"/>
    <w:rsid w:val="00752E86"/>
    <w:rsid w:val="00755886"/>
    <w:rsid w:val="00756EF9"/>
    <w:rsid w:val="007579D6"/>
    <w:rsid w:val="0076003C"/>
    <w:rsid w:val="00760174"/>
    <w:rsid w:val="00760605"/>
    <w:rsid w:val="00762BB3"/>
    <w:rsid w:val="007653BD"/>
    <w:rsid w:val="007674B1"/>
    <w:rsid w:val="007700D5"/>
    <w:rsid w:val="007713E1"/>
    <w:rsid w:val="0077156F"/>
    <w:rsid w:val="00772053"/>
    <w:rsid w:val="00772C88"/>
    <w:rsid w:val="00773F74"/>
    <w:rsid w:val="00774A0F"/>
    <w:rsid w:val="007755F4"/>
    <w:rsid w:val="007765C7"/>
    <w:rsid w:val="0077751C"/>
    <w:rsid w:val="007811E6"/>
    <w:rsid w:val="00781703"/>
    <w:rsid w:val="00782153"/>
    <w:rsid w:val="0078369A"/>
    <w:rsid w:val="00783973"/>
    <w:rsid w:val="00784127"/>
    <w:rsid w:val="0078671B"/>
    <w:rsid w:val="007872F5"/>
    <w:rsid w:val="00787C6D"/>
    <w:rsid w:val="007915D5"/>
    <w:rsid w:val="00792C7A"/>
    <w:rsid w:val="00793E59"/>
    <w:rsid w:val="00795899"/>
    <w:rsid w:val="00795BAA"/>
    <w:rsid w:val="0079615B"/>
    <w:rsid w:val="00796D35"/>
    <w:rsid w:val="00797424"/>
    <w:rsid w:val="00797930"/>
    <w:rsid w:val="007A3915"/>
    <w:rsid w:val="007A470B"/>
    <w:rsid w:val="007A4E2E"/>
    <w:rsid w:val="007A7F47"/>
    <w:rsid w:val="007B41F7"/>
    <w:rsid w:val="007B474B"/>
    <w:rsid w:val="007B6D9B"/>
    <w:rsid w:val="007C3102"/>
    <w:rsid w:val="007C468F"/>
    <w:rsid w:val="007C73B2"/>
    <w:rsid w:val="007C751E"/>
    <w:rsid w:val="007D0CEF"/>
    <w:rsid w:val="007D11A6"/>
    <w:rsid w:val="007D18F7"/>
    <w:rsid w:val="007D3312"/>
    <w:rsid w:val="007D3331"/>
    <w:rsid w:val="007D3403"/>
    <w:rsid w:val="007D56D0"/>
    <w:rsid w:val="007D630B"/>
    <w:rsid w:val="007D6680"/>
    <w:rsid w:val="007D7B2A"/>
    <w:rsid w:val="007E0149"/>
    <w:rsid w:val="007E0612"/>
    <w:rsid w:val="007E175B"/>
    <w:rsid w:val="007E1A1A"/>
    <w:rsid w:val="007E6918"/>
    <w:rsid w:val="007E6B48"/>
    <w:rsid w:val="007E75B0"/>
    <w:rsid w:val="007E7D2E"/>
    <w:rsid w:val="007F1850"/>
    <w:rsid w:val="007F336E"/>
    <w:rsid w:val="007F42EE"/>
    <w:rsid w:val="007F5C94"/>
    <w:rsid w:val="007F74ED"/>
    <w:rsid w:val="00802C18"/>
    <w:rsid w:val="00803E77"/>
    <w:rsid w:val="00804C90"/>
    <w:rsid w:val="00805090"/>
    <w:rsid w:val="0080521B"/>
    <w:rsid w:val="00805B96"/>
    <w:rsid w:val="0080758B"/>
    <w:rsid w:val="00810A1F"/>
    <w:rsid w:val="00810DBE"/>
    <w:rsid w:val="008156F2"/>
    <w:rsid w:val="00815F21"/>
    <w:rsid w:val="00816211"/>
    <w:rsid w:val="00821C40"/>
    <w:rsid w:val="00824566"/>
    <w:rsid w:val="0082548D"/>
    <w:rsid w:val="0083122C"/>
    <w:rsid w:val="0083211C"/>
    <w:rsid w:val="00832A9B"/>
    <w:rsid w:val="00832FBA"/>
    <w:rsid w:val="00833432"/>
    <w:rsid w:val="00833BC6"/>
    <w:rsid w:val="00833F20"/>
    <w:rsid w:val="00835CD3"/>
    <w:rsid w:val="00836CAE"/>
    <w:rsid w:val="00837451"/>
    <w:rsid w:val="00840AC7"/>
    <w:rsid w:val="00845524"/>
    <w:rsid w:val="008476D0"/>
    <w:rsid w:val="008519BE"/>
    <w:rsid w:val="00855794"/>
    <w:rsid w:val="008561F5"/>
    <w:rsid w:val="00856F3C"/>
    <w:rsid w:val="0086041F"/>
    <w:rsid w:val="00860A0C"/>
    <w:rsid w:val="00860B35"/>
    <w:rsid w:val="0086140C"/>
    <w:rsid w:val="00863F6B"/>
    <w:rsid w:val="00864C43"/>
    <w:rsid w:val="00866085"/>
    <w:rsid w:val="008660FC"/>
    <w:rsid w:val="00867322"/>
    <w:rsid w:val="00870D17"/>
    <w:rsid w:val="008727CE"/>
    <w:rsid w:val="00873246"/>
    <w:rsid w:val="008743E1"/>
    <w:rsid w:val="0087486D"/>
    <w:rsid w:val="008774C2"/>
    <w:rsid w:val="0087764D"/>
    <w:rsid w:val="00877C8E"/>
    <w:rsid w:val="00877DC2"/>
    <w:rsid w:val="008808C0"/>
    <w:rsid w:val="00881AD2"/>
    <w:rsid w:val="00881BFC"/>
    <w:rsid w:val="00881C50"/>
    <w:rsid w:val="00883EA1"/>
    <w:rsid w:val="00884741"/>
    <w:rsid w:val="00884B7A"/>
    <w:rsid w:val="00885480"/>
    <w:rsid w:val="00885CE3"/>
    <w:rsid w:val="00885E95"/>
    <w:rsid w:val="008862B5"/>
    <w:rsid w:val="008868D3"/>
    <w:rsid w:val="0089266B"/>
    <w:rsid w:val="0089426E"/>
    <w:rsid w:val="00896AE6"/>
    <w:rsid w:val="008970B9"/>
    <w:rsid w:val="008A02D6"/>
    <w:rsid w:val="008A0330"/>
    <w:rsid w:val="008A0AC7"/>
    <w:rsid w:val="008A1D59"/>
    <w:rsid w:val="008A4AAE"/>
    <w:rsid w:val="008A50C9"/>
    <w:rsid w:val="008A5E48"/>
    <w:rsid w:val="008A7A08"/>
    <w:rsid w:val="008B32CB"/>
    <w:rsid w:val="008B45D6"/>
    <w:rsid w:val="008B6AA4"/>
    <w:rsid w:val="008B6D96"/>
    <w:rsid w:val="008B7F9A"/>
    <w:rsid w:val="008C0C1D"/>
    <w:rsid w:val="008D0D62"/>
    <w:rsid w:val="008D0D79"/>
    <w:rsid w:val="008D23F1"/>
    <w:rsid w:val="008D2C34"/>
    <w:rsid w:val="008D5D8C"/>
    <w:rsid w:val="008D6A11"/>
    <w:rsid w:val="008D799C"/>
    <w:rsid w:val="008E09AF"/>
    <w:rsid w:val="008E0AEC"/>
    <w:rsid w:val="008E1701"/>
    <w:rsid w:val="008E2466"/>
    <w:rsid w:val="008E2F9C"/>
    <w:rsid w:val="008F0C7E"/>
    <w:rsid w:val="008F0F51"/>
    <w:rsid w:val="008F1027"/>
    <w:rsid w:val="008F3A2E"/>
    <w:rsid w:val="008F69FC"/>
    <w:rsid w:val="008F775F"/>
    <w:rsid w:val="008F7863"/>
    <w:rsid w:val="009020DF"/>
    <w:rsid w:val="009054F9"/>
    <w:rsid w:val="00907D16"/>
    <w:rsid w:val="00910CCA"/>
    <w:rsid w:val="00912080"/>
    <w:rsid w:val="00912BEF"/>
    <w:rsid w:val="00914F6E"/>
    <w:rsid w:val="0091521D"/>
    <w:rsid w:val="00916F90"/>
    <w:rsid w:val="009215F7"/>
    <w:rsid w:val="009226B4"/>
    <w:rsid w:val="00922A7D"/>
    <w:rsid w:val="00923455"/>
    <w:rsid w:val="0092745A"/>
    <w:rsid w:val="00932824"/>
    <w:rsid w:val="00932DBC"/>
    <w:rsid w:val="009339F4"/>
    <w:rsid w:val="009347F1"/>
    <w:rsid w:val="00934EF6"/>
    <w:rsid w:val="00935FC4"/>
    <w:rsid w:val="009367F2"/>
    <w:rsid w:val="00944571"/>
    <w:rsid w:val="00944889"/>
    <w:rsid w:val="00944F38"/>
    <w:rsid w:val="0094500B"/>
    <w:rsid w:val="00947203"/>
    <w:rsid w:val="00947929"/>
    <w:rsid w:val="00947DC9"/>
    <w:rsid w:val="009505A5"/>
    <w:rsid w:val="009508BF"/>
    <w:rsid w:val="0095207B"/>
    <w:rsid w:val="009528C9"/>
    <w:rsid w:val="0095513F"/>
    <w:rsid w:val="00955E60"/>
    <w:rsid w:val="00955EB3"/>
    <w:rsid w:val="00957847"/>
    <w:rsid w:val="009631EE"/>
    <w:rsid w:val="0096399C"/>
    <w:rsid w:val="00965A4B"/>
    <w:rsid w:val="0096675D"/>
    <w:rsid w:val="00967E6F"/>
    <w:rsid w:val="009701D0"/>
    <w:rsid w:val="0097053F"/>
    <w:rsid w:val="00970790"/>
    <w:rsid w:val="00971F8E"/>
    <w:rsid w:val="00973B22"/>
    <w:rsid w:val="00974514"/>
    <w:rsid w:val="009746B3"/>
    <w:rsid w:val="009758D8"/>
    <w:rsid w:val="00976436"/>
    <w:rsid w:val="009814E1"/>
    <w:rsid w:val="00981A46"/>
    <w:rsid w:val="00982012"/>
    <w:rsid w:val="009822C0"/>
    <w:rsid w:val="00983A94"/>
    <w:rsid w:val="00991871"/>
    <w:rsid w:val="00992076"/>
    <w:rsid w:val="00992FDE"/>
    <w:rsid w:val="00993906"/>
    <w:rsid w:val="009943E8"/>
    <w:rsid w:val="00994A84"/>
    <w:rsid w:val="00995B8C"/>
    <w:rsid w:val="0099628F"/>
    <w:rsid w:val="00996851"/>
    <w:rsid w:val="00996FF8"/>
    <w:rsid w:val="00997011"/>
    <w:rsid w:val="009A11B2"/>
    <w:rsid w:val="009A6243"/>
    <w:rsid w:val="009B0CB8"/>
    <w:rsid w:val="009B0F38"/>
    <w:rsid w:val="009B14E4"/>
    <w:rsid w:val="009B1ECA"/>
    <w:rsid w:val="009B2F9C"/>
    <w:rsid w:val="009B43B0"/>
    <w:rsid w:val="009B5E6E"/>
    <w:rsid w:val="009B6B7A"/>
    <w:rsid w:val="009C3521"/>
    <w:rsid w:val="009C65F5"/>
    <w:rsid w:val="009C7E40"/>
    <w:rsid w:val="009D02D1"/>
    <w:rsid w:val="009D0E9E"/>
    <w:rsid w:val="009D18FA"/>
    <w:rsid w:val="009D22FA"/>
    <w:rsid w:val="009D38E9"/>
    <w:rsid w:val="009D3CF5"/>
    <w:rsid w:val="009D4437"/>
    <w:rsid w:val="009D496D"/>
    <w:rsid w:val="009D4A2A"/>
    <w:rsid w:val="009D4ED3"/>
    <w:rsid w:val="009D626B"/>
    <w:rsid w:val="009D6AAC"/>
    <w:rsid w:val="009D74F5"/>
    <w:rsid w:val="009E40EE"/>
    <w:rsid w:val="009E68FE"/>
    <w:rsid w:val="009F0DD7"/>
    <w:rsid w:val="009F15C3"/>
    <w:rsid w:val="009F26FE"/>
    <w:rsid w:val="009F2F07"/>
    <w:rsid w:val="009F4D3E"/>
    <w:rsid w:val="009F52C9"/>
    <w:rsid w:val="009F5C28"/>
    <w:rsid w:val="009F6A05"/>
    <w:rsid w:val="00A00A78"/>
    <w:rsid w:val="00A01BF0"/>
    <w:rsid w:val="00A02B04"/>
    <w:rsid w:val="00A03D39"/>
    <w:rsid w:val="00A05555"/>
    <w:rsid w:val="00A06EEA"/>
    <w:rsid w:val="00A0772E"/>
    <w:rsid w:val="00A103B7"/>
    <w:rsid w:val="00A109CD"/>
    <w:rsid w:val="00A10D90"/>
    <w:rsid w:val="00A13492"/>
    <w:rsid w:val="00A13B30"/>
    <w:rsid w:val="00A14604"/>
    <w:rsid w:val="00A157E8"/>
    <w:rsid w:val="00A1661F"/>
    <w:rsid w:val="00A16D9D"/>
    <w:rsid w:val="00A24E0C"/>
    <w:rsid w:val="00A26BE6"/>
    <w:rsid w:val="00A270B7"/>
    <w:rsid w:val="00A27190"/>
    <w:rsid w:val="00A27D43"/>
    <w:rsid w:val="00A30244"/>
    <w:rsid w:val="00A3481F"/>
    <w:rsid w:val="00A34B62"/>
    <w:rsid w:val="00A35F62"/>
    <w:rsid w:val="00A36457"/>
    <w:rsid w:val="00A41DC0"/>
    <w:rsid w:val="00A434E8"/>
    <w:rsid w:val="00A46378"/>
    <w:rsid w:val="00A46999"/>
    <w:rsid w:val="00A476F3"/>
    <w:rsid w:val="00A50B70"/>
    <w:rsid w:val="00A51275"/>
    <w:rsid w:val="00A54F84"/>
    <w:rsid w:val="00A55E59"/>
    <w:rsid w:val="00A561FF"/>
    <w:rsid w:val="00A5661A"/>
    <w:rsid w:val="00A6054E"/>
    <w:rsid w:val="00A6061C"/>
    <w:rsid w:val="00A614EA"/>
    <w:rsid w:val="00A61AAF"/>
    <w:rsid w:val="00A61F81"/>
    <w:rsid w:val="00A628C7"/>
    <w:rsid w:val="00A63246"/>
    <w:rsid w:val="00A656F2"/>
    <w:rsid w:val="00A6579B"/>
    <w:rsid w:val="00A67941"/>
    <w:rsid w:val="00A70A41"/>
    <w:rsid w:val="00A74BE6"/>
    <w:rsid w:val="00A75709"/>
    <w:rsid w:val="00A75935"/>
    <w:rsid w:val="00A76FDE"/>
    <w:rsid w:val="00A7766F"/>
    <w:rsid w:val="00A86433"/>
    <w:rsid w:val="00A9039C"/>
    <w:rsid w:val="00A90401"/>
    <w:rsid w:val="00A905E0"/>
    <w:rsid w:val="00A9268D"/>
    <w:rsid w:val="00A92E14"/>
    <w:rsid w:val="00A9378A"/>
    <w:rsid w:val="00A938C1"/>
    <w:rsid w:val="00A95D63"/>
    <w:rsid w:val="00A95FED"/>
    <w:rsid w:val="00A967D1"/>
    <w:rsid w:val="00A971D7"/>
    <w:rsid w:val="00AA0793"/>
    <w:rsid w:val="00AA12C2"/>
    <w:rsid w:val="00AA233E"/>
    <w:rsid w:val="00AA250C"/>
    <w:rsid w:val="00AA29B8"/>
    <w:rsid w:val="00AA450A"/>
    <w:rsid w:val="00AA4E0B"/>
    <w:rsid w:val="00AA5C61"/>
    <w:rsid w:val="00AA7B98"/>
    <w:rsid w:val="00AB082E"/>
    <w:rsid w:val="00AB1EC5"/>
    <w:rsid w:val="00AB231D"/>
    <w:rsid w:val="00AB4F47"/>
    <w:rsid w:val="00AB5358"/>
    <w:rsid w:val="00AB75B3"/>
    <w:rsid w:val="00AC099E"/>
    <w:rsid w:val="00AC1F5B"/>
    <w:rsid w:val="00AC452A"/>
    <w:rsid w:val="00AC5678"/>
    <w:rsid w:val="00AC56E9"/>
    <w:rsid w:val="00AC63BE"/>
    <w:rsid w:val="00AC6526"/>
    <w:rsid w:val="00AC7266"/>
    <w:rsid w:val="00AC75EB"/>
    <w:rsid w:val="00AD093A"/>
    <w:rsid w:val="00AD3CA7"/>
    <w:rsid w:val="00AD49B0"/>
    <w:rsid w:val="00AD6B51"/>
    <w:rsid w:val="00AD7F61"/>
    <w:rsid w:val="00AE321F"/>
    <w:rsid w:val="00AE4A42"/>
    <w:rsid w:val="00AF08E3"/>
    <w:rsid w:val="00AF529D"/>
    <w:rsid w:val="00AF5FE7"/>
    <w:rsid w:val="00B01E41"/>
    <w:rsid w:val="00B045E9"/>
    <w:rsid w:val="00B066B6"/>
    <w:rsid w:val="00B06B2D"/>
    <w:rsid w:val="00B11A17"/>
    <w:rsid w:val="00B13981"/>
    <w:rsid w:val="00B239F9"/>
    <w:rsid w:val="00B2684A"/>
    <w:rsid w:val="00B26D0F"/>
    <w:rsid w:val="00B270D4"/>
    <w:rsid w:val="00B27EBD"/>
    <w:rsid w:val="00B31867"/>
    <w:rsid w:val="00B31B78"/>
    <w:rsid w:val="00B3221D"/>
    <w:rsid w:val="00B324BE"/>
    <w:rsid w:val="00B33282"/>
    <w:rsid w:val="00B33816"/>
    <w:rsid w:val="00B340A7"/>
    <w:rsid w:val="00B35A98"/>
    <w:rsid w:val="00B36227"/>
    <w:rsid w:val="00B37591"/>
    <w:rsid w:val="00B405FE"/>
    <w:rsid w:val="00B4276D"/>
    <w:rsid w:val="00B428B9"/>
    <w:rsid w:val="00B44F8C"/>
    <w:rsid w:val="00B46508"/>
    <w:rsid w:val="00B47375"/>
    <w:rsid w:val="00B478F7"/>
    <w:rsid w:val="00B47A03"/>
    <w:rsid w:val="00B52449"/>
    <w:rsid w:val="00B54C7B"/>
    <w:rsid w:val="00B573A2"/>
    <w:rsid w:val="00B60666"/>
    <w:rsid w:val="00B6113D"/>
    <w:rsid w:val="00B6246E"/>
    <w:rsid w:val="00B64A6E"/>
    <w:rsid w:val="00B64E80"/>
    <w:rsid w:val="00B64F45"/>
    <w:rsid w:val="00B65FF0"/>
    <w:rsid w:val="00B66E23"/>
    <w:rsid w:val="00B72168"/>
    <w:rsid w:val="00B759C0"/>
    <w:rsid w:val="00B76EE9"/>
    <w:rsid w:val="00B775FC"/>
    <w:rsid w:val="00B81268"/>
    <w:rsid w:val="00B8245B"/>
    <w:rsid w:val="00B83602"/>
    <w:rsid w:val="00B83647"/>
    <w:rsid w:val="00B83F8E"/>
    <w:rsid w:val="00B850B4"/>
    <w:rsid w:val="00B857DD"/>
    <w:rsid w:val="00B85E0D"/>
    <w:rsid w:val="00B8687E"/>
    <w:rsid w:val="00B8731C"/>
    <w:rsid w:val="00B8782A"/>
    <w:rsid w:val="00B93C3B"/>
    <w:rsid w:val="00BA1753"/>
    <w:rsid w:val="00BA2FA0"/>
    <w:rsid w:val="00BA600F"/>
    <w:rsid w:val="00BA708E"/>
    <w:rsid w:val="00BB0777"/>
    <w:rsid w:val="00BB1A00"/>
    <w:rsid w:val="00BB1A1E"/>
    <w:rsid w:val="00BB5762"/>
    <w:rsid w:val="00BB7AF9"/>
    <w:rsid w:val="00BC086E"/>
    <w:rsid w:val="00BC0B1B"/>
    <w:rsid w:val="00BC19CF"/>
    <w:rsid w:val="00BC39E5"/>
    <w:rsid w:val="00BC430B"/>
    <w:rsid w:val="00BC55F6"/>
    <w:rsid w:val="00BC6CD8"/>
    <w:rsid w:val="00BD0FCB"/>
    <w:rsid w:val="00BD37F2"/>
    <w:rsid w:val="00BD5AA8"/>
    <w:rsid w:val="00BD6EB1"/>
    <w:rsid w:val="00BD7DF7"/>
    <w:rsid w:val="00BE160E"/>
    <w:rsid w:val="00BE2DA5"/>
    <w:rsid w:val="00BE3155"/>
    <w:rsid w:val="00BE3295"/>
    <w:rsid w:val="00BE71C7"/>
    <w:rsid w:val="00BE7439"/>
    <w:rsid w:val="00BE770C"/>
    <w:rsid w:val="00BF01B2"/>
    <w:rsid w:val="00BF164E"/>
    <w:rsid w:val="00BF1FAB"/>
    <w:rsid w:val="00C00ED2"/>
    <w:rsid w:val="00C02715"/>
    <w:rsid w:val="00C04FB3"/>
    <w:rsid w:val="00C05DBD"/>
    <w:rsid w:val="00C06263"/>
    <w:rsid w:val="00C0750E"/>
    <w:rsid w:val="00C1041E"/>
    <w:rsid w:val="00C13DDF"/>
    <w:rsid w:val="00C15FA9"/>
    <w:rsid w:val="00C2096E"/>
    <w:rsid w:val="00C2274F"/>
    <w:rsid w:val="00C242DE"/>
    <w:rsid w:val="00C2715F"/>
    <w:rsid w:val="00C32642"/>
    <w:rsid w:val="00C32B48"/>
    <w:rsid w:val="00C35E6F"/>
    <w:rsid w:val="00C368B8"/>
    <w:rsid w:val="00C36B0F"/>
    <w:rsid w:val="00C37F15"/>
    <w:rsid w:val="00C41F7C"/>
    <w:rsid w:val="00C428DB"/>
    <w:rsid w:val="00C452CD"/>
    <w:rsid w:val="00C471ED"/>
    <w:rsid w:val="00C4770A"/>
    <w:rsid w:val="00C50EA5"/>
    <w:rsid w:val="00C52DE9"/>
    <w:rsid w:val="00C548DF"/>
    <w:rsid w:val="00C609C9"/>
    <w:rsid w:val="00C619E0"/>
    <w:rsid w:val="00C62786"/>
    <w:rsid w:val="00C63291"/>
    <w:rsid w:val="00C67130"/>
    <w:rsid w:val="00C67283"/>
    <w:rsid w:val="00C70107"/>
    <w:rsid w:val="00C70C20"/>
    <w:rsid w:val="00C70DE2"/>
    <w:rsid w:val="00C71227"/>
    <w:rsid w:val="00C7127F"/>
    <w:rsid w:val="00C7193D"/>
    <w:rsid w:val="00C71C85"/>
    <w:rsid w:val="00C71D10"/>
    <w:rsid w:val="00C71F01"/>
    <w:rsid w:val="00C76280"/>
    <w:rsid w:val="00C8106D"/>
    <w:rsid w:val="00C822B7"/>
    <w:rsid w:val="00C822EC"/>
    <w:rsid w:val="00C82E93"/>
    <w:rsid w:val="00C83A70"/>
    <w:rsid w:val="00C83C59"/>
    <w:rsid w:val="00C87DBA"/>
    <w:rsid w:val="00C90866"/>
    <w:rsid w:val="00C9086F"/>
    <w:rsid w:val="00C916C2"/>
    <w:rsid w:val="00C91C3C"/>
    <w:rsid w:val="00C9246A"/>
    <w:rsid w:val="00C927D8"/>
    <w:rsid w:val="00C953ED"/>
    <w:rsid w:val="00C973FC"/>
    <w:rsid w:val="00C97899"/>
    <w:rsid w:val="00C97D39"/>
    <w:rsid w:val="00C97E97"/>
    <w:rsid w:val="00CA114F"/>
    <w:rsid w:val="00CA38D2"/>
    <w:rsid w:val="00CA3B04"/>
    <w:rsid w:val="00CA3BA5"/>
    <w:rsid w:val="00CA7781"/>
    <w:rsid w:val="00CA77E5"/>
    <w:rsid w:val="00CB00FA"/>
    <w:rsid w:val="00CB1108"/>
    <w:rsid w:val="00CB265C"/>
    <w:rsid w:val="00CB2F8E"/>
    <w:rsid w:val="00CB5CC2"/>
    <w:rsid w:val="00CB6ADA"/>
    <w:rsid w:val="00CB6CB7"/>
    <w:rsid w:val="00CC2F22"/>
    <w:rsid w:val="00CC75C3"/>
    <w:rsid w:val="00CC789B"/>
    <w:rsid w:val="00CD21F9"/>
    <w:rsid w:val="00CD3E54"/>
    <w:rsid w:val="00CD57AB"/>
    <w:rsid w:val="00CD6201"/>
    <w:rsid w:val="00CD7FDC"/>
    <w:rsid w:val="00CE05FB"/>
    <w:rsid w:val="00CE12F5"/>
    <w:rsid w:val="00CE5831"/>
    <w:rsid w:val="00CE6518"/>
    <w:rsid w:val="00CE76A0"/>
    <w:rsid w:val="00CF03C8"/>
    <w:rsid w:val="00CF05FF"/>
    <w:rsid w:val="00CF0898"/>
    <w:rsid w:val="00CF1D52"/>
    <w:rsid w:val="00CF4F39"/>
    <w:rsid w:val="00CF4FAE"/>
    <w:rsid w:val="00CF5C48"/>
    <w:rsid w:val="00CF6613"/>
    <w:rsid w:val="00D00D1E"/>
    <w:rsid w:val="00D026AA"/>
    <w:rsid w:val="00D06367"/>
    <w:rsid w:val="00D06B4F"/>
    <w:rsid w:val="00D0778D"/>
    <w:rsid w:val="00D07887"/>
    <w:rsid w:val="00D10113"/>
    <w:rsid w:val="00D1060C"/>
    <w:rsid w:val="00D10C2F"/>
    <w:rsid w:val="00D11AC5"/>
    <w:rsid w:val="00D122C2"/>
    <w:rsid w:val="00D127BE"/>
    <w:rsid w:val="00D21A49"/>
    <w:rsid w:val="00D25CBB"/>
    <w:rsid w:val="00D25E5F"/>
    <w:rsid w:val="00D266F3"/>
    <w:rsid w:val="00D276C7"/>
    <w:rsid w:val="00D30ECA"/>
    <w:rsid w:val="00D32629"/>
    <w:rsid w:val="00D32784"/>
    <w:rsid w:val="00D366BC"/>
    <w:rsid w:val="00D37920"/>
    <w:rsid w:val="00D37DFB"/>
    <w:rsid w:val="00D37FC2"/>
    <w:rsid w:val="00D40AE5"/>
    <w:rsid w:val="00D41423"/>
    <w:rsid w:val="00D42B23"/>
    <w:rsid w:val="00D431E8"/>
    <w:rsid w:val="00D43235"/>
    <w:rsid w:val="00D449C5"/>
    <w:rsid w:val="00D44CED"/>
    <w:rsid w:val="00D47BD3"/>
    <w:rsid w:val="00D500B6"/>
    <w:rsid w:val="00D513A9"/>
    <w:rsid w:val="00D51A2C"/>
    <w:rsid w:val="00D53494"/>
    <w:rsid w:val="00D53EF1"/>
    <w:rsid w:val="00D54184"/>
    <w:rsid w:val="00D56588"/>
    <w:rsid w:val="00D566C0"/>
    <w:rsid w:val="00D605D9"/>
    <w:rsid w:val="00D60C0A"/>
    <w:rsid w:val="00D62CE3"/>
    <w:rsid w:val="00D63E2B"/>
    <w:rsid w:val="00D649B0"/>
    <w:rsid w:val="00D6546D"/>
    <w:rsid w:val="00D656BF"/>
    <w:rsid w:val="00D6599C"/>
    <w:rsid w:val="00D66393"/>
    <w:rsid w:val="00D708EF"/>
    <w:rsid w:val="00D72ABC"/>
    <w:rsid w:val="00D75830"/>
    <w:rsid w:val="00D7663F"/>
    <w:rsid w:val="00D77CCE"/>
    <w:rsid w:val="00D800D6"/>
    <w:rsid w:val="00D809C8"/>
    <w:rsid w:val="00D811F9"/>
    <w:rsid w:val="00D81D90"/>
    <w:rsid w:val="00D81D91"/>
    <w:rsid w:val="00D82CD0"/>
    <w:rsid w:val="00D8404E"/>
    <w:rsid w:val="00D84746"/>
    <w:rsid w:val="00D85FB2"/>
    <w:rsid w:val="00D86119"/>
    <w:rsid w:val="00D865FC"/>
    <w:rsid w:val="00D876F5"/>
    <w:rsid w:val="00D87852"/>
    <w:rsid w:val="00D90DBB"/>
    <w:rsid w:val="00D914F7"/>
    <w:rsid w:val="00D91687"/>
    <w:rsid w:val="00D96B5F"/>
    <w:rsid w:val="00D970DE"/>
    <w:rsid w:val="00D97198"/>
    <w:rsid w:val="00DA2D9E"/>
    <w:rsid w:val="00DA44AA"/>
    <w:rsid w:val="00DA4B5E"/>
    <w:rsid w:val="00DA5018"/>
    <w:rsid w:val="00DA5BEB"/>
    <w:rsid w:val="00DA76AD"/>
    <w:rsid w:val="00DB1D3E"/>
    <w:rsid w:val="00DB56ED"/>
    <w:rsid w:val="00DB5B1D"/>
    <w:rsid w:val="00DB6734"/>
    <w:rsid w:val="00DB7638"/>
    <w:rsid w:val="00DB7734"/>
    <w:rsid w:val="00DC049E"/>
    <w:rsid w:val="00DC135A"/>
    <w:rsid w:val="00DC1435"/>
    <w:rsid w:val="00DC18A2"/>
    <w:rsid w:val="00DC203E"/>
    <w:rsid w:val="00DC20B2"/>
    <w:rsid w:val="00DC272A"/>
    <w:rsid w:val="00DC2B35"/>
    <w:rsid w:val="00DD1E65"/>
    <w:rsid w:val="00DD48A8"/>
    <w:rsid w:val="00DD7509"/>
    <w:rsid w:val="00DE0C61"/>
    <w:rsid w:val="00DE0F74"/>
    <w:rsid w:val="00DE17AA"/>
    <w:rsid w:val="00DE2EB8"/>
    <w:rsid w:val="00DE5472"/>
    <w:rsid w:val="00DE6C46"/>
    <w:rsid w:val="00DE718C"/>
    <w:rsid w:val="00DE732F"/>
    <w:rsid w:val="00DF1A63"/>
    <w:rsid w:val="00DF1CDC"/>
    <w:rsid w:val="00DF1D5A"/>
    <w:rsid w:val="00DF2993"/>
    <w:rsid w:val="00DF3DE4"/>
    <w:rsid w:val="00DF6F73"/>
    <w:rsid w:val="00DF74B2"/>
    <w:rsid w:val="00E00A21"/>
    <w:rsid w:val="00E04079"/>
    <w:rsid w:val="00E04E46"/>
    <w:rsid w:val="00E1100D"/>
    <w:rsid w:val="00E11F0F"/>
    <w:rsid w:val="00E12905"/>
    <w:rsid w:val="00E17112"/>
    <w:rsid w:val="00E215BC"/>
    <w:rsid w:val="00E2696C"/>
    <w:rsid w:val="00E273F0"/>
    <w:rsid w:val="00E2785D"/>
    <w:rsid w:val="00E31757"/>
    <w:rsid w:val="00E319FD"/>
    <w:rsid w:val="00E331D9"/>
    <w:rsid w:val="00E337A7"/>
    <w:rsid w:val="00E34D90"/>
    <w:rsid w:val="00E3682A"/>
    <w:rsid w:val="00E37777"/>
    <w:rsid w:val="00E42165"/>
    <w:rsid w:val="00E43318"/>
    <w:rsid w:val="00E43C12"/>
    <w:rsid w:val="00E445D5"/>
    <w:rsid w:val="00E44C5B"/>
    <w:rsid w:val="00E468AD"/>
    <w:rsid w:val="00E4776E"/>
    <w:rsid w:val="00E479F1"/>
    <w:rsid w:val="00E5004C"/>
    <w:rsid w:val="00E502FB"/>
    <w:rsid w:val="00E50479"/>
    <w:rsid w:val="00E505FF"/>
    <w:rsid w:val="00E50A53"/>
    <w:rsid w:val="00E50CED"/>
    <w:rsid w:val="00E50DA7"/>
    <w:rsid w:val="00E54840"/>
    <w:rsid w:val="00E54AD4"/>
    <w:rsid w:val="00E55A9D"/>
    <w:rsid w:val="00E55F93"/>
    <w:rsid w:val="00E56987"/>
    <w:rsid w:val="00E6025D"/>
    <w:rsid w:val="00E61FC4"/>
    <w:rsid w:val="00E62C1F"/>
    <w:rsid w:val="00E62FC5"/>
    <w:rsid w:val="00E62FF7"/>
    <w:rsid w:val="00E64247"/>
    <w:rsid w:val="00E6464F"/>
    <w:rsid w:val="00E648DA"/>
    <w:rsid w:val="00E65682"/>
    <w:rsid w:val="00E672A3"/>
    <w:rsid w:val="00E70D4A"/>
    <w:rsid w:val="00E71C0D"/>
    <w:rsid w:val="00E74788"/>
    <w:rsid w:val="00E821C3"/>
    <w:rsid w:val="00E83B29"/>
    <w:rsid w:val="00E849C4"/>
    <w:rsid w:val="00E91065"/>
    <w:rsid w:val="00E912D8"/>
    <w:rsid w:val="00E91A4B"/>
    <w:rsid w:val="00E92DAA"/>
    <w:rsid w:val="00E92ECE"/>
    <w:rsid w:val="00E94F95"/>
    <w:rsid w:val="00EA0518"/>
    <w:rsid w:val="00EA32E4"/>
    <w:rsid w:val="00EA5ADC"/>
    <w:rsid w:val="00EA6190"/>
    <w:rsid w:val="00EA7449"/>
    <w:rsid w:val="00EA7BB8"/>
    <w:rsid w:val="00EA7E55"/>
    <w:rsid w:val="00EB2156"/>
    <w:rsid w:val="00EB24DB"/>
    <w:rsid w:val="00EB2B0F"/>
    <w:rsid w:val="00EB3E5A"/>
    <w:rsid w:val="00EB60CB"/>
    <w:rsid w:val="00EB7B27"/>
    <w:rsid w:val="00EC29D2"/>
    <w:rsid w:val="00EC2B3D"/>
    <w:rsid w:val="00EC4FBC"/>
    <w:rsid w:val="00EC53FB"/>
    <w:rsid w:val="00EC5A30"/>
    <w:rsid w:val="00EC68B2"/>
    <w:rsid w:val="00EC71E0"/>
    <w:rsid w:val="00EC7C0D"/>
    <w:rsid w:val="00ED428C"/>
    <w:rsid w:val="00ED4ECC"/>
    <w:rsid w:val="00ED63AA"/>
    <w:rsid w:val="00ED703B"/>
    <w:rsid w:val="00ED70F6"/>
    <w:rsid w:val="00EE05C0"/>
    <w:rsid w:val="00EE4D0F"/>
    <w:rsid w:val="00EE71E1"/>
    <w:rsid w:val="00EE796C"/>
    <w:rsid w:val="00EF2ED0"/>
    <w:rsid w:val="00EF351D"/>
    <w:rsid w:val="00EF3E11"/>
    <w:rsid w:val="00EF47DC"/>
    <w:rsid w:val="00EF4B47"/>
    <w:rsid w:val="00EF4B56"/>
    <w:rsid w:val="00EF4F3F"/>
    <w:rsid w:val="00EF5826"/>
    <w:rsid w:val="00EF624C"/>
    <w:rsid w:val="00F0025B"/>
    <w:rsid w:val="00F00F3D"/>
    <w:rsid w:val="00F033EF"/>
    <w:rsid w:val="00F04C4F"/>
    <w:rsid w:val="00F05FCD"/>
    <w:rsid w:val="00F07D41"/>
    <w:rsid w:val="00F105D9"/>
    <w:rsid w:val="00F10F33"/>
    <w:rsid w:val="00F11093"/>
    <w:rsid w:val="00F13EC6"/>
    <w:rsid w:val="00F16272"/>
    <w:rsid w:val="00F165A6"/>
    <w:rsid w:val="00F227C9"/>
    <w:rsid w:val="00F22EDC"/>
    <w:rsid w:val="00F2354F"/>
    <w:rsid w:val="00F24651"/>
    <w:rsid w:val="00F24AA5"/>
    <w:rsid w:val="00F26C70"/>
    <w:rsid w:val="00F312F9"/>
    <w:rsid w:val="00F320F1"/>
    <w:rsid w:val="00F33DB4"/>
    <w:rsid w:val="00F3487B"/>
    <w:rsid w:val="00F356D3"/>
    <w:rsid w:val="00F35FF4"/>
    <w:rsid w:val="00F36494"/>
    <w:rsid w:val="00F376A6"/>
    <w:rsid w:val="00F4180F"/>
    <w:rsid w:val="00F4246C"/>
    <w:rsid w:val="00F434D0"/>
    <w:rsid w:val="00F44BEF"/>
    <w:rsid w:val="00F463F0"/>
    <w:rsid w:val="00F46AF9"/>
    <w:rsid w:val="00F50A5B"/>
    <w:rsid w:val="00F529ED"/>
    <w:rsid w:val="00F534B5"/>
    <w:rsid w:val="00F550A2"/>
    <w:rsid w:val="00F56492"/>
    <w:rsid w:val="00F607BE"/>
    <w:rsid w:val="00F60C24"/>
    <w:rsid w:val="00F61EBC"/>
    <w:rsid w:val="00F62D5B"/>
    <w:rsid w:val="00F63B17"/>
    <w:rsid w:val="00F66BF7"/>
    <w:rsid w:val="00F70EA3"/>
    <w:rsid w:val="00F71E51"/>
    <w:rsid w:val="00F724BF"/>
    <w:rsid w:val="00F73BDE"/>
    <w:rsid w:val="00F74580"/>
    <w:rsid w:val="00F747FD"/>
    <w:rsid w:val="00F76AC5"/>
    <w:rsid w:val="00F76BD2"/>
    <w:rsid w:val="00F80E48"/>
    <w:rsid w:val="00F81DA0"/>
    <w:rsid w:val="00F8411A"/>
    <w:rsid w:val="00F848FC"/>
    <w:rsid w:val="00F84938"/>
    <w:rsid w:val="00F85EB1"/>
    <w:rsid w:val="00F8786C"/>
    <w:rsid w:val="00F94593"/>
    <w:rsid w:val="00F960D9"/>
    <w:rsid w:val="00F977B9"/>
    <w:rsid w:val="00FA27F4"/>
    <w:rsid w:val="00FA2E97"/>
    <w:rsid w:val="00FA3675"/>
    <w:rsid w:val="00FA6D1A"/>
    <w:rsid w:val="00FB1260"/>
    <w:rsid w:val="00FB3E71"/>
    <w:rsid w:val="00FB797D"/>
    <w:rsid w:val="00FB79CC"/>
    <w:rsid w:val="00FC1095"/>
    <w:rsid w:val="00FC64DF"/>
    <w:rsid w:val="00FC6F2D"/>
    <w:rsid w:val="00FD08FA"/>
    <w:rsid w:val="00FD10B6"/>
    <w:rsid w:val="00FD4D59"/>
    <w:rsid w:val="00FD6C6A"/>
    <w:rsid w:val="00FD735D"/>
    <w:rsid w:val="00FD7C5C"/>
    <w:rsid w:val="00FD7CB6"/>
    <w:rsid w:val="00FE057C"/>
    <w:rsid w:val="00FE067F"/>
    <w:rsid w:val="00FE3092"/>
    <w:rsid w:val="00FE3FE2"/>
    <w:rsid w:val="00FE5445"/>
    <w:rsid w:val="00FE5810"/>
    <w:rsid w:val="00FE586A"/>
    <w:rsid w:val="00FE6675"/>
    <w:rsid w:val="00FF1A68"/>
    <w:rsid w:val="00FF22A4"/>
    <w:rsid w:val="00FF32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54549"/>
  <w15:docId w15:val="{9E2A9F31-85AE-45A8-A85A-4BA76EB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200" w:line="276" w:lineRule="auto"/>
    </w:pPr>
    <w:rPr>
      <w:sz w:val="22"/>
      <w:szCs w:val="22"/>
    </w:rPr>
  </w:style>
  <w:style w:type="paragraph" w:styleId="Kop1">
    <w:name w:val="heading 1"/>
    <w:basedOn w:val="Standaard"/>
    <w:next w:val="Standaard"/>
    <w:link w:val="Kop1Char"/>
    <w:uiPriority w:val="9"/>
    <w:unhideWhenUsed/>
    <w:qFormat/>
    <w:rsid w:val="00F66BF7"/>
    <w:pPr>
      <w:keepNext/>
      <w:keepLines/>
      <w:spacing w:before="720" w:after="240"/>
      <w:ind w:left="360"/>
      <w:jc w:val="both"/>
      <w:outlineLvl w:val="0"/>
    </w:pPr>
    <w:rPr>
      <w:rFonts w:eastAsia="Times New Roman"/>
      <w:b/>
      <w:bCs/>
      <w:color w:val="000000"/>
      <w:szCs w:val="28"/>
    </w:rPr>
  </w:style>
  <w:style w:type="paragraph" w:styleId="Kop2">
    <w:name w:val="heading 2"/>
    <w:basedOn w:val="Standaard"/>
    <w:next w:val="Standaard"/>
    <w:link w:val="Kop2Char"/>
    <w:uiPriority w:val="9"/>
    <w:unhideWhenUsed/>
    <w:qFormat/>
    <w:rsid w:val="00F960D9"/>
    <w:pPr>
      <w:keepNext/>
      <w:keepLines/>
      <w:spacing w:before="440" w:after="240"/>
      <w:jc w:val="both"/>
      <w:outlineLvl w:val="1"/>
    </w:pPr>
    <w:rPr>
      <w:rFonts w:eastAsia="Times New Roman"/>
      <w:b/>
      <w:bCs/>
      <w:szCs w:val="26"/>
    </w:rPr>
  </w:style>
  <w:style w:type="paragraph" w:styleId="Kop3">
    <w:name w:val="heading 3"/>
    <w:basedOn w:val="Standaard"/>
    <w:next w:val="Standaard"/>
    <w:link w:val="Kop3Char"/>
    <w:uiPriority w:val="9"/>
    <w:unhideWhenUsed/>
    <w:qFormat/>
    <w:rsid w:val="00F960D9"/>
    <w:pPr>
      <w:keepNext/>
      <w:keepLines/>
      <w:spacing w:before="440" w:after="240"/>
      <w:jc w:val="both"/>
      <w:outlineLvl w:val="2"/>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3D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DE4"/>
  </w:style>
  <w:style w:type="paragraph" w:styleId="Voettekst">
    <w:name w:val="footer"/>
    <w:basedOn w:val="Standaard"/>
    <w:link w:val="VoettekstChar"/>
    <w:uiPriority w:val="99"/>
    <w:unhideWhenUsed/>
    <w:rsid w:val="00DF3D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DE4"/>
  </w:style>
  <w:style w:type="paragraph" w:styleId="Ballontekst">
    <w:name w:val="Balloon Text"/>
    <w:basedOn w:val="Standaard"/>
    <w:link w:val="BallontekstChar"/>
    <w:uiPriority w:val="99"/>
    <w:semiHidden/>
    <w:unhideWhenUsed/>
    <w:rsid w:val="00DF3DE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F3DE4"/>
    <w:rPr>
      <w:rFonts w:ascii="Tahoma" w:hAnsi="Tahoma" w:cs="Tahoma"/>
      <w:sz w:val="16"/>
      <w:szCs w:val="16"/>
    </w:rPr>
  </w:style>
  <w:style w:type="paragraph" w:styleId="Lijstalinea">
    <w:name w:val="List Paragraph"/>
    <w:basedOn w:val="Standaard"/>
    <w:uiPriority w:val="34"/>
    <w:qFormat/>
    <w:rsid w:val="00A656F2"/>
    <w:pPr>
      <w:ind w:left="720"/>
      <w:contextualSpacing/>
    </w:pPr>
  </w:style>
  <w:style w:type="character" w:styleId="Hyperlink">
    <w:name w:val="Hyperlink"/>
    <w:uiPriority w:val="99"/>
    <w:unhideWhenUsed/>
    <w:rsid w:val="00AB75B3"/>
    <w:rPr>
      <w:color w:val="0000FF"/>
      <w:u w:val="single"/>
    </w:rPr>
  </w:style>
  <w:style w:type="paragraph" w:styleId="Voetnoottekst">
    <w:name w:val="footnote text"/>
    <w:basedOn w:val="Standaard"/>
    <w:link w:val="VoetnoottekstChar"/>
    <w:uiPriority w:val="99"/>
    <w:unhideWhenUsed/>
    <w:rsid w:val="00756EF9"/>
    <w:pPr>
      <w:spacing w:after="0" w:line="240" w:lineRule="auto"/>
    </w:pPr>
    <w:rPr>
      <w:sz w:val="20"/>
      <w:szCs w:val="20"/>
    </w:rPr>
  </w:style>
  <w:style w:type="character" w:customStyle="1" w:styleId="VoetnoottekstChar">
    <w:name w:val="Voetnoottekst Char"/>
    <w:link w:val="Voetnoottekst"/>
    <w:uiPriority w:val="99"/>
    <w:rsid w:val="00756EF9"/>
    <w:rPr>
      <w:sz w:val="20"/>
      <w:szCs w:val="20"/>
    </w:rPr>
  </w:style>
  <w:style w:type="character" w:styleId="Voetnootmarkering">
    <w:name w:val="footnote reference"/>
    <w:unhideWhenUsed/>
    <w:rsid w:val="00756EF9"/>
    <w:rPr>
      <w:vertAlign w:val="superscript"/>
    </w:rPr>
  </w:style>
  <w:style w:type="paragraph" w:styleId="Plattetekstinspringen">
    <w:name w:val="Body Text Indent"/>
    <w:basedOn w:val="Standaard"/>
    <w:link w:val="PlattetekstinspringenChar"/>
    <w:rsid w:val="00756EF9"/>
    <w:pPr>
      <w:spacing w:after="0" w:line="240" w:lineRule="auto"/>
      <w:ind w:left="720"/>
    </w:pPr>
    <w:rPr>
      <w:rFonts w:ascii="Times New Roman" w:eastAsia="Times New Roman" w:hAnsi="Times New Roman"/>
      <w:sz w:val="24"/>
      <w:szCs w:val="24"/>
    </w:rPr>
  </w:style>
  <w:style w:type="character" w:customStyle="1" w:styleId="PlattetekstinspringenChar">
    <w:name w:val="Platte tekst inspringen Char"/>
    <w:link w:val="Plattetekstinspringen"/>
    <w:rsid w:val="00756EF9"/>
    <w:rPr>
      <w:rFonts w:ascii="Times New Roman" w:eastAsia="Times New Roman" w:hAnsi="Times New Roman" w:cs="Times New Roman"/>
      <w:sz w:val="24"/>
      <w:szCs w:val="24"/>
    </w:rPr>
  </w:style>
  <w:style w:type="character" w:styleId="Zwaar">
    <w:name w:val="Strong"/>
    <w:qFormat/>
    <w:rsid w:val="00AC75EB"/>
    <w:rPr>
      <w:b/>
      <w:bCs/>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link w:val="Tekstopmerking"/>
    <w:uiPriority w:val="99"/>
    <w:semiHidden/>
    <w:rsid w:val="00B64E80"/>
    <w:rPr>
      <w:sz w:val="20"/>
      <w:szCs w:val="20"/>
    </w:rPr>
  </w:style>
  <w:style w:type="paragraph" w:styleId="Onderwerpvanopmerking">
    <w:name w:val="annotation subject"/>
    <w:basedOn w:val="Tekstopmerking"/>
    <w:next w:val="Tekstopmerking"/>
    <w:link w:val="OnderwerpvanopmerkingChar"/>
    <w:uiPriority w:val="99"/>
    <w:semiHidden/>
    <w:unhideWhenUsed/>
    <w:rsid w:val="00B64E80"/>
    <w:rPr>
      <w:b/>
      <w:bCs/>
    </w:rPr>
  </w:style>
  <w:style w:type="character" w:customStyle="1" w:styleId="OnderwerpvanopmerkingChar">
    <w:name w:val="Onderwerp van opmerking Char"/>
    <w:link w:val="Onderwerpvanopmerking"/>
    <w:uiPriority w:val="99"/>
    <w:semiHidden/>
    <w:rsid w:val="00B64E80"/>
    <w:rPr>
      <w:b/>
      <w:bCs/>
      <w:sz w:val="20"/>
      <w:szCs w:val="20"/>
    </w:rPr>
  </w:style>
  <w:style w:type="character" w:customStyle="1" w:styleId="Kop1Char">
    <w:name w:val="Kop 1 Char"/>
    <w:link w:val="Kop1"/>
    <w:uiPriority w:val="9"/>
    <w:rsid w:val="00F66BF7"/>
    <w:rPr>
      <w:rFonts w:eastAsia="Times New Roman" w:cs="Times New Roman"/>
      <w:b/>
      <w:bCs/>
      <w:color w:val="000000"/>
      <w:szCs w:val="28"/>
      <w:lang w:val="en-GB"/>
    </w:rPr>
  </w:style>
  <w:style w:type="character" w:customStyle="1" w:styleId="Kop2Char">
    <w:name w:val="Kop 2 Char"/>
    <w:link w:val="Kop2"/>
    <w:uiPriority w:val="9"/>
    <w:rsid w:val="00F960D9"/>
    <w:rPr>
      <w:rFonts w:eastAsia="Times New Roman" w:cs="Times New Roman"/>
      <w:b/>
      <w:bCs/>
      <w:szCs w:val="26"/>
    </w:rPr>
  </w:style>
  <w:style w:type="character" w:customStyle="1" w:styleId="Kop3Char">
    <w:name w:val="Kop 3 Char"/>
    <w:link w:val="Kop3"/>
    <w:uiPriority w:val="9"/>
    <w:rsid w:val="00F960D9"/>
    <w:rPr>
      <w:rFonts w:eastAsia="Times New Roman" w:cs="Times New Roman"/>
      <w:b/>
      <w:bCs/>
    </w:rPr>
  </w:style>
  <w:style w:type="paragraph" w:styleId="Normaalweb">
    <w:name w:val="Normal (Web)"/>
    <w:basedOn w:val="Standaard"/>
    <w:uiPriority w:val="99"/>
    <w:unhideWhenUsed/>
    <w:rsid w:val="002D5ACE"/>
    <w:pPr>
      <w:spacing w:before="100" w:beforeAutospacing="1" w:after="100" w:afterAutospacing="1" w:line="240" w:lineRule="auto"/>
    </w:pPr>
    <w:rPr>
      <w:rFonts w:ascii="Times New Roman" w:eastAsia="Times New Roman" w:hAnsi="Times New Roman"/>
      <w:sz w:val="24"/>
      <w:szCs w:val="24"/>
    </w:rPr>
  </w:style>
  <w:style w:type="paragraph" w:customStyle="1" w:styleId="BODYlopendTEKSTOPMAAK">
    <w:name w:val="BODY_lopend (TEKSTOPMAAK)"/>
    <w:basedOn w:val="Standaard"/>
    <w:uiPriority w:val="99"/>
    <w:rsid w:val="008E0AEC"/>
    <w:pPr>
      <w:widowControl w:val="0"/>
      <w:tabs>
        <w:tab w:val="left" w:pos="283"/>
        <w:tab w:val="left" w:pos="425"/>
        <w:tab w:val="left" w:pos="567"/>
      </w:tabs>
      <w:autoSpaceDE w:val="0"/>
      <w:autoSpaceDN w:val="0"/>
      <w:adjustRightInd w:val="0"/>
      <w:spacing w:after="227" w:line="227" w:lineRule="atLeast"/>
      <w:textAlignment w:val="center"/>
    </w:pPr>
    <w:rPr>
      <w:rFonts w:ascii="HelveticaNeueLTStd-Lt" w:eastAsia="Times New Roman" w:hAnsi="HelveticaNeueLTStd-Lt" w:cs="HelveticaNeueLTStd-Lt"/>
      <w:color w:val="000000"/>
      <w:sz w:val="18"/>
      <w:szCs w:val="18"/>
    </w:rPr>
  </w:style>
  <w:style w:type="paragraph" w:customStyle="1" w:styleId="BODYTT3TEKSTOPMAAK">
    <w:name w:val="BODY_TT 3 (TEKSTOPMAAK)"/>
    <w:basedOn w:val="BODYlopendTEKSTOPMAAK"/>
    <w:uiPriority w:val="99"/>
    <w:rsid w:val="008E0AEC"/>
    <w:pPr>
      <w:suppressAutoHyphens/>
      <w:ind w:left="283"/>
    </w:pPr>
    <w:rPr>
      <w:rFonts w:ascii="HelveticaNeueLTStd-Bd" w:hAnsi="HelveticaNeueLTStd-Bd" w:cs="HelveticaNeueLTStd-Bd"/>
      <w:b/>
      <w:bCs/>
      <w:color w:val="9A6A8C"/>
    </w:rPr>
  </w:style>
  <w:style w:type="paragraph" w:customStyle="1" w:styleId="BODYlopendopsommingTEKSTOPMAAK">
    <w:name w:val="BODY_lopend_opsomming (TEKSTOPMAAK)"/>
    <w:basedOn w:val="BODYlopendTEKSTOPMAAK"/>
    <w:uiPriority w:val="99"/>
    <w:rsid w:val="008E0AEC"/>
    <w:pPr>
      <w:ind w:left="283" w:hanging="283"/>
    </w:pPr>
  </w:style>
  <w:style w:type="character" w:customStyle="1" w:styleId="Bodybold">
    <w:name w:val="Body_bold"/>
    <w:uiPriority w:val="99"/>
    <w:rsid w:val="008E0AEC"/>
    <w:rPr>
      <w:rFonts w:ascii="HelveticaNeueLTStd-Md" w:hAnsi="HelveticaNeueLTStd-Md" w:cs="HelveticaNeueLTStd-Md"/>
      <w:color w:val="000000"/>
      <w:spacing w:val="0"/>
      <w:w w:val="100"/>
      <w:position w:val="0"/>
      <w:sz w:val="18"/>
      <w:szCs w:val="18"/>
      <w:u w:val="none"/>
      <w:vertAlign w:val="baseline"/>
      <w:lang w:val="en-GB"/>
    </w:rPr>
  </w:style>
  <w:style w:type="character" w:customStyle="1" w:styleId="Bodyitalic">
    <w:name w:val="Body_italic"/>
    <w:uiPriority w:val="99"/>
    <w:rsid w:val="008E0AEC"/>
    <w:rPr>
      <w:rFonts w:ascii="HelveticaNeueLTStd-LtIt" w:hAnsi="HelveticaNeueLTStd-LtIt" w:cs="HelveticaNeueLTStd-LtIt"/>
      <w:i/>
      <w:iCs/>
      <w:color w:val="000000"/>
      <w:spacing w:val="0"/>
      <w:w w:val="100"/>
      <w:position w:val="0"/>
      <w:sz w:val="18"/>
      <w:szCs w:val="18"/>
      <w:u w:val="none"/>
      <w:vertAlign w:val="baseline"/>
      <w:lang w:val="en-GB"/>
    </w:rPr>
  </w:style>
  <w:style w:type="character" w:customStyle="1" w:styleId="NoBreak">
    <w:name w:val="__No Break"/>
    <w:uiPriority w:val="99"/>
    <w:rsid w:val="008E0AEC"/>
    <w:rPr>
      <w:u w:val="none"/>
    </w:rPr>
  </w:style>
  <w:style w:type="paragraph" w:styleId="Revisie">
    <w:name w:val="Revision"/>
    <w:hidden/>
    <w:uiPriority w:val="99"/>
    <w:semiHidden/>
    <w:rsid w:val="00523DAD"/>
    <w:rPr>
      <w:sz w:val="22"/>
      <w:szCs w:val="22"/>
    </w:rPr>
  </w:style>
  <w:style w:type="character" w:customStyle="1" w:styleId="NoBreakPirre">
    <w:name w:val="__No Break (__Pirre)"/>
    <w:uiPriority w:val="99"/>
    <w:rsid w:val="00AF529D"/>
    <w:rPr>
      <w:u w:val="none"/>
    </w:rPr>
  </w:style>
  <w:style w:type="paragraph" w:styleId="Eindnoottekst">
    <w:name w:val="endnote text"/>
    <w:basedOn w:val="Standaard"/>
    <w:link w:val="EindnoottekstChar"/>
    <w:uiPriority w:val="99"/>
    <w:semiHidden/>
    <w:unhideWhenUsed/>
    <w:rsid w:val="008D23F1"/>
    <w:rPr>
      <w:sz w:val="20"/>
      <w:szCs w:val="20"/>
    </w:rPr>
  </w:style>
  <w:style w:type="character" w:customStyle="1" w:styleId="EindnoottekstChar">
    <w:name w:val="Eindnoottekst Char"/>
    <w:link w:val="Eindnoottekst"/>
    <w:uiPriority w:val="99"/>
    <w:semiHidden/>
    <w:rsid w:val="008D23F1"/>
    <w:rPr>
      <w:lang w:eastAsia="en-GB"/>
    </w:rPr>
  </w:style>
  <w:style w:type="character" w:styleId="Eindnootmarkering">
    <w:name w:val="endnote reference"/>
    <w:uiPriority w:val="99"/>
    <w:semiHidden/>
    <w:unhideWhenUsed/>
    <w:rsid w:val="008D23F1"/>
    <w:rPr>
      <w:vertAlign w:val="superscript"/>
    </w:rPr>
  </w:style>
  <w:style w:type="paragraph" w:customStyle="1" w:styleId="BODYTT2TEKSTOPMAAK">
    <w:name w:val="BODY_TT 2 (TEKSTOPMAAK)"/>
    <w:basedOn w:val="Standaard"/>
    <w:uiPriority w:val="99"/>
    <w:rsid w:val="00DE732F"/>
    <w:pPr>
      <w:widowControl w:val="0"/>
      <w:suppressAutoHyphens/>
      <w:autoSpaceDE w:val="0"/>
      <w:autoSpaceDN w:val="0"/>
      <w:adjustRightInd w:val="0"/>
      <w:spacing w:after="227" w:line="404" w:lineRule="atLeast"/>
      <w:ind w:left="567" w:hanging="567"/>
      <w:textAlignment w:val="center"/>
    </w:pPr>
    <w:rPr>
      <w:rFonts w:ascii="HelveticaNeueLTStd-Th" w:eastAsia="Times New Roman" w:hAnsi="HelveticaNeueLTStd-Th" w:cs="HelveticaNeueLTStd-Th"/>
      <w:color w:val="A19588"/>
      <w:sz w:val="36"/>
      <w:szCs w:val="36"/>
    </w:rPr>
  </w:style>
  <w:style w:type="paragraph" w:customStyle="1" w:styleId="wdp15s2AWDP15-TAB">
    <w:name w:val="wdp15_s2_A (WDP15-TAB)"/>
    <w:basedOn w:val="Standaard"/>
    <w:uiPriority w:val="99"/>
    <w:rsid w:val="0065625F"/>
    <w:pPr>
      <w:widowControl w:val="0"/>
      <w:tabs>
        <w:tab w:val="left" w:pos="283"/>
        <w:tab w:val="left" w:pos="425"/>
        <w:tab w:val="left" w:pos="567"/>
      </w:tabs>
      <w:autoSpaceDE w:val="0"/>
      <w:autoSpaceDN w:val="0"/>
      <w:adjustRightInd w:val="0"/>
      <w:spacing w:after="0" w:line="160" w:lineRule="atLeast"/>
      <w:jc w:val="both"/>
      <w:textAlignment w:val="center"/>
    </w:pPr>
    <w:rPr>
      <w:rFonts w:ascii="HelveticaNeueLTStd-BdCn" w:eastAsia="MS Mincho" w:hAnsi="HelveticaNeueLTStd-BdCn" w:cs="HelveticaNeueLTStd-BdCn"/>
      <w:b/>
      <w:bCs/>
      <w:color w:val="464B3E"/>
      <w:sz w:val="14"/>
      <w:szCs w:val="14"/>
    </w:rPr>
  </w:style>
  <w:style w:type="paragraph" w:customStyle="1" w:styleId="wdp15int2">
    <w:name w:val="wdp15_int2"/>
    <w:basedOn w:val="Standaard"/>
    <w:uiPriority w:val="99"/>
    <w:rsid w:val="0065625F"/>
    <w:pPr>
      <w:widowControl w:val="0"/>
      <w:tabs>
        <w:tab w:val="left" w:pos="283"/>
        <w:tab w:val="left" w:pos="425"/>
        <w:tab w:val="left" w:pos="567"/>
      </w:tabs>
      <w:suppressAutoHyphens/>
      <w:autoSpaceDE w:val="0"/>
      <w:autoSpaceDN w:val="0"/>
      <w:adjustRightInd w:val="0"/>
      <w:spacing w:before="227" w:after="0" w:line="240" w:lineRule="atLeast"/>
      <w:textAlignment w:val="center"/>
    </w:pPr>
    <w:rPr>
      <w:rFonts w:ascii="HelveticaNeueLTStd-Bd" w:eastAsia="MS Mincho" w:hAnsi="HelveticaNeueLTStd-Bd" w:cs="HelveticaNeueLTStd-Bd"/>
      <w:b/>
      <w:bCs/>
      <w:color w:val="464B3E"/>
      <w:sz w:val="20"/>
      <w:szCs w:val="20"/>
    </w:rPr>
  </w:style>
  <w:style w:type="paragraph" w:customStyle="1" w:styleId="wdp15DatesWDP15-TAB">
    <w:name w:val="wdp15_Dates (WDP15-TAB)"/>
    <w:basedOn w:val="Standaard"/>
    <w:uiPriority w:val="99"/>
    <w:rsid w:val="001C5560"/>
    <w:pPr>
      <w:widowControl w:val="0"/>
      <w:tabs>
        <w:tab w:val="left" w:pos="283"/>
        <w:tab w:val="left" w:pos="425"/>
        <w:tab w:val="left" w:pos="567"/>
      </w:tabs>
      <w:autoSpaceDE w:val="0"/>
      <w:autoSpaceDN w:val="0"/>
      <w:adjustRightInd w:val="0"/>
      <w:spacing w:after="0" w:line="160" w:lineRule="atLeast"/>
      <w:jc w:val="right"/>
      <w:textAlignment w:val="center"/>
    </w:pPr>
    <w:rPr>
      <w:rFonts w:ascii="HelveticaNeueLTStd-Md" w:eastAsia="MS Mincho" w:hAnsi="HelveticaNeueLTStd-Md" w:cs="HelveticaNeueLTStd-Md"/>
      <w:color w:val="000000"/>
      <w:sz w:val="14"/>
      <w:szCs w:val="14"/>
    </w:rPr>
  </w:style>
  <w:style w:type="paragraph" w:customStyle="1" w:styleId="wdp15-txt">
    <w:name w:val="wdp15-txt"/>
    <w:basedOn w:val="Standaard"/>
    <w:uiPriority w:val="99"/>
    <w:rsid w:val="002046E7"/>
    <w:pPr>
      <w:widowControl w:val="0"/>
      <w:tabs>
        <w:tab w:val="left" w:pos="283"/>
        <w:tab w:val="left" w:pos="425"/>
        <w:tab w:val="left" w:pos="567"/>
      </w:tabs>
      <w:autoSpaceDE w:val="0"/>
      <w:autoSpaceDN w:val="0"/>
      <w:adjustRightInd w:val="0"/>
      <w:spacing w:before="227" w:after="0" w:line="240" w:lineRule="atLeast"/>
      <w:jc w:val="both"/>
      <w:textAlignment w:val="center"/>
    </w:pPr>
    <w:rPr>
      <w:rFonts w:ascii="HelveticaNeueLTStd-Lt" w:eastAsia="MS Mincho" w:hAnsi="HelveticaNeueLTStd-Lt" w:cs="HelveticaNeueLTStd-Lt"/>
      <w:color w:val="000000"/>
      <w:sz w:val="17"/>
      <w:szCs w:val="17"/>
    </w:rPr>
  </w:style>
  <w:style w:type="paragraph" w:customStyle="1" w:styleId="FootnotePirre">
    <w:name w:val="__Footnote (__Pirre)"/>
    <w:basedOn w:val="Standaard"/>
    <w:next w:val="Standaard"/>
    <w:uiPriority w:val="99"/>
    <w:rsid w:val="00500EA6"/>
    <w:pPr>
      <w:widowControl w:val="0"/>
      <w:autoSpaceDE w:val="0"/>
      <w:autoSpaceDN w:val="0"/>
      <w:adjustRightInd w:val="0"/>
      <w:spacing w:after="0" w:line="170" w:lineRule="atLeast"/>
      <w:ind w:left="170" w:hanging="170"/>
      <w:textAlignment w:val="center"/>
    </w:pPr>
    <w:rPr>
      <w:rFonts w:ascii="HelveticaNeueLTStd-Cn" w:eastAsia="MS Mincho" w:hAnsi="HelveticaNeueLTStd-Cn" w:cs="HelveticaNeueLTStd-Cn"/>
      <w:color w:val="A19588"/>
      <w:sz w:val="14"/>
      <w:szCs w:val="14"/>
    </w:rPr>
  </w:style>
  <w:style w:type="paragraph" w:customStyle="1" w:styleId="wdp15s1AWDP15-TAB">
    <w:name w:val="wdp15_s1_A (WDP15-TAB)"/>
    <w:basedOn w:val="Standaard"/>
    <w:uiPriority w:val="99"/>
    <w:rsid w:val="00500EA6"/>
    <w:pPr>
      <w:widowControl w:val="0"/>
      <w:tabs>
        <w:tab w:val="left" w:pos="283"/>
        <w:tab w:val="left" w:pos="425"/>
        <w:tab w:val="left" w:pos="567"/>
      </w:tabs>
      <w:autoSpaceDE w:val="0"/>
      <w:autoSpaceDN w:val="0"/>
      <w:adjustRightInd w:val="0"/>
      <w:spacing w:after="0" w:line="160" w:lineRule="atLeast"/>
      <w:jc w:val="both"/>
      <w:textAlignment w:val="center"/>
    </w:pPr>
    <w:rPr>
      <w:rFonts w:ascii="HelveticaNeueLTStd-LtCn" w:eastAsia="MS Mincho" w:hAnsi="HelveticaNeueLTStd-LtCn" w:cs="HelveticaNeueLTStd-LtCn"/>
      <w:color w:val="000000"/>
      <w:sz w:val="14"/>
      <w:szCs w:val="14"/>
    </w:rPr>
  </w:style>
  <w:style w:type="paragraph" w:customStyle="1" w:styleId="wdp15Bullet">
    <w:name w:val="wdp15_Bullet"/>
    <w:basedOn w:val="wdp15-txt"/>
    <w:uiPriority w:val="99"/>
    <w:rsid w:val="00500EA6"/>
    <w:pPr>
      <w:spacing w:before="0" w:after="57"/>
      <w:ind w:left="283" w:hanging="283"/>
      <w:jc w:val="left"/>
    </w:pPr>
  </w:style>
  <w:style w:type="character" w:customStyle="1" w:styleId="Body-Medium">
    <w:name w:val="Body-Medium"/>
    <w:uiPriority w:val="99"/>
    <w:rsid w:val="00500EA6"/>
  </w:style>
  <w:style w:type="paragraph" w:customStyle="1" w:styleId="Default">
    <w:name w:val="Default"/>
    <w:rsid w:val="00500EA6"/>
    <w:pPr>
      <w:autoSpaceDE w:val="0"/>
      <w:autoSpaceDN w:val="0"/>
      <w:adjustRightInd w:val="0"/>
    </w:pPr>
    <w:rPr>
      <w:rFonts w:cs="Calibri"/>
      <w:color w:val="000000"/>
      <w:sz w:val="24"/>
      <w:szCs w:val="24"/>
    </w:rPr>
  </w:style>
  <w:style w:type="character" w:customStyle="1" w:styleId="WDP15LightcondensitaliqThierryTABtxt">
    <w:name w:val="WDP15_Light condens italiq (Thierry TABtxt)"/>
    <w:uiPriority w:val="99"/>
    <w:rsid w:val="0040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4872">
      <w:bodyDiv w:val="1"/>
      <w:marLeft w:val="0"/>
      <w:marRight w:val="0"/>
      <w:marTop w:val="0"/>
      <w:marBottom w:val="0"/>
      <w:divBdr>
        <w:top w:val="none" w:sz="0" w:space="0" w:color="auto"/>
        <w:left w:val="none" w:sz="0" w:space="0" w:color="auto"/>
        <w:bottom w:val="none" w:sz="0" w:space="0" w:color="auto"/>
        <w:right w:val="none" w:sz="0" w:space="0" w:color="auto"/>
      </w:divBdr>
    </w:div>
    <w:div w:id="198200742">
      <w:bodyDiv w:val="1"/>
      <w:marLeft w:val="0"/>
      <w:marRight w:val="0"/>
      <w:marTop w:val="0"/>
      <w:marBottom w:val="0"/>
      <w:divBdr>
        <w:top w:val="none" w:sz="0" w:space="0" w:color="auto"/>
        <w:left w:val="none" w:sz="0" w:space="0" w:color="auto"/>
        <w:bottom w:val="none" w:sz="0" w:space="0" w:color="auto"/>
        <w:right w:val="none" w:sz="0" w:space="0" w:color="auto"/>
      </w:divBdr>
    </w:div>
    <w:div w:id="580337880">
      <w:bodyDiv w:val="1"/>
      <w:marLeft w:val="0"/>
      <w:marRight w:val="0"/>
      <w:marTop w:val="0"/>
      <w:marBottom w:val="0"/>
      <w:divBdr>
        <w:top w:val="none" w:sz="0" w:space="0" w:color="auto"/>
        <w:left w:val="none" w:sz="0" w:space="0" w:color="auto"/>
        <w:bottom w:val="none" w:sz="0" w:space="0" w:color="auto"/>
        <w:right w:val="none" w:sz="0" w:space="0" w:color="auto"/>
      </w:divBdr>
    </w:div>
    <w:div w:id="1030185922">
      <w:bodyDiv w:val="1"/>
      <w:marLeft w:val="0"/>
      <w:marRight w:val="0"/>
      <w:marTop w:val="0"/>
      <w:marBottom w:val="0"/>
      <w:divBdr>
        <w:top w:val="none" w:sz="0" w:space="0" w:color="auto"/>
        <w:left w:val="none" w:sz="0" w:space="0" w:color="auto"/>
        <w:bottom w:val="none" w:sz="0" w:space="0" w:color="auto"/>
        <w:right w:val="none" w:sz="0" w:space="0" w:color="auto"/>
      </w:divBdr>
    </w:div>
    <w:div w:id="1150755989">
      <w:bodyDiv w:val="1"/>
      <w:marLeft w:val="0"/>
      <w:marRight w:val="0"/>
      <w:marTop w:val="0"/>
      <w:marBottom w:val="0"/>
      <w:divBdr>
        <w:top w:val="none" w:sz="0" w:space="0" w:color="auto"/>
        <w:left w:val="none" w:sz="0" w:space="0" w:color="auto"/>
        <w:bottom w:val="none" w:sz="0" w:space="0" w:color="auto"/>
        <w:right w:val="none" w:sz="0" w:space="0" w:color="auto"/>
      </w:divBdr>
    </w:div>
    <w:div w:id="1335918483">
      <w:bodyDiv w:val="1"/>
      <w:marLeft w:val="0"/>
      <w:marRight w:val="0"/>
      <w:marTop w:val="0"/>
      <w:marBottom w:val="0"/>
      <w:divBdr>
        <w:top w:val="none" w:sz="0" w:space="0" w:color="auto"/>
        <w:left w:val="none" w:sz="0" w:space="0" w:color="auto"/>
        <w:bottom w:val="none" w:sz="0" w:space="0" w:color="auto"/>
        <w:right w:val="none" w:sz="0" w:space="0" w:color="auto"/>
      </w:divBdr>
    </w:div>
    <w:div w:id="1354303372">
      <w:bodyDiv w:val="1"/>
      <w:marLeft w:val="0"/>
      <w:marRight w:val="0"/>
      <w:marTop w:val="0"/>
      <w:marBottom w:val="0"/>
      <w:divBdr>
        <w:top w:val="none" w:sz="0" w:space="0" w:color="auto"/>
        <w:left w:val="none" w:sz="0" w:space="0" w:color="auto"/>
        <w:bottom w:val="none" w:sz="0" w:space="0" w:color="auto"/>
        <w:right w:val="none" w:sz="0" w:space="0" w:color="auto"/>
      </w:divBdr>
    </w:div>
    <w:div w:id="1405103783">
      <w:bodyDiv w:val="1"/>
      <w:marLeft w:val="0"/>
      <w:marRight w:val="0"/>
      <w:marTop w:val="0"/>
      <w:marBottom w:val="0"/>
      <w:divBdr>
        <w:top w:val="none" w:sz="0" w:space="0" w:color="auto"/>
        <w:left w:val="none" w:sz="0" w:space="0" w:color="auto"/>
        <w:bottom w:val="none" w:sz="0" w:space="0" w:color="auto"/>
        <w:right w:val="none" w:sz="0" w:space="0" w:color="auto"/>
      </w:divBdr>
    </w:div>
    <w:div w:id="1738477271">
      <w:bodyDiv w:val="1"/>
      <w:marLeft w:val="0"/>
      <w:marRight w:val="0"/>
      <w:marTop w:val="0"/>
      <w:marBottom w:val="0"/>
      <w:divBdr>
        <w:top w:val="none" w:sz="0" w:space="0" w:color="auto"/>
        <w:left w:val="none" w:sz="0" w:space="0" w:color="auto"/>
        <w:bottom w:val="none" w:sz="0" w:space="0" w:color="auto"/>
        <w:right w:val="none" w:sz="0" w:space="0" w:color="auto"/>
      </w:divBdr>
    </w:div>
    <w:div w:id="1872959544">
      <w:bodyDiv w:val="1"/>
      <w:marLeft w:val="0"/>
      <w:marRight w:val="0"/>
      <w:marTop w:val="0"/>
      <w:marBottom w:val="0"/>
      <w:divBdr>
        <w:top w:val="none" w:sz="0" w:space="0" w:color="auto"/>
        <w:left w:val="none" w:sz="0" w:space="0" w:color="auto"/>
        <w:bottom w:val="none" w:sz="0" w:space="0" w:color="auto"/>
        <w:right w:val="none" w:sz="0" w:space="0" w:color="auto"/>
      </w:divBdr>
    </w:div>
    <w:div w:id="1923293537">
      <w:bodyDiv w:val="1"/>
      <w:marLeft w:val="0"/>
      <w:marRight w:val="0"/>
      <w:marTop w:val="0"/>
      <w:marBottom w:val="0"/>
      <w:divBdr>
        <w:top w:val="none" w:sz="0" w:space="0" w:color="auto"/>
        <w:left w:val="none" w:sz="0" w:space="0" w:color="auto"/>
        <w:bottom w:val="none" w:sz="0" w:space="0" w:color="auto"/>
        <w:right w:val="none" w:sz="0" w:space="0" w:color="auto"/>
      </w:divBdr>
    </w:div>
    <w:div w:id="1970356517">
      <w:bodyDiv w:val="1"/>
      <w:marLeft w:val="0"/>
      <w:marRight w:val="0"/>
      <w:marTop w:val="0"/>
      <w:marBottom w:val="0"/>
      <w:divBdr>
        <w:top w:val="none" w:sz="0" w:space="0" w:color="auto"/>
        <w:left w:val="none" w:sz="0" w:space="0" w:color="auto"/>
        <w:bottom w:val="none" w:sz="0" w:space="0" w:color="auto"/>
        <w:right w:val="none" w:sz="0" w:space="0" w:color="auto"/>
      </w:divBdr>
    </w:div>
    <w:div w:id="2063362800">
      <w:bodyDiv w:val="1"/>
      <w:marLeft w:val="0"/>
      <w:marRight w:val="0"/>
      <w:marTop w:val="0"/>
      <w:marBottom w:val="0"/>
      <w:divBdr>
        <w:top w:val="none" w:sz="0" w:space="0" w:color="auto"/>
        <w:left w:val="none" w:sz="0" w:space="0" w:color="auto"/>
        <w:bottom w:val="none" w:sz="0" w:space="0" w:color="auto"/>
        <w:right w:val="none" w:sz="0" w:space="0" w:color="auto"/>
      </w:divBdr>
    </w:div>
    <w:div w:id="20674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yperlink" Target="http://www.wdp.e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http://www.aedifica.be/public/uploads/images/content/investors/beurs/EPRA%20BPR%20Gold_AWARD.jpg" TargetMode="External"/><Relationship Id="rId38" Type="http://schemas.openxmlformats.org/officeDocument/2006/relationships/hyperlink" Target="http://www.wdp.eu/pictures"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jpeg"/><Relationship Id="rId37" Type="http://schemas.openxmlformats.org/officeDocument/2006/relationships/hyperlink" Target="mailto:mickael.vandenhauwe@wdp.e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yperlink" Target="mailto:joost.uwents@wdp.eu"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yperlink" Target="mailto:investorrelations@wd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pra.com/" TargetMode="External"/><Relationship Id="rId1" Type="http://schemas.openxmlformats.org/officeDocument/2006/relationships/hyperlink" Target="http://www.ep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B11E-6B9E-49DA-B172-794377EC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4697</Words>
  <Characters>26776</Characters>
  <Application>Microsoft Office Word</Application>
  <DocSecurity>0</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31411</CharactersWithSpaces>
  <SharedDoc>false</SharedDoc>
  <HLinks>
    <vt:vector size="60" baseType="variant">
      <vt:variant>
        <vt:i4>6684783</vt:i4>
      </vt:variant>
      <vt:variant>
        <vt:i4>15</vt:i4>
      </vt:variant>
      <vt:variant>
        <vt:i4>0</vt:i4>
      </vt:variant>
      <vt:variant>
        <vt:i4>5</vt:i4>
      </vt:variant>
      <vt:variant>
        <vt:lpwstr>http://www.wdp.eu/</vt:lpwstr>
      </vt:variant>
      <vt:variant>
        <vt:lpwstr/>
      </vt:variant>
      <vt:variant>
        <vt:i4>65652</vt:i4>
      </vt:variant>
      <vt:variant>
        <vt:i4>12</vt:i4>
      </vt:variant>
      <vt:variant>
        <vt:i4>0</vt:i4>
      </vt:variant>
      <vt:variant>
        <vt:i4>5</vt:i4>
      </vt:variant>
      <vt:variant>
        <vt:lpwstr>mailto:mickael.vandenhauwe@wdp.be</vt:lpwstr>
      </vt:variant>
      <vt:variant>
        <vt:lpwstr/>
      </vt:variant>
      <vt:variant>
        <vt:i4>1572983</vt:i4>
      </vt:variant>
      <vt:variant>
        <vt:i4>9</vt:i4>
      </vt:variant>
      <vt:variant>
        <vt:i4>0</vt:i4>
      </vt:variant>
      <vt:variant>
        <vt:i4>5</vt:i4>
      </vt:variant>
      <vt:variant>
        <vt:lpwstr>mailto:joost.uwents@wdp.be</vt:lpwstr>
      </vt:variant>
      <vt:variant>
        <vt:lpwstr/>
      </vt:variant>
      <vt:variant>
        <vt:i4>7471182</vt:i4>
      </vt:variant>
      <vt:variant>
        <vt:i4>6</vt:i4>
      </vt:variant>
      <vt:variant>
        <vt:i4>0</vt:i4>
      </vt:variant>
      <vt:variant>
        <vt:i4>5</vt:i4>
      </vt:variant>
      <vt:variant>
        <vt:lpwstr>mailto:investorrelations@wdp.be</vt:lpwstr>
      </vt:variant>
      <vt:variant>
        <vt:lpwstr/>
      </vt:variant>
      <vt:variant>
        <vt:i4>6684783</vt:i4>
      </vt:variant>
      <vt:variant>
        <vt:i4>3</vt:i4>
      </vt:variant>
      <vt:variant>
        <vt:i4>0</vt:i4>
      </vt:variant>
      <vt:variant>
        <vt:i4>5</vt:i4>
      </vt:variant>
      <vt:variant>
        <vt:lpwstr>http://www.wdp.eu/</vt:lpwstr>
      </vt:variant>
      <vt:variant>
        <vt:lpwstr/>
      </vt:variant>
      <vt:variant>
        <vt:i4>3735598</vt:i4>
      </vt:variant>
      <vt:variant>
        <vt:i4>0</vt:i4>
      </vt:variant>
      <vt:variant>
        <vt:i4>0</vt:i4>
      </vt:variant>
      <vt:variant>
        <vt:i4>5</vt:i4>
      </vt:variant>
      <vt:variant>
        <vt:lpwstr>http://www.cfl.lu/espaces/fret/fr/infrastructure/Gare-de-triage</vt:lpwstr>
      </vt:variant>
      <vt:variant>
        <vt:lpwstr/>
      </vt:variant>
      <vt:variant>
        <vt:i4>5374031</vt:i4>
      </vt:variant>
      <vt:variant>
        <vt:i4>3</vt:i4>
      </vt:variant>
      <vt:variant>
        <vt:i4>0</vt:i4>
      </vt:variant>
      <vt:variant>
        <vt:i4>5</vt:i4>
      </vt:variant>
      <vt:variant>
        <vt:lpwstr>http://www.epra.com/</vt:lpwstr>
      </vt:variant>
      <vt:variant>
        <vt:lpwstr/>
      </vt:variant>
      <vt:variant>
        <vt:i4>5374031</vt:i4>
      </vt:variant>
      <vt:variant>
        <vt:i4>0</vt:i4>
      </vt:variant>
      <vt:variant>
        <vt:i4>0</vt:i4>
      </vt:variant>
      <vt:variant>
        <vt:i4>5</vt:i4>
      </vt:variant>
      <vt:variant>
        <vt:lpwstr>http://www.epra.com/</vt:lpwstr>
      </vt:variant>
      <vt:variant>
        <vt:lpwstr/>
      </vt:variant>
      <vt:variant>
        <vt:i4>1310820</vt:i4>
      </vt:variant>
      <vt:variant>
        <vt:i4>-1</vt:i4>
      </vt:variant>
      <vt:variant>
        <vt:i4>1214</vt:i4>
      </vt:variant>
      <vt:variant>
        <vt:i4>1</vt:i4>
      </vt:variant>
      <vt:variant>
        <vt:lpwstr>http://www.aedifica.be/public/uploads/images/content/investors/beurs/EPRA%20BPR%20Gold_AWARD.jpg</vt:lpwstr>
      </vt:variant>
      <vt:variant>
        <vt:lpwstr/>
      </vt:variant>
      <vt:variant>
        <vt:i4>6881397</vt:i4>
      </vt:variant>
      <vt:variant>
        <vt:i4>-1</vt:i4>
      </vt:variant>
      <vt:variant>
        <vt:i4>1261</vt:i4>
      </vt:variant>
      <vt:variant>
        <vt:i4>4</vt:i4>
      </vt:variant>
      <vt:variant>
        <vt:lpwstr>https://www.wdp.eu/ThisWas2106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Cordeels</dc:creator>
  <cp:keywords/>
  <cp:lastModifiedBy>Joke Cordeels</cp:lastModifiedBy>
  <cp:revision>5</cp:revision>
  <cp:lastPrinted>2017-05-02T11:59:00Z</cp:lastPrinted>
  <dcterms:created xsi:type="dcterms:W3CDTF">2017-05-02T18:55:00Z</dcterms:created>
  <dcterms:modified xsi:type="dcterms:W3CDTF">2017-05-02T20:46:00Z</dcterms:modified>
</cp:coreProperties>
</file>