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20F41" w14:textId="11BEC16F" w:rsidR="00834C69" w:rsidRPr="00C42E21" w:rsidRDefault="00834C69" w:rsidP="000E011B">
      <w:pPr>
        <w:pStyle w:val="WWBodyText"/>
        <w:spacing w:line="240" w:lineRule="auto"/>
        <w:jc w:val="left"/>
        <w:rPr>
          <w:rFonts w:ascii="Verdana" w:hAnsi="Verdana" w:cstheme="minorHAnsi"/>
          <w:sz w:val="20"/>
          <w:szCs w:val="20"/>
          <w:lang w:val="en-ZA"/>
        </w:rPr>
      </w:pPr>
      <w:r w:rsidRPr="00C42E21">
        <w:rPr>
          <w:rFonts w:ascii="Verdana" w:hAnsi="Verdana" w:cstheme="minorHAnsi"/>
          <w:b/>
          <w:sz w:val="20"/>
          <w:szCs w:val="20"/>
          <w:lang w:val="en-ZA"/>
        </w:rPr>
        <w:t>Prosus N.V.</w:t>
      </w:r>
      <w:r w:rsidRPr="00C42E21">
        <w:rPr>
          <w:rFonts w:ascii="Verdana" w:hAnsi="Verdana" w:cstheme="minorHAnsi"/>
          <w:b/>
          <w:sz w:val="20"/>
          <w:szCs w:val="20"/>
          <w:lang w:val="en-ZA"/>
        </w:rPr>
        <w:br/>
      </w:r>
      <w:r w:rsidRPr="00C42E21">
        <w:rPr>
          <w:rFonts w:ascii="Verdana" w:hAnsi="Verdana" w:cstheme="minorHAnsi"/>
          <w:bCs/>
          <w:sz w:val="20"/>
          <w:szCs w:val="20"/>
          <w:lang w:val="en-ZA"/>
        </w:rPr>
        <w:t>(Incorporated in the Netherlands)</w:t>
      </w:r>
      <w:r w:rsidRPr="00C42E21">
        <w:rPr>
          <w:rFonts w:ascii="Verdana" w:hAnsi="Verdana" w:cstheme="minorHAnsi"/>
          <w:bCs/>
          <w:sz w:val="20"/>
          <w:szCs w:val="20"/>
          <w:lang w:val="en-ZA"/>
        </w:rPr>
        <w:br/>
      </w:r>
      <w:r w:rsidRPr="00C42E21">
        <w:rPr>
          <w:rFonts w:ascii="Verdana" w:hAnsi="Verdana" w:cstheme="minorHAnsi"/>
          <w:sz w:val="20"/>
          <w:szCs w:val="20"/>
          <w:lang w:val="en-ZA"/>
        </w:rPr>
        <w:t>(Legal Entity Identifier: 635400Z5LQ5F9OLVT688)</w:t>
      </w:r>
      <w:r w:rsidRPr="00C42E21">
        <w:rPr>
          <w:rFonts w:ascii="Verdana" w:hAnsi="Verdana" w:cstheme="minorHAnsi"/>
          <w:sz w:val="20"/>
          <w:szCs w:val="20"/>
          <w:lang w:val="en-ZA"/>
        </w:rPr>
        <w:br/>
        <w:t>ISIN: NL0013654783</w:t>
      </w:r>
      <w:r w:rsidRPr="00C42E21">
        <w:rPr>
          <w:rFonts w:ascii="Verdana" w:hAnsi="Verdana" w:cstheme="minorHAnsi"/>
          <w:sz w:val="20"/>
          <w:szCs w:val="20"/>
          <w:lang w:val="en-ZA"/>
        </w:rPr>
        <w:br/>
        <w:t>Euronext Amsterdam and JSE Share code: PRX</w:t>
      </w:r>
      <w:r w:rsidRPr="00C42E21">
        <w:rPr>
          <w:rFonts w:ascii="Verdana" w:hAnsi="Verdana" w:cstheme="minorHAnsi"/>
          <w:sz w:val="20"/>
          <w:szCs w:val="20"/>
          <w:lang w:val="en-ZA"/>
        </w:rPr>
        <w:br/>
        <w:t>("</w:t>
      </w:r>
      <w:r w:rsidRPr="00C42E21">
        <w:rPr>
          <w:rFonts w:ascii="Verdana" w:hAnsi="Verdana" w:cstheme="minorHAnsi"/>
          <w:b/>
          <w:bCs/>
          <w:sz w:val="20"/>
          <w:szCs w:val="20"/>
          <w:lang w:val="en-ZA"/>
        </w:rPr>
        <w:t>Prosus</w:t>
      </w:r>
      <w:r w:rsidRPr="00C42E21">
        <w:rPr>
          <w:rFonts w:ascii="Verdana" w:hAnsi="Verdana" w:cstheme="minorHAnsi"/>
          <w:sz w:val="20"/>
          <w:szCs w:val="20"/>
          <w:lang w:val="en-ZA"/>
        </w:rPr>
        <w:t>"</w:t>
      </w:r>
      <w:r w:rsidR="00BA144E" w:rsidRPr="00C42E21">
        <w:rPr>
          <w:rFonts w:ascii="Verdana" w:hAnsi="Verdana" w:cstheme="minorHAnsi"/>
          <w:sz w:val="20"/>
          <w:szCs w:val="20"/>
          <w:lang w:val="en-ZA"/>
        </w:rPr>
        <w:t xml:space="preserve"> or "</w:t>
      </w:r>
      <w:r w:rsidR="00BA144E" w:rsidRPr="00C42E21">
        <w:rPr>
          <w:rFonts w:ascii="Verdana" w:hAnsi="Verdana" w:cstheme="minorHAnsi"/>
          <w:b/>
          <w:bCs/>
          <w:sz w:val="20"/>
          <w:szCs w:val="20"/>
          <w:lang w:val="en-ZA"/>
        </w:rPr>
        <w:t>the Company</w:t>
      </w:r>
      <w:r w:rsidR="00BA144E" w:rsidRPr="00C42E21">
        <w:rPr>
          <w:rFonts w:ascii="Verdana" w:hAnsi="Verdana" w:cstheme="minorHAnsi"/>
          <w:sz w:val="20"/>
          <w:szCs w:val="20"/>
          <w:lang w:val="en-ZA"/>
        </w:rPr>
        <w:t>"</w:t>
      </w:r>
      <w:r w:rsidRPr="00C42E21">
        <w:rPr>
          <w:rFonts w:ascii="Verdana" w:hAnsi="Verdana" w:cstheme="minorHAnsi"/>
          <w:sz w:val="20"/>
          <w:szCs w:val="20"/>
          <w:lang w:val="en-ZA"/>
        </w:rPr>
        <w:t>)</w:t>
      </w:r>
    </w:p>
    <w:p w14:paraId="5EF56B12" w14:textId="5507E60C" w:rsidR="00430093" w:rsidRPr="00C42E21" w:rsidRDefault="00430093" w:rsidP="000E011B">
      <w:pPr>
        <w:jc w:val="both"/>
        <w:rPr>
          <w:rFonts w:ascii="Verdana" w:hAnsi="Verdana" w:cstheme="minorHAnsi"/>
          <w:sz w:val="20"/>
          <w:szCs w:val="20"/>
          <w:lang w:val="en-ZA"/>
        </w:rPr>
      </w:pPr>
      <w:r w:rsidRPr="00C42E21">
        <w:rPr>
          <w:rFonts w:ascii="Verdana" w:hAnsi="Verdana" w:cstheme="minorHAnsi"/>
          <w:sz w:val="20"/>
          <w:szCs w:val="20"/>
          <w:lang w:val="en-ZA"/>
        </w:rPr>
        <w:t xml:space="preserve">NOT FOR RELEASE, PUBLICATION OR DISTRIBUTION, DIRECTLY OR INDIRECTLY, </w:t>
      </w:r>
      <w:r w:rsidR="00635E18" w:rsidRPr="00C42E21">
        <w:rPr>
          <w:rFonts w:ascii="Verdana" w:hAnsi="Verdana" w:cstheme="minorHAnsi"/>
          <w:sz w:val="20"/>
          <w:szCs w:val="20"/>
          <w:lang w:val="en-ZA"/>
        </w:rPr>
        <w:t xml:space="preserve">IN OR </w:t>
      </w:r>
      <w:r w:rsidRPr="00C42E21">
        <w:rPr>
          <w:rFonts w:ascii="Verdana" w:hAnsi="Verdana" w:cstheme="minorHAnsi"/>
          <w:sz w:val="20"/>
          <w:szCs w:val="20"/>
          <w:lang w:val="en-ZA"/>
        </w:rPr>
        <w:t xml:space="preserve">INTO ANY JURISDICTION IN WHICH SUCH RELEASE, PUBLICATION OR DISTRIBUTION WOULD BE PROHIBITED BY APPLICABLE LAW. </w:t>
      </w:r>
    </w:p>
    <w:p w14:paraId="0D56790F" w14:textId="1F6D30CF" w:rsidR="00430093" w:rsidRPr="00C42E21" w:rsidRDefault="00430093" w:rsidP="000E011B">
      <w:pPr>
        <w:jc w:val="both"/>
        <w:rPr>
          <w:rFonts w:ascii="Verdana" w:hAnsi="Verdana" w:cstheme="minorHAnsi"/>
          <w:sz w:val="20"/>
          <w:szCs w:val="20"/>
          <w:lang w:val="en-ZA"/>
        </w:rPr>
      </w:pPr>
      <w:r w:rsidRPr="00C42E21">
        <w:rPr>
          <w:rFonts w:ascii="Verdana" w:hAnsi="Verdana" w:cstheme="minorHAnsi"/>
          <w:sz w:val="20"/>
          <w:szCs w:val="20"/>
          <w:lang w:val="en-ZA"/>
        </w:rPr>
        <w:br/>
        <w:t xml:space="preserve">PLEASE SEE THE IMPORTANT </w:t>
      </w:r>
      <w:r w:rsidR="00635E18" w:rsidRPr="00C42E21">
        <w:rPr>
          <w:rFonts w:ascii="Verdana" w:hAnsi="Verdana" w:cstheme="minorHAnsi"/>
          <w:sz w:val="20"/>
          <w:szCs w:val="20"/>
          <w:lang w:val="en-ZA"/>
        </w:rPr>
        <w:t xml:space="preserve">DISCLAIMERS </w:t>
      </w:r>
      <w:r w:rsidRPr="00C42E21">
        <w:rPr>
          <w:rFonts w:ascii="Verdana" w:hAnsi="Verdana" w:cstheme="minorHAnsi"/>
          <w:sz w:val="20"/>
          <w:szCs w:val="20"/>
          <w:lang w:val="en-ZA"/>
        </w:rPr>
        <w:t>AT THE END OF THIS ANNOUNCEMENT.</w:t>
      </w:r>
    </w:p>
    <w:p w14:paraId="55A91942" w14:textId="4268AA57" w:rsidR="00873F89" w:rsidRPr="00C42E21" w:rsidRDefault="00B32CA5" w:rsidP="005003D9">
      <w:pPr>
        <w:pStyle w:val="WWBodyText"/>
        <w:spacing w:before="240" w:line="240" w:lineRule="auto"/>
        <w:rPr>
          <w:rFonts w:ascii="Verdana" w:hAnsi="Verdana" w:cstheme="minorHAnsi"/>
          <w:b/>
          <w:sz w:val="20"/>
          <w:szCs w:val="20"/>
          <w:lang w:val="en-ZA"/>
        </w:rPr>
      </w:pPr>
      <w:r w:rsidRPr="00C42E21">
        <w:rPr>
          <w:rFonts w:ascii="Verdana" w:hAnsi="Verdana" w:cstheme="minorHAnsi"/>
          <w:b/>
          <w:sz w:val="20"/>
          <w:szCs w:val="20"/>
          <w:lang w:val="en-ZA"/>
        </w:rPr>
        <w:t xml:space="preserve">PUBLICATION OF </w:t>
      </w:r>
      <w:r w:rsidR="00330F74" w:rsidRPr="00C42E21">
        <w:rPr>
          <w:rFonts w:ascii="Verdana" w:hAnsi="Verdana" w:cstheme="minorHAnsi"/>
          <w:b/>
          <w:sz w:val="20"/>
          <w:szCs w:val="20"/>
          <w:lang w:val="en-ZA"/>
        </w:rPr>
        <w:t>THE PROS</w:t>
      </w:r>
      <w:r w:rsidR="00E85882" w:rsidRPr="00C42E21">
        <w:rPr>
          <w:rFonts w:ascii="Verdana" w:hAnsi="Verdana" w:cstheme="minorHAnsi"/>
          <w:b/>
          <w:sz w:val="20"/>
          <w:szCs w:val="20"/>
          <w:lang w:val="en-ZA"/>
        </w:rPr>
        <w:t>P</w:t>
      </w:r>
      <w:r w:rsidR="00330F74" w:rsidRPr="00C42E21">
        <w:rPr>
          <w:rFonts w:ascii="Verdana" w:hAnsi="Verdana" w:cstheme="minorHAnsi"/>
          <w:b/>
          <w:sz w:val="20"/>
          <w:szCs w:val="20"/>
          <w:lang w:val="en-ZA"/>
        </w:rPr>
        <w:t>ECTUS</w:t>
      </w:r>
      <w:r w:rsidR="009A2AD9" w:rsidRPr="00C42E21">
        <w:rPr>
          <w:rFonts w:ascii="Verdana" w:hAnsi="Verdana" w:cstheme="minorHAnsi"/>
          <w:b/>
          <w:sz w:val="20"/>
          <w:szCs w:val="20"/>
          <w:lang w:val="en-ZA"/>
        </w:rPr>
        <w:t xml:space="preserve"> AND OPENING OF EXCHANGE OFFER</w:t>
      </w:r>
    </w:p>
    <w:p w14:paraId="0C1B67F3" w14:textId="0D58F0D3" w:rsidR="00F20780" w:rsidRPr="00C42E21" w:rsidRDefault="003D14EC" w:rsidP="000E011B">
      <w:pPr>
        <w:pStyle w:val="WWHeading1"/>
        <w:spacing w:line="240" w:lineRule="auto"/>
        <w:rPr>
          <w:rFonts w:ascii="Verdana" w:hAnsi="Verdana"/>
          <w:sz w:val="20"/>
          <w:szCs w:val="20"/>
          <w:lang w:val="en-ZA"/>
        </w:rPr>
      </w:pPr>
      <w:r w:rsidRPr="00C42E21">
        <w:rPr>
          <w:rFonts w:ascii="Verdana" w:hAnsi="Verdana"/>
          <w:sz w:val="20"/>
          <w:szCs w:val="20"/>
          <w:lang w:val="en-ZA"/>
        </w:rPr>
        <w:t>INTRODUCTION</w:t>
      </w:r>
    </w:p>
    <w:p w14:paraId="0B07621D" w14:textId="5B91654D" w:rsidR="005E6908" w:rsidRPr="00C42E21" w:rsidRDefault="0029721C" w:rsidP="00B12B1E">
      <w:pPr>
        <w:pStyle w:val="WWHeading1"/>
        <w:keepNext w:val="0"/>
        <w:numPr>
          <w:ilvl w:val="0"/>
          <w:numId w:val="0"/>
        </w:numPr>
        <w:spacing w:line="240" w:lineRule="auto"/>
        <w:ind w:left="567"/>
        <w:rPr>
          <w:rFonts w:ascii="Verdana" w:hAnsi="Verdana" w:cstheme="minorHAnsi"/>
          <w:b w:val="0"/>
          <w:bCs/>
          <w:sz w:val="20"/>
          <w:szCs w:val="20"/>
        </w:rPr>
      </w:pPr>
      <w:r w:rsidRPr="00C42E21">
        <w:rPr>
          <w:rFonts w:ascii="Verdana" w:hAnsi="Verdana" w:cstheme="minorHAnsi"/>
          <w:b w:val="0"/>
          <w:bCs/>
          <w:sz w:val="20"/>
          <w:szCs w:val="20"/>
        </w:rPr>
        <w:t>The board of directors of Prosus (the </w:t>
      </w:r>
      <w:r w:rsidRPr="00C42E21">
        <w:rPr>
          <w:rFonts w:ascii="Verdana" w:hAnsi="Verdana" w:cstheme="minorHAnsi"/>
          <w:sz w:val="20"/>
          <w:szCs w:val="20"/>
        </w:rPr>
        <w:t>Board</w:t>
      </w:r>
      <w:r w:rsidRPr="00C42E21">
        <w:rPr>
          <w:rFonts w:ascii="Verdana" w:hAnsi="Verdana" w:cstheme="minorHAnsi"/>
          <w:b w:val="0"/>
          <w:bCs/>
          <w:sz w:val="20"/>
          <w:szCs w:val="20"/>
        </w:rPr>
        <w:t xml:space="preserve">) is pleased to inform the </w:t>
      </w:r>
      <w:r w:rsidR="00F12F30" w:rsidRPr="00C42E21">
        <w:rPr>
          <w:rFonts w:ascii="Verdana" w:hAnsi="Verdana" w:cstheme="minorHAnsi"/>
          <w:b w:val="0"/>
          <w:bCs/>
          <w:sz w:val="20"/>
          <w:szCs w:val="20"/>
        </w:rPr>
        <w:t>s</w:t>
      </w:r>
      <w:r w:rsidR="00B32CA5" w:rsidRPr="00C42E21">
        <w:rPr>
          <w:rFonts w:ascii="Verdana" w:hAnsi="Verdana" w:cstheme="minorHAnsi"/>
          <w:b w:val="0"/>
          <w:bCs/>
          <w:sz w:val="20"/>
          <w:szCs w:val="20"/>
        </w:rPr>
        <w:t>hareholders</w:t>
      </w:r>
      <w:r w:rsidR="00F12F30" w:rsidRPr="00C42E21">
        <w:rPr>
          <w:rFonts w:ascii="Verdana" w:hAnsi="Verdana" w:cstheme="minorHAnsi"/>
          <w:b w:val="0"/>
          <w:bCs/>
          <w:sz w:val="20"/>
          <w:szCs w:val="20"/>
        </w:rPr>
        <w:t xml:space="preserve"> </w:t>
      </w:r>
      <w:r w:rsidRPr="00C42E21">
        <w:rPr>
          <w:rFonts w:ascii="Verdana" w:hAnsi="Verdana" w:cstheme="minorHAnsi"/>
          <w:b w:val="0"/>
          <w:bCs/>
          <w:sz w:val="20"/>
          <w:szCs w:val="20"/>
        </w:rPr>
        <w:t xml:space="preserve">of Prosus </w:t>
      </w:r>
      <w:r w:rsidR="00F12F30" w:rsidRPr="00C42E21">
        <w:rPr>
          <w:rFonts w:ascii="Verdana" w:hAnsi="Verdana" w:cstheme="minorHAnsi"/>
          <w:b w:val="0"/>
          <w:bCs/>
          <w:sz w:val="20"/>
          <w:szCs w:val="20"/>
        </w:rPr>
        <w:t>(</w:t>
      </w:r>
      <w:r w:rsidR="00F12F30" w:rsidRPr="00C42E21">
        <w:rPr>
          <w:rFonts w:ascii="Verdana" w:hAnsi="Verdana" w:cstheme="minorHAnsi"/>
          <w:sz w:val="20"/>
          <w:szCs w:val="20"/>
        </w:rPr>
        <w:t>Prosus shareholders</w:t>
      </w:r>
      <w:r w:rsidR="00F12F30" w:rsidRPr="00C42E21">
        <w:rPr>
          <w:rFonts w:ascii="Verdana" w:hAnsi="Verdana" w:cstheme="minorHAnsi"/>
          <w:b w:val="0"/>
          <w:bCs/>
          <w:sz w:val="20"/>
          <w:szCs w:val="20"/>
        </w:rPr>
        <w:t xml:space="preserve"> or </w:t>
      </w:r>
      <w:r w:rsidR="00F12F30" w:rsidRPr="00C42E21">
        <w:rPr>
          <w:rFonts w:ascii="Verdana" w:hAnsi="Verdana" w:cstheme="minorHAnsi"/>
          <w:sz w:val="20"/>
          <w:szCs w:val="20"/>
        </w:rPr>
        <w:t>Shareholders</w:t>
      </w:r>
      <w:r w:rsidR="0047762E" w:rsidRPr="00C42E21">
        <w:rPr>
          <w:rFonts w:ascii="Verdana" w:hAnsi="Verdana" w:cstheme="minorHAnsi"/>
          <w:b w:val="0"/>
          <w:bCs/>
          <w:sz w:val="20"/>
          <w:szCs w:val="20"/>
        </w:rPr>
        <w:t>)</w:t>
      </w:r>
      <w:r w:rsidR="00B32CA5" w:rsidRPr="00C42E21">
        <w:rPr>
          <w:rFonts w:ascii="Verdana" w:hAnsi="Verdana" w:cstheme="minorHAnsi"/>
          <w:b w:val="0"/>
          <w:bCs/>
          <w:sz w:val="20"/>
          <w:szCs w:val="20"/>
        </w:rPr>
        <w:t xml:space="preserve"> </w:t>
      </w:r>
      <w:r w:rsidRPr="00C42E21">
        <w:rPr>
          <w:rFonts w:ascii="Verdana" w:hAnsi="Verdana" w:cstheme="minorHAnsi"/>
          <w:b w:val="0"/>
          <w:bCs/>
          <w:sz w:val="20"/>
          <w:szCs w:val="20"/>
        </w:rPr>
        <w:t xml:space="preserve">and the Naspers N Shareholders </w:t>
      </w:r>
      <w:r w:rsidR="00330F74" w:rsidRPr="00C42E21">
        <w:rPr>
          <w:rFonts w:ascii="Verdana" w:hAnsi="Verdana" w:cstheme="minorHAnsi"/>
          <w:b w:val="0"/>
          <w:bCs/>
          <w:sz w:val="20"/>
          <w:szCs w:val="20"/>
        </w:rPr>
        <w:t xml:space="preserve">that Prosus published its prospectus </w:t>
      </w:r>
      <w:r w:rsidR="00F12822" w:rsidRPr="00C42E21">
        <w:rPr>
          <w:rFonts w:ascii="Verdana" w:hAnsi="Verdana" w:cstheme="minorHAnsi"/>
          <w:b w:val="0"/>
          <w:bCs/>
          <w:sz w:val="20"/>
          <w:szCs w:val="20"/>
        </w:rPr>
        <w:t>(the </w:t>
      </w:r>
      <w:r w:rsidR="00F12822" w:rsidRPr="00C42E21">
        <w:rPr>
          <w:rFonts w:ascii="Verdana" w:hAnsi="Verdana" w:cstheme="minorHAnsi"/>
          <w:sz w:val="20"/>
          <w:szCs w:val="20"/>
        </w:rPr>
        <w:t>Prospectus</w:t>
      </w:r>
      <w:r w:rsidR="00F12822" w:rsidRPr="00C42E21">
        <w:rPr>
          <w:rFonts w:ascii="Verdana" w:hAnsi="Verdana" w:cstheme="minorHAnsi"/>
          <w:b w:val="0"/>
          <w:bCs/>
          <w:sz w:val="20"/>
          <w:szCs w:val="20"/>
        </w:rPr>
        <w:t>)</w:t>
      </w:r>
      <w:r w:rsidR="00172FD1" w:rsidRPr="00C42E21">
        <w:rPr>
          <w:rFonts w:ascii="Verdana" w:hAnsi="Verdana" w:cstheme="minorHAnsi"/>
          <w:b w:val="0"/>
          <w:bCs/>
          <w:sz w:val="20"/>
          <w:szCs w:val="20"/>
        </w:rPr>
        <w:t xml:space="preserve"> in relation to the Exchange Offer, today, Monday, 12 July 2021</w:t>
      </w:r>
      <w:r w:rsidR="005E6908" w:rsidRPr="00C42E21">
        <w:rPr>
          <w:rFonts w:ascii="Verdana" w:hAnsi="Verdana" w:cstheme="minorHAnsi"/>
          <w:b w:val="0"/>
          <w:bCs/>
          <w:sz w:val="20"/>
          <w:szCs w:val="20"/>
        </w:rPr>
        <w:t xml:space="preserve"> and the Exchange Offer is now open for acceptance</w:t>
      </w:r>
      <w:r w:rsidR="00172FD1" w:rsidRPr="00C42E21">
        <w:rPr>
          <w:rFonts w:ascii="Verdana" w:hAnsi="Verdana" w:cstheme="minorHAnsi"/>
          <w:b w:val="0"/>
          <w:bCs/>
          <w:sz w:val="20"/>
          <w:szCs w:val="20"/>
        </w:rPr>
        <w:t xml:space="preserve">. </w:t>
      </w:r>
    </w:p>
    <w:p w14:paraId="347612C5" w14:textId="1CBC9E08" w:rsidR="00D10D42" w:rsidRPr="00C42E21" w:rsidRDefault="00172FD1" w:rsidP="00B12B1E">
      <w:pPr>
        <w:pStyle w:val="WWHeading1"/>
        <w:keepNext w:val="0"/>
        <w:numPr>
          <w:ilvl w:val="0"/>
          <w:numId w:val="0"/>
        </w:numPr>
        <w:spacing w:line="240" w:lineRule="auto"/>
        <w:ind w:left="567"/>
        <w:rPr>
          <w:rFonts w:ascii="Verdana" w:hAnsi="Verdana" w:cstheme="minorHAnsi"/>
          <w:b w:val="0"/>
          <w:bCs/>
          <w:sz w:val="20"/>
          <w:szCs w:val="20"/>
        </w:rPr>
      </w:pPr>
      <w:r w:rsidRPr="00C42E21">
        <w:rPr>
          <w:rFonts w:ascii="Verdana" w:hAnsi="Verdana" w:cstheme="minorHAnsi"/>
          <w:b w:val="0"/>
          <w:bCs/>
          <w:sz w:val="20"/>
          <w:szCs w:val="20"/>
        </w:rPr>
        <w:t>The Prospectus is</w:t>
      </w:r>
      <w:r w:rsidR="00F12822" w:rsidRPr="00C42E21">
        <w:rPr>
          <w:rFonts w:ascii="Verdana" w:hAnsi="Verdana" w:cstheme="minorHAnsi"/>
          <w:b w:val="0"/>
          <w:bCs/>
          <w:sz w:val="20"/>
          <w:szCs w:val="20"/>
        </w:rPr>
        <w:t xml:space="preserve"> </w:t>
      </w:r>
      <w:r w:rsidR="00330F74" w:rsidRPr="00C42E21">
        <w:rPr>
          <w:rFonts w:ascii="Verdana" w:hAnsi="Verdana" w:cstheme="minorHAnsi"/>
          <w:b w:val="0"/>
          <w:bCs/>
          <w:sz w:val="20"/>
          <w:szCs w:val="20"/>
        </w:rPr>
        <w:t>prepared in connection wit</w:t>
      </w:r>
      <w:r w:rsidR="00F12822" w:rsidRPr="00C42E21">
        <w:rPr>
          <w:rFonts w:ascii="Verdana" w:hAnsi="Verdana" w:cstheme="minorHAnsi"/>
          <w:b w:val="0"/>
          <w:bCs/>
          <w:sz w:val="20"/>
          <w:szCs w:val="20"/>
        </w:rPr>
        <w:t xml:space="preserve">h </w:t>
      </w:r>
      <w:r w:rsidR="0029721C" w:rsidRPr="00C42E21">
        <w:rPr>
          <w:rFonts w:ascii="Verdana" w:hAnsi="Verdana" w:cstheme="minorHAnsi"/>
          <w:b w:val="0"/>
          <w:bCs/>
          <w:sz w:val="20"/>
          <w:szCs w:val="20"/>
        </w:rPr>
        <w:t xml:space="preserve">the admission </w:t>
      </w:r>
      <w:r w:rsidR="00D10D42" w:rsidRPr="00C42E21">
        <w:rPr>
          <w:rFonts w:ascii="Verdana" w:hAnsi="Verdana" w:cstheme="minorHAnsi"/>
          <w:b w:val="0"/>
          <w:bCs/>
          <w:sz w:val="20"/>
          <w:szCs w:val="20"/>
        </w:rPr>
        <w:t xml:space="preserve">to listing and trading of 448,991,535 new ordinary shares N in the capital of Prosus with a nominal value of €0.05 each (the </w:t>
      </w:r>
      <w:r w:rsidR="00D10D42" w:rsidRPr="00C42E21">
        <w:rPr>
          <w:rFonts w:ascii="Verdana" w:hAnsi="Verdana" w:cstheme="minorHAnsi"/>
          <w:sz w:val="20"/>
          <w:szCs w:val="20"/>
        </w:rPr>
        <w:t>New Prosus Ordinary Shares N</w:t>
      </w:r>
      <w:r w:rsidR="00D10D42" w:rsidRPr="00C42E21">
        <w:rPr>
          <w:rFonts w:ascii="Verdana" w:hAnsi="Verdana" w:cstheme="minorHAnsi"/>
          <w:b w:val="0"/>
          <w:bCs/>
          <w:sz w:val="20"/>
          <w:szCs w:val="20"/>
        </w:rPr>
        <w:t>) on Euronext Amsterdam (</w:t>
      </w:r>
      <w:r w:rsidR="00D10D42" w:rsidRPr="00C42E21">
        <w:rPr>
          <w:rFonts w:ascii="Verdana" w:hAnsi="Verdana" w:cstheme="minorHAnsi"/>
          <w:sz w:val="20"/>
          <w:szCs w:val="20"/>
        </w:rPr>
        <w:t>Euronext Amsterdam</w:t>
      </w:r>
      <w:r w:rsidR="00D10D42" w:rsidRPr="00C42E21">
        <w:rPr>
          <w:rFonts w:ascii="Verdana" w:hAnsi="Verdana" w:cstheme="minorHAnsi"/>
          <w:b w:val="0"/>
          <w:bCs/>
          <w:sz w:val="20"/>
          <w:szCs w:val="20"/>
        </w:rPr>
        <w:t xml:space="preserve">), a regulated market operated by Euronext Amsterdam N.V., and, as a secondary listing, on the Main Board of the Johannesburg Stock Exchange (the </w:t>
      </w:r>
      <w:r w:rsidR="00D10D42" w:rsidRPr="00C42E21">
        <w:rPr>
          <w:rFonts w:ascii="Verdana" w:hAnsi="Verdana" w:cstheme="minorHAnsi"/>
          <w:sz w:val="20"/>
          <w:szCs w:val="20"/>
        </w:rPr>
        <w:t>JSE</w:t>
      </w:r>
      <w:r w:rsidR="00D10D42" w:rsidRPr="00C42E21">
        <w:rPr>
          <w:rFonts w:ascii="Verdana" w:hAnsi="Verdana" w:cstheme="minorHAnsi"/>
          <w:b w:val="0"/>
          <w:bCs/>
          <w:sz w:val="20"/>
          <w:szCs w:val="20"/>
        </w:rPr>
        <w:t xml:space="preserve">), a licensed exchange operated by JSE Limited (the </w:t>
      </w:r>
      <w:r w:rsidR="00D10D42" w:rsidRPr="00C42E21">
        <w:rPr>
          <w:rFonts w:ascii="Verdana" w:hAnsi="Verdana" w:cstheme="minorHAnsi"/>
          <w:sz w:val="20"/>
          <w:szCs w:val="20"/>
        </w:rPr>
        <w:t>Admissions</w:t>
      </w:r>
      <w:r w:rsidR="00D10D42" w:rsidRPr="00C42E21">
        <w:rPr>
          <w:rFonts w:ascii="Verdana" w:hAnsi="Verdana" w:cstheme="minorHAnsi"/>
          <w:b w:val="0"/>
          <w:bCs/>
          <w:sz w:val="20"/>
          <w:szCs w:val="20"/>
        </w:rPr>
        <w:t>).</w:t>
      </w:r>
      <w:r w:rsidR="00460D60" w:rsidRPr="00C42E21">
        <w:rPr>
          <w:rFonts w:ascii="Verdana" w:hAnsi="Verdana" w:cstheme="minorHAnsi"/>
          <w:b w:val="0"/>
          <w:bCs/>
          <w:sz w:val="20"/>
          <w:szCs w:val="20"/>
        </w:rPr>
        <w:t xml:space="preserve"> </w:t>
      </w:r>
    </w:p>
    <w:p w14:paraId="03584463" w14:textId="62BAD1E2" w:rsidR="00460D60" w:rsidRPr="00C42E21" w:rsidRDefault="00460D60" w:rsidP="00460D60">
      <w:pPr>
        <w:pStyle w:val="WWHeading1"/>
        <w:keepNext w:val="0"/>
        <w:numPr>
          <w:ilvl w:val="0"/>
          <w:numId w:val="0"/>
        </w:numPr>
        <w:spacing w:line="240" w:lineRule="auto"/>
        <w:ind w:left="567"/>
        <w:rPr>
          <w:rFonts w:ascii="Verdana" w:hAnsi="Verdana" w:cstheme="minorHAnsi"/>
          <w:b w:val="0"/>
          <w:bCs/>
          <w:sz w:val="20"/>
          <w:szCs w:val="20"/>
        </w:rPr>
      </w:pPr>
      <w:r w:rsidRPr="00C42E21">
        <w:rPr>
          <w:rFonts w:ascii="Verdana" w:hAnsi="Verdana" w:cstheme="minorHAnsi"/>
          <w:b w:val="0"/>
          <w:bCs/>
          <w:sz w:val="20"/>
          <w:szCs w:val="20"/>
        </w:rPr>
        <w:t>Unless otherwise indicated, capitalised words and terms contained in this announcement shall bear the same meanings ascribed thereto in the Prospectus.</w:t>
      </w:r>
    </w:p>
    <w:p w14:paraId="556474E9" w14:textId="1058A5D1" w:rsidR="00BA144E" w:rsidRPr="00C42E21" w:rsidRDefault="00BA144E" w:rsidP="00460D60">
      <w:pPr>
        <w:pStyle w:val="WWHeading1"/>
        <w:spacing w:line="240" w:lineRule="auto"/>
        <w:rPr>
          <w:rFonts w:ascii="Verdana" w:hAnsi="Verdana"/>
          <w:sz w:val="20"/>
          <w:szCs w:val="20"/>
          <w:lang w:val="en-ZA"/>
        </w:rPr>
      </w:pPr>
      <w:r w:rsidRPr="00C42E21">
        <w:rPr>
          <w:rFonts w:ascii="Verdana" w:hAnsi="Verdana"/>
          <w:sz w:val="20"/>
          <w:szCs w:val="20"/>
          <w:lang w:val="en-ZA"/>
        </w:rPr>
        <w:t>THE PROSPECTUS</w:t>
      </w:r>
    </w:p>
    <w:p w14:paraId="2FDE215C" w14:textId="2FA3B857" w:rsidR="00BA144E" w:rsidRPr="00C42E21" w:rsidRDefault="00BA144E" w:rsidP="00BA144E">
      <w:pPr>
        <w:pStyle w:val="WWHeading1"/>
        <w:keepNext w:val="0"/>
        <w:numPr>
          <w:ilvl w:val="0"/>
          <w:numId w:val="0"/>
        </w:numPr>
        <w:spacing w:line="240" w:lineRule="auto"/>
        <w:ind w:left="567"/>
        <w:rPr>
          <w:rFonts w:ascii="Verdana" w:hAnsi="Verdana" w:cstheme="minorHAnsi"/>
          <w:b w:val="0"/>
          <w:bCs/>
          <w:sz w:val="20"/>
          <w:szCs w:val="20"/>
        </w:rPr>
      </w:pPr>
      <w:r w:rsidRPr="00C42E21">
        <w:rPr>
          <w:rFonts w:ascii="Verdana" w:hAnsi="Verdana" w:cstheme="minorHAnsi"/>
          <w:b w:val="0"/>
          <w:bCs/>
          <w:sz w:val="20"/>
          <w:szCs w:val="20"/>
        </w:rPr>
        <w:t>The Prospectus contains information on:</w:t>
      </w:r>
    </w:p>
    <w:p w14:paraId="1F259048" w14:textId="6788602D" w:rsidR="006A64EB" w:rsidRPr="00C42E21" w:rsidRDefault="006A64EB" w:rsidP="005955F1">
      <w:pPr>
        <w:pStyle w:val="WWHeading1"/>
        <w:keepNext w:val="0"/>
        <w:numPr>
          <w:ilvl w:val="0"/>
          <w:numId w:val="13"/>
        </w:numPr>
        <w:spacing w:line="240" w:lineRule="auto"/>
        <w:rPr>
          <w:rFonts w:ascii="Verdana" w:hAnsi="Verdana" w:cstheme="minorHAnsi"/>
          <w:b w:val="0"/>
          <w:bCs/>
          <w:sz w:val="20"/>
          <w:szCs w:val="20"/>
        </w:rPr>
      </w:pPr>
      <w:r w:rsidRPr="00C42E21">
        <w:rPr>
          <w:rFonts w:ascii="Verdana" w:hAnsi="Verdana" w:cstheme="minorHAnsi"/>
          <w:b w:val="0"/>
          <w:bCs/>
          <w:sz w:val="20"/>
          <w:szCs w:val="20"/>
        </w:rPr>
        <w:t>the Exchange Offer made by the Company to the Naspers N Shareholders in terms of which, through a pro rata voluntary tender offer to the Naspers N Shareholders, the Naspers N Shareholders are entitled to exchange their Naspers N Ordinary Shares for New Prosus Ordinary Shares N at the Exchange Ratio in accordance with the terms and conditions set out in the Prospectus. Naspers N Shareholders should have regard to the section of the Prospectus entitled "Exchange Offer Memorandum" for the details regarding the terms and conditions for participating in the Exchange Offer, including the Exchange Offer Conditions;</w:t>
      </w:r>
    </w:p>
    <w:p w14:paraId="77B28A27" w14:textId="6B700A2A" w:rsidR="00BA144E" w:rsidRPr="00C42E21" w:rsidRDefault="00BA144E" w:rsidP="00BA144E">
      <w:pPr>
        <w:pStyle w:val="WWHeading1"/>
        <w:keepNext w:val="0"/>
        <w:numPr>
          <w:ilvl w:val="0"/>
          <w:numId w:val="13"/>
        </w:numPr>
        <w:spacing w:line="240" w:lineRule="auto"/>
        <w:rPr>
          <w:rFonts w:ascii="Verdana" w:hAnsi="Verdana" w:cstheme="minorHAnsi"/>
          <w:b w:val="0"/>
          <w:bCs/>
          <w:sz w:val="20"/>
          <w:szCs w:val="20"/>
        </w:rPr>
      </w:pPr>
      <w:r w:rsidRPr="00C42E21">
        <w:rPr>
          <w:rFonts w:ascii="Verdana" w:hAnsi="Verdana" w:cstheme="minorHAnsi"/>
          <w:b w:val="0"/>
          <w:bCs/>
          <w:sz w:val="20"/>
          <w:szCs w:val="20"/>
        </w:rPr>
        <w:t>the businesses and investments of the Group;</w:t>
      </w:r>
    </w:p>
    <w:p w14:paraId="37A20063" w14:textId="4D8DB3DC" w:rsidR="00C42E21" w:rsidRPr="00A853C1" w:rsidRDefault="00C42E21" w:rsidP="00A853C1">
      <w:pPr>
        <w:pStyle w:val="WWHeading1"/>
        <w:keepNext w:val="0"/>
        <w:numPr>
          <w:ilvl w:val="0"/>
          <w:numId w:val="13"/>
        </w:numPr>
        <w:spacing w:line="240" w:lineRule="auto"/>
        <w:rPr>
          <w:rFonts w:ascii="Verdana" w:hAnsi="Verdana" w:cstheme="minorHAnsi"/>
          <w:b w:val="0"/>
          <w:bCs/>
          <w:sz w:val="20"/>
          <w:szCs w:val="20"/>
        </w:rPr>
      </w:pPr>
      <w:r w:rsidRPr="00C42E21">
        <w:rPr>
          <w:rFonts w:ascii="Verdana" w:hAnsi="Verdana" w:cstheme="minorHAnsi"/>
          <w:b w:val="0"/>
          <w:bCs/>
          <w:sz w:val="20"/>
          <w:szCs w:val="20"/>
        </w:rPr>
        <w:t>the financial and operating information of the Group, including its consolidated income statement, summary of consolidated statement of financial position, summary of consolidated statement of cash flows and certain other financial data as at and for the years ended</w:t>
      </w:r>
      <w:r w:rsidR="001920CF">
        <w:rPr>
          <w:rFonts w:ascii="Verdana" w:hAnsi="Verdana" w:cstheme="minorHAnsi"/>
          <w:b w:val="0"/>
          <w:bCs/>
          <w:sz w:val="20"/>
          <w:szCs w:val="20"/>
        </w:rPr>
        <w:t xml:space="preserve"> </w:t>
      </w:r>
      <w:r w:rsidRPr="00C42E21">
        <w:rPr>
          <w:rFonts w:ascii="Verdana" w:hAnsi="Verdana" w:cstheme="minorHAnsi"/>
          <w:b w:val="0"/>
          <w:bCs/>
          <w:sz w:val="20"/>
          <w:szCs w:val="20"/>
        </w:rPr>
        <w:t>31 March 2021 and 31 March 2020, whic</w:t>
      </w:r>
      <w:r w:rsidRPr="00A853C1">
        <w:rPr>
          <w:rFonts w:ascii="Verdana" w:hAnsi="Verdana" w:cstheme="minorHAnsi"/>
          <w:b w:val="0"/>
          <w:bCs/>
          <w:sz w:val="20"/>
          <w:szCs w:val="20"/>
        </w:rPr>
        <w:t xml:space="preserve">h consolidated financial information has been derived from the audited annual consolidated financial statements of the Group as of, and for the year ended, 31 March 2021 and the related notes thereto and the independent auditor’s report thereon (the </w:t>
      </w:r>
      <w:r w:rsidRPr="00A853C1">
        <w:rPr>
          <w:rFonts w:ascii="Verdana" w:hAnsi="Verdana" w:cstheme="minorHAnsi"/>
          <w:sz w:val="20"/>
          <w:szCs w:val="20"/>
        </w:rPr>
        <w:t>Annual Financial Statements</w:t>
      </w:r>
      <w:r w:rsidRPr="00A853C1">
        <w:rPr>
          <w:rFonts w:ascii="Verdana" w:hAnsi="Verdana" w:cstheme="minorHAnsi"/>
          <w:b w:val="0"/>
          <w:bCs/>
          <w:sz w:val="20"/>
          <w:szCs w:val="20"/>
        </w:rPr>
        <w:t>). For the complete Annual Financial Statements, together with the independent auditor’s report thereon, prospective investors should have regard to the Prospectus; and</w:t>
      </w:r>
    </w:p>
    <w:p w14:paraId="33DE0EAE" w14:textId="15285F43" w:rsidR="00BA144E" w:rsidRPr="00A853C1" w:rsidRDefault="00BA144E" w:rsidP="00AD74F9">
      <w:pPr>
        <w:pStyle w:val="WWHeading1"/>
        <w:keepNext w:val="0"/>
        <w:numPr>
          <w:ilvl w:val="0"/>
          <w:numId w:val="13"/>
        </w:numPr>
        <w:spacing w:line="240" w:lineRule="auto"/>
        <w:rPr>
          <w:rFonts w:ascii="Verdana" w:hAnsi="Verdana" w:cstheme="minorHAnsi"/>
          <w:b w:val="0"/>
          <w:bCs/>
          <w:sz w:val="20"/>
          <w:szCs w:val="20"/>
        </w:rPr>
      </w:pPr>
      <w:r w:rsidRPr="00A853C1">
        <w:rPr>
          <w:rFonts w:ascii="Verdana" w:hAnsi="Verdana" w:cstheme="minorHAnsi"/>
          <w:b w:val="0"/>
          <w:bCs/>
          <w:sz w:val="20"/>
          <w:szCs w:val="20"/>
        </w:rPr>
        <w:t>other disclosures and information</w:t>
      </w:r>
      <w:r w:rsidR="00612EA0" w:rsidRPr="00A853C1">
        <w:rPr>
          <w:rFonts w:ascii="Verdana" w:hAnsi="Verdana" w:cstheme="minorHAnsi"/>
          <w:b w:val="0"/>
          <w:bCs/>
          <w:sz w:val="20"/>
          <w:szCs w:val="20"/>
        </w:rPr>
        <w:t xml:space="preserve"> </w:t>
      </w:r>
      <w:r w:rsidRPr="00A853C1">
        <w:rPr>
          <w:rFonts w:ascii="Verdana" w:hAnsi="Verdana" w:cstheme="minorHAnsi"/>
          <w:b w:val="0"/>
          <w:bCs/>
          <w:sz w:val="20"/>
          <w:szCs w:val="20"/>
        </w:rPr>
        <w:t xml:space="preserve">that prospective investors in </w:t>
      </w:r>
      <w:r w:rsidR="00612EA0" w:rsidRPr="00A853C1">
        <w:rPr>
          <w:rFonts w:ascii="Verdana" w:hAnsi="Verdana" w:cstheme="minorHAnsi"/>
          <w:b w:val="0"/>
          <w:bCs/>
          <w:sz w:val="20"/>
          <w:szCs w:val="20"/>
        </w:rPr>
        <w:t xml:space="preserve">New </w:t>
      </w:r>
      <w:r w:rsidRPr="00A853C1">
        <w:rPr>
          <w:rFonts w:ascii="Verdana" w:hAnsi="Verdana" w:cstheme="minorHAnsi"/>
          <w:b w:val="0"/>
          <w:bCs/>
          <w:sz w:val="20"/>
          <w:szCs w:val="20"/>
        </w:rPr>
        <w:t xml:space="preserve">Prosus Ordinary Shares </w:t>
      </w:r>
      <w:r w:rsidR="00612EA0" w:rsidRPr="00A853C1">
        <w:rPr>
          <w:rFonts w:ascii="Verdana" w:hAnsi="Verdana" w:cstheme="minorHAnsi"/>
          <w:b w:val="0"/>
          <w:bCs/>
          <w:sz w:val="20"/>
          <w:szCs w:val="20"/>
        </w:rPr>
        <w:t>N</w:t>
      </w:r>
      <w:r w:rsidR="0041508D" w:rsidRPr="00A853C1">
        <w:rPr>
          <w:rFonts w:ascii="Verdana" w:hAnsi="Verdana" w:cstheme="minorHAnsi"/>
          <w:b w:val="0"/>
          <w:bCs/>
          <w:sz w:val="20"/>
          <w:szCs w:val="20"/>
        </w:rPr>
        <w:t xml:space="preserve"> to be issued pursuant to the Exchange Offer</w:t>
      </w:r>
      <w:r w:rsidR="00612EA0" w:rsidRPr="00A853C1">
        <w:rPr>
          <w:rFonts w:ascii="Verdana" w:hAnsi="Verdana" w:cstheme="minorHAnsi"/>
          <w:b w:val="0"/>
          <w:bCs/>
          <w:sz w:val="20"/>
          <w:szCs w:val="20"/>
        </w:rPr>
        <w:t xml:space="preserve"> </w:t>
      </w:r>
      <w:r w:rsidRPr="00A853C1">
        <w:rPr>
          <w:rFonts w:ascii="Verdana" w:hAnsi="Verdana" w:cstheme="minorHAnsi"/>
          <w:b w:val="0"/>
          <w:bCs/>
          <w:sz w:val="20"/>
          <w:szCs w:val="20"/>
        </w:rPr>
        <w:t>should carefully consider</w:t>
      </w:r>
      <w:r w:rsidR="00612EA0" w:rsidRPr="00A853C1">
        <w:rPr>
          <w:rFonts w:ascii="Verdana" w:hAnsi="Verdana" w:cstheme="minorHAnsi"/>
          <w:b w:val="0"/>
          <w:bCs/>
          <w:sz w:val="20"/>
          <w:szCs w:val="20"/>
        </w:rPr>
        <w:t xml:space="preserve"> </w:t>
      </w:r>
      <w:r w:rsidRPr="00A853C1">
        <w:rPr>
          <w:rFonts w:ascii="Verdana" w:hAnsi="Verdana" w:cstheme="minorHAnsi"/>
          <w:b w:val="0"/>
          <w:bCs/>
          <w:sz w:val="20"/>
          <w:szCs w:val="20"/>
        </w:rPr>
        <w:lastRenderedPageBreak/>
        <w:t>together with the information contained in the Prospectus in its entirety.</w:t>
      </w:r>
      <w:r w:rsidR="00612EA0" w:rsidRPr="00A853C1">
        <w:rPr>
          <w:rFonts w:ascii="Verdana" w:hAnsi="Verdana" w:cstheme="minorHAnsi"/>
          <w:b w:val="0"/>
          <w:bCs/>
          <w:sz w:val="20"/>
          <w:szCs w:val="20"/>
        </w:rPr>
        <w:t xml:space="preserve"> </w:t>
      </w:r>
      <w:r w:rsidRPr="00A853C1">
        <w:rPr>
          <w:rFonts w:ascii="Verdana" w:hAnsi="Verdana" w:cstheme="minorHAnsi"/>
          <w:b w:val="0"/>
          <w:bCs/>
          <w:sz w:val="20"/>
          <w:szCs w:val="20"/>
        </w:rPr>
        <w:t>Prospective investors should</w:t>
      </w:r>
      <w:proofErr w:type="gramStart"/>
      <w:r w:rsidRPr="00A853C1">
        <w:rPr>
          <w:rFonts w:ascii="Verdana" w:hAnsi="Verdana" w:cstheme="minorHAnsi"/>
          <w:b w:val="0"/>
          <w:bCs/>
          <w:sz w:val="20"/>
          <w:szCs w:val="20"/>
        </w:rPr>
        <w:t>, in particular, have</w:t>
      </w:r>
      <w:proofErr w:type="gramEnd"/>
      <w:r w:rsidRPr="00A853C1">
        <w:rPr>
          <w:rFonts w:ascii="Verdana" w:hAnsi="Verdana" w:cstheme="minorHAnsi"/>
          <w:b w:val="0"/>
          <w:bCs/>
          <w:sz w:val="20"/>
          <w:szCs w:val="20"/>
        </w:rPr>
        <w:t xml:space="preserve"> regard to the section of the</w:t>
      </w:r>
      <w:r w:rsidR="00612EA0" w:rsidRPr="00A853C1">
        <w:rPr>
          <w:rFonts w:ascii="Verdana" w:hAnsi="Verdana" w:cstheme="minorHAnsi"/>
          <w:b w:val="0"/>
          <w:bCs/>
          <w:sz w:val="20"/>
          <w:szCs w:val="20"/>
        </w:rPr>
        <w:t xml:space="preserve"> </w:t>
      </w:r>
      <w:r w:rsidRPr="00A853C1">
        <w:rPr>
          <w:rFonts w:ascii="Verdana" w:hAnsi="Verdana" w:cstheme="minorHAnsi"/>
          <w:b w:val="0"/>
          <w:bCs/>
          <w:sz w:val="20"/>
          <w:szCs w:val="20"/>
        </w:rPr>
        <w:t xml:space="preserve">Prospectus entitled </w:t>
      </w:r>
      <w:r w:rsidR="00B1366D" w:rsidRPr="00A853C1">
        <w:rPr>
          <w:rFonts w:ascii="Verdana" w:hAnsi="Verdana" w:cstheme="minorHAnsi"/>
          <w:b w:val="0"/>
          <w:bCs/>
          <w:sz w:val="20"/>
          <w:szCs w:val="20"/>
        </w:rPr>
        <w:t>"</w:t>
      </w:r>
      <w:r w:rsidRPr="00A853C1">
        <w:rPr>
          <w:rFonts w:ascii="Verdana" w:hAnsi="Verdana" w:cstheme="minorHAnsi"/>
          <w:b w:val="0"/>
          <w:bCs/>
          <w:i/>
          <w:iCs/>
          <w:sz w:val="20"/>
          <w:szCs w:val="20"/>
        </w:rPr>
        <w:t>Risk Factors</w:t>
      </w:r>
      <w:r w:rsidR="00B1366D" w:rsidRPr="00A853C1">
        <w:rPr>
          <w:rFonts w:ascii="Verdana" w:hAnsi="Verdana" w:cstheme="minorHAnsi"/>
          <w:b w:val="0"/>
          <w:bCs/>
          <w:sz w:val="20"/>
          <w:szCs w:val="20"/>
        </w:rPr>
        <w:t>"</w:t>
      </w:r>
      <w:r w:rsidRPr="00A853C1">
        <w:rPr>
          <w:rFonts w:ascii="Verdana" w:hAnsi="Verdana" w:cstheme="minorHAnsi"/>
          <w:b w:val="0"/>
          <w:bCs/>
          <w:sz w:val="20"/>
          <w:szCs w:val="20"/>
        </w:rPr>
        <w:t xml:space="preserve"> when considering an investment in the </w:t>
      </w:r>
      <w:r w:rsidR="00612EA0" w:rsidRPr="00A853C1">
        <w:rPr>
          <w:rFonts w:ascii="Verdana" w:hAnsi="Verdana" w:cstheme="minorHAnsi"/>
          <w:b w:val="0"/>
          <w:bCs/>
          <w:sz w:val="20"/>
          <w:szCs w:val="20"/>
        </w:rPr>
        <w:t xml:space="preserve">New </w:t>
      </w:r>
      <w:r w:rsidRPr="00A853C1">
        <w:rPr>
          <w:rFonts w:ascii="Verdana" w:hAnsi="Verdana" w:cstheme="minorHAnsi"/>
          <w:b w:val="0"/>
          <w:bCs/>
          <w:sz w:val="20"/>
          <w:szCs w:val="20"/>
        </w:rPr>
        <w:t>Prosus Ordinary Shares</w:t>
      </w:r>
      <w:r w:rsidR="00097A23" w:rsidRPr="00A853C1">
        <w:rPr>
          <w:rFonts w:ascii="Verdana" w:hAnsi="Verdana" w:cstheme="minorHAnsi"/>
          <w:b w:val="0"/>
          <w:bCs/>
          <w:sz w:val="20"/>
          <w:szCs w:val="20"/>
        </w:rPr>
        <w:t> </w:t>
      </w:r>
      <w:r w:rsidR="00612EA0" w:rsidRPr="00A853C1">
        <w:rPr>
          <w:rFonts w:ascii="Verdana" w:hAnsi="Verdana" w:cstheme="minorHAnsi"/>
          <w:b w:val="0"/>
          <w:bCs/>
          <w:sz w:val="20"/>
          <w:szCs w:val="20"/>
        </w:rPr>
        <w:t>N.</w:t>
      </w:r>
    </w:p>
    <w:p w14:paraId="4D4DC728" w14:textId="1D8C0C86" w:rsidR="00612EA0" w:rsidRPr="00A853C1" w:rsidRDefault="00612EA0" w:rsidP="00612EA0">
      <w:pPr>
        <w:pStyle w:val="WWHeading1"/>
        <w:keepNext w:val="0"/>
        <w:numPr>
          <w:ilvl w:val="0"/>
          <w:numId w:val="0"/>
        </w:numPr>
        <w:spacing w:line="240" w:lineRule="auto"/>
        <w:ind w:left="567"/>
        <w:rPr>
          <w:rFonts w:ascii="Verdana" w:hAnsi="Verdana" w:cstheme="minorHAnsi"/>
          <w:b w:val="0"/>
          <w:bCs/>
          <w:sz w:val="20"/>
          <w:szCs w:val="20"/>
        </w:rPr>
      </w:pPr>
      <w:r w:rsidRPr="00A853C1">
        <w:rPr>
          <w:rFonts w:ascii="Verdana" w:hAnsi="Verdana" w:cstheme="minorHAnsi"/>
          <w:b w:val="0"/>
          <w:bCs/>
          <w:sz w:val="20"/>
          <w:szCs w:val="20"/>
        </w:rPr>
        <w:t>The Prospectus is published in English only.</w:t>
      </w:r>
      <w:r w:rsidR="00097A23" w:rsidRPr="00A853C1">
        <w:rPr>
          <w:rFonts w:ascii="Verdana" w:hAnsi="Verdana" w:cstheme="minorHAnsi"/>
          <w:b w:val="0"/>
          <w:bCs/>
          <w:sz w:val="20"/>
          <w:szCs w:val="20"/>
        </w:rPr>
        <w:t xml:space="preserve"> </w:t>
      </w:r>
      <w:r w:rsidRPr="00A853C1">
        <w:rPr>
          <w:rFonts w:ascii="Verdana" w:hAnsi="Verdana"/>
          <w:b w:val="0"/>
          <w:bCs/>
          <w:sz w:val="20"/>
          <w:szCs w:val="20"/>
        </w:rPr>
        <w:t>Subject to any applicable securities laws, copies of the Prospectus</w:t>
      </w:r>
      <w:r w:rsidR="0034686E" w:rsidRPr="00A853C1">
        <w:rPr>
          <w:rFonts w:ascii="Verdana" w:hAnsi="Verdana"/>
          <w:b w:val="0"/>
          <w:bCs/>
          <w:sz w:val="20"/>
          <w:szCs w:val="20"/>
        </w:rPr>
        <w:t xml:space="preserve"> </w:t>
      </w:r>
      <w:r w:rsidRPr="00A853C1">
        <w:rPr>
          <w:rFonts w:ascii="Verdana" w:hAnsi="Verdana"/>
          <w:b w:val="0"/>
          <w:bCs/>
          <w:sz w:val="20"/>
          <w:szCs w:val="20"/>
        </w:rPr>
        <w:t>and certain other documents relating to the Capital Restructure</w:t>
      </w:r>
      <w:r w:rsidR="00097A23" w:rsidRPr="00A853C1">
        <w:rPr>
          <w:rFonts w:ascii="Verdana" w:hAnsi="Verdana"/>
          <w:b w:val="0"/>
          <w:bCs/>
          <w:sz w:val="20"/>
          <w:szCs w:val="20"/>
        </w:rPr>
        <w:t>,</w:t>
      </w:r>
      <w:r w:rsidRPr="00A853C1">
        <w:rPr>
          <w:rFonts w:ascii="Verdana" w:hAnsi="Verdana"/>
          <w:b w:val="0"/>
          <w:bCs/>
          <w:sz w:val="20"/>
          <w:szCs w:val="20"/>
        </w:rPr>
        <w:t xml:space="preserve"> are available and can be obtained free of charge </w:t>
      </w:r>
      <w:r w:rsidRPr="00A853C1">
        <w:rPr>
          <w:rFonts w:ascii="Verdana" w:hAnsi="Verdana" w:cstheme="minorHAnsi"/>
          <w:b w:val="0"/>
          <w:bCs/>
          <w:sz w:val="20"/>
          <w:szCs w:val="20"/>
        </w:rPr>
        <w:t xml:space="preserve">at </w:t>
      </w:r>
      <w:hyperlink r:id="rId11" w:history="1">
        <w:r w:rsidRPr="00A853C1">
          <w:rPr>
            <w:rStyle w:val="Hyperlink"/>
            <w:rFonts w:ascii="Verdana" w:hAnsi="Verdana" w:cstheme="minorHAnsi"/>
            <w:b w:val="0"/>
            <w:bCs/>
            <w:sz w:val="20"/>
            <w:szCs w:val="20"/>
          </w:rPr>
          <w:t>www.share-exchange-offer.com</w:t>
        </w:r>
      </w:hyperlink>
      <w:r w:rsidRPr="00C42E21">
        <w:rPr>
          <w:rFonts w:ascii="Verdana" w:hAnsi="Verdana" w:cstheme="minorHAnsi"/>
          <w:b w:val="0"/>
          <w:bCs/>
          <w:sz w:val="20"/>
          <w:szCs w:val="20"/>
        </w:rPr>
        <w:t xml:space="preserve"> </w:t>
      </w:r>
      <w:r w:rsidRPr="00C42E21">
        <w:rPr>
          <w:rFonts w:ascii="Verdana" w:hAnsi="Verdana"/>
          <w:b w:val="0"/>
          <w:bCs/>
          <w:sz w:val="20"/>
          <w:szCs w:val="20"/>
        </w:rPr>
        <w:t>and, during their normal business hours, at the registered office of Prosus (</w:t>
      </w:r>
      <w:r w:rsidR="00097A23" w:rsidRPr="00A853C1">
        <w:rPr>
          <w:rFonts w:ascii="Verdana" w:hAnsi="Verdana" w:cstheme="minorHAnsi"/>
          <w:b w:val="0"/>
          <w:bCs/>
          <w:sz w:val="20"/>
          <w:szCs w:val="20"/>
        </w:rPr>
        <w:t>Gustav Mahlerplein 5, 1082 MS Amsterdam and, in South Africa, at the office of Investec Bank Limited, at 100 Grayston Drive, Sandton, Johannesburg</w:t>
      </w:r>
      <w:r w:rsidRPr="00A853C1">
        <w:rPr>
          <w:rFonts w:ascii="Verdana" w:hAnsi="Verdana"/>
          <w:b w:val="0"/>
          <w:bCs/>
          <w:sz w:val="20"/>
          <w:szCs w:val="20"/>
        </w:rPr>
        <w:t xml:space="preserve">) from the date of the Prospectus until at least </w:t>
      </w:r>
      <w:r w:rsidR="0007798C" w:rsidRPr="00A853C1">
        <w:rPr>
          <w:rFonts w:ascii="Verdana" w:hAnsi="Verdana"/>
          <w:b w:val="0"/>
          <w:bCs/>
          <w:sz w:val="20"/>
          <w:szCs w:val="20"/>
        </w:rPr>
        <w:t>the settlement date of the Exchange Offer, expected to occur on Monday, 16 August 2021, or as soon as practicable thereafter (the </w:t>
      </w:r>
      <w:r w:rsidRPr="00A853C1">
        <w:rPr>
          <w:rFonts w:ascii="Verdana" w:hAnsi="Verdana"/>
          <w:sz w:val="20"/>
          <w:szCs w:val="20"/>
        </w:rPr>
        <w:t>Settlement Date</w:t>
      </w:r>
      <w:r w:rsidR="0007798C" w:rsidRPr="00A853C1">
        <w:rPr>
          <w:rFonts w:ascii="Verdana" w:hAnsi="Verdana"/>
          <w:b w:val="0"/>
          <w:bCs/>
          <w:sz w:val="20"/>
          <w:szCs w:val="20"/>
        </w:rPr>
        <w:t>)</w:t>
      </w:r>
      <w:r w:rsidRPr="00A853C1">
        <w:rPr>
          <w:rFonts w:ascii="Verdana" w:hAnsi="Verdana"/>
          <w:b w:val="0"/>
          <w:bCs/>
          <w:sz w:val="20"/>
          <w:szCs w:val="20"/>
        </w:rPr>
        <w:t>.</w:t>
      </w:r>
    </w:p>
    <w:p w14:paraId="52B2B5E4" w14:textId="46ADC641" w:rsidR="00460D60" w:rsidRPr="00A853C1" w:rsidRDefault="00460D60" w:rsidP="00460D60">
      <w:pPr>
        <w:pStyle w:val="WWHeading1"/>
        <w:spacing w:line="240" w:lineRule="auto"/>
        <w:rPr>
          <w:rFonts w:ascii="Verdana" w:hAnsi="Verdana"/>
          <w:sz w:val="20"/>
          <w:szCs w:val="20"/>
          <w:lang w:val="en-ZA"/>
        </w:rPr>
      </w:pPr>
      <w:r w:rsidRPr="00A853C1">
        <w:rPr>
          <w:rFonts w:ascii="Verdana" w:hAnsi="Verdana"/>
          <w:sz w:val="20"/>
          <w:szCs w:val="20"/>
          <w:lang w:val="en-ZA"/>
        </w:rPr>
        <w:t>THE EXCHANGE OFFER</w:t>
      </w:r>
    </w:p>
    <w:p w14:paraId="1C1E83FA" w14:textId="70746B15" w:rsidR="007B31EE" w:rsidRPr="00A853C1" w:rsidRDefault="00BA144E" w:rsidP="00F12822">
      <w:pPr>
        <w:pStyle w:val="WWHeading1"/>
        <w:keepNext w:val="0"/>
        <w:numPr>
          <w:ilvl w:val="0"/>
          <w:numId w:val="0"/>
        </w:numPr>
        <w:spacing w:line="240" w:lineRule="auto"/>
        <w:ind w:left="567"/>
        <w:rPr>
          <w:rFonts w:ascii="Verdana" w:hAnsi="Verdana" w:cstheme="minorHAnsi"/>
          <w:b w:val="0"/>
          <w:bCs/>
          <w:sz w:val="20"/>
          <w:szCs w:val="20"/>
        </w:rPr>
      </w:pPr>
      <w:r w:rsidRPr="00A853C1">
        <w:rPr>
          <w:rFonts w:ascii="Verdana" w:hAnsi="Verdana" w:cstheme="minorHAnsi"/>
          <w:b w:val="0"/>
          <w:bCs/>
          <w:sz w:val="20"/>
          <w:szCs w:val="20"/>
        </w:rPr>
        <w:t xml:space="preserve">As set out in the announcement released by Prosus on Friday, 9 July 2021, the resolution required to implement the </w:t>
      </w:r>
      <w:r w:rsidR="00992C3F" w:rsidRPr="00A853C1">
        <w:rPr>
          <w:rFonts w:ascii="Verdana" w:hAnsi="Verdana" w:cstheme="minorHAnsi"/>
          <w:b w:val="0"/>
          <w:bCs/>
          <w:sz w:val="20"/>
          <w:szCs w:val="20"/>
        </w:rPr>
        <w:t xml:space="preserve">proposed </w:t>
      </w:r>
      <w:r w:rsidRPr="00A853C1">
        <w:rPr>
          <w:rFonts w:ascii="Verdana" w:hAnsi="Verdana" w:cstheme="minorHAnsi"/>
          <w:b w:val="0"/>
          <w:bCs/>
          <w:sz w:val="20"/>
          <w:szCs w:val="20"/>
        </w:rPr>
        <w:t xml:space="preserve">transaction involving, among other things, the Exchange Offer was approved by </w:t>
      </w:r>
      <w:proofErr w:type="gramStart"/>
      <w:r w:rsidRPr="00A853C1">
        <w:rPr>
          <w:rFonts w:ascii="Verdana" w:hAnsi="Verdana" w:cstheme="minorHAnsi"/>
          <w:b w:val="0"/>
          <w:bCs/>
          <w:sz w:val="20"/>
          <w:szCs w:val="20"/>
        </w:rPr>
        <w:t>the requisite majority of</w:t>
      </w:r>
      <w:proofErr w:type="gramEnd"/>
      <w:r w:rsidRPr="00A853C1">
        <w:rPr>
          <w:rFonts w:ascii="Verdana" w:hAnsi="Verdana" w:cstheme="minorHAnsi"/>
          <w:b w:val="0"/>
          <w:bCs/>
          <w:sz w:val="20"/>
          <w:szCs w:val="20"/>
        </w:rPr>
        <w:t xml:space="preserve"> Shareholders at the Prosus EGM. </w:t>
      </w:r>
    </w:p>
    <w:p w14:paraId="71D969EC" w14:textId="036F7631" w:rsidR="00097A23" w:rsidRPr="00A853C1" w:rsidRDefault="00097A23" w:rsidP="00F12822">
      <w:pPr>
        <w:pStyle w:val="WWHeading1"/>
        <w:keepNext w:val="0"/>
        <w:numPr>
          <w:ilvl w:val="0"/>
          <w:numId w:val="0"/>
        </w:numPr>
        <w:spacing w:line="240" w:lineRule="auto"/>
        <w:ind w:left="567"/>
        <w:rPr>
          <w:rFonts w:ascii="Verdana" w:hAnsi="Verdana" w:cstheme="minorHAnsi"/>
          <w:b w:val="0"/>
          <w:bCs/>
          <w:sz w:val="20"/>
          <w:szCs w:val="20"/>
        </w:rPr>
      </w:pPr>
      <w:r w:rsidRPr="00A853C1">
        <w:rPr>
          <w:rFonts w:ascii="Verdana" w:hAnsi="Verdana" w:cstheme="minorHAnsi"/>
          <w:b w:val="0"/>
          <w:bCs/>
          <w:sz w:val="20"/>
          <w:szCs w:val="20"/>
        </w:rPr>
        <w:t>The Board is hereby please</w:t>
      </w:r>
      <w:r w:rsidR="00B1366D" w:rsidRPr="00A853C1">
        <w:rPr>
          <w:rFonts w:ascii="Verdana" w:hAnsi="Verdana" w:cstheme="minorHAnsi"/>
          <w:b w:val="0"/>
          <w:bCs/>
          <w:sz w:val="20"/>
          <w:szCs w:val="20"/>
        </w:rPr>
        <w:t>d</w:t>
      </w:r>
      <w:r w:rsidRPr="00A853C1">
        <w:rPr>
          <w:rFonts w:ascii="Verdana" w:hAnsi="Verdana" w:cstheme="minorHAnsi"/>
          <w:b w:val="0"/>
          <w:bCs/>
          <w:sz w:val="20"/>
          <w:szCs w:val="20"/>
        </w:rPr>
        <w:t xml:space="preserve"> to advise the </w:t>
      </w:r>
      <w:r w:rsidR="00BA144E" w:rsidRPr="00A853C1">
        <w:rPr>
          <w:rFonts w:ascii="Verdana" w:hAnsi="Verdana" w:cstheme="minorHAnsi"/>
          <w:b w:val="0"/>
          <w:bCs/>
          <w:sz w:val="20"/>
          <w:szCs w:val="20"/>
        </w:rPr>
        <w:t xml:space="preserve">Naspers N Shareholders that </w:t>
      </w:r>
      <w:r w:rsidRPr="00A853C1">
        <w:rPr>
          <w:rFonts w:ascii="Verdana" w:hAnsi="Verdana" w:cstheme="minorHAnsi"/>
          <w:b w:val="0"/>
          <w:bCs/>
          <w:sz w:val="20"/>
          <w:szCs w:val="20"/>
        </w:rPr>
        <w:t>the Exchange Offer is open for acceptance from 09:00 hours CEST/SAST today, Monday, 12 July 2021 and will close at 12:00 hours CEST/SAST on Friday, 13 August 2021.</w:t>
      </w:r>
      <w:r w:rsidR="003C7BB2" w:rsidRPr="00A853C1">
        <w:rPr>
          <w:rFonts w:ascii="Verdana" w:hAnsi="Verdana" w:cstheme="minorHAnsi"/>
          <w:b w:val="0"/>
          <w:bCs/>
          <w:sz w:val="20"/>
          <w:szCs w:val="20"/>
        </w:rPr>
        <w:t xml:space="preserve"> Notwithstanding the closing date, Naspers N Shareholders intending to participate in the Exchange Offer are encouraged to accept the Exchange Offer in the manner contemplated </w:t>
      </w:r>
      <w:r w:rsidR="0034686E" w:rsidRPr="00A853C1">
        <w:rPr>
          <w:rFonts w:ascii="Verdana" w:hAnsi="Verdana" w:cstheme="minorHAnsi"/>
          <w:b w:val="0"/>
          <w:bCs/>
          <w:sz w:val="20"/>
          <w:szCs w:val="20"/>
        </w:rPr>
        <w:t xml:space="preserve">in the Prospectus </w:t>
      </w:r>
      <w:r w:rsidR="003C7BB2" w:rsidRPr="00A853C1">
        <w:rPr>
          <w:rFonts w:ascii="Verdana" w:hAnsi="Verdana" w:cstheme="minorHAnsi"/>
          <w:b w:val="0"/>
          <w:bCs/>
          <w:sz w:val="20"/>
          <w:szCs w:val="20"/>
        </w:rPr>
        <w:t>as soon as possible prior to the closing date</w:t>
      </w:r>
      <w:r w:rsidR="00B95B3F" w:rsidRPr="00A853C1">
        <w:rPr>
          <w:rFonts w:ascii="Verdana" w:hAnsi="Verdana" w:cstheme="minorHAnsi"/>
          <w:b w:val="0"/>
          <w:bCs/>
          <w:sz w:val="20"/>
          <w:szCs w:val="20"/>
        </w:rPr>
        <w:t xml:space="preserve"> in order to ensure efficient and effective settlement of the Exchange Offer</w:t>
      </w:r>
      <w:r w:rsidR="003C7BB2" w:rsidRPr="00A853C1">
        <w:rPr>
          <w:rFonts w:ascii="Verdana" w:hAnsi="Verdana" w:cstheme="minorHAnsi"/>
          <w:b w:val="0"/>
          <w:bCs/>
          <w:sz w:val="20"/>
          <w:szCs w:val="20"/>
        </w:rPr>
        <w:t>.</w:t>
      </w:r>
    </w:p>
    <w:p w14:paraId="498B9DA1" w14:textId="6615F111" w:rsidR="008F5C23" w:rsidRPr="00A853C1" w:rsidRDefault="00F54830" w:rsidP="00F54830">
      <w:pPr>
        <w:pStyle w:val="WWHeading1"/>
        <w:keepNext w:val="0"/>
        <w:numPr>
          <w:ilvl w:val="0"/>
          <w:numId w:val="0"/>
        </w:numPr>
        <w:spacing w:line="240" w:lineRule="auto"/>
        <w:ind w:left="567"/>
        <w:rPr>
          <w:rFonts w:ascii="Verdana" w:hAnsi="Verdana"/>
          <w:b w:val="0"/>
          <w:bCs/>
          <w:sz w:val="20"/>
          <w:szCs w:val="20"/>
        </w:rPr>
      </w:pPr>
      <w:r w:rsidRPr="00A853C1">
        <w:rPr>
          <w:rFonts w:ascii="Verdana" w:hAnsi="Verdana" w:cstheme="minorHAnsi"/>
          <w:b w:val="0"/>
          <w:bCs/>
          <w:sz w:val="20"/>
          <w:szCs w:val="20"/>
        </w:rPr>
        <w:t xml:space="preserve">The </w:t>
      </w:r>
      <w:r w:rsidR="008F5C23" w:rsidRPr="00A853C1">
        <w:rPr>
          <w:rFonts w:ascii="Verdana" w:hAnsi="Verdana" w:cstheme="minorHAnsi"/>
          <w:b w:val="0"/>
          <w:bCs/>
          <w:sz w:val="20"/>
          <w:szCs w:val="20"/>
        </w:rPr>
        <w:t>Exchange Offer</w:t>
      </w:r>
      <w:r w:rsidRPr="00A853C1">
        <w:rPr>
          <w:rFonts w:ascii="Verdana" w:hAnsi="Verdana" w:cstheme="minorHAnsi"/>
          <w:b w:val="0"/>
          <w:bCs/>
          <w:sz w:val="20"/>
          <w:szCs w:val="20"/>
        </w:rPr>
        <w:t xml:space="preserve"> </w:t>
      </w:r>
      <w:r w:rsidRPr="00A853C1">
        <w:rPr>
          <w:rFonts w:ascii="Verdana" w:hAnsi="Verdana"/>
          <w:b w:val="0"/>
          <w:bCs/>
          <w:sz w:val="20"/>
          <w:szCs w:val="20"/>
        </w:rPr>
        <w:t xml:space="preserve">is </w:t>
      </w:r>
      <w:r w:rsidR="009D6F82" w:rsidRPr="00A853C1">
        <w:rPr>
          <w:rFonts w:ascii="Verdana" w:hAnsi="Verdana"/>
          <w:b w:val="0"/>
          <w:bCs/>
          <w:sz w:val="20"/>
          <w:szCs w:val="20"/>
        </w:rPr>
        <w:t xml:space="preserve">completely </w:t>
      </w:r>
      <w:r w:rsidRPr="00A853C1">
        <w:rPr>
          <w:rFonts w:ascii="Verdana" w:hAnsi="Verdana"/>
          <w:b w:val="0"/>
          <w:bCs/>
          <w:sz w:val="20"/>
          <w:szCs w:val="20"/>
        </w:rPr>
        <w:t xml:space="preserve">voluntary </w:t>
      </w:r>
      <w:r w:rsidR="009D6F82" w:rsidRPr="00A853C1">
        <w:rPr>
          <w:rFonts w:ascii="Verdana" w:hAnsi="Verdana"/>
          <w:b w:val="0"/>
          <w:bCs/>
          <w:sz w:val="20"/>
          <w:szCs w:val="20"/>
        </w:rPr>
        <w:t xml:space="preserve">and </w:t>
      </w:r>
      <w:r w:rsidR="00694BF7" w:rsidRPr="00A853C1">
        <w:rPr>
          <w:rFonts w:ascii="Verdana" w:hAnsi="Verdana"/>
          <w:b w:val="0"/>
          <w:bCs/>
          <w:sz w:val="20"/>
          <w:szCs w:val="20"/>
        </w:rPr>
        <w:t xml:space="preserve">is </w:t>
      </w:r>
      <w:r w:rsidR="00EF4692" w:rsidRPr="00A853C1">
        <w:rPr>
          <w:rFonts w:ascii="Verdana" w:hAnsi="Verdana"/>
          <w:b w:val="0"/>
          <w:bCs/>
          <w:sz w:val="20"/>
          <w:szCs w:val="20"/>
        </w:rPr>
        <w:t xml:space="preserve">made </w:t>
      </w:r>
      <w:r w:rsidRPr="00A853C1">
        <w:rPr>
          <w:rFonts w:ascii="Verdana" w:hAnsi="Verdana"/>
          <w:b w:val="0"/>
          <w:bCs/>
          <w:sz w:val="20"/>
          <w:szCs w:val="20"/>
        </w:rPr>
        <w:t xml:space="preserve">on a </w:t>
      </w:r>
      <w:r w:rsidRPr="00A853C1">
        <w:rPr>
          <w:rFonts w:ascii="Verdana" w:hAnsi="Verdana"/>
          <w:b w:val="0"/>
          <w:bCs/>
          <w:i/>
          <w:iCs/>
          <w:sz w:val="20"/>
          <w:szCs w:val="20"/>
        </w:rPr>
        <w:t>pro rata</w:t>
      </w:r>
      <w:r w:rsidRPr="00A853C1">
        <w:rPr>
          <w:rFonts w:ascii="Verdana" w:hAnsi="Verdana"/>
          <w:b w:val="0"/>
          <w:bCs/>
          <w:sz w:val="20"/>
          <w:szCs w:val="20"/>
        </w:rPr>
        <w:t xml:space="preserve"> basis in terms of which the Naspers N Shareholders are entitled to exchange their Naspers N Ordinary Shares for New Prosus Ordinary Shares</w:t>
      </w:r>
      <w:r w:rsidR="00CE26C1" w:rsidRPr="00A853C1">
        <w:rPr>
          <w:rFonts w:ascii="Verdana" w:hAnsi="Verdana"/>
          <w:b w:val="0"/>
          <w:bCs/>
          <w:sz w:val="20"/>
          <w:szCs w:val="20"/>
        </w:rPr>
        <w:t xml:space="preserve"> N</w:t>
      </w:r>
      <w:r w:rsidRPr="00A853C1">
        <w:rPr>
          <w:rFonts w:ascii="Verdana" w:hAnsi="Verdana"/>
          <w:b w:val="0"/>
          <w:bCs/>
          <w:sz w:val="20"/>
          <w:szCs w:val="20"/>
        </w:rPr>
        <w:t xml:space="preserve"> in accordance with the Exchange Ratio of 2.27443 New Prosus Ordinary Shares N for each Naspers N Ordinary Share tendered in accordance with the terms and conditions of the Exchange Offer</w:t>
      </w:r>
      <w:r w:rsidR="00EF4692" w:rsidRPr="00A853C1">
        <w:rPr>
          <w:rFonts w:ascii="Verdana" w:hAnsi="Verdana"/>
          <w:b w:val="0"/>
          <w:bCs/>
          <w:sz w:val="20"/>
          <w:szCs w:val="20"/>
        </w:rPr>
        <w:t xml:space="preserve"> as set out in the Prospectus</w:t>
      </w:r>
      <w:r w:rsidRPr="00A853C1">
        <w:rPr>
          <w:rFonts w:ascii="Verdana" w:hAnsi="Verdana"/>
          <w:b w:val="0"/>
          <w:bCs/>
          <w:sz w:val="20"/>
          <w:szCs w:val="20"/>
        </w:rPr>
        <w:t>.</w:t>
      </w:r>
    </w:p>
    <w:p w14:paraId="55890F44" w14:textId="28D2141A" w:rsidR="00F54830" w:rsidRPr="00A853C1" w:rsidRDefault="00F54830" w:rsidP="00F54830">
      <w:pPr>
        <w:pStyle w:val="WWHeading1"/>
        <w:keepNext w:val="0"/>
        <w:numPr>
          <w:ilvl w:val="0"/>
          <w:numId w:val="0"/>
        </w:numPr>
        <w:spacing w:line="240" w:lineRule="auto"/>
        <w:ind w:left="567"/>
        <w:rPr>
          <w:rFonts w:ascii="Verdana" w:hAnsi="Verdana"/>
          <w:b w:val="0"/>
          <w:bCs/>
          <w:sz w:val="20"/>
          <w:szCs w:val="20"/>
        </w:rPr>
      </w:pPr>
      <w:r w:rsidRPr="00A853C1">
        <w:rPr>
          <w:rFonts w:ascii="Verdana" w:hAnsi="Verdana"/>
          <w:b w:val="0"/>
          <w:bCs/>
          <w:sz w:val="20"/>
          <w:szCs w:val="20"/>
        </w:rPr>
        <w:t>In terms of the Exchange Offer</w:t>
      </w:r>
      <w:r w:rsidR="009D6F82" w:rsidRPr="00A853C1">
        <w:rPr>
          <w:rFonts w:ascii="Verdana" w:hAnsi="Verdana"/>
          <w:b w:val="0"/>
          <w:bCs/>
          <w:sz w:val="20"/>
          <w:szCs w:val="20"/>
        </w:rPr>
        <w:t>:</w:t>
      </w:r>
      <w:r w:rsidR="00EF4692" w:rsidRPr="00A853C1">
        <w:rPr>
          <w:rFonts w:ascii="Verdana" w:hAnsi="Verdana"/>
          <w:b w:val="0"/>
          <w:bCs/>
          <w:sz w:val="20"/>
          <w:szCs w:val="20"/>
        </w:rPr>
        <w:t xml:space="preserve"> </w:t>
      </w:r>
    </w:p>
    <w:p w14:paraId="5DBE425B" w14:textId="507C60A5" w:rsidR="00A269B6" w:rsidRPr="00C42E21" w:rsidRDefault="00A269B6" w:rsidP="00A269B6">
      <w:pPr>
        <w:pStyle w:val="WWHeading1"/>
        <w:keepNext w:val="0"/>
        <w:numPr>
          <w:ilvl w:val="0"/>
          <w:numId w:val="13"/>
        </w:numPr>
        <w:spacing w:line="240" w:lineRule="auto"/>
        <w:rPr>
          <w:rFonts w:ascii="Verdana" w:hAnsi="Verdana"/>
          <w:b w:val="0"/>
          <w:bCs/>
          <w:sz w:val="20"/>
          <w:szCs w:val="20"/>
        </w:rPr>
      </w:pPr>
      <w:r w:rsidRPr="00A853C1">
        <w:rPr>
          <w:rFonts w:ascii="Verdana" w:hAnsi="Verdana"/>
          <w:b w:val="0"/>
          <w:bCs/>
          <w:sz w:val="20"/>
          <w:szCs w:val="20"/>
        </w:rPr>
        <w:t>Naspers N Shareholders can tender up to 100% of their existing Naspers N Ordinary Share holdings</w:t>
      </w:r>
      <w:r w:rsidRPr="00C42E21">
        <w:rPr>
          <w:rFonts w:ascii="Verdana" w:hAnsi="Verdana"/>
          <w:b w:val="0"/>
          <w:bCs/>
          <w:sz w:val="20"/>
          <w:szCs w:val="20"/>
        </w:rPr>
        <w:t>;</w:t>
      </w:r>
    </w:p>
    <w:p w14:paraId="3B9478F6" w14:textId="6304AC25" w:rsidR="00A269B6" w:rsidRPr="00C42E21" w:rsidRDefault="00A269B6" w:rsidP="00A269B6">
      <w:pPr>
        <w:pStyle w:val="WWHeading1"/>
        <w:keepNext w:val="0"/>
        <w:numPr>
          <w:ilvl w:val="0"/>
          <w:numId w:val="13"/>
        </w:numPr>
        <w:spacing w:line="240" w:lineRule="auto"/>
        <w:rPr>
          <w:rFonts w:ascii="Verdana" w:hAnsi="Verdana"/>
          <w:b w:val="0"/>
          <w:bCs/>
          <w:sz w:val="20"/>
          <w:szCs w:val="20"/>
        </w:rPr>
      </w:pPr>
      <w:r w:rsidRPr="00A853C1">
        <w:rPr>
          <w:rFonts w:ascii="Verdana" w:hAnsi="Verdana"/>
          <w:b w:val="0"/>
          <w:bCs/>
          <w:sz w:val="20"/>
          <w:szCs w:val="20"/>
        </w:rPr>
        <w:t>Naspers N Shareholders that do not wish to participate in the Exchange Offer will retain their holdings in Naspers in full</w:t>
      </w:r>
      <w:r w:rsidRPr="00C42E21">
        <w:rPr>
          <w:rFonts w:ascii="Verdana" w:hAnsi="Verdana"/>
          <w:b w:val="0"/>
          <w:bCs/>
          <w:sz w:val="20"/>
          <w:szCs w:val="20"/>
        </w:rPr>
        <w:t>;</w:t>
      </w:r>
    </w:p>
    <w:p w14:paraId="4B34EF11" w14:textId="2909228B" w:rsidR="00F54830" w:rsidRPr="00A853C1" w:rsidRDefault="00F54830" w:rsidP="00F54830">
      <w:pPr>
        <w:pStyle w:val="WWHeading1"/>
        <w:keepNext w:val="0"/>
        <w:numPr>
          <w:ilvl w:val="0"/>
          <w:numId w:val="13"/>
        </w:numPr>
        <w:spacing w:line="240" w:lineRule="auto"/>
        <w:rPr>
          <w:rFonts w:ascii="Verdana" w:hAnsi="Verdana"/>
          <w:b w:val="0"/>
          <w:bCs/>
          <w:sz w:val="20"/>
          <w:szCs w:val="20"/>
        </w:rPr>
      </w:pPr>
      <w:r w:rsidRPr="00A853C1">
        <w:rPr>
          <w:rFonts w:ascii="Verdana" w:hAnsi="Verdana"/>
          <w:b w:val="0"/>
          <w:bCs/>
          <w:sz w:val="20"/>
          <w:szCs w:val="20"/>
        </w:rPr>
        <w:t xml:space="preserve">Prosus will </w:t>
      </w:r>
      <w:r w:rsidRPr="00A853C1">
        <w:rPr>
          <w:rFonts w:ascii="Verdana" w:hAnsi="Verdana" w:cstheme="minorHAnsi"/>
          <w:b w:val="0"/>
          <w:bCs/>
          <w:sz w:val="20"/>
          <w:szCs w:val="20"/>
        </w:rPr>
        <w:t>acquire</w:t>
      </w:r>
      <w:r w:rsidRPr="00A853C1">
        <w:rPr>
          <w:rFonts w:ascii="Verdana" w:hAnsi="Verdana"/>
          <w:b w:val="0"/>
          <w:bCs/>
          <w:sz w:val="20"/>
          <w:szCs w:val="20"/>
        </w:rPr>
        <w:t xml:space="preserve"> no more than 197,408,377 Naspers N Ordinary Shares (representing c. 45.33% of the total issued Naspers N Ordinary Shares as at the Record Date of the Exchange Offer), such that </w:t>
      </w:r>
      <w:r w:rsidR="00EF4692" w:rsidRPr="00A853C1">
        <w:rPr>
          <w:rFonts w:ascii="Verdana" w:hAnsi="Verdana"/>
          <w:b w:val="0"/>
          <w:bCs/>
          <w:sz w:val="20"/>
          <w:szCs w:val="20"/>
        </w:rPr>
        <w:t xml:space="preserve">Prosus </w:t>
      </w:r>
      <w:r w:rsidRPr="00A853C1">
        <w:rPr>
          <w:rFonts w:ascii="Verdana" w:hAnsi="Verdana"/>
          <w:b w:val="0"/>
          <w:bCs/>
          <w:sz w:val="20"/>
          <w:szCs w:val="20"/>
        </w:rPr>
        <w:t xml:space="preserve">will hold 49% of the total issued Naspers N Ordinary Shares (in conjunction with the 3.67% Naspers N Ordinary Shares already held by </w:t>
      </w:r>
      <w:r w:rsidR="00EF4692" w:rsidRPr="00A853C1">
        <w:rPr>
          <w:rFonts w:ascii="Verdana" w:hAnsi="Verdana"/>
          <w:b w:val="0"/>
          <w:bCs/>
          <w:sz w:val="20"/>
          <w:szCs w:val="20"/>
        </w:rPr>
        <w:t>Prosus</w:t>
      </w:r>
      <w:r w:rsidRPr="00A853C1">
        <w:rPr>
          <w:rFonts w:ascii="Verdana" w:hAnsi="Verdana"/>
          <w:b w:val="0"/>
          <w:bCs/>
          <w:sz w:val="20"/>
          <w:szCs w:val="20"/>
        </w:rPr>
        <w:t xml:space="preserve">) on the implementation of the Exchange Offer </w:t>
      </w:r>
      <w:r w:rsidR="00EF4692" w:rsidRPr="00A853C1">
        <w:rPr>
          <w:rFonts w:ascii="Verdana" w:hAnsi="Verdana"/>
          <w:b w:val="0"/>
          <w:bCs/>
          <w:sz w:val="20"/>
          <w:szCs w:val="20"/>
        </w:rPr>
        <w:t>(the </w:t>
      </w:r>
      <w:r w:rsidR="00EF4692" w:rsidRPr="00A853C1">
        <w:rPr>
          <w:rFonts w:ascii="Verdana" w:hAnsi="Verdana"/>
          <w:sz w:val="20"/>
          <w:szCs w:val="20"/>
        </w:rPr>
        <w:t>Maximum Acceptance Threshold</w:t>
      </w:r>
      <w:r w:rsidR="00EF4692" w:rsidRPr="00A853C1">
        <w:rPr>
          <w:rFonts w:ascii="Verdana" w:hAnsi="Verdana"/>
          <w:b w:val="0"/>
          <w:bCs/>
          <w:sz w:val="20"/>
          <w:szCs w:val="20"/>
        </w:rPr>
        <w:t>)</w:t>
      </w:r>
      <w:r w:rsidR="00AF0AD8" w:rsidRPr="00A853C1">
        <w:rPr>
          <w:rFonts w:ascii="Verdana" w:hAnsi="Verdana"/>
          <w:b w:val="0"/>
          <w:bCs/>
          <w:sz w:val="20"/>
          <w:szCs w:val="20"/>
        </w:rPr>
        <w:t>;</w:t>
      </w:r>
    </w:p>
    <w:p w14:paraId="6C2780DD" w14:textId="634C8624" w:rsidR="00A328A3" w:rsidRPr="00A853C1" w:rsidRDefault="00A328A3" w:rsidP="00AF0AD8">
      <w:pPr>
        <w:pStyle w:val="WWHeading1"/>
        <w:keepNext w:val="0"/>
        <w:numPr>
          <w:ilvl w:val="0"/>
          <w:numId w:val="13"/>
        </w:numPr>
        <w:spacing w:line="240" w:lineRule="auto"/>
        <w:rPr>
          <w:rFonts w:ascii="Verdana" w:hAnsi="Verdana"/>
          <w:b w:val="0"/>
          <w:bCs/>
          <w:sz w:val="20"/>
          <w:szCs w:val="20"/>
        </w:rPr>
      </w:pPr>
      <w:r w:rsidRPr="00A853C1">
        <w:rPr>
          <w:rFonts w:ascii="Verdana" w:hAnsi="Verdana"/>
          <w:b w:val="0"/>
          <w:bCs/>
          <w:sz w:val="20"/>
          <w:szCs w:val="20"/>
        </w:rPr>
        <w:t>Prosus will issue</w:t>
      </w:r>
      <w:r w:rsidRPr="00A853C1">
        <w:rPr>
          <w:rFonts w:ascii="Verdana" w:hAnsi="Verdana"/>
        </w:rPr>
        <w:t xml:space="preserve"> </w:t>
      </w:r>
      <w:r w:rsidRPr="00C42E21">
        <w:rPr>
          <w:rFonts w:ascii="Verdana" w:hAnsi="Verdana"/>
          <w:b w:val="0"/>
          <w:bCs/>
          <w:sz w:val="20"/>
          <w:szCs w:val="20"/>
        </w:rPr>
        <w:t xml:space="preserve">up to </w:t>
      </w:r>
      <w:r w:rsidR="00EC5110" w:rsidRPr="00C42E21">
        <w:rPr>
          <w:rFonts w:ascii="Verdana" w:hAnsi="Verdana"/>
          <w:b w:val="0"/>
          <w:bCs/>
          <w:sz w:val="20"/>
          <w:szCs w:val="20"/>
        </w:rPr>
        <w:t xml:space="preserve">448,991,535 </w:t>
      </w:r>
      <w:r w:rsidRPr="00A853C1">
        <w:rPr>
          <w:rFonts w:ascii="Verdana" w:hAnsi="Verdana"/>
          <w:b w:val="0"/>
          <w:bCs/>
          <w:sz w:val="20"/>
          <w:szCs w:val="20"/>
        </w:rPr>
        <w:t>New Prosus Ordinary Shares N in total to the Naspers N Shareholders that will participate in the Exchange Offer in accordance with the Exchange Ratio and the terms and conditions of the Exchange Offer</w:t>
      </w:r>
      <w:r w:rsidR="003B4158" w:rsidRPr="00A853C1">
        <w:rPr>
          <w:rFonts w:ascii="Verdana" w:hAnsi="Verdana"/>
          <w:b w:val="0"/>
          <w:bCs/>
          <w:sz w:val="20"/>
          <w:szCs w:val="20"/>
        </w:rPr>
        <w:t>.</w:t>
      </w:r>
    </w:p>
    <w:p w14:paraId="6A069A4C" w14:textId="50222A7D" w:rsidR="00B544F3" w:rsidRPr="00A853C1" w:rsidRDefault="00422AC9" w:rsidP="00A853C1">
      <w:pPr>
        <w:pStyle w:val="WWHeading1"/>
        <w:keepNext w:val="0"/>
        <w:numPr>
          <w:ilvl w:val="0"/>
          <w:numId w:val="0"/>
        </w:numPr>
        <w:spacing w:line="240" w:lineRule="auto"/>
        <w:ind w:left="567"/>
        <w:rPr>
          <w:rFonts w:ascii="Verdana" w:hAnsi="Verdana"/>
          <w:bCs/>
          <w:sz w:val="20"/>
          <w:szCs w:val="20"/>
        </w:rPr>
      </w:pPr>
      <w:r w:rsidRPr="00A853C1">
        <w:rPr>
          <w:rFonts w:ascii="Verdana" w:hAnsi="Verdana"/>
          <w:sz w:val="20"/>
          <w:szCs w:val="20"/>
        </w:rPr>
        <w:t>EACH NASPERS N SHAREHOLDER MAY TENDER UP TO 100% OF THEIR NASPERS N ORDINARY SHAREHOLDING UNDER THE EXCHANGE OFFER</w:t>
      </w:r>
      <w:r w:rsidR="00B544F3" w:rsidRPr="00A853C1">
        <w:rPr>
          <w:rFonts w:ascii="Verdana" w:hAnsi="Verdana"/>
          <w:b w:val="0"/>
          <w:bCs/>
          <w:sz w:val="20"/>
          <w:szCs w:val="20"/>
        </w:rPr>
        <w:t>.</w:t>
      </w:r>
      <w:r w:rsidR="00FE3FF9" w:rsidRPr="00A853C1">
        <w:rPr>
          <w:rFonts w:ascii="Verdana" w:hAnsi="Verdana"/>
          <w:b w:val="0"/>
          <w:bCs/>
          <w:sz w:val="20"/>
          <w:szCs w:val="20"/>
        </w:rPr>
        <w:t xml:space="preserve"> </w:t>
      </w:r>
      <w:r w:rsidR="003970F8" w:rsidRPr="00A853C1">
        <w:rPr>
          <w:rFonts w:ascii="Verdana" w:hAnsi="Verdana"/>
          <w:b w:val="0"/>
          <w:bCs/>
          <w:sz w:val="20"/>
          <w:szCs w:val="20"/>
        </w:rPr>
        <w:t xml:space="preserve">However, </w:t>
      </w:r>
      <w:r w:rsidR="00B544F3" w:rsidRPr="00A853C1">
        <w:rPr>
          <w:rFonts w:ascii="Verdana" w:hAnsi="Verdana"/>
          <w:b w:val="0"/>
          <w:bCs/>
          <w:sz w:val="20"/>
          <w:szCs w:val="20"/>
        </w:rPr>
        <w:t>Naspers N Shareholders must</w:t>
      </w:r>
      <w:r w:rsidR="00FE3FF9" w:rsidRPr="00A853C1">
        <w:rPr>
          <w:rFonts w:ascii="Verdana" w:hAnsi="Verdana"/>
          <w:b w:val="0"/>
          <w:bCs/>
          <w:sz w:val="20"/>
          <w:szCs w:val="20"/>
        </w:rPr>
        <w:t xml:space="preserve"> </w:t>
      </w:r>
      <w:r w:rsidR="00B544F3" w:rsidRPr="00A853C1">
        <w:rPr>
          <w:rFonts w:ascii="Verdana" w:hAnsi="Verdana"/>
          <w:b w:val="0"/>
          <w:bCs/>
          <w:sz w:val="20"/>
          <w:szCs w:val="20"/>
        </w:rPr>
        <w:t xml:space="preserve">bear in mind </w:t>
      </w:r>
      <w:r w:rsidR="00FE3FF9" w:rsidRPr="00A853C1">
        <w:rPr>
          <w:rFonts w:ascii="Verdana" w:hAnsi="Verdana"/>
          <w:b w:val="0"/>
          <w:bCs/>
          <w:sz w:val="20"/>
          <w:szCs w:val="20"/>
        </w:rPr>
        <w:t>the Maximum Acceptance Threshold</w:t>
      </w:r>
      <w:r w:rsidR="003970F8" w:rsidRPr="00A853C1">
        <w:rPr>
          <w:rFonts w:ascii="Verdana" w:hAnsi="Verdana"/>
          <w:b w:val="0"/>
          <w:bCs/>
          <w:sz w:val="20"/>
          <w:szCs w:val="20"/>
        </w:rPr>
        <w:t xml:space="preserve"> under the Exchange Offer as </w:t>
      </w:r>
      <w:r w:rsidR="00B544F3" w:rsidRPr="00A853C1">
        <w:rPr>
          <w:rFonts w:ascii="Verdana" w:hAnsi="Verdana"/>
          <w:b w:val="0"/>
          <w:bCs/>
          <w:sz w:val="20"/>
          <w:szCs w:val="20"/>
        </w:rPr>
        <w:t xml:space="preserve">Naspers N Shareholders may therefore not be able to receive their desired number of Prosus Ordinary Shares N </w:t>
      </w:r>
      <w:r w:rsidR="006B2762" w:rsidRPr="00A853C1">
        <w:rPr>
          <w:rFonts w:ascii="Verdana" w:hAnsi="Verdana"/>
          <w:b w:val="0"/>
          <w:bCs/>
          <w:sz w:val="20"/>
          <w:szCs w:val="20"/>
        </w:rPr>
        <w:t xml:space="preserve">consistent with </w:t>
      </w:r>
      <w:r w:rsidR="005E56E7" w:rsidRPr="00A853C1">
        <w:rPr>
          <w:rFonts w:ascii="Verdana" w:hAnsi="Verdana"/>
          <w:b w:val="0"/>
          <w:bCs/>
          <w:sz w:val="20"/>
          <w:szCs w:val="20"/>
        </w:rPr>
        <w:t xml:space="preserve">their </w:t>
      </w:r>
      <w:r w:rsidR="003970F8" w:rsidRPr="00A853C1">
        <w:rPr>
          <w:rFonts w:ascii="Verdana" w:hAnsi="Verdana"/>
          <w:b w:val="0"/>
          <w:bCs/>
          <w:sz w:val="20"/>
          <w:szCs w:val="20"/>
        </w:rPr>
        <w:t>tender</w:t>
      </w:r>
      <w:r w:rsidR="005E56E7" w:rsidRPr="00A853C1">
        <w:rPr>
          <w:rFonts w:ascii="Verdana" w:hAnsi="Verdana"/>
          <w:b w:val="0"/>
          <w:bCs/>
          <w:sz w:val="20"/>
          <w:szCs w:val="20"/>
        </w:rPr>
        <w:t xml:space="preserve"> of Naspers N Ordinary Shares</w:t>
      </w:r>
      <w:r w:rsidR="008A4470" w:rsidRPr="00A853C1">
        <w:rPr>
          <w:rFonts w:ascii="Verdana" w:hAnsi="Verdana"/>
          <w:b w:val="0"/>
          <w:bCs/>
          <w:sz w:val="20"/>
          <w:szCs w:val="20"/>
        </w:rPr>
        <w:t>,</w:t>
      </w:r>
      <w:r w:rsidR="003970F8" w:rsidRPr="00A853C1">
        <w:rPr>
          <w:rFonts w:ascii="Verdana" w:hAnsi="Verdana"/>
          <w:b w:val="0"/>
          <w:bCs/>
          <w:sz w:val="20"/>
          <w:szCs w:val="20"/>
        </w:rPr>
        <w:t xml:space="preserve"> </w:t>
      </w:r>
      <w:r w:rsidR="00B544F3" w:rsidRPr="00A853C1">
        <w:rPr>
          <w:rFonts w:ascii="Verdana" w:hAnsi="Verdana"/>
          <w:b w:val="0"/>
          <w:bCs/>
          <w:sz w:val="20"/>
          <w:szCs w:val="20"/>
        </w:rPr>
        <w:t>where doing so would result in the Company</w:t>
      </w:r>
      <w:r w:rsidR="003970F8" w:rsidRPr="00A853C1">
        <w:rPr>
          <w:rFonts w:ascii="Verdana" w:hAnsi="Verdana"/>
          <w:b w:val="0"/>
          <w:bCs/>
          <w:sz w:val="20"/>
          <w:szCs w:val="20"/>
        </w:rPr>
        <w:t xml:space="preserve"> </w:t>
      </w:r>
      <w:r w:rsidR="00B544F3" w:rsidRPr="00A853C1">
        <w:rPr>
          <w:rFonts w:ascii="Verdana" w:hAnsi="Verdana"/>
          <w:b w:val="0"/>
          <w:bCs/>
          <w:sz w:val="20"/>
          <w:szCs w:val="20"/>
        </w:rPr>
        <w:lastRenderedPageBreak/>
        <w:t>acquiring, in aggregate, a number of Naspers N Ordinary Shares that will exceed the Maximum Acceptance</w:t>
      </w:r>
      <w:r w:rsidRPr="00A853C1">
        <w:rPr>
          <w:rFonts w:ascii="Verdana" w:hAnsi="Verdana"/>
          <w:b w:val="0"/>
          <w:bCs/>
          <w:sz w:val="20"/>
          <w:szCs w:val="20"/>
        </w:rPr>
        <w:t xml:space="preserve"> </w:t>
      </w:r>
      <w:r w:rsidR="00B544F3" w:rsidRPr="00A853C1">
        <w:rPr>
          <w:rFonts w:ascii="Verdana" w:hAnsi="Verdana"/>
          <w:b w:val="0"/>
          <w:bCs/>
          <w:sz w:val="20"/>
          <w:szCs w:val="20"/>
        </w:rPr>
        <w:t>Threshold.</w:t>
      </w:r>
    </w:p>
    <w:p w14:paraId="41CB645D" w14:textId="2ADE5921" w:rsidR="00A328A3" w:rsidRPr="00A853C1" w:rsidRDefault="00CE26C1" w:rsidP="00A853C1">
      <w:pPr>
        <w:pStyle w:val="WWHeading1"/>
        <w:keepNext w:val="0"/>
        <w:numPr>
          <w:ilvl w:val="0"/>
          <w:numId w:val="0"/>
        </w:numPr>
        <w:spacing w:line="240" w:lineRule="auto"/>
        <w:ind w:left="567"/>
        <w:rPr>
          <w:rFonts w:ascii="Verdana" w:hAnsi="Verdana"/>
          <w:b w:val="0"/>
          <w:bCs/>
          <w:sz w:val="20"/>
          <w:szCs w:val="20"/>
        </w:rPr>
      </w:pPr>
      <w:r w:rsidRPr="004419D3">
        <w:rPr>
          <w:rFonts w:ascii="Verdana" w:hAnsi="Verdana"/>
          <w:b w:val="0"/>
          <w:sz w:val="20"/>
          <w:szCs w:val="20"/>
        </w:rPr>
        <w:t xml:space="preserve">Each Naspers N Shareholder is therefore guaranteed to be able to tender </w:t>
      </w:r>
      <w:proofErr w:type="gramStart"/>
      <w:r w:rsidRPr="004419D3">
        <w:rPr>
          <w:rFonts w:ascii="Verdana" w:hAnsi="Verdana"/>
          <w:b w:val="0"/>
          <w:sz w:val="20"/>
          <w:szCs w:val="20"/>
        </w:rPr>
        <w:t>a number of</w:t>
      </w:r>
      <w:proofErr w:type="gramEnd"/>
      <w:r w:rsidRPr="004419D3">
        <w:rPr>
          <w:rFonts w:ascii="Verdana" w:hAnsi="Verdana"/>
          <w:b w:val="0"/>
          <w:sz w:val="20"/>
          <w:szCs w:val="20"/>
        </w:rPr>
        <w:t xml:space="preserve"> their Naspers N Ordinary Shares representing up to 47.59% of their Naspers N Ordinary Share holding on the Record Date (the </w:t>
      </w:r>
      <w:r w:rsidRPr="004419D3">
        <w:rPr>
          <w:rFonts w:ascii="Verdana" w:hAnsi="Verdana"/>
          <w:bCs/>
          <w:sz w:val="20"/>
          <w:szCs w:val="20"/>
        </w:rPr>
        <w:t>Guaranteed Tender Portion</w:t>
      </w:r>
      <w:r w:rsidRPr="004419D3">
        <w:rPr>
          <w:rFonts w:ascii="Verdana" w:hAnsi="Verdana"/>
          <w:b w:val="0"/>
          <w:sz w:val="20"/>
          <w:szCs w:val="20"/>
        </w:rPr>
        <w:t>).</w:t>
      </w:r>
      <w:r w:rsidR="003970F8" w:rsidRPr="00A853C1">
        <w:rPr>
          <w:rFonts w:ascii="Verdana" w:hAnsi="Verdana"/>
          <w:b w:val="0"/>
          <w:bCs/>
          <w:sz w:val="20"/>
          <w:szCs w:val="20"/>
        </w:rPr>
        <w:t xml:space="preserve"> </w:t>
      </w:r>
      <w:r w:rsidR="003970F8" w:rsidRPr="00C42E21">
        <w:rPr>
          <w:rFonts w:ascii="Verdana" w:hAnsi="Verdana"/>
          <w:b w:val="0"/>
          <w:bCs/>
          <w:sz w:val="20"/>
          <w:szCs w:val="20"/>
        </w:rPr>
        <w:t xml:space="preserve">In </w:t>
      </w:r>
      <w:r w:rsidR="00A328A3" w:rsidRPr="00C42E21">
        <w:rPr>
          <w:rFonts w:ascii="Verdana" w:hAnsi="Verdana"/>
          <w:b w:val="0"/>
          <w:bCs/>
          <w:sz w:val="20"/>
          <w:szCs w:val="20"/>
        </w:rPr>
        <w:t xml:space="preserve">the event that </w:t>
      </w:r>
      <w:r w:rsidR="00A328A3" w:rsidRPr="00A853C1">
        <w:rPr>
          <w:rFonts w:ascii="Verdana" w:hAnsi="Verdana"/>
          <w:b w:val="0"/>
          <w:bCs/>
          <w:sz w:val="20"/>
          <w:szCs w:val="20"/>
        </w:rPr>
        <w:t>the number of Naspers N Ordinary Shares tendered by the Naspers N Shareholders in the Exchange Offer exceeds the Maximum Acceptance Threshold, the number of Naspers N Ordinary Shares tendered by Naspers N Shareholders in excess of the Guaranteed Tender Portion may be scaled back in accordance with the following principles:</w:t>
      </w:r>
    </w:p>
    <w:p w14:paraId="24162845" w14:textId="77B41FF9" w:rsidR="00A328A3" w:rsidRPr="00A853C1" w:rsidRDefault="00A328A3" w:rsidP="00A853C1">
      <w:pPr>
        <w:pStyle w:val="WWHeading1"/>
        <w:keepNext w:val="0"/>
        <w:numPr>
          <w:ilvl w:val="0"/>
          <w:numId w:val="13"/>
        </w:numPr>
        <w:spacing w:line="240" w:lineRule="auto"/>
        <w:rPr>
          <w:rFonts w:ascii="Verdana" w:hAnsi="Verdana"/>
          <w:b w:val="0"/>
          <w:bCs/>
          <w:sz w:val="20"/>
          <w:szCs w:val="20"/>
        </w:rPr>
      </w:pPr>
      <w:r w:rsidRPr="00A853C1">
        <w:rPr>
          <w:rFonts w:ascii="Verdana" w:hAnsi="Verdana"/>
          <w:b w:val="0"/>
          <w:bCs/>
          <w:sz w:val="20"/>
          <w:szCs w:val="20"/>
        </w:rPr>
        <w:t xml:space="preserve">all the Naspers N Shareholders who have elected to tender more than their Guaranteed Tender Portion will have their desired number of Naspers N Ordinary Shares that were tendered over and above the Guaranteed Tender Portion reduced proportionately based on all amounts of Naspers N Ordinary Shares tendered in excess of the Guaranteed Tender Portion such that the total aggregate number of Naspers N Ordinary Shares to be acquired by the Company equals, and does not exceed, the Maximum Acceptance Threshold (the </w:t>
      </w:r>
      <w:r w:rsidRPr="00A853C1">
        <w:rPr>
          <w:rFonts w:ascii="Verdana" w:hAnsi="Verdana"/>
          <w:sz w:val="20"/>
          <w:szCs w:val="20"/>
        </w:rPr>
        <w:t>Scale Back</w:t>
      </w:r>
      <w:r w:rsidRPr="00A853C1">
        <w:rPr>
          <w:rFonts w:ascii="Verdana" w:hAnsi="Verdana"/>
          <w:b w:val="0"/>
          <w:bCs/>
          <w:sz w:val="20"/>
          <w:szCs w:val="20"/>
        </w:rPr>
        <w:t>); and</w:t>
      </w:r>
    </w:p>
    <w:p w14:paraId="7FF79242" w14:textId="48FD70EF" w:rsidR="00A328A3" w:rsidRPr="00A853C1" w:rsidRDefault="00A328A3" w:rsidP="00A853C1">
      <w:pPr>
        <w:pStyle w:val="WWHeading1"/>
        <w:keepNext w:val="0"/>
        <w:numPr>
          <w:ilvl w:val="0"/>
          <w:numId w:val="13"/>
        </w:numPr>
        <w:spacing w:line="240" w:lineRule="auto"/>
        <w:rPr>
          <w:rFonts w:ascii="Verdana" w:hAnsi="Verdana"/>
          <w:b w:val="0"/>
          <w:bCs/>
          <w:sz w:val="20"/>
          <w:szCs w:val="20"/>
        </w:rPr>
      </w:pPr>
      <w:r w:rsidRPr="00A853C1">
        <w:rPr>
          <w:rFonts w:ascii="Verdana" w:hAnsi="Verdana"/>
          <w:b w:val="0"/>
          <w:bCs/>
          <w:sz w:val="20"/>
          <w:szCs w:val="20"/>
        </w:rPr>
        <w:t>in relation to the tenders made over and above the Guaranteed Tender Portion, the Scale Back will be applied such that only whole numbers of Naspers N Ordinary Shares are acquired subject to the Maximum Acceptance Threshold.</w:t>
      </w:r>
    </w:p>
    <w:p w14:paraId="38355262" w14:textId="322874C4" w:rsidR="0034686E" w:rsidRPr="00A853C1" w:rsidRDefault="00471330" w:rsidP="0034686E">
      <w:pPr>
        <w:pStyle w:val="WWHeading1"/>
        <w:keepNext w:val="0"/>
        <w:numPr>
          <w:ilvl w:val="0"/>
          <w:numId w:val="0"/>
        </w:numPr>
        <w:spacing w:line="240" w:lineRule="auto"/>
        <w:ind w:left="567"/>
        <w:rPr>
          <w:rFonts w:ascii="Verdana" w:hAnsi="Verdana"/>
          <w:b w:val="0"/>
          <w:bCs/>
          <w:sz w:val="20"/>
          <w:szCs w:val="20"/>
        </w:rPr>
      </w:pPr>
      <w:r w:rsidRPr="00A853C1">
        <w:rPr>
          <w:rFonts w:ascii="Verdana" w:hAnsi="Verdana"/>
          <w:b w:val="0"/>
          <w:bCs/>
          <w:sz w:val="20"/>
          <w:szCs w:val="20"/>
        </w:rPr>
        <w:t>Settlement of the New Prosus Ordinary Shares N issued under the Exchange Offer will take place on the JSE through the Strate System provided that, subject to certain terms and conditions, Naspers N Shareholders that are not South African residents or residents of the Common Monetary Area or whose New Prosus Ordinary Shares N will not form part of their assets remaining in the Common Monetary Area for South African exchange control purposes (</w:t>
      </w:r>
      <w:r w:rsidRPr="00A853C1">
        <w:rPr>
          <w:rFonts w:ascii="Verdana" w:hAnsi="Verdana"/>
          <w:sz w:val="20"/>
          <w:szCs w:val="20"/>
        </w:rPr>
        <w:t>Non-resident Naspers N Shareholders</w:t>
      </w:r>
      <w:r w:rsidRPr="00A853C1">
        <w:rPr>
          <w:rFonts w:ascii="Verdana" w:hAnsi="Verdana"/>
          <w:b w:val="0"/>
          <w:bCs/>
          <w:sz w:val="20"/>
          <w:szCs w:val="20"/>
        </w:rPr>
        <w:t xml:space="preserve">) </w:t>
      </w:r>
      <w:r w:rsidR="00CA350D">
        <w:rPr>
          <w:rFonts w:ascii="Verdana" w:hAnsi="Verdana"/>
          <w:b w:val="0"/>
          <w:bCs/>
          <w:sz w:val="20"/>
          <w:szCs w:val="20"/>
        </w:rPr>
        <w:t xml:space="preserve">that provided </w:t>
      </w:r>
      <w:r w:rsidR="002D027C" w:rsidRPr="00A853C1">
        <w:rPr>
          <w:rFonts w:ascii="Verdana" w:hAnsi="Verdana"/>
          <w:b w:val="0"/>
          <w:bCs/>
          <w:sz w:val="20"/>
          <w:szCs w:val="20"/>
        </w:rPr>
        <w:t xml:space="preserve">their acceptance </w:t>
      </w:r>
      <w:r w:rsidR="00CA350D">
        <w:rPr>
          <w:rFonts w:ascii="Verdana" w:hAnsi="Verdana"/>
          <w:b w:val="0"/>
          <w:bCs/>
          <w:sz w:val="20"/>
          <w:szCs w:val="20"/>
        </w:rPr>
        <w:t xml:space="preserve">under </w:t>
      </w:r>
      <w:r w:rsidR="002D027C" w:rsidRPr="00A853C1">
        <w:rPr>
          <w:rFonts w:ascii="Verdana" w:hAnsi="Verdana"/>
          <w:b w:val="0"/>
          <w:bCs/>
          <w:sz w:val="20"/>
          <w:szCs w:val="20"/>
        </w:rPr>
        <w:t>the Exchange Offer</w:t>
      </w:r>
      <w:r w:rsidR="00CA350D">
        <w:rPr>
          <w:rFonts w:ascii="Verdana" w:hAnsi="Verdana"/>
          <w:b w:val="0"/>
          <w:bCs/>
          <w:sz w:val="20"/>
          <w:szCs w:val="20"/>
        </w:rPr>
        <w:t>, may</w:t>
      </w:r>
      <w:r w:rsidRPr="00A853C1">
        <w:rPr>
          <w:rFonts w:ascii="Verdana" w:hAnsi="Verdana"/>
          <w:b w:val="0"/>
          <w:bCs/>
          <w:sz w:val="20"/>
          <w:szCs w:val="20"/>
        </w:rPr>
        <w:t xml:space="preserve"> elect to receive, and have Settlement of, the New Prosus Ordinary Shares N to which they are entitled under the Exchange Offer on Euronext Amsterdam through the book-entry facilities of Euroclear Nederland (the </w:t>
      </w:r>
      <w:r w:rsidRPr="00A853C1">
        <w:rPr>
          <w:rFonts w:ascii="Verdana" w:hAnsi="Verdana"/>
          <w:sz w:val="20"/>
          <w:szCs w:val="20"/>
        </w:rPr>
        <w:t>Settlement Election</w:t>
      </w:r>
      <w:r w:rsidRPr="00A853C1">
        <w:rPr>
          <w:rFonts w:ascii="Verdana" w:hAnsi="Verdana"/>
          <w:b w:val="0"/>
          <w:bCs/>
          <w:sz w:val="20"/>
          <w:szCs w:val="20"/>
        </w:rPr>
        <w:t xml:space="preserve">). </w:t>
      </w:r>
      <w:r w:rsidR="0034686E" w:rsidRPr="00A853C1">
        <w:rPr>
          <w:rFonts w:ascii="Verdana" w:hAnsi="Verdana"/>
          <w:b w:val="0"/>
          <w:bCs/>
          <w:sz w:val="20"/>
          <w:szCs w:val="20"/>
        </w:rPr>
        <w:t>Non-resident Naspers N Shareholders that wish to make a Settlement Election must ensure that:</w:t>
      </w:r>
    </w:p>
    <w:p w14:paraId="70A63B03" w14:textId="66D029F7" w:rsidR="0034686E" w:rsidRPr="00A853C1" w:rsidRDefault="0034686E" w:rsidP="0034686E">
      <w:pPr>
        <w:pStyle w:val="WWHeading1"/>
        <w:keepNext w:val="0"/>
        <w:numPr>
          <w:ilvl w:val="0"/>
          <w:numId w:val="13"/>
        </w:numPr>
        <w:spacing w:line="240" w:lineRule="auto"/>
        <w:rPr>
          <w:rFonts w:ascii="Verdana" w:hAnsi="Verdana"/>
          <w:b w:val="0"/>
          <w:bCs/>
          <w:sz w:val="20"/>
          <w:szCs w:val="20"/>
        </w:rPr>
      </w:pPr>
      <w:r w:rsidRPr="00A853C1">
        <w:rPr>
          <w:rFonts w:ascii="Verdana" w:hAnsi="Verdana"/>
          <w:b w:val="0"/>
          <w:bCs/>
          <w:sz w:val="20"/>
          <w:szCs w:val="20"/>
        </w:rPr>
        <w:t xml:space="preserve">they provide the settlement details of their Euronext Amsterdam Brokerage Account to the Euronext Listing and Paying Agent (iss.pas@ing.com) as soon as possible ahead of the Record Date in order </w:t>
      </w:r>
      <w:r w:rsidRPr="00A853C1">
        <w:rPr>
          <w:rFonts w:ascii="Verdana" w:hAnsi="Verdana" w:cstheme="minorHAnsi"/>
          <w:b w:val="0"/>
          <w:bCs/>
          <w:sz w:val="20"/>
          <w:szCs w:val="20"/>
        </w:rPr>
        <w:t>to</w:t>
      </w:r>
      <w:r w:rsidRPr="00A853C1">
        <w:rPr>
          <w:rFonts w:ascii="Verdana" w:hAnsi="Verdana"/>
          <w:b w:val="0"/>
          <w:bCs/>
          <w:sz w:val="20"/>
          <w:szCs w:val="20"/>
        </w:rPr>
        <w:t xml:space="preserve"> ensure that the Settlement Election is valid and can be given effect to on the Settlement Date; and</w:t>
      </w:r>
    </w:p>
    <w:p w14:paraId="51F9B83C" w14:textId="14283D9B" w:rsidR="0034686E" w:rsidRPr="00A853C1" w:rsidRDefault="0034686E" w:rsidP="0034686E">
      <w:pPr>
        <w:pStyle w:val="WWHeading1"/>
        <w:keepNext w:val="0"/>
        <w:numPr>
          <w:ilvl w:val="0"/>
          <w:numId w:val="13"/>
        </w:numPr>
        <w:spacing w:line="240" w:lineRule="auto"/>
        <w:rPr>
          <w:rFonts w:ascii="Verdana" w:hAnsi="Verdana"/>
          <w:b w:val="0"/>
          <w:bCs/>
          <w:sz w:val="20"/>
          <w:szCs w:val="20"/>
        </w:rPr>
      </w:pPr>
      <w:r w:rsidRPr="00A853C1">
        <w:rPr>
          <w:rFonts w:ascii="Verdana" w:hAnsi="Verdana"/>
          <w:b w:val="0"/>
          <w:bCs/>
          <w:sz w:val="20"/>
          <w:szCs w:val="20"/>
        </w:rPr>
        <w:t xml:space="preserve">provide the necessary instructions to their CSDP, Broker or intermediary or other provider of their </w:t>
      </w:r>
      <w:r w:rsidRPr="00A853C1">
        <w:rPr>
          <w:rFonts w:ascii="Verdana" w:hAnsi="Verdana" w:cstheme="minorHAnsi"/>
          <w:b w:val="0"/>
          <w:bCs/>
          <w:sz w:val="20"/>
          <w:szCs w:val="20"/>
        </w:rPr>
        <w:t>Euronext</w:t>
      </w:r>
      <w:r w:rsidRPr="00A853C1">
        <w:rPr>
          <w:rFonts w:ascii="Verdana" w:hAnsi="Verdana"/>
          <w:b w:val="0"/>
          <w:bCs/>
          <w:sz w:val="20"/>
          <w:szCs w:val="20"/>
        </w:rPr>
        <w:t xml:space="preserve"> Amsterdam Brokerage Account regarding their intention to make a Settlement Election.</w:t>
      </w:r>
    </w:p>
    <w:p w14:paraId="6ED5936A" w14:textId="5C98A499" w:rsidR="00471330" w:rsidRPr="00A853C1" w:rsidRDefault="00471330" w:rsidP="0034686E">
      <w:pPr>
        <w:pStyle w:val="WWHeading1"/>
        <w:keepNext w:val="0"/>
        <w:numPr>
          <w:ilvl w:val="0"/>
          <w:numId w:val="0"/>
        </w:numPr>
        <w:spacing w:line="240" w:lineRule="auto"/>
        <w:ind w:left="567"/>
        <w:rPr>
          <w:rFonts w:ascii="Verdana" w:hAnsi="Verdana"/>
          <w:b w:val="0"/>
          <w:bCs/>
          <w:sz w:val="20"/>
          <w:szCs w:val="20"/>
        </w:rPr>
      </w:pPr>
      <w:r w:rsidRPr="00A853C1">
        <w:rPr>
          <w:rFonts w:ascii="Verdana" w:hAnsi="Verdana"/>
          <w:b w:val="0"/>
          <w:bCs/>
          <w:sz w:val="20"/>
          <w:szCs w:val="20"/>
        </w:rPr>
        <w:t xml:space="preserve">Non-resident Naspers N Shareholders are referred to </w:t>
      </w:r>
      <w:r w:rsidR="00950223" w:rsidRPr="00A853C1">
        <w:rPr>
          <w:rFonts w:ascii="Verdana" w:hAnsi="Verdana"/>
          <w:b w:val="0"/>
          <w:bCs/>
          <w:sz w:val="20"/>
          <w:szCs w:val="20"/>
        </w:rPr>
        <w:t xml:space="preserve">the </w:t>
      </w:r>
      <w:r w:rsidRPr="00A853C1">
        <w:rPr>
          <w:rFonts w:ascii="Verdana" w:hAnsi="Verdana"/>
          <w:b w:val="0"/>
          <w:bCs/>
          <w:sz w:val="20"/>
          <w:szCs w:val="20"/>
        </w:rPr>
        <w:t>"</w:t>
      </w:r>
      <w:r w:rsidRPr="00A853C1">
        <w:rPr>
          <w:rFonts w:ascii="Verdana" w:hAnsi="Verdana"/>
          <w:b w:val="0"/>
          <w:bCs/>
          <w:i/>
          <w:iCs/>
          <w:sz w:val="20"/>
          <w:szCs w:val="20"/>
        </w:rPr>
        <w:t>Settlement Election</w:t>
      </w:r>
      <w:r w:rsidRPr="00A853C1">
        <w:rPr>
          <w:rFonts w:ascii="Verdana" w:hAnsi="Verdana"/>
          <w:b w:val="0"/>
          <w:bCs/>
          <w:sz w:val="20"/>
          <w:szCs w:val="20"/>
        </w:rPr>
        <w:t xml:space="preserve">" </w:t>
      </w:r>
      <w:r w:rsidR="00950223" w:rsidRPr="00A853C1">
        <w:rPr>
          <w:rFonts w:ascii="Verdana" w:hAnsi="Verdana"/>
          <w:b w:val="0"/>
          <w:bCs/>
          <w:sz w:val="20"/>
          <w:szCs w:val="20"/>
        </w:rPr>
        <w:t xml:space="preserve">paragraph </w:t>
      </w:r>
      <w:r w:rsidRPr="00A853C1">
        <w:rPr>
          <w:rFonts w:ascii="Verdana" w:hAnsi="Verdana"/>
          <w:b w:val="0"/>
          <w:bCs/>
          <w:sz w:val="20"/>
          <w:szCs w:val="20"/>
        </w:rPr>
        <w:t>under the "</w:t>
      </w:r>
      <w:r w:rsidRPr="00A853C1">
        <w:rPr>
          <w:rFonts w:ascii="Verdana" w:hAnsi="Verdana"/>
          <w:b w:val="0"/>
          <w:bCs/>
          <w:i/>
          <w:iCs/>
          <w:sz w:val="20"/>
          <w:szCs w:val="20"/>
        </w:rPr>
        <w:t>Exchange Offer Memorandum</w:t>
      </w:r>
      <w:r w:rsidRPr="00A853C1">
        <w:rPr>
          <w:rFonts w:ascii="Verdana" w:hAnsi="Verdana"/>
          <w:b w:val="0"/>
          <w:bCs/>
          <w:sz w:val="20"/>
          <w:szCs w:val="20"/>
        </w:rPr>
        <w:t xml:space="preserve">" section of the Prospectus for further information concerning the </w:t>
      </w:r>
      <w:r w:rsidR="009637C4" w:rsidRPr="00A853C1">
        <w:rPr>
          <w:rFonts w:ascii="Verdana" w:hAnsi="Verdana"/>
          <w:b w:val="0"/>
          <w:bCs/>
          <w:sz w:val="20"/>
          <w:szCs w:val="20"/>
        </w:rPr>
        <w:t xml:space="preserve">procedures for making a </w:t>
      </w:r>
      <w:r w:rsidRPr="00A853C1">
        <w:rPr>
          <w:rFonts w:ascii="Verdana" w:hAnsi="Verdana"/>
          <w:b w:val="0"/>
          <w:bCs/>
          <w:sz w:val="20"/>
          <w:szCs w:val="20"/>
        </w:rPr>
        <w:t xml:space="preserve">Settlement Election. </w:t>
      </w:r>
    </w:p>
    <w:p w14:paraId="10BAA528" w14:textId="77777777" w:rsidR="0016567E" w:rsidRPr="00A853C1" w:rsidRDefault="0063474A" w:rsidP="0016567E">
      <w:pPr>
        <w:pStyle w:val="WWHeading1"/>
        <w:numPr>
          <w:ilvl w:val="0"/>
          <w:numId w:val="0"/>
        </w:numPr>
        <w:spacing w:line="240" w:lineRule="auto"/>
        <w:ind w:left="567"/>
        <w:rPr>
          <w:rFonts w:ascii="Verdana" w:hAnsi="Verdana"/>
          <w:b w:val="0"/>
          <w:bCs/>
          <w:sz w:val="20"/>
          <w:szCs w:val="20"/>
        </w:rPr>
      </w:pPr>
      <w:r w:rsidRPr="00A853C1">
        <w:rPr>
          <w:rFonts w:ascii="Verdana" w:hAnsi="Verdana" w:cstheme="minorHAnsi"/>
          <w:b w:val="0"/>
          <w:bCs/>
          <w:sz w:val="20"/>
          <w:szCs w:val="20"/>
        </w:rPr>
        <w:t>Naspers N Shareholders are referred to the "</w:t>
      </w:r>
      <w:r w:rsidRPr="00A853C1">
        <w:rPr>
          <w:rFonts w:ascii="Verdana" w:hAnsi="Verdana" w:cstheme="minorHAnsi"/>
          <w:b w:val="0"/>
          <w:bCs/>
          <w:i/>
          <w:iCs/>
          <w:sz w:val="20"/>
          <w:szCs w:val="20"/>
        </w:rPr>
        <w:t>Exchange Offer Memorandum</w:t>
      </w:r>
      <w:r w:rsidRPr="00A853C1">
        <w:rPr>
          <w:rFonts w:ascii="Verdana" w:hAnsi="Verdana" w:cstheme="minorHAnsi"/>
          <w:b w:val="0"/>
          <w:bCs/>
          <w:sz w:val="20"/>
          <w:szCs w:val="20"/>
        </w:rPr>
        <w:t>" section of the Prospectus for full details regarding the Exchange Offer.</w:t>
      </w:r>
      <w:r w:rsidR="0016567E" w:rsidRPr="00A853C1">
        <w:rPr>
          <w:rFonts w:ascii="Verdana" w:hAnsi="Verdana"/>
          <w:b w:val="0"/>
          <w:bCs/>
          <w:sz w:val="20"/>
          <w:szCs w:val="20"/>
        </w:rPr>
        <w:t xml:space="preserve"> </w:t>
      </w:r>
    </w:p>
    <w:p w14:paraId="65D83E9A" w14:textId="3BF7A54F" w:rsidR="0016567E" w:rsidRPr="00A853C1" w:rsidRDefault="0016567E" w:rsidP="0016567E">
      <w:pPr>
        <w:pStyle w:val="WWHeading1"/>
        <w:numPr>
          <w:ilvl w:val="0"/>
          <w:numId w:val="0"/>
        </w:numPr>
        <w:spacing w:line="240" w:lineRule="auto"/>
        <w:ind w:left="567"/>
        <w:rPr>
          <w:rFonts w:ascii="Verdana" w:hAnsi="Verdana"/>
          <w:b w:val="0"/>
          <w:bCs/>
          <w:sz w:val="20"/>
          <w:szCs w:val="20"/>
        </w:rPr>
      </w:pPr>
      <w:r w:rsidRPr="00A853C1">
        <w:rPr>
          <w:rFonts w:ascii="Verdana" w:hAnsi="Verdana"/>
          <w:b w:val="0"/>
          <w:bCs/>
          <w:sz w:val="20"/>
          <w:szCs w:val="20"/>
        </w:rPr>
        <w:t xml:space="preserve">Application </w:t>
      </w:r>
      <w:r w:rsidR="003135C3" w:rsidRPr="00A853C1">
        <w:rPr>
          <w:rFonts w:ascii="Verdana" w:hAnsi="Verdana"/>
          <w:b w:val="0"/>
          <w:bCs/>
          <w:sz w:val="20"/>
          <w:szCs w:val="20"/>
        </w:rPr>
        <w:t>will be</w:t>
      </w:r>
      <w:r w:rsidRPr="00A853C1">
        <w:rPr>
          <w:rFonts w:ascii="Verdana" w:hAnsi="Verdana"/>
          <w:b w:val="0"/>
          <w:bCs/>
          <w:sz w:val="20"/>
          <w:szCs w:val="20"/>
        </w:rPr>
        <w:t xml:space="preserve"> made to admit the New Prosus Ordinary Shares N to listing and trading on Euronext Amsterdam, under the symbol "PRX", and, as a secondary listing, on the Main Board of the JSE</w:t>
      </w:r>
      <w:r w:rsidR="00ED7AC3" w:rsidRPr="00A853C1">
        <w:rPr>
          <w:rFonts w:ascii="Verdana" w:hAnsi="Verdana"/>
          <w:b w:val="0"/>
          <w:bCs/>
          <w:sz w:val="20"/>
          <w:szCs w:val="20"/>
        </w:rPr>
        <w:t xml:space="preserve"> and the A2X Markets (the </w:t>
      </w:r>
      <w:r w:rsidR="00ED7AC3" w:rsidRPr="00A853C1">
        <w:rPr>
          <w:rFonts w:ascii="Verdana" w:hAnsi="Verdana"/>
          <w:sz w:val="20"/>
          <w:szCs w:val="20"/>
        </w:rPr>
        <w:t>A2X</w:t>
      </w:r>
      <w:r w:rsidR="00ED7AC3" w:rsidRPr="00A853C1">
        <w:rPr>
          <w:rFonts w:ascii="Verdana" w:hAnsi="Verdana"/>
          <w:b w:val="0"/>
          <w:bCs/>
          <w:sz w:val="20"/>
          <w:szCs w:val="20"/>
        </w:rPr>
        <w:t>), a licensed exchange operated by A2X Proprietary Limited</w:t>
      </w:r>
      <w:r w:rsidRPr="00A853C1">
        <w:rPr>
          <w:rFonts w:ascii="Verdana" w:hAnsi="Verdana"/>
          <w:b w:val="0"/>
          <w:bCs/>
          <w:sz w:val="20"/>
          <w:szCs w:val="20"/>
        </w:rPr>
        <w:t xml:space="preserve">, under the abbreviated name "Prosus" and the symbol "PRX" in the "Technology—Internet" sector. The New Prosus Ordinary Shares N International Security Identification Number (ISIN) is NL0013654783. Trading in the New Prosus Ordinary Shares N on Euronext Amsterdam, </w:t>
      </w:r>
      <w:r w:rsidR="00ED7AC3" w:rsidRPr="00A853C1">
        <w:rPr>
          <w:rFonts w:ascii="Verdana" w:hAnsi="Verdana"/>
          <w:b w:val="0"/>
          <w:bCs/>
          <w:sz w:val="20"/>
          <w:szCs w:val="20"/>
        </w:rPr>
        <w:t xml:space="preserve">the JSE </w:t>
      </w:r>
      <w:r w:rsidR="00251B06" w:rsidRPr="00A853C1">
        <w:rPr>
          <w:rFonts w:ascii="Verdana" w:hAnsi="Verdana"/>
          <w:b w:val="0"/>
          <w:bCs/>
          <w:sz w:val="20"/>
          <w:szCs w:val="20"/>
        </w:rPr>
        <w:t xml:space="preserve">and </w:t>
      </w:r>
      <w:r w:rsidRPr="00A853C1">
        <w:rPr>
          <w:rFonts w:ascii="Verdana" w:hAnsi="Verdana"/>
          <w:b w:val="0"/>
          <w:bCs/>
          <w:sz w:val="20"/>
          <w:szCs w:val="20"/>
        </w:rPr>
        <w:t xml:space="preserve">A2X is expected to commence at 09:00 (Central European Summer Time/South African Standard Time) </w:t>
      </w:r>
      <w:r w:rsidRPr="00A853C1">
        <w:rPr>
          <w:rFonts w:ascii="Verdana" w:hAnsi="Verdana"/>
          <w:b w:val="0"/>
          <w:bCs/>
          <w:sz w:val="20"/>
          <w:szCs w:val="20"/>
        </w:rPr>
        <w:lastRenderedPageBreak/>
        <w:t>on the same date as the Settlement Date. If the Exchange Offer does not become unconditional in accordance with its terms and conditions, the Admissions will not proceed.</w:t>
      </w:r>
    </w:p>
    <w:p w14:paraId="776115C4" w14:textId="77777777" w:rsidR="00174458" w:rsidRPr="00A853C1" w:rsidRDefault="00174458" w:rsidP="005955F1">
      <w:pPr>
        <w:pStyle w:val="WWHeading1"/>
        <w:numPr>
          <w:ilvl w:val="0"/>
          <w:numId w:val="0"/>
        </w:numPr>
        <w:spacing w:line="240" w:lineRule="auto"/>
        <w:ind w:left="567"/>
        <w:rPr>
          <w:rFonts w:ascii="Verdana" w:hAnsi="Verdana"/>
          <w:sz w:val="20"/>
          <w:szCs w:val="22"/>
        </w:rPr>
      </w:pPr>
      <w:r w:rsidRPr="00A853C1">
        <w:rPr>
          <w:rFonts w:ascii="Verdana" w:hAnsi="Verdana"/>
          <w:sz w:val="20"/>
          <w:szCs w:val="22"/>
        </w:rPr>
        <w:t xml:space="preserve">PRIOR TO ANY NASPERS N SHAREHOLDER TAKING ANY ACTION IN TERMS OF THE EXCHANGE OFFER, NASPERS N SHAREHOLDERS ARE ADVISED TO CAREFULLY CONSIDER THE CONTENTS OF THE PROSPECTUS IN FULL AND TO ONLY TAKE ACTION AFTER HAVING CONSIDERED THE POTENTIAL EFFECTS OF THE CAPITAL RESTRUCTURE DETAILED IN THE PROSPECTUS. </w:t>
      </w:r>
    </w:p>
    <w:p w14:paraId="71C78718" w14:textId="30667661" w:rsidR="003E1D3E" w:rsidRPr="00C42E21" w:rsidRDefault="003E1D3E" w:rsidP="0016567E">
      <w:pPr>
        <w:pStyle w:val="WWHeading1"/>
        <w:spacing w:line="240" w:lineRule="auto"/>
        <w:rPr>
          <w:rFonts w:ascii="Verdana" w:hAnsi="Verdana"/>
          <w:sz w:val="20"/>
          <w:szCs w:val="20"/>
          <w:lang w:val="en-ZA"/>
        </w:rPr>
      </w:pPr>
      <w:r w:rsidRPr="00C42E21">
        <w:rPr>
          <w:rFonts w:ascii="Verdana" w:hAnsi="Verdana"/>
          <w:sz w:val="20"/>
          <w:szCs w:val="20"/>
          <w:lang w:val="en-ZA"/>
        </w:rPr>
        <w:t xml:space="preserve">SALIENT DATES </w:t>
      </w:r>
      <w:r w:rsidR="007B7BBE" w:rsidRPr="00C42E21">
        <w:rPr>
          <w:rFonts w:ascii="Verdana" w:hAnsi="Verdana"/>
          <w:sz w:val="20"/>
          <w:szCs w:val="20"/>
          <w:lang w:val="en-ZA"/>
        </w:rPr>
        <w:t>AND TIMES</w:t>
      </w:r>
    </w:p>
    <w:p w14:paraId="0E96A4C0" w14:textId="2C9D1304" w:rsidR="003E1D3E" w:rsidRPr="00A853C1" w:rsidRDefault="003E1D3E" w:rsidP="003E1D3E">
      <w:pPr>
        <w:pStyle w:val="WWHeading1"/>
        <w:keepNext w:val="0"/>
        <w:numPr>
          <w:ilvl w:val="0"/>
          <w:numId w:val="0"/>
        </w:numPr>
        <w:spacing w:line="240" w:lineRule="auto"/>
        <w:ind w:left="567"/>
        <w:rPr>
          <w:rFonts w:ascii="Verdana" w:hAnsi="Verdana"/>
          <w:b w:val="0"/>
          <w:bCs/>
          <w:sz w:val="20"/>
          <w:szCs w:val="20"/>
          <w:lang w:val="en-ZA"/>
        </w:rPr>
      </w:pPr>
      <w:r w:rsidRPr="00A853C1">
        <w:rPr>
          <w:rFonts w:ascii="Verdana" w:hAnsi="Verdana"/>
          <w:b w:val="0"/>
          <w:bCs/>
          <w:sz w:val="20"/>
          <w:szCs w:val="20"/>
          <w:lang w:val="en-ZA"/>
        </w:rPr>
        <w:t xml:space="preserve">The following indicative timetable sets out the expected dates for the </w:t>
      </w:r>
      <w:r w:rsidR="007B7BBE" w:rsidRPr="00A853C1">
        <w:rPr>
          <w:rFonts w:ascii="Verdana" w:hAnsi="Verdana"/>
          <w:b w:val="0"/>
          <w:bCs/>
          <w:sz w:val="20"/>
          <w:szCs w:val="20"/>
          <w:lang w:val="en-ZA"/>
        </w:rPr>
        <w:t>Transaction</w:t>
      </w:r>
      <w:r w:rsidRPr="00A853C1">
        <w:rPr>
          <w:rFonts w:ascii="Verdana" w:hAnsi="Verdana"/>
          <w:b w:val="0"/>
          <w:bCs/>
          <w:sz w:val="20"/>
          <w:szCs w:val="20"/>
          <w:lang w:val="en-ZA"/>
        </w:rPr>
        <w:t>:</w:t>
      </w:r>
    </w:p>
    <w:tbl>
      <w:tblPr>
        <w:tblStyle w:val="TableGrid"/>
        <w:tblW w:w="4699" w:type="pct"/>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77"/>
        <w:gridCol w:w="285"/>
        <w:gridCol w:w="2829"/>
      </w:tblGrid>
      <w:tr w:rsidR="007B7BBE" w:rsidRPr="00A853C1" w14:paraId="1BE62F6B" w14:textId="77777777" w:rsidTr="007B7BBE">
        <w:tc>
          <w:tcPr>
            <w:tcW w:w="3229" w:type="pct"/>
            <w:tcBorders>
              <w:bottom w:val="single" w:sz="4" w:space="0" w:color="auto"/>
            </w:tcBorders>
          </w:tcPr>
          <w:p w14:paraId="26EEF9EB" w14:textId="77777777" w:rsidR="007B7BBE" w:rsidRPr="00A853C1" w:rsidRDefault="007B7BBE" w:rsidP="007B7BBE">
            <w:pPr>
              <w:pStyle w:val="DocText"/>
              <w:spacing w:after="0"/>
              <w:rPr>
                <w:rFonts w:ascii="Verdana" w:hAnsi="Verdana"/>
                <w:b/>
                <w:sz w:val="18"/>
                <w:szCs w:val="18"/>
              </w:rPr>
            </w:pPr>
            <w:r w:rsidRPr="00A853C1">
              <w:rPr>
                <w:rFonts w:ascii="Verdana" w:hAnsi="Verdana"/>
                <w:b/>
                <w:sz w:val="18"/>
                <w:szCs w:val="18"/>
              </w:rPr>
              <w:t>Event</w:t>
            </w:r>
            <w:r w:rsidRPr="00A853C1">
              <w:rPr>
                <w:rFonts w:ascii="Verdana" w:hAnsi="Verdana"/>
                <w:b/>
                <w:bCs/>
                <w:sz w:val="18"/>
                <w:szCs w:val="18"/>
                <w:vertAlign w:val="superscript"/>
              </w:rPr>
              <w:t>(i)</w:t>
            </w:r>
          </w:p>
        </w:tc>
        <w:tc>
          <w:tcPr>
            <w:tcW w:w="162" w:type="pct"/>
          </w:tcPr>
          <w:p w14:paraId="38F6702F" w14:textId="77777777" w:rsidR="007B7BBE" w:rsidRPr="00A853C1" w:rsidRDefault="007B7BBE" w:rsidP="007B7BBE">
            <w:pPr>
              <w:pStyle w:val="DocText"/>
              <w:spacing w:after="0"/>
              <w:jc w:val="center"/>
              <w:rPr>
                <w:rFonts w:ascii="Verdana" w:hAnsi="Verdana"/>
                <w:b/>
                <w:sz w:val="2"/>
                <w:szCs w:val="2"/>
              </w:rPr>
            </w:pPr>
          </w:p>
        </w:tc>
        <w:tc>
          <w:tcPr>
            <w:tcW w:w="1609" w:type="pct"/>
            <w:tcBorders>
              <w:bottom w:val="single" w:sz="4" w:space="0" w:color="auto"/>
            </w:tcBorders>
          </w:tcPr>
          <w:p w14:paraId="613A7D4F" w14:textId="77777777" w:rsidR="007B7BBE" w:rsidRPr="00A853C1" w:rsidRDefault="007B7BBE" w:rsidP="007B7BBE">
            <w:pPr>
              <w:pStyle w:val="DocText"/>
              <w:spacing w:after="0"/>
              <w:jc w:val="center"/>
              <w:rPr>
                <w:rFonts w:ascii="Verdana" w:hAnsi="Verdana"/>
                <w:b/>
                <w:sz w:val="18"/>
                <w:szCs w:val="18"/>
              </w:rPr>
            </w:pPr>
            <w:r w:rsidRPr="00A853C1">
              <w:rPr>
                <w:rFonts w:ascii="Verdana" w:hAnsi="Verdana"/>
                <w:b/>
                <w:sz w:val="18"/>
                <w:szCs w:val="18"/>
              </w:rPr>
              <w:t>Date (2021)</w:t>
            </w:r>
          </w:p>
        </w:tc>
      </w:tr>
      <w:tr w:rsidR="007B7BBE" w:rsidRPr="00A853C1" w14:paraId="712B561B" w14:textId="77777777" w:rsidTr="007B7BBE">
        <w:tc>
          <w:tcPr>
            <w:tcW w:w="3229" w:type="pct"/>
            <w:tcBorders>
              <w:top w:val="single" w:sz="4" w:space="0" w:color="auto"/>
            </w:tcBorders>
          </w:tcPr>
          <w:p w14:paraId="68B5EF0A" w14:textId="3440D2DE" w:rsidR="007B7BBE" w:rsidRPr="00A853C1" w:rsidRDefault="007B7BBE" w:rsidP="00106D24">
            <w:pPr>
              <w:pStyle w:val="ClientNormal"/>
              <w:tabs>
                <w:tab w:val="left" w:leader="dot" w:pos="4032"/>
              </w:tabs>
              <w:spacing w:before="60" w:after="60" w:line="260" w:lineRule="atLeast"/>
              <w:jc w:val="both"/>
              <w:rPr>
                <w:rFonts w:ascii="Verdana" w:hAnsi="Verdana"/>
                <w:b/>
                <w:sz w:val="18"/>
                <w:szCs w:val="18"/>
              </w:rPr>
            </w:pPr>
            <w:r w:rsidRPr="00C42E21">
              <w:rPr>
                <w:rFonts w:ascii="Verdana" w:hAnsi="Verdana"/>
                <w:b/>
                <w:bCs/>
                <w:sz w:val="18"/>
                <w:szCs w:val="18"/>
              </w:rPr>
              <w:t xml:space="preserve">Publication of </w:t>
            </w:r>
            <w:r w:rsidR="0001593B" w:rsidRPr="00C42E21">
              <w:rPr>
                <w:rFonts w:ascii="Verdana" w:hAnsi="Verdana"/>
                <w:b/>
                <w:bCs/>
                <w:sz w:val="18"/>
                <w:szCs w:val="18"/>
              </w:rPr>
              <w:t xml:space="preserve">the </w:t>
            </w:r>
            <w:r w:rsidRPr="00A853C1">
              <w:rPr>
                <w:rFonts w:ascii="Verdana" w:hAnsi="Verdana"/>
                <w:b/>
                <w:bCs/>
                <w:sz w:val="18"/>
                <w:szCs w:val="18"/>
              </w:rPr>
              <w:t>Prospectus and the Exchange Offer opens</w:t>
            </w:r>
            <w:r w:rsidRPr="00A853C1">
              <w:rPr>
                <w:rFonts w:ascii="Verdana" w:hAnsi="Verdana"/>
                <w:b/>
                <w:bCs/>
                <w:sz w:val="18"/>
                <w:szCs w:val="18"/>
                <w:vertAlign w:val="superscript"/>
              </w:rPr>
              <w:t>(ii)</w:t>
            </w:r>
            <w:r w:rsidRPr="00A853C1">
              <w:rPr>
                <w:rFonts w:ascii="Verdana" w:hAnsi="Verdana"/>
                <w:b/>
                <w:bCs/>
                <w:sz w:val="18"/>
                <w:szCs w:val="18"/>
              </w:rPr>
              <w:tab/>
            </w:r>
          </w:p>
        </w:tc>
        <w:tc>
          <w:tcPr>
            <w:tcW w:w="162" w:type="pct"/>
          </w:tcPr>
          <w:p w14:paraId="26A0444D" w14:textId="77777777" w:rsidR="007B7BBE" w:rsidRPr="00A853C1" w:rsidRDefault="007B7BBE" w:rsidP="00106D24">
            <w:pPr>
              <w:pStyle w:val="ClientNormal"/>
              <w:tabs>
                <w:tab w:val="left" w:leader="dot" w:pos="4706"/>
              </w:tabs>
              <w:spacing w:before="60" w:after="60" w:line="260" w:lineRule="atLeast"/>
              <w:jc w:val="center"/>
              <w:rPr>
                <w:rFonts w:ascii="Verdana" w:hAnsi="Verdana"/>
                <w:b/>
                <w:bCs/>
                <w:sz w:val="2"/>
                <w:szCs w:val="2"/>
              </w:rPr>
            </w:pPr>
          </w:p>
        </w:tc>
        <w:tc>
          <w:tcPr>
            <w:tcW w:w="1609" w:type="pct"/>
            <w:tcBorders>
              <w:top w:val="single" w:sz="4" w:space="0" w:color="auto"/>
            </w:tcBorders>
            <w:vAlign w:val="bottom"/>
          </w:tcPr>
          <w:p w14:paraId="6D690680" w14:textId="77777777" w:rsidR="007B7BBE" w:rsidRPr="00A853C1" w:rsidRDefault="007B7BBE" w:rsidP="00106D24">
            <w:pPr>
              <w:pStyle w:val="ClientNormal"/>
              <w:tabs>
                <w:tab w:val="left" w:leader="dot" w:pos="4706"/>
              </w:tabs>
              <w:spacing w:before="60" w:after="60" w:line="260" w:lineRule="atLeast"/>
              <w:jc w:val="center"/>
              <w:rPr>
                <w:rFonts w:ascii="Verdana" w:hAnsi="Verdana"/>
                <w:b/>
                <w:bCs/>
                <w:sz w:val="18"/>
                <w:szCs w:val="18"/>
              </w:rPr>
            </w:pPr>
            <w:r w:rsidRPr="00A853C1">
              <w:rPr>
                <w:rFonts w:ascii="Verdana" w:hAnsi="Verdana"/>
                <w:b/>
                <w:bCs/>
                <w:sz w:val="18"/>
                <w:szCs w:val="18"/>
              </w:rPr>
              <w:t>Monday, 12 July</w:t>
            </w:r>
          </w:p>
        </w:tc>
      </w:tr>
      <w:tr w:rsidR="007B7BBE" w:rsidRPr="00A853C1" w14:paraId="71D01B6B" w14:textId="77777777" w:rsidTr="007B7BBE">
        <w:tc>
          <w:tcPr>
            <w:tcW w:w="3229" w:type="pct"/>
          </w:tcPr>
          <w:p w14:paraId="26934285" w14:textId="77777777" w:rsidR="007B7BBE" w:rsidRPr="00A853C1" w:rsidRDefault="007B7BBE" w:rsidP="00106D24">
            <w:pPr>
              <w:pStyle w:val="ClientNormal"/>
              <w:tabs>
                <w:tab w:val="left" w:leader="dot" w:pos="4032"/>
              </w:tabs>
              <w:spacing w:before="60" w:after="60" w:line="260" w:lineRule="atLeast"/>
              <w:jc w:val="both"/>
              <w:rPr>
                <w:rFonts w:ascii="Verdana" w:hAnsi="Verdana"/>
                <w:sz w:val="18"/>
                <w:szCs w:val="18"/>
              </w:rPr>
            </w:pPr>
            <w:r w:rsidRPr="00C42E21">
              <w:rPr>
                <w:rFonts w:ascii="Verdana" w:hAnsi="Verdana"/>
                <w:sz w:val="18"/>
                <w:szCs w:val="18"/>
              </w:rPr>
              <w:t xml:space="preserve">Last day to trade in Naspers N Ordinary Shares </w:t>
            </w:r>
            <w:proofErr w:type="gramStart"/>
            <w:r w:rsidRPr="00C42E21">
              <w:rPr>
                <w:rFonts w:ascii="Verdana" w:hAnsi="Verdana"/>
                <w:sz w:val="18"/>
                <w:szCs w:val="18"/>
              </w:rPr>
              <w:t>in order to</w:t>
            </w:r>
            <w:proofErr w:type="gramEnd"/>
            <w:r w:rsidRPr="00C42E21">
              <w:rPr>
                <w:rFonts w:ascii="Verdana" w:hAnsi="Verdana"/>
                <w:sz w:val="18"/>
                <w:szCs w:val="18"/>
              </w:rPr>
              <w:t xml:space="preserve"> be able to participate in the Exchange Offer</w:t>
            </w:r>
            <w:r w:rsidRPr="00C42E21">
              <w:rPr>
                <w:rFonts w:ascii="Verdana" w:hAnsi="Verdana"/>
                <w:sz w:val="18"/>
                <w:szCs w:val="18"/>
              </w:rPr>
              <w:tab/>
            </w:r>
          </w:p>
        </w:tc>
        <w:tc>
          <w:tcPr>
            <w:tcW w:w="162" w:type="pct"/>
          </w:tcPr>
          <w:p w14:paraId="7A6BB3C4" w14:textId="77777777" w:rsidR="007B7BBE" w:rsidRPr="00A853C1" w:rsidRDefault="007B7BBE" w:rsidP="00106D24">
            <w:pPr>
              <w:pStyle w:val="ClientNormal"/>
              <w:tabs>
                <w:tab w:val="left" w:leader="dot" w:pos="4706"/>
              </w:tabs>
              <w:spacing w:before="60" w:after="60" w:line="260" w:lineRule="atLeast"/>
              <w:jc w:val="center"/>
              <w:rPr>
                <w:rFonts w:ascii="Verdana" w:hAnsi="Verdana"/>
                <w:sz w:val="2"/>
                <w:szCs w:val="2"/>
              </w:rPr>
            </w:pPr>
          </w:p>
        </w:tc>
        <w:tc>
          <w:tcPr>
            <w:tcW w:w="1609" w:type="pct"/>
            <w:vAlign w:val="bottom"/>
          </w:tcPr>
          <w:p w14:paraId="10DC6309" w14:textId="77777777" w:rsidR="007B7BBE" w:rsidRPr="00A853C1" w:rsidRDefault="007B7BBE" w:rsidP="00106D24">
            <w:pPr>
              <w:pStyle w:val="ClientNormal"/>
              <w:tabs>
                <w:tab w:val="left" w:leader="dot" w:pos="4706"/>
              </w:tabs>
              <w:spacing w:before="60" w:after="60" w:line="260" w:lineRule="atLeast"/>
              <w:jc w:val="center"/>
              <w:rPr>
                <w:rFonts w:ascii="Verdana" w:hAnsi="Verdana"/>
                <w:sz w:val="18"/>
                <w:szCs w:val="18"/>
              </w:rPr>
            </w:pPr>
            <w:r w:rsidRPr="00A853C1">
              <w:rPr>
                <w:rFonts w:ascii="Verdana" w:hAnsi="Verdana"/>
                <w:sz w:val="18"/>
                <w:szCs w:val="18"/>
              </w:rPr>
              <w:t>Tuesday, 10 August</w:t>
            </w:r>
          </w:p>
        </w:tc>
      </w:tr>
      <w:tr w:rsidR="007B7BBE" w:rsidRPr="00A853C1" w14:paraId="071FE305" w14:textId="77777777" w:rsidTr="007B7BBE">
        <w:tc>
          <w:tcPr>
            <w:tcW w:w="3229" w:type="pct"/>
          </w:tcPr>
          <w:p w14:paraId="57B8DF31" w14:textId="77777777" w:rsidR="007B7BBE" w:rsidRPr="00A853C1" w:rsidRDefault="007B7BBE" w:rsidP="00106D24">
            <w:pPr>
              <w:pStyle w:val="ClientNormal"/>
              <w:tabs>
                <w:tab w:val="left" w:leader="dot" w:pos="4032"/>
              </w:tabs>
              <w:spacing w:before="60" w:after="60" w:line="260" w:lineRule="atLeast"/>
              <w:jc w:val="both"/>
              <w:rPr>
                <w:rFonts w:ascii="Verdana" w:hAnsi="Verdana"/>
                <w:sz w:val="18"/>
                <w:szCs w:val="18"/>
              </w:rPr>
            </w:pPr>
            <w:r w:rsidRPr="00C42E21">
              <w:rPr>
                <w:rFonts w:ascii="Verdana" w:hAnsi="Verdana"/>
                <w:sz w:val="18"/>
                <w:szCs w:val="18"/>
              </w:rPr>
              <w:t>Naspers N Ordinary Shares trade "ex" entitlement to participate in the Exchange Offer</w:t>
            </w:r>
            <w:r w:rsidRPr="00C42E21">
              <w:rPr>
                <w:rFonts w:ascii="Verdana" w:hAnsi="Verdana"/>
                <w:sz w:val="18"/>
                <w:szCs w:val="18"/>
              </w:rPr>
              <w:tab/>
            </w:r>
          </w:p>
        </w:tc>
        <w:tc>
          <w:tcPr>
            <w:tcW w:w="162" w:type="pct"/>
          </w:tcPr>
          <w:p w14:paraId="6A573670" w14:textId="77777777" w:rsidR="007B7BBE" w:rsidRPr="00A853C1" w:rsidRDefault="007B7BBE" w:rsidP="00106D24">
            <w:pPr>
              <w:pStyle w:val="ClientNormal"/>
              <w:tabs>
                <w:tab w:val="left" w:leader="dot" w:pos="4706"/>
              </w:tabs>
              <w:spacing w:before="60" w:after="60" w:line="260" w:lineRule="atLeast"/>
              <w:jc w:val="center"/>
              <w:rPr>
                <w:rFonts w:ascii="Verdana" w:hAnsi="Verdana"/>
                <w:sz w:val="2"/>
                <w:szCs w:val="2"/>
              </w:rPr>
            </w:pPr>
          </w:p>
        </w:tc>
        <w:tc>
          <w:tcPr>
            <w:tcW w:w="1609" w:type="pct"/>
            <w:vAlign w:val="bottom"/>
          </w:tcPr>
          <w:p w14:paraId="2ED04626" w14:textId="77777777" w:rsidR="007B7BBE" w:rsidRPr="00A853C1" w:rsidRDefault="007B7BBE" w:rsidP="00106D24">
            <w:pPr>
              <w:pStyle w:val="ClientNormal"/>
              <w:tabs>
                <w:tab w:val="left" w:leader="dot" w:pos="4706"/>
              </w:tabs>
              <w:spacing w:before="60" w:after="60" w:line="260" w:lineRule="atLeast"/>
              <w:jc w:val="center"/>
              <w:rPr>
                <w:rFonts w:ascii="Verdana" w:hAnsi="Verdana"/>
                <w:sz w:val="18"/>
                <w:szCs w:val="18"/>
              </w:rPr>
            </w:pPr>
            <w:r w:rsidRPr="00A853C1">
              <w:rPr>
                <w:rFonts w:ascii="Verdana" w:hAnsi="Verdana"/>
                <w:sz w:val="18"/>
                <w:szCs w:val="18"/>
              </w:rPr>
              <w:t>Wednesday, 11 August</w:t>
            </w:r>
          </w:p>
        </w:tc>
      </w:tr>
      <w:tr w:rsidR="007B7BBE" w:rsidRPr="00A853C1" w14:paraId="7C454FE9" w14:textId="77777777" w:rsidTr="007B7BBE">
        <w:tc>
          <w:tcPr>
            <w:tcW w:w="3229" w:type="pct"/>
          </w:tcPr>
          <w:p w14:paraId="6D54E7AB" w14:textId="77777777" w:rsidR="007B7BBE" w:rsidRPr="00A853C1" w:rsidRDefault="007B7BBE" w:rsidP="00106D24">
            <w:pPr>
              <w:pStyle w:val="ClientNormal"/>
              <w:tabs>
                <w:tab w:val="left" w:leader="dot" w:pos="4032"/>
              </w:tabs>
              <w:spacing w:before="60" w:after="60" w:line="260" w:lineRule="atLeast"/>
              <w:jc w:val="both"/>
              <w:rPr>
                <w:rFonts w:ascii="Verdana" w:hAnsi="Verdana"/>
                <w:sz w:val="18"/>
                <w:szCs w:val="18"/>
              </w:rPr>
            </w:pPr>
            <w:r w:rsidRPr="00C42E21">
              <w:rPr>
                <w:rFonts w:ascii="Verdana" w:hAnsi="Verdana"/>
                <w:sz w:val="18"/>
                <w:szCs w:val="18"/>
              </w:rPr>
              <w:t>Cash value for fractional entitlements announced on JSE and A2X</w:t>
            </w:r>
            <w:r w:rsidRPr="00C42E21">
              <w:rPr>
                <w:rFonts w:ascii="Verdana" w:hAnsi="Verdana"/>
                <w:sz w:val="18"/>
                <w:szCs w:val="18"/>
              </w:rPr>
              <w:tab/>
            </w:r>
          </w:p>
        </w:tc>
        <w:tc>
          <w:tcPr>
            <w:tcW w:w="162" w:type="pct"/>
          </w:tcPr>
          <w:p w14:paraId="6D487571" w14:textId="77777777" w:rsidR="007B7BBE" w:rsidRPr="00A853C1" w:rsidRDefault="007B7BBE" w:rsidP="00106D24">
            <w:pPr>
              <w:pStyle w:val="ClientNormal"/>
              <w:tabs>
                <w:tab w:val="left" w:leader="dot" w:pos="4706"/>
              </w:tabs>
              <w:spacing w:before="60" w:after="60" w:line="260" w:lineRule="atLeast"/>
              <w:jc w:val="center"/>
              <w:rPr>
                <w:rFonts w:ascii="Verdana" w:hAnsi="Verdana"/>
                <w:sz w:val="2"/>
                <w:szCs w:val="2"/>
              </w:rPr>
            </w:pPr>
          </w:p>
        </w:tc>
        <w:tc>
          <w:tcPr>
            <w:tcW w:w="1609" w:type="pct"/>
            <w:vAlign w:val="bottom"/>
          </w:tcPr>
          <w:p w14:paraId="0FCE66AA" w14:textId="77777777" w:rsidR="007B7BBE" w:rsidRPr="00A853C1" w:rsidRDefault="007B7BBE" w:rsidP="00106D24">
            <w:pPr>
              <w:pStyle w:val="ClientNormal"/>
              <w:tabs>
                <w:tab w:val="left" w:leader="dot" w:pos="4706"/>
              </w:tabs>
              <w:spacing w:before="60" w:after="60" w:line="260" w:lineRule="atLeast"/>
              <w:jc w:val="center"/>
              <w:rPr>
                <w:rFonts w:ascii="Verdana" w:hAnsi="Verdana"/>
                <w:sz w:val="18"/>
                <w:szCs w:val="18"/>
              </w:rPr>
            </w:pPr>
            <w:r w:rsidRPr="00A853C1">
              <w:rPr>
                <w:rFonts w:ascii="Verdana" w:hAnsi="Verdana"/>
                <w:sz w:val="18"/>
                <w:szCs w:val="18"/>
              </w:rPr>
              <w:t>Thursday, 12 August</w:t>
            </w:r>
          </w:p>
        </w:tc>
      </w:tr>
      <w:tr w:rsidR="007B7BBE" w:rsidRPr="00A853C1" w14:paraId="1723D44F" w14:textId="77777777" w:rsidTr="007B7BBE">
        <w:tc>
          <w:tcPr>
            <w:tcW w:w="3229" w:type="pct"/>
          </w:tcPr>
          <w:p w14:paraId="0A179AC7" w14:textId="45FB6AAB" w:rsidR="007B7BBE" w:rsidRPr="00A853C1" w:rsidRDefault="007B7BBE" w:rsidP="00106D24">
            <w:pPr>
              <w:pStyle w:val="ClientNormal"/>
              <w:tabs>
                <w:tab w:val="left" w:leader="dot" w:pos="4410"/>
              </w:tabs>
              <w:spacing w:before="60" w:after="60" w:line="260" w:lineRule="atLeast"/>
              <w:jc w:val="both"/>
              <w:rPr>
                <w:rFonts w:ascii="Verdana" w:hAnsi="Verdana"/>
                <w:sz w:val="18"/>
                <w:szCs w:val="18"/>
              </w:rPr>
            </w:pPr>
            <w:r w:rsidRPr="00C42E21">
              <w:rPr>
                <w:rFonts w:ascii="Verdana" w:hAnsi="Verdana"/>
                <w:sz w:val="18"/>
                <w:szCs w:val="18"/>
              </w:rPr>
              <w:t>Exchange Offer closes</w:t>
            </w:r>
            <w:r w:rsidR="00F916FC" w:rsidRPr="00C42E21">
              <w:rPr>
                <w:rFonts w:ascii="Verdana" w:hAnsi="Verdana"/>
                <w:sz w:val="18"/>
                <w:szCs w:val="18"/>
              </w:rPr>
              <w:t xml:space="preserve"> at 12:00</w:t>
            </w:r>
            <w:r w:rsidRPr="00A853C1">
              <w:rPr>
                <w:rFonts w:ascii="Verdana" w:hAnsi="Verdana"/>
                <w:sz w:val="18"/>
                <w:szCs w:val="18"/>
              </w:rPr>
              <w:tab/>
            </w:r>
          </w:p>
        </w:tc>
        <w:tc>
          <w:tcPr>
            <w:tcW w:w="162" w:type="pct"/>
          </w:tcPr>
          <w:p w14:paraId="469984F5" w14:textId="77777777" w:rsidR="007B7BBE" w:rsidRPr="00A853C1" w:rsidRDefault="007B7BBE" w:rsidP="00106D24">
            <w:pPr>
              <w:pStyle w:val="ClientNormal"/>
              <w:tabs>
                <w:tab w:val="left" w:leader="dot" w:pos="4706"/>
              </w:tabs>
              <w:spacing w:before="60" w:after="60" w:line="260" w:lineRule="atLeast"/>
              <w:jc w:val="center"/>
              <w:rPr>
                <w:rFonts w:ascii="Verdana" w:hAnsi="Verdana"/>
                <w:sz w:val="2"/>
                <w:szCs w:val="2"/>
              </w:rPr>
            </w:pPr>
          </w:p>
        </w:tc>
        <w:tc>
          <w:tcPr>
            <w:tcW w:w="1609" w:type="pct"/>
            <w:vAlign w:val="bottom"/>
          </w:tcPr>
          <w:p w14:paraId="0A8E7B7B" w14:textId="77777777" w:rsidR="007B7BBE" w:rsidRPr="00A853C1" w:rsidRDefault="007B7BBE" w:rsidP="00106D24">
            <w:pPr>
              <w:pStyle w:val="ClientNormal"/>
              <w:tabs>
                <w:tab w:val="left" w:leader="dot" w:pos="4706"/>
              </w:tabs>
              <w:spacing w:before="60" w:after="60" w:line="260" w:lineRule="atLeast"/>
              <w:jc w:val="center"/>
              <w:rPr>
                <w:rFonts w:ascii="Verdana" w:hAnsi="Verdana"/>
                <w:sz w:val="18"/>
                <w:szCs w:val="18"/>
              </w:rPr>
            </w:pPr>
            <w:r w:rsidRPr="00A853C1">
              <w:rPr>
                <w:rFonts w:ascii="Verdana" w:hAnsi="Verdana"/>
                <w:sz w:val="18"/>
                <w:szCs w:val="18"/>
              </w:rPr>
              <w:t>Friday, 13 August</w:t>
            </w:r>
          </w:p>
        </w:tc>
      </w:tr>
      <w:tr w:rsidR="007B7BBE" w:rsidRPr="00A853C1" w14:paraId="15BCE5AC" w14:textId="77777777" w:rsidTr="007B7BBE">
        <w:tc>
          <w:tcPr>
            <w:tcW w:w="3229" w:type="pct"/>
          </w:tcPr>
          <w:p w14:paraId="54949E22" w14:textId="77777777" w:rsidR="007B7BBE" w:rsidRPr="00C42E21" w:rsidRDefault="007B7BBE" w:rsidP="00106D24">
            <w:pPr>
              <w:pStyle w:val="ClientNormal"/>
              <w:tabs>
                <w:tab w:val="left" w:leader="dot" w:pos="4410"/>
              </w:tabs>
              <w:spacing w:before="60" w:after="60" w:line="260" w:lineRule="atLeast"/>
              <w:jc w:val="both"/>
              <w:rPr>
                <w:rFonts w:ascii="Verdana" w:hAnsi="Verdana"/>
                <w:sz w:val="18"/>
                <w:szCs w:val="18"/>
              </w:rPr>
            </w:pPr>
            <w:r w:rsidRPr="00C42E21">
              <w:rPr>
                <w:rFonts w:ascii="Verdana" w:hAnsi="Verdana"/>
                <w:sz w:val="18"/>
                <w:szCs w:val="18"/>
              </w:rPr>
              <w:t>Record date for the Exchange Offer at 17:00</w:t>
            </w:r>
          </w:p>
        </w:tc>
        <w:tc>
          <w:tcPr>
            <w:tcW w:w="162" w:type="pct"/>
          </w:tcPr>
          <w:p w14:paraId="64836A79" w14:textId="77777777" w:rsidR="007B7BBE" w:rsidRPr="00A853C1" w:rsidRDefault="007B7BBE" w:rsidP="00106D24">
            <w:pPr>
              <w:pStyle w:val="ClientNormal"/>
              <w:tabs>
                <w:tab w:val="left" w:leader="dot" w:pos="4706"/>
              </w:tabs>
              <w:spacing w:before="60" w:after="60" w:line="260" w:lineRule="atLeast"/>
              <w:jc w:val="center"/>
              <w:rPr>
                <w:rFonts w:ascii="Verdana" w:hAnsi="Verdana"/>
                <w:sz w:val="2"/>
                <w:szCs w:val="2"/>
              </w:rPr>
            </w:pPr>
          </w:p>
        </w:tc>
        <w:tc>
          <w:tcPr>
            <w:tcW w:w="1609" w:type="pct"/>
            <w:vAlign w:val="bottom"/>
          </w:tcPr>
          <w:p w14:paraId="209881EB" w14:textId="42E4254B" w:rsidR="007B7BBE" w:rsidRPr="00A853C1" w:rsidRDefault="007B7BBE" w:rsidP="00106D24">
            <w:pPr>
              <w:pStyle w:val="ClientNormal"/>
              <w:tabs>
                <w:tab w:val="left" w:leader="dot" w:pos="4706"/>
              </w:tabs>
              <w:spacing w:before="60" w:after="60" w:line="260" w:lineRule="atLeast"/>
              <w:jc w:val="center"/>
              <w:rPr>
                <w:rFonts w:ascii="Verdana" w:hAnsi="Verdana"/>
                <w:sz w:val="18"/>
                <w:szCs w:val="18"/>
              </w:rPr>
            </w:pPr>
            <w:bookmarkStart w:id="0" w:name="_Hlk68711584"/>
            <w:r w:rsidRPr="00A853C1">
              <w:rPr>
                <w:rFonts w:ascii="Verdana" w:hAnsi="Verdana"/>
                <w:sz w:val="18"/>
                <w:szCs w:val="18"/>
              </w:rPr>
              <w:t>Friday, 13 August</w:t>
            </w:r>
            <w:bookmarkEnd w:id="0"/>
          </w:p>
        </w:tc>
      </w:tr>
      <w:tr w:rsidR="007B7BBE" w:rsidRPr="00A853C1" w14:paraId="618A9AB7" w14:textId="77777777" w:rsidTr="007B7BBE">
        <w:tc>
          <w:tcPr>
            <w:tcW w:w="3229" w:type="pct"/>
          </w:tcPr>
          <w:p w14:paraId="0AC3AE09" w14:textId="55144344" w:rsidR="007B7BBE" w:rsidRPr="00A853C1" w:rsidRDefault="007B7BBE" w:rsidP="00906E96">
            <w:pPr>
              <w:pStyle w:val="ClientNormal"/>
              <w:tabs>
                <w:tab w:val="left" w:leader="dot" w:pos="4032"/>
              </w:tabs>
              <w:spacing w:before="60" w:after="60" w:line="260" w:lineRule="atLeast"/>
              <w:jc w:val="both"/>
              <w:rPr>
                <w:rFonts w:ascii="Verdana" w:hAnsi="Verdana"/>
                <w:b/>
                <w:sz w:val="18"/>
                <w:szCs w:val="18"/>
              </w:rPr>
            </w:pPr>
            <w:r w:rsidRPr="00C42E21">
              <w:rPr>
                <w:rFonts w:ascii="Verdana" w:hAnsi="Verdana"/>
                <w:b/>
                <w:sz w:val="18"/>
                <w:szCs w:val="18"/>
              </w:rPr>
              <w:t>Issue of New Prosus Ordinary Shares N</w:t>
            </w:r>
            <w:r w:rsidR="00F916FC" w:rsidRPr="00C42E21">
              <w:rPr>
                <w:rFonts w:ascii="Verdana" w:hAnsi="Verdana"/>
                <w:b/>
                <w:sz w:val="18"/>
                <w:szCs w:val="18"/>
              </w:rPr>
              <w:t>,</w:t>
            </w:r>
            <w:r w:rsidRPr="00C42E21">
              <w:rPr>
                <w:rFonts w:ascii="Verdana" w:hAnsi="Verdana"/>
                <w:b/>
                <w:sz w:val="18"/>
                <w:szCs w:val="18"/>
              </w:rPr>
              <w:t xml:space="preserve"> </w:t>
            </w:r>
            <w:r w:rsidRPr="00A853C1">
              <w:rPr>
                <w:rFonts w:ascii="Verdana" w:hAnsi="Verdana"/>
                <w:b/>
                <w:sz w:val="18"/>
                <w:szCs w:val="18"/>
              </w:rPr>
              <w:t>Settlement</w:t>
            </w:r>
            <w:r w:rsidRPr="00A853C1">
              <w:rPr>
                <w:rFonts w:ascii="Verdana" w:hAnsi="Verdana"/>
                <w:b/>
                <w:bCs/>
                <w:sz w:val="18"/>
                <w:szCs w:val="18"/>
                <w:vertAlign w:val="superscript"/>
              </w:rPr>
              <w:t>(iii)</w:t>
            </w:r>
            <w:r w:rsidRPr="00A853C1">
              <w:rPr>
                <w:rFonts w:ascii="Verdana" w:hAnsi="Verdana"/>
                <w:b/>
                <w:sz w:val="18"/>
                <w:szCs w:val="18"/>
              </w:rPr>
              <w:t xml:space="preserve"> of the Exchange Offer, and listing of such New Prosus Ordinary Shares N</w:t>
            </w:r>
            <w:r w:rsidR="00F916FC" w:rsidRPr="00A853C1">
              <w:rPr>
                <w:rFonts w:ascii="Verdana" w:hAnsi="Verdana"/>
                <w:b/>
                <w:sz w:val="18"/>
                <w:szCs w:val="18"/>
              </w:rPr>
              <w:t xml:space="preserve"> on Euronext Amsterdam, the JSE and the A2X</w:t>
            </w:r>
            <w:r w:rsidRPr="00A853C1">
              <w:rPr>
                <w:rFonts w:ascii="Verdana" w:hAnsi="Verdana"/>
                <w:b/>
                <w:sz w:val="18"/>
                <w:szCs w:val="18"/>
              </w:rPr>
              <w:t>, and implementation of the Prosus B Share Transaction and the Prosus A Share Capitalisation Issue</w:t>
            </w:r>
            <w:r w:rsidRPr="00A853C1">
              <w:rPr>
                <w:rFonts w:ascii="Verdana" w:hAnsi="Verdana"/>
                <w:b/>
                <w:bCs/>
                <w:sz w:val="18"/>
                <w:szCs w:val="18"/>
                <w:vertAlign w:val="superscript"/>
              </w:rPr>
              <w:t>(ii)</w:t>
            </w:r>
            <w:r w:rsidRPr="00A853C1">
              <w:rPr>
                <w:rFonts w:ascii="Verdana" w:hAnsi="Verdana"/>
                <w:b/>
                <w:sz w:val="18"/>
                <w:szCs w:val="18"/>
              </w:rPr>
              <w:tab/>
            </w:r>
          </w:p>
        </w:tc>
        <w:tc>
          <w:tcPr>
            <w:tcW w:w="162" w:type="pct"/>
          </w:tcPr>
          <w:p w14:paraId="0FF84BBD" w14:textId="77777777" w:rsidR="007B7BBE" w:rsidRPr="00A853C1" w:rsidRDefault="007B7BBE" w:rsidP="00106D24">
            <w:pPr>
              <w:pStyle w:val="ClientNormal"/>
              <w:tabs>
                <w:tab w:val="left" w:leader="dot" w:pos="4706"/>
              </w:tabs>
              <w:spacing w:before="60" w:after="60" w:line="260" w:lineRule="atLeast"/>
              <w:jc w:val="center"/>
              <w:rPr>
                <w:rFonts w:ascii="Verdana" w:hAnsi="Verdana"/>
                <w:b/>
                <w:sz w:val="2"/>
                <w:szCs w:val="2"/>
              </w:rPr>
            </w:pPr>
          </w:p>
        </w:tc>
        <w:tc>
          <w:tcPr>
            <w:tcW w:w="1609" w:type="pct"/>
            <w:vAlign w:val="bottom"/>
          </w:tcPr>
          <w:p w14:paraId="437E5B8A" w14:textId="77777777" w:rsidR="007B7BBE" w:rsidRPr="00A853C1" w:rsidRDefault="007B7BBE" w:rsidP="00106D24">
            <w:pPr>
              <w:pStyle w:val="ClientNormal"/>
              <w:tabs>
                <w:tab w:val="left" w:leader="dot" w:pos="4706"/>
              </w:tabs>
              <w:spacing w:before="60" w:after="60" w:line="260" w:lineRule="atLeast"/>
              <w:jc w:val="center"/>
              <w:rPr>
                <w:rFonts w:ascii="Verdana" w:hAnsi="Verdana"/>
                <w:b/>
                <w:sz w:val="18"/>
                <w:szCs w:val="18"/>
              </w:rPr>
            </w:pPr>
            <w:r w:rsidRPr="00A853C1">
              <w:rPr>
                <w:rFonts w:ascii="Verdana" w:hAnsi="Verdana"/>
                <w:b/>
                <w:sz w:val="18"/>
                <w:szCs w:val="18"/>
              </w:rPr>
              <w:t>Monday, 16 August</w:t>
            </w:r>
          </w:p>
        </w:tc>
      </w:tr>
      <w:tr w:rsidR="000861FF" w:rsidRPr="00A853C1" w14:paraId="5DDFD5BF" w14:textId="77777777" w:rsidTr="000861FF">
        <w:tc>
          <w:tcPr>
            <w:tcW w:w="5000" w:type="pct"/>
            <w:gridSpan w:val="3"/>
          </w:tcPr>
          <w:p w14:paraId="2A8BA230" w14:textId="6C116AD9" w:rsidR="000861FF" w:rsidRPr="00C42E21" w:rsidRDefault="000861FF" w:rsidP="000861FF">
            <w:pPr>
              <w:pStyle w:val="ClientNormal"/>
              <w:spacing w:before="60" w:after="60"/>
              <w:ind w:left="720" w:hanging="720"/>
              <w:jc w:val="both"/>
              <w:rPr>
                <w:rFonts w:ascii="Verdana" w:hAnsi="Verdana"/>
                <w:sz w:val="16"/>
                <w:szCs w:val="16"/>
              </w:rPr>
            </w:pPr>
            <w:r w:rsidRPr="00C42E21">
              <w:rPr>
                <w:rFonts w:ascii="Verdana" w:hAnsi="Verdana"/>
                <w:sz w:val="16"/>
                <w:szCs w:val="16"/>
              </w:rPr>
              <w:t>(i)</w:t>
            </w:r>
            <w:r w:rsidRPr="00C42E21">
              <w:rPr>
                <w:rFonts w:ascii="Verdana" w:hAnsi="Verdana"/>
                <w:sz w:val="16"/>
                <w:szCs w:val="16"/>
              </w:rPr>
              <w:tab/>
              <w:t>These dates and times are subject to change and references to time are to Central European Summer Time/South African Standard Time. Any material changes will be announced in a press release published and placed on the Company's website (</w:t>
            </w:r>
            <w:hyperlink r:id="rId12" w:history="1">
              <w:r w:rsidRPr="00A853C1">
                <w:rPr>
                  <w:rStyle w:val="Hyperlink"/>
                  <w:rFonts w:ascii="Verdana" w:hAnsi="Verdana"/>
                  <w:sz w:val="16"/>
                  <w:szCs w:val="16"/>
                </w:rPr>
                <w:t>www.prosus.com</w:t>
              </w:r>
            </w:hyperlink>
            <w:r w:rsidRPr="00C42E21">
              <w:rPr>
                <w:rFonts w:ascii="Verdana" w:hAnsi="Verdana"/>
                <w:sz w:val="16"/>
                <w:szCs w:val="16"/>
              </w:rPr>
              <w:t>) and on SENS and ANS.</w:t>
            </w:r>
          </w:p>
          <w:p w14:paraId="49D9E68D" w14:textId="268D9481" w:rsidR="000861FF" w:rsidRPr="00A853C1" w:rsidRDefault="000861FF" w:rsidP="000861FF">
            <w:pPr>
              <w:pStyle w:val="ClientNormal"/>
              <w:spacing w:before="60" w:after="60"/>
              <w:ind w:left="720" w:hanging="720"/>
              <w:jc w:val="both"/>
              <w:rPr>
                <w:rFonts w:ascii="Verdana" w:hAnsi="Verdana"/>
                <w:sz w:val="16"/>
                <w:szCs w:val="16"/>
              </w:rPr>
            </w:pPr>
            <w:r w:rsidRPr="00A853C1">
              <w:rPr>
                <w:rFonts w:ascii="Verdana" w:hAnsi="Verdana"/>
                <w:sz w:val="16"/>
                <w:szCs w:val="16"/>
              </w:rPr>
              <w:t>(ii)</w:t>
            </w:r>
            <w:r w:rsidRPr="00A853C1">
              <w:rPr>
                <w:rFonts w:ascii="Verdana" w:hAnsi="Verdana"/>
                <w:sz w:val="16"/>
                <w:szCs w:val="16"/>
              </w:rPr>
              <w:tab/>
              <w:t>In the case of Certificated Naspers N Shareholders that wish to participate in the Exchange Offer but have not Dematerialised their Certificated Naspers N Ordinary Shares for these purposes by 17:00 hours SAST on Tuesday, 10 August 2021, the completed and signed Form of Acceptance and Transfer (</w:t>
            </w:r>
            <w:r w:rsidRPr="00A853C1">
              <w:rPr>
                <w:rFonts w:ascii="Verdana" w:hAnsi="Verdana"/>
                <w:i/>
                <w:sz w:val="16"/>
                <w:szCs w:val="16"/>
              </w:rPr>
              <w:t>blue</w:t>
            </w:r>
            <w:r w:rsidRPr="00A853C1">
              <w:rPr>
                <w:rFonts w:ascii="Verdana" w:hAnsi="Verdana"/>
                <w:sz w:val="16"/>
                <w:szCs w:val="16"/>
              </w:rPr>
              <w:t>) in respect of their Certificated Naspers N Ordinary Shares tendered under the Exchange Offer must be returned to the JSE Transfer Secretary so as to be received by not later than 12:00 hours CEST on Friday, 1</w:t>
            </w:r>
            <w:r w:rsidR="00EE4FD5" w:rsidRPr="00A853C1">
              <w:rPr>
                <w:rFonts w:ascii="Verdana" w:hAnsi="Verdana"/>
                <w:sz w:val="16"/>
                <w:szCs w:val="16"/>
              </w:rPr>
              <w:t>3</w:t>
            </w:r>
            <w:r w:rsidRPr="00A853C1">
              <w:rPr>
                <w:rFonts w:ascii="Verdana" w:hAnsi="Verdana"/>
                <w:sz w:val="16"/>
                <w:szCs w:val="16"/>
              </w:rPr>
              <w:t xml:space="preserve"> August 2021. Dematerialised Naspers N Shareholders that wish to participate in the Exchange Offer must inform their CSDP, Broker or other nominee if they choose to accept the Exchange Offer in accordance with the agreement between such Naspers N Shareholders and their respective CSDP, Broker or other nominee.</w:t>
            </w:r>
          </w:p>
          <w:p w14:paraId="476E8444" w14:textId="2086DEC6" w:rsidR="000861FF" w:rsidRPr="00A853C1" w:rsidRDefault="000861FF" w:rsidP="000861FF">
            <w:pPr>
              <w:pStyle w:val="ClientNormal"/>
              <w:spacing w:before="60" w:after="60"/>
              <w:ind w:left="720" w:hanging="720"/>
              <w:jc w:val="both"/>
              <w:rPr>
                <w:rFonts w:ascii="Verdana" w:hAnsi="Verdana"/>
                <w:sz w:val="16"/>
                <w:szCs w:val="16"/>
              </w:rPr>
            </w:pPr>
            <w:r w:rsidRPr="00A853C1">
              <w:rPr>
                <w:rFonts w:ascii="Verdana" w:hAnsi="Verdana"/>
                <w:sz w:val="16"/>
                <w:szCs w:val="16"/>
              </w:rPr>
              <w:t>(iii)</w:t>
            </w:r>
            <w:r w:rsidRPr="00A853C1">
              <w:rPr>
                <w:rFonts w:ascii="Verdana" w:hAnsi="Verdana"/>
                <w:sz w:val="16"/>
                <w:szCs w:val="16"/>
              </w:rPr>
              <w:tab/>
              <w:t xml:space="preserve">The trades </w:t>
            </w:r>
            <w:r w:rsidR="00030DBD" w:rsidRPr="00A853C1">
              <w:rPr>
                <w:rFonts w:ascii="Verdana" w:hAnsi="Verdana"/>
                <w:sz w:val="16"/>
                <w:szCs w:val="16"/>
              </w:rPr>
              <w:t xml:space="preserve">executed </w:t>
            </w:r>
            <w:r w:rsidRPr="00A853C1">
              <w:rPr>
                <w:rFonts w:ascii="Verdana" w:hAnsi="Verdana"/>
                <w:sz w:val="16"/>
                <w:szCs w:val="16"/>
              </w:rPr>
              <w:t xml:space="preserve">in New Prosus Ordinary Shares N </w:t>
            </w:r>
            <w:r w:rsidR="00030DBD" w:rsidRPr="00A853C1">
              <w:rPr>
                <w:rFonts w:ascii="Verdana" w:hAnsi="Verdana"/>
                <w:sz w:val="16"/>
                <w:szCs w:val="16"/>
              </w:rPr>
              <w:t xml:space="preserve">after the First Trading Date </w:t>
            </w:r>
            <w:r w:rsidRPr="00A853C1">
              <w:rPr>
                <w:rFonts w:ascii="Verdana" w:hAnsi="Verdana"/>
                <w:sz w:val="16"/>
                <w:szCs w:val="16"/>
              </w:rPr>
              <w:t xml:space="preserve">will </w:t>
            </w:r>
            <w:r w:rsidR="00F3500F" w:rsidRPr="00A853C1">
              <w:rPr>
                <w:rFonts w:ascii="Verdana" w:hAnsi="Verdana"/>
                <w:sz w:val="16"/>
                <w:szCs w:val="16"/>
              </w:rPr>
              <w:t>settle</w:t>
            </w:r>
            <w:r w:rsidRPr="00A853C1">
              <w:rPr>
                <w:rFonts w:ascii="Verdana" w:hAnsi="Verdana"/>
                <w:sz w:val="16"/>
                <w:szCs w:val="16"/>
              </w:rPr>
              <w:t xml:space="preserve"> two trading days after a trade is executed through the book-entry systems of Euroclear Nederland, in the case of Euronext Amsterdam, and three trading days after a trade is executed in the Strate System, in the case of the JSE and the A2X. Shareholders may remove their New Prosus Ordinary Shares N from the JSE or the A2X to Euronext Amsterdam and vice versa, </w:t>
            </w:r>
            <w:r w:rsidR="004D0D06" w:rsidRPr="00A853C1">
              <w:rPr>
                <w:rFonts w:ascii="Verdana" w:hAnsi="Verdana"/>
                <w:sz w:val="16"/>
                <w:szCs w:val="16"/>
              </w:rPr>
              <w:t xml:space="preserve">post Settlement </w:t>
            </w:r>
            <w:r w:rsidRPr="00A853C1">
              <w:rPr>
                <w:rFonts w:ascii="Verdana" w:hAnsi="Verdana"/>
                <w:sz w:val="16"/>
                <w:szCs w:val="16"/>
              </w:rPr>
              <w:t>subject to certain terms and conditions. Shareholders are referred to the Company's website (</w:t>
            </w:r>
            <w:hyperlink r:id="rId13" w:history="1">
              <w:r w:rsidRPr="00A853C1">
                <w:rPr>
                  <w:rStyle w:val="Hyperlink"/>
                  <w:rFonts w:ascii="Verdana" w:hAnsi="Verdana"/>
                  <w:sz w:val="16"/>
                  <w:szCs w:val="16"/>
                </w:rPr>
                <w:t>www.prosus.com</w:t>
              </w:r>
            </w:hyperlink>
            <w:r w:rsidRPr="00C42E21">
              <w:rPr>
                <w:rFonts w:ascii="Verdana" w:hAnsi="Verdana"/>
                <w:sz w:val="16"/>
                <w:szCs w:val="16"/>
              </w:rPr>
              <w:t>) for further information concerning the removal of their New Prosus Ordinary Shares N from the JSE or the A2X to Euronext Amsterdam (and vice versa).</w:t>
            </w:r>
          </w:p>
          <w:p w14:paraId="75D504C2" w14:textId="77777777" w:rsidR="000861FF" w:rsidRPr="00A853C1" w:rsidRDefault="000861FF" w:rsidP="000861FF">
            <w:pPr>
              <w:pStyle w:val="ClientNormal"/>
              <w:spacing w:before="60" w:after="60"/>
              <w:ind w:left="720" w:hanging="720"/>
              <w:jc w:val="both"/>
              <w:rPr>
                <w:rFonts w:ascii="Verdana" w:hAnsi="Verdana"/>
                <w:sz w:val="16"/>
                <w:szCs w:val="16"/>
              </w:rPr>
            </w:pPr>
            <w:r w:rsidRPr="00A853C1">
              <w:rPr>
                <w:rFonts w:ascii="Verdana" w:hAnsi="Verdana"/>
                <w:sz w:val="16"/>
                <w:szCs w:val="16"/>
              </w:rPr>
              <w:t>(iv)</w:t>
            </w:r>
            <w:r w:rsidRPr="00A853C1">
              <w:rPr>
                <w:rFonts w:ascii="Verdana" w:hAnsi="Verdana"/>
                <w:sz w:val="16"/>
                <w:szCs w:val="16"/>
              </w:rPr>
              <w:tab/>
            </w:r>
            <w:bookmarkStart w:id="1" w:name="_Hlk73615619"/>
            <w:r w:rsidRPr="00A853C1">
              <w:rPr>
                <w:rFonts w:ascii="Verdana" w:hAnsi="Verdana"/>
                <w:sz w:val="16"/>
                <w:szCs w:val="16"/>
              </w:rPr>
              <w:t>No Naspers N Ordinary Shares may be rematerialised or Dematerialised from Wednesday, 11 August 2021, to Friday, 13 August 2021, both days inclusive.</w:t>
            </w:r>
          </w:p>
          <w:p w14:paraId="08248170" w14:textId="77777777" w:rsidR="000861FF" w:rsidRPr="00A853C1" w:rsidRDefault="000861FF" w:rsidP="000861FF">
            <w:pPr>
              <w:pStyle w:val="ClientNormal"/>
              <w:spacing w:before="60" w:after="60"/>
              <w:ind w:left="720" w:hanging="720"/>
              <w:jc w:val="both"/>
              <w:rPr>
                <w:rFonts w:ascii="Verdana" w:hAnsi="Verdana"/>
                <w:sz w:val="16"/>
                <w:szCs w:val="16"/>
              </w:rPr>
            </w:pPr>
            <w:r w:rsidRPr="00A853C1">
              <w:rPr>
                <w:rFonts w:ascii="Verdana" w:hAnsi="Verdana"/>
                <w:sz w:val="16"/>
                <w:szCs w:val="16"/>
              </w:rPr>
              <w:lastRenderedPageBreak/>
              <w:t>(v)</w:t>
            </w:r>
            <w:r w:rsidRPr="00A853C1">
              <w:rPr>
                <w:rFonts w:ascii="Verdana" w:hAnsi="Verdana"/>
                <w:sz w:val="16"/>
                <w:szCs w:val="16"/>
              </w:rPr>
              <w:tab/>
            </w:r>
            <w:bookmarkStart w:id="2" w:name="_Hlk73614388"/>
            <w:r w:rsidRPr="00A853C1">
              <w:rPr>
                <w:rFonts w:ascii="Verdana" w:hAnsi="Verdana"/>
                <w:sz w:val="16"/>
                <w:szCs w:val="16"/>
              </w:rPr>
              <w:t>In relation to Naspers N Shareholders that wish to participate in the Exchange Offer, please note that no dematerialisation or rematerialisation of Naspers N Ordinary Shares may take place from the date on which an acceptance has been validly made.</w:t>
            </w:r>
          </w:p>
          <w:bookmarkEnd w:id="1"/>
          <w:p w14:paraId="7B865C02" w14:textId="565DECC0" w:rsidR="000861FF" w:rsidRPr="00A853C1" w:rsidRDefault="000861FF" w:rsidP="000861FF">
            <w:pPr>
              <w:pStyle w:val="ClientNormal"/>
              <w:spacing w:before="60" w:after="60"/>
              <w:ind w:left="720" w:hanging="720"/>
              <w:jc w:val="both"/>
              <w:rPr>
                <w:rFonts w:ascii="Verdana" w:hAnsi="Verdana"/>
                <w:sz w:val="16"/>
                <w:szCs w:val="16"/>
              </w:rPr>
            </w:pPr>
            <w:r w:rsidRPr="00A853C1">
              <w:rPr>
                <w:rFonts w:ascii="Verdana" w:hAnsi="Verdana"/>
                <w:sz w:val="16"/>
                <w:szCs w:val="16"/>
              </w:rPr>
              <w:t>(vi)</w:t>
            </w:r>
            <w:r w:rsidRPr="00A853C1">
              <w:rPr>
                <w:rFonts w:ascii="Verdana" w:hAnsi="Verdana"/>
                <w:sz w:val="16"/>
                <w:szCs w:val="16"/>
              </w:rPr>
              <w:tab/>
              <w:t>The Certificated Naspers N Shareholders that wish to dematerialise their Certificated Naspers N Ordinary Shares and transfer them into a custodian or brokerage account capable of holding uncertificated securities listed and trading on the JSE or the A2X, as applicable in anticipation of participating in the Exchange Offer must bear in mind the cut-off time of 12:00 hours CEST/SAST on the Exchange Offer Closing Date in relation to the time it will take to do so.</w:t>
            </w:r>
          </w:p>
          <w:p w14:paraId="141DFF82" w14:textId="57D0BA52" w:rsidR="000861FF" w:rsidRPr="00A853C1" w:rsidRDefault="000861FF" w:rsidP="000861FF">
            <w:pPr>
              <w:pStyle w:val="ClientNormal"/>
              <w:spacing w:before="60" w:after="60"/>
              <w:ind w:left="720" w:hanging="720"/>
              <w:jc w:val="both"/>
              <w:rPr>
                <w:rFonts w:ascii="Verdana" w:hAnsi="Verdana"/>
                <w:sz w:val="16"/>
                <w:szCs w:val="16"/>
              </w:rPr>
            </w:pPr>
            <w:r w:rsidRPr="00A853C1">
              <w:rPr>
                <w:rFonts w:ascii="Verdana" w:hAnsi="Verdana"/>
                <w:sz w:val="16"/>
                <w:szCs w:val="16"/>
              </w:rPr>
              <w:t>(vii)</w:t>
            </w:r>
            <w:r w:rsidRPr="00A853C1">
              <w:rPr>
                <w:rFonts w:ascii="Verdana" w:hAnsi="Verdana"/>
                <w:sz w:val="16"/>
                <w:szCs w:val="16"/>
              </w:rPr>
              <w:tab/>
              <w:t>Acceptances by the Naspers N Shareholders under the Exchange Offer shall be irrevocable and may not be withdrawn once validly executed by a Naspers N Shareholder.</w:t>
            </w:r>
            <w:bookmarkEnd w:id="2"/>
          </w:p>
        </w:tc>
      </w:tr>
    </w:tbl>
    <w:p w14:paraId="39F204BB" w14:textId="2789F75F" w:rsidR="005E24F2" w:rsidRPr="00A853C1" w:rsidRDefault="00471330" w:rsidP="005E24F2">
      <w:pPr>
        <w:pStyle w:val="WWHeading1"/>
        <w:keepNext w:val="0"/>
        <w:numPr>
          <w:ilvl w:val="0"/>
          <w:numId w:val="0"/>
        </w:numPr>
        <w:spacing w:line="240" w:lineRule="auto"/>
        <w:ind w:left="567"/>
        <w:rPr>
          <w:rFonts w:ascii="Verdana" w:eastAsia="Calibri" w:hAnsi="Verdana"/>
          <w:b w:val="0"/>
          <w:bCs/>
          <w:sz w:val="20"/>
          <w:szCs w:val="20"/>
        </w:rPr>
      </w:pPr>
      <w:r w:rsidRPr="00C42E21">
        <w:rPr>
          <w:rFonts w:ascii="Verdana" w:eastAsia="Calibri" w:hAnsi="Verdana"/>
          <w:b w:val="0"/>
          <w:bCs/>
          <w:sz w:val="20"/>
          <w:szCs w:val="20"/>
        </w:rPr>
        <w:lastRenderedPageBreak/>
        <w:t>Naspers N Shareholders are reminded that</w:t>
      </w:r>
      <w:r w:rsidR="0004268D" w:rsidRPr="00C42E21">
        <w:rPr>
          <w:rFonts w:ascii="Verdana" w:eastAsia="Calibri" w:hAnsi="Verdana"/>
          <w:b w:val="0"/>
          <w:bCs/>
          <w:sz w:val="20"/>
          <w:szCs w:val="20"/>
        </w:rPr>
        <w:t xml:space="preserve"> </w:t>
      </w:r>
      <w:r w:rsidRPr="00C42E21">
        <w:rPr>
          <w:rFonts w:ascii="Verdana" w:eastAsia="Calibri" w:hAnsi="Verdana"/>
          <w:b w:val="0"/>
          <w:bCs/>
          <w:sz w:val="20"/>
          <w:szCs w:val="20"/>
        </w:rPr>
        <w:t>the Board reserves the right, in its discretion, to decide not to proceed with the Exchange Offer before 14:00 hours CEST</w:t>
      </w:r>
      <w:r w:rsidR="0007798C" w:rsidRPr="00A853C1">
        <w:rPr>
          <w:rFonts w:ascii="Verdana" w:eastAsia="Calibri" w:hAnsi="Verdana"/>
          <w:b w:val="0"/>
          <w:bCs/>
          <w:sz w:val="20"/>
          <w:szCs w:val="20"/>
        </w:rPr>
        <w:t>/SAST</w:t>
      </w:r>
      <w:r w:rsidRPr="00A853C1">
        <w:rPr>
          <w:rFonts w:ascii="Verdana" w:eastAsia="Calibri" w:hAnsi="Verdana"/>
          <w:b w:val="0"/>
          <w:bCs/>
          <w:sz w:val="20"/>
          <w:szCs w:val="20"/>
        </w:rPr>
        <w:t xml:space="preserve"> on Tuesday, 10 August 2021, and, as such, the Exchange Offer may or may not proceed.</w:t>
      </w:r>
      <w:r w:rsidR="005E24F2" w:rsidRPr="00A853C1">
        <w:rPr>
          <w:rFonts w:ascii="Verdana" w:eastAsia="Calibri" w:hAnsi="Verdana"/>
          <w:b w:val="0"/>
          <w:bCs/>
          <w:sz w:val="20"/>
          <w:szCs w:val="20"/>
        </w:rPr>
        <w:t xml:space="preserve"> Further, </w:t>
      </w:r>
      <w:r w:rsidR="0007798C" w:rsidRPr="00A853C1">
        <w:rPr>
          <w:rFonts w:ascii="Verdana" w:eastAsia="Calibri" w:hAnsi="Verdana"/>
          <w:b w:val="0"/>
          <w:bCs/>
          <w:sz w:val="20"/>
          <w:szCs w:val="20"/>
        </w:rPr>
        <w:t xml:space="preserve">the Exchange Offer will not proceed if the Exchange Offer Conditions are not timeously fulfilled or waived, as applicable, in accordance with their terms </w:t>
      </w:r>
      <w:r w:rsidR="00C445E7" w:rsidRPr="00A853C1">
        <w:rPr>
          <w:rFonts w:ascii="Verdana" w:eastAsia="Calibri" w:hAnsi="Verdana"/>
          <w:b w:val="0"/>
          <w:bCs/>
          <w:sz w:val="20"/>
          <w:szCs w:val="20"/>
        </w:rPr>
        <w:t>and condition</w:t>
      </w:r>
      <w:r w:rsidR="00215283" w:rsidRPr="00A853C1">
        <w:rPr>
          <w:rFonts w:ascii="Verdana" w:eastAsia="Calibri" w:hAnsi="Verdana"/>
          <w:b w:val="0"/>
          <w:bCs/>
          <w:sz w:val="20"/>
          <w:szCs w:val="20"/>
        </w:rPr>
        <w:t>s of the Exchange Offer</w:t>
      </w:r>
      <w:r w:rsidR="005E24F2" w:rsidRPr="00A853C1">
        <w:rPr>
          <w:rFonts w:ascii="Verdana" w:eastAsia="Calibri" w:hAnsi="Verdana"/>
          <w:b w:val="0"/>
          <w:bCs/>
          <w:sz w:val="20"/>
          <w:szCs w:val="20"/>
        </w:rPr>
        <w:t>.</w:t>
      </w:r>
      <w:r w:rsidR="00DC6D96" w:rsidRPr="00A853C1">
        <w:rPr>
          <w:rFonts w:ascii="Verdana" w:eastAsia="Calibri" w:hAnsi="Verdana"/>
          <w:b w:val="0"/>
          <w:bCs/>
          <w:sz w:val="20"/>
          <w:szCs w:val="20"/>
        </w:rPr>
        <w:t xml:space="preserve">  For</w:t>
      </w:r>
      <w:r w:rsidR="00C445E7" w:rsidRPr="00A853C1">
        <w:rPr>
          <w:rFonts w:ascii="Verdana" w:eastAsia="Calibri" w:hAnsi="Verdana"/>
          <w:b w:val="0"/>
          <w:bCs/>
          <w:sz w:val="20"/>
          <w:szCs w:val="20"/>
        </w:rPr>
        <w:t xml:space="preserve"> further information on the Exchange Offer Conditions please see the "</w:t>
      </w:r>
      <w:r w:rsidR="00C445E7" w:rsidRPr="00A853C1">
        <w:rPr>
          <w:rFonts w:ascii="Verdana" w:eastAsia="Calibri" w:hAnsi="Verdana"/>
          <w:b w:val="0"/>
          <w:bCs/>
          <w:i/>
          <w:iCs/>
          <w:sz w:val="20"/>
          <w:szCs w:val="20"/>
        </w:rPr>
        <w:t>Exchange Offer Memorandum</w:t>
      </w:r>
      <w:r w:rsidR="00C445E7" w:rsidRPr="00A853C1">
        <w:rPr>
          <w:rFonts w:ascii="Verdana" w:eastAsia="Calibri" w:hAnsi="Verdana"/>
          <w:b w:val="0"/>
          <w:bCs/>
          <w:sz w:val="20"/>
          <w:szCs w:val="20"/>
        </w:rPr>
        <w:t>" section of the Prospectus</w:t>
      </w:r>
      <w:r w:rsidR="00215283" w:rsidRPr="00A853C1">
        <w:rPr>
          <w:rFonts w:ascii="Verdana" w:eastAsia="Calibri" w:hAnsi="Verdana"/>
          <w:b w:val="0"/>
          <w:bCs/>
          <w:sz w:val="20"/>
          <w:szCs w:val="20"/>
        </w:rPr>
        <w:t>.</w:t>
      </w:r>
    </w:p>
    <w:p w14:paraId="11005316" w14:textId="0A84A4A8" w:rsidR="00F3500F" w:rsidRPr="00A853C1" w:rsidRDefault="00F3500F" w:rsidP="00F3500F">
      <w:pPr>
        <w:pStyle w:val="WWHeading1"/>
        <w:spacing w:line="240" w:lineRule="auto"/>
        <w:rPr>
          <w:rFonts w:ascii="Verdana" w:hAnsi="Verdana"/>
          <w:sz w:val="20"/>
          <w:szCs w:val="20"/>
          <w:lang w:val="en-ZA"/>
        </w:rPr>
      </w:pPr>
      <w:r w:rsidRPr="00A853C1">
        <w:rPr>
          <w:rFonts w:ascii="Verdana" w:hAnsi="Verdana"/>
          <w:sz w:val="20"/>
          <w:szCs w:val="20"/>
          <w:lang w:val="en-ZA"/>
        </w:rPr>
        <w:t>BENEFITS OF THE EXCHANGE OFFER</w:t>
      </w:r>
    </w:p>
    <w:p w14:paraId="59D0B097" w14:textId="257962AF" w:rsidR="00F3500F" w:rsidRPr="00A853C1" w:rsidRDefault="00F3500F" w:rsidP="0001593B">
      <w:pPr>
        <w:pStyle w:val="WWHeading1"/>
        <w:keepNext w:val="0"/>
        <w:numPr>
          <w:ilvl w:val="0"/>
          <w:numId w:val="0"/>
        </w:numPr>
        <w:spacing w:line="240" w:lineRule="auto"/>
        <w:ind w:left="567"/>
        <w:rPr>
          <w:rFonts w:ascii="Verdana" w:eastAsia="Calibri" w:hAnsi="Verdana"/>
          <w:b w:val="0"/>
          <w:bCs/>
          <w:sz w:val="20"/>
          <w:szCs w:val="20"/>
        </w:rPr>
      </w:pPr>
      <w:r w:rsidRPr="00A853C1">
        <w:rPr>
          <w:rFonts w:ascii="Verdana" w:eastAsia="Calibri" w:hAnsi="Verdana"/>
          <w:b w:val="0"/>
          <w:bCs/>
          <w:sz w:val="20"/>
          <w:szCs w:val="20"/>
        </w:rPr>
        <w:t>The Exchange Offer is expected to result in a significant value unlock for Shareholders and Naspers Shareholders at the time of the transaction and in the future. The Group and the Naspers Group are confronted with a complex structural issue related to the size of Naspers on the SWIX and believe the Capital Restructure clearly presents the steps to a practical and simple end state, while preserving all future optionality to take further steps to reduce the discount to NAV. In addition, the Capital Restructure, including the Exchange Offer, is expected to:</w:t>
      </w:r>
    </w:p>
    <w:p w14:paraId="36137C14" w14:textId="43B9F5D2" w:rsidR="00F3500F" w:rsidRPr="00A853C1" w:rsidRDefault="00F3500F" w:rsidP="0001593B">
      <w:pPr>
        <w:pStyle w:val="WWHeading1"/>
        <w:keepNext w:val="0"/>
        <w:numPr>
          <w:ilvl w:val="0"/>
          <w:numId w:val="13"/>
        </w:numPr>
        <w:spacing w:line="240" w:lineRule="auto"/>
        <w:rPr>
          <w:rFonts w:ascii="Verdana" w:hAnsi="Verdana" w:cstheme="minorHAnsi"/>
          <w:b w:val="0"/>
          <w:bCs/>
          <w:sz w:val="20"/>
          <w:szCs w:val="20"/>
        </w:rPr>
      </w:pPr>
      <w:r w:rsidRPr="00A853C1">
        <w:rPr>
          <w:rFonts w:ascii="Verdana" w:hAnsi="Verdana" w:cstheme="minorHAnsi"/>
          <w:b w:val="0"/>
          <w:bCs/>
          <w:sz w:val="20"/>
          <w:szCs w:val="20"/>
        </w:rPr>
        <w:t>create value for Naspers N Shareholders and Prosus N Shareholders;</w:t>
      </w:r>
    </w:p>
    <w:p w14:paraId="248BE256" w14:textId="518A3B87" w:rsidR="00F3500F" w:rsidRPr="00A853C1" w:rsidRDefault="00F3500F" w:rsidP="0001593B">
      <w:pPr>
        <w:pStyle w:val="WWHeading1"/>
        <w:keepNext w:val="0"/>
        <w:numPr>
          <w:ilvl w:val="0"/>
          <w:numId w:val="13"/>
        </w:numPr>
        <w:spacing w:line="240" w:lineRule="auto"/>
        <w:rPr>
          <w:rFonts w:ascii="Verdana" w:hAnsi="Verdana" w:cstheme="minorHAnsi"/>
          <w:b w:val="0"/>
          <w:bCs/>
          <w:sz w:val="20"/>
          <w:szCs w:val="20"/>
        </w:rPr>
      </w:pPr>
      <w:r w:rsidRPr="00A853C1">
        <w:rPr>
          <w:rFonts w:ascii="Verdana" w:hAnsi="Verdana" w:cstheme="minorHAnsi"/>
          <w:b w:val="0"/>
          <w:bCs/>
          <w:sz w:val="20"/>
          <w:szCs w:val="20"/>
        </w:rPr>
        <w:t>meaningfully and sustainably reduce Naspers's overweight position on the SWIX, thereby directly addressing what is believed to be a significant driver of the discount to Naspers’s NAV;</w:t>
      </w:r>
    </w:p>
    <w:p w14:paraId="2576B344" w14:textId="79AC4AF7" w:rsidR="00F3500F" w:rsidRPr="00A853C1" w:rsidRDefault="00F3500F" w:rsidP="0001593B">
      <w:pPr>
        <w:pStyle w:val="WWHeading1"/>
        <w:keepNext w:val="0"/>
        <w:numPr>
          <w:ilvl w:val="0"/>
          <w:numId w:val="13"/>
        </w:numPr>
        <w:spacing w:line="240" w:lineRule="auto"/>
        <w:rPr>
          <w:rFonts w:ascii="Verdana" w:hAnsi="Verdana" w:cstheme="minorHAnsi"/>
          <w:b w:val="0"/>
          <w:bCs/>
          <w:sz w:val="20"/>
          <w:szCs w:val="20"/>
        </w:rPr>
      </w:pPr>
      <w:r w:rsidRPr="00A853C1">
        <w:rPr>
          <w:rFonts w:ascii="Verdana" w:hAnsi="Verdana" w:cstheme="minorHAnsi"/>
          <w:b w:val="0"/>
          <w:bCs/>
          <w:sz w:val="20"/>
          <w:szCs w:val="20"/>
        </w:rPr>
        <w:t xml:space="preserve">increase the Company's </w:t>
      </w:r>
      <w:proofErr w:type="gramStart"/>
      <w:r w:rsidRPr="00A853C1">
        <w:rPr>
          <w:rFonts w:ascii="Verdana" w:hAnsi="Verdana" w:cstheme="minorHAnsi"/>
          <w:b w:val="0"/>
          <w:bCs/>
          <w:sz w:val="20"/>
          <w:szCs w:val="20"/>
        </w:rPr>
        <w:t>free-float</w:t>
      </w:r>
      <w:proofErr w:type="gramEnd"/>
      <w:r w:rsidRPr="00A853C1">
        <w:rPr>
          <w:rFonts w:ascii="Verdana" w:hAnsi="Verdana" w:cstheme="minorHAnsi"/>
          <w:b w:val="0"/>
          <w:bCs/>
          <w:sz w:val="20"/>
          <w:szCs w:val="20"/>
        </w:rPr>
        <w:t xml:space="preserve"> materially, with an expected commensurate increase in overall trading liquidity, market index weightings and positive trading dynamics;</w:t>
      </w:r>
    </w:p>
    <w:p w14:paraId="55C8101E" w14:textId="4379F472" w:rsidR="00F3500F" w:rsidRPr="00A853C1" w:rsidRDefault="00F3500F" w:rsidP="0001593B">
      <w:pPr>
        <w:pStyle w:val="WWHeading1"/>
        <w:keepNext w:val="0"/>
        <w:numPr>
          <w:ilvl w:val="0"/>
          <w:numId w:val="13"/>
        </w:numPr>
        <w:spacing w:line="240" w:lineRule="auto"/>
        <w:rPr>
          <w:rFonts w:ascii="Verdana" w:hAnsi="Verdana" w:cstheme="minorHAnsi"/>
          <w:b w:val="0"/>
          <w:bCs/>
          <w:sz w:val="20"/>
          <w:szCs w:val="20"/>
        </w:rPr>
      </w:pPr>
      <w:r w:rsidRPr="00A853C1">
        <w:rPr>
          <w:rFonts w:ascii="Verdana" w:hAnsi="Verdana" w:cstheme="minorHAnsi"/>
          <w:b w:val="0"/>
          <w:bCs/>
          <w:sz w:val="20"/>
          <w:szCs w:val="20"/>
        </w:rPr>
        <w:t>maintain the current voting position, the legal entity structure and group tax situation of Naspers and the Company; and</w:t>
      </w:r>
    </w:p>
    <w:p w14:paraId="771F359F" w14:textId="737AD722" w:rsidR="00F3500F" w:rsidRPr="00A853C1" w:rsidRDefault="00F3500F" w:rsidP="0001593B">
      <w:pPr>
        <w:pStyle w:val="WWHeading1"/>
        <w:keepNext w:val="0"/>
        <w:numPr>
          <w:ilvl w:val="0"/>
          <w:numId w:val="13"/>
        </w:numPr>
        <w:spacing w:line="240" w:lineRule="auto"/>
        <w:rPr>
          <w:rFonts w:ascii="Verdana" w:hAnsi="Verdana" w:cstheme="minorHAnsi"/>
          <w:b w:val="0"/>
          <w:bCs/>
          <w:sz w:val="20"/>
          <w:szCs w:val="20"/>
        </w:rPr>
      </w:pPr>
      <w:r w:rsidRPr="00A853C1">
        <w:rPr>
          <w:rFonts w:ascii="Verdana" w:hAnsi="Verdana" w:cstheme="minorHAnsi"/>
          <w:b w:val="0"/>
          <w:bCs/>
          <w:sz w:val="20"/>
          <w:szCs w:val="20"/>
        </w:rPr>
        <w:t>maintain operational, strategic and financial flexibility to create value over the long term and take further value creating actions.</w:t>
      </w:r>
    </w:p>
    <w:p w14:paraId="03591618" w14:textId="77777777" w:rsidR="00F3500F" w:rsidRPr="00A853C1" w:rsidRDefault="00F3500F" w:rsidP="0001593B">
      <w:pPr>
        <w:pStyle w:val="WWHeading1"/>
        <w:keepNext w:val="0"/>
        <w:numPr>
          <w:ilvl w:val="0"/>
          <w:numId w:val="0"/>
        </w:numPr>
        <w:spacing w:line="240" w:lineRule="auto"/>
        <w:ind w:left="567"/>
        <w:rPr>
          <w:rFonts w:ascii="Verdana" w:eastAsia="Calibri" w:hAnsi="Verdana"/>
          <w:b w:val="0"/>
          <w:bCs/>
          <w:sz w:val="20"/>
          <w:szCs w:val="20"/>
        </w:rPr>
      </w:pPr>
      <w:r w:rsidRPr="00A853C1">
        <w:rPr>
          <w:rFonts w:ascii="Verdana" w:eastAsia="Calibri" w:hAnsi="Verdana"/>
          <w:b w:val="0"/>
          <w:bCs/>
          <w:sz w:val="20"/>
          <w:szCs w:val="20"/>
        </w:rPr>
        <w:t xml:space="preserve">Naspers N Shareholders participating in the Exchange Offer will receive a value benefit from exchanging higher discount to NAV Naspers N Ordinary Shares for lower discount to NAV Prosus Ordinary Shares N. If Settlement of the Exchange Offer would have occurred on 11 May 2021 (the date before announcement of the Capital Restructure) that value benefit for participating Naspers N Shareholders would have been approximately 10%. </w:t>
      </w:r>
    </w:p>
    <w:p w14:paraId="547FD865" w14:textId="71E914AF" w:rsidR="00030DBD" w:rsidRPr="00A853C1" w:rsidRDefault="00F3500F" w:rsidP="00F3500F">
      <w:pPr>
        <w:pStyle w:val="WWHeading1"/>
        <w:keepNext w:val="0"/>
        <w:numPr>
          <w:ilvl w:val="0"/>
          <w:numId w:val="0"/>
        </w:numPr>
        <w:spacing w:line="240" w:lineRule="auto"/>
        <w:ind w:left="567"/>
        <w:rPr>
          <w:rFonts w:ascii="Verdana" w:eastAsia="Calibri" w:hAnsi="Verdana"/>
          <w:b w:val="0"/>
          <w:bCs/>
          <w:sz w:val="20"/>
          <w:szCs w:val="20"/>
        </w:rPr>
      </w:pPr>
      <w:r w:rsidRPr="00A853C1">
        <w:rPr>
          <w:rFonts w:ascii="Verdana" w:eastAsia="Calibri" w:hAnsi="Verdana"/>
          <w:b w:val="0"/>
          <w:bCs/>
          <w:sz w:val="20"/>
          <w:szCs w:val="20"/>
        </w:rPr>
        <w:t xml:space="preserve">The Capital Restructure should not be viewed in isolation. In recent years, the Company and Naspers have taken several actions designed to unlock value for shareholders over time, including the unbundling and listing of MultiChoice Group Limited on the JSE in January 2019, the Prosus listing in September 2019, improvements in the Group's operations and the recent US$5 billion return of capital by the Company through a repurchase of Prosus Ordinary Shares N and a purchase of Naspers N Ordinary Shares. Moreover, the Capital Restructure preserves the optionality to take further steps in the </w:t>
      </w:r>
      <w:r w:rsidRPr="00A853C1">
        <w:rPr>
          <w:rFonts w:ascii="Verdana" w:eastAsia="Calibri" w:hAnsi="Verdana"/>
          <w:b w:val="0"/>
          <w:bCs/>
          <w:sz w:val="20"/>
          <w:szCs w:val="20"/>
        </w:rPr>
        <w:lastRenderedPageBreak/>
        <w:t>future to continue to address the discounts to the NAV of both the Company and Naspers.</w:t>
      </w:r>
    </w:p>
    <w:p w14:paraId="109F7C5A" w14:textId="5464701A" w:rsidR="00F3500F" w:rsidRPr="00A853C1" w:rsidRDefault="00F3500F" w:rsidP="00F3500F">
      <w:pPr>
        <w:pStyle w:val="WWHeading1"/>
        <w:spacing w:line="240" w:lineRule="auto"/>
        <w:rPr>
          <w:rFonts w:ascii="Verdana" w:hAnsi="Verdana"/>
          <w:sz w:val="20"/>
          <w:szCs w:val="20"/>
          <w:lang w:val="en-ZA"/>
        </w:rPr>
      </w:pPr>
      <w:r w:rsidRPr="00A853C1">
        <w:rPr>
          <w:rFonts w:ascii="Verdana" w:hAnsi="Verdana"/>
          <w:sz w:val="20"/>
          <w:szCs w:val="20"/>
          <w:lang w:val="en-ZA"/>
        </w:rPr>
        <w:t>FOREIGN NASPERS N SHAREHOLDERS</w:t>
      </w:r>
    </w:p>
    <w:p w14:paraId="6470666E" w14:textId="1E17FBCC" w:rsidR="00F3500F" w:rsidRPr="00A853C1" w:rsidRDefault="00547F55" w:rsidP="00F3500F">
      <w:pPr>
        <w:pStyle w:val="WWHeading1"/>
        <w:keepNext w:val="0"/>
        <w:numPr>
          <w:ilvl w:val="0"/>
          <w:numId w:val="0"/>
        </w:numPr>
        <w:spacing w:line="240" w:lineRule="auto"/>
        <w:ind w:left="567"/>
        <w:rPr>
          <w:rFonts w:ascii="Verdana" w:eastAsia="Calibri" w:hAnsi="Verdana"/>
          <w:b w:val="0"/>
          <w:bCs/>
          <w:sz w:val="20"/>
          <w:szCs w:val="22"/>
        </w:rPr>
      </w:pPr>
      <w:r w:rsidRPr="00A853C1">
        <w:rPr>
          <w:rFonts w:ascii="Verdana" w:eastAsia="Calibri" w:hAnsi="Verdana"/>
          <w:b w:val="0"/>
          <w:bCs/>
          <w:sz w:val="20"/>
          <w:szCs w:val="22"/>
        </w:rPr>
        <w:t xml:space="preserve">Certain </w:t>
      </w:r>
      <w:r w:rsidR="001A6C09" w:rsidRPr="00A853C1">
        <w:rPr>
          <w:rFonts w:ascii="Verdana" w:eastAsia="Calibri" w:hAnsi="Verdana"/>
          <w:b w:val="0"/>
          <w:bCs/>
          <w:sz w:val="20"/>
          <w:szCs w:val="22"/>
        </w:rPr>
        <w:t>Naspers N Shareholders may be located in jurisdiction</w:t>
      </w:r>
      <w:r w:rsidR="00A04B95" w:rsidRPr="00A853C1">
        <w:rPr>
          <w:rFonts w:ascii="Verdana" w:eastAsia="Calibri" w:hAnsi="Verdana"/>
          <w:b w:val="0"/>
          <w:bCs/>
          <w:sz w:val="20"/>
          <w:szCs w:val="22"/>
        </w:rPr>
        <w:t>s</w:t>
      </w:r>
      <w:r w:rsidR="001A6C09" w:rsidRPr="00A853C1">
        <w:rPr>
          <w:rFonts w:ascii="Verdana" w:eastAsia="Calibri" w:hAnsi="Verdana"/>
          <w:b w:val="0"/>
          <w:bCs/>
          <w:sz w:val="20"/>
          <w:szCs w:val="22"/>
        </w:rPr>
        <w:t xml:space="preserve"> in which participation in the Exchange Offer including having the New Prosus Ordinary Shares N issued, transferred or delivered to them or for their benefit in terms of the Exchange Offer in their relevant jurisdiction, would be restricted, illegal or otherwise impermissible in terms of the relevant laws and regulations of that jurisdiction.</w:t>
      </w:r>
    </w:p>
    <w:p w14:paraId="0DB9A55A" w14:textId="0855001A" w:rsidR="002E3E47" w:rsidRPr="00A853C1" w:rsidRDefault="002E3E47" w:rsidP="005955F1">
      <w:pPr>
        <w:pStyle w:val="WWHeading1"/>
        <w:keepNext w:val="0"/>
        <w:numPr>
          <w:ilvl w:val="0"/>
          <w:numId w:val="0"/>
        </w:numPr>
        <w:spacing w:line="240" w:lineRule="auto"/>
        <w:ind w:left="567"/>
        <w:rPr>
          <w:rFonts w:ascii="Verdana" w:eastAsia="Calibri" w:hAnsi="Verdana"/>
          <w:b w:val="0"/>
          <w:bCs/>
          <w:sz w:val="20"/>
          <w:szCs w:val="22"/>
        </w:rPr>
      </w:pPr>
      <w:bookmarkStart w:id="3" w:name="_Hlk73464994"/>
      <w:r w:rsidRPr="00A853C1">
        <w:rPr>
          <w:rFonts w:ascii="Verdana" w:eastAsia="Calibri" w:hAnsi="Verdana"/>
          <w:b w:val="0"/>
          <w:bCs/>
          <w:sz w:val="20"/>
          <w:szCs w:val="22"/>
        </w:rPr>
        <w:t xml:space="preserve">As such participation in the Exchange Offer may be affected by the laws of such Foreign Naspers N Shareholders’ relevant jurisdiction. Foreign Naspers N Shareholders </w:t>
      </w:r>
      <w:bookmarkStart w:id="4" w:name="_Hlk73465219"/>
      <w:r w:rsidRPr="00A853C1">
        <w:rPr>
          <w:rFonts w:ascii="Verdana" w:eastAsia="Calibri" w:hAnsi="Verdana"/>
          <w:b w:val="0"/>
          <w:bCs/>
          <w:sz w:val="20"/>
          <w:szCs w:val="22"/>
        </w:rPr>
        <w:t xml:space="preserve">should consult their professional advisers as to whether they require any governmental or other consent or need to observe any other laws, requirements or formalities to receive or access the Prospectus (including the Form of Acceptance and Transfer (blue) forming part of </w:t>
      </w:r>
      <w:r w:rsidR="005955F1" w:rsidRPr="00A853C1">
        <w:rPr>
          <w:rFonts w:ascii="Verdana" w:eastAsia="Calibri" w:hAnsi="Verdana"/>
          <w:b w:val="0"/>
          <w:bCs/>
          <w:sz w:val="20"/>
          <w:szCs w:val="22"/>
        </w:rPr>
        <w:t>the</w:t>
      </w:r>
      <w:r w:rsidRPr="00A853C1">
        <w:rPr>
          <w:rFonts w:ascii="Verdana" w:eastAsia="Calibri" w:hAnsi="Verdana"/>
          <w:b w:val="0"/>
          <w:bCs/>
          <w:sz w:val="20"/>
          <w:szCs w:val="22"/>
        </w:rPr>
        <w:t xml:space="preserve"> Prospectus), complete, in the case of Certificated Naspers N Shareholders, the Form of Acceptance and Transfer (blue) and/or participate in the Exchange Offer, including having the New Prosus Ordinary Shares N issued, transferred or delivered to them or for their benefit in terms of the Exchange Offer</w:t>
      </w:r>
      <w:bookmarkEnd w:id="3"/>
      <w:bookmarkEnd w:id="4"/>
      <w:r w:rsidRPr="00A853C1">
        <w:rPr>
          <w:rFonts w:ascii="Verdana" w:eastAsia="Calibri" w:hAnsi="Verdana"/>
          <w:b w:val="0"/>
          <w:bCs/>
          <w:sz w:val="20"/>
          <w:szCs w:val="22"/>
        </w:rPr>
        <w:t>.</w:t>
      </w:r>
    </w:p>
    <w:p w14:paraId="3B538247" w14:textId="77C9FE71" w:rsidR="002E3E47" w:rsidRPr="00A853C1" w:rsidRDefault="002E3E47" w:rsidP="002E3E47">
      <w:pPr>
        <w:pStyle w:val="WWHeading1"/>
        <w:keepNext w:val="0"/>
        <w:numPr>
          <w:ilvl w:val="0"/>
          <w:numId w:val="0"/>
        </w:numPr>
        <w:spacing w:line="240" w:lineRule="auto"/>
        <w:ind w:left="567"/>
        <w:rPr>
          <w:rFonts w:ascii="Verdana" w:eastAsia="Calibri" w:hAnsi="Verdana"/>
        </w:rPr>
      </w:pPr>
      <w:r w:rsidRPr="00A853C1">
        <w:rPr>
          <w:rFonts w:ascii="Verdana" w:eastAsia="Calibri" w:hAnsi="Verdana"/>
          <w:b w:val="0"/>
          <w:bCs/>
          <w:sz w:val="20"/>
          <w:szCs w:val="22"/>
        </w:rPr>
        <w:t xml:space="preserve">It is the responsibility of any Foreign Naspers N Shareholder (including, without limitation, nominees, agents and trustees for such persons) wishing to receive the Prospectus (including the Form of Acceptance and Transfer (blue)), and/or participate in the Exchange Offer, to satisfy themselves as to the full observance of the applicable laws of any relevant territory, including obtaining any requisite governmental or other consents, observing any other requirements or formalities and paying any issue, transfer or other taxes due in such territories. </w:t>
      </w:r>
    </w:p>
    <w:p w14:paraId="0A03960A" w14:textId="0037ED32" w:rsidR="00A73CD0" w:rsidRPr="00A853C1" w:rsidRDefault="00A73CD0" w:rsidP="005955F1">
      <w:pPr>
        <w:pStyle w:val="WWHeading1"/>
        <w:keepNext w:val="0"/>
        <w:numPr>
          <w:ilvl w:val="0"/>
          <w:numId w:val="0"/>
        </w:numPr>
        <w:spacing w:line="240" w:lineRule="auto"/>
        <w:ind w:left="567"/>
        <w:rPr>
          <w:rFonts w:ascii="Verdana" w:eastAsia="Calibri" w:hAnsi="Verdana"/>
          <w:b w:val="0"/>
          <w:bCs/>
          <w:sz w:val="20"/>
          <w:szCs w:val="22"/>
        </w:rPr>
      </w:pPr>
      <w:r w:rsidRPr="00C42E21">
        <w:rPr>
          <w:rFonts w:ascii="Verdana" w:eastAsia="Calibri" w:hAnsi="Verdana"/>
          <w:b w:val="0"/>
          <w:bCs/>
          <w:sz w:val="20"/>
          <w:szCs w:val="22"/>
        </w:rPr>
        <w:t>Because of the</w:t>
      </w:r>
      <w:r w:rsidR="002B5E28" w:rsidRPr="00C42E21">
        <w:rPr>
          <w:rFonts w:ascii="Verdana" w:eastAsia="Calibri" w:hAnsi="Verdana"/>
          <w:b w:val="0"/>
          <w:bCs/>
          <w:sz w:val="20"/>
          <w:szCs w:val="22"/>
        </w:rPr>
        <w:t>se</w:t>
      </w:r>
      <w:r w:rsidRPr="00C42E21">
        <w:rPr>
          <w:rFonts w:ascii="Verdana" w:eastAsia="Calibri" w:hAnsi="Verdana"/>
          <w:b w:val="0"/>
          <w:bCs/>
          <w:sz w:val="20"/>
          <w:szCs w:val="22"/>
        </w:rPr>
        <w:t xml:space="preserve"> restrictions, prospective investors are advised to consult legal counsel prior to tendering their </w:t>
      </w:r>
      <w:r w:rsidR="002B5E28" w:rsidRPr="00C42E21">
        <w:rPr>
          <w:rFonts w:ascii="Verdana" w:eastAsia="Calibri" w:hAnsi="Verdana"/>
          <w:b w:val="0"/>
          <w:bCs/>
          <w:sz w:val="20"/>
          <w:szCs w:val="22"/>
        </w:rPr>
        <w:t xml:space="preserve">Naspers N </w:t>
      </w:r>
      <w:r w:rsidR="00CE26C1" w:rsidRPr="00A853C1">
        <w:rPr>
          <w:rFonts w:ascii="Verdana" w:eastAsia="Calibri" w:hAnsi="Verdana"/>
          <w:b w:val="0"/>
          <w:bCs/>
          <w:sz w:val="20"/>
          <w:szCs w:val="22"/>
        </w:rPr>
        <w:t xml:space="preserve">Ordinary </w:t>
      </w:r>
      <w:r w:rsidR="002B5E28" w:rsidRPr="00A853C1">
        <w:rPr>
          <w:rFonts w:ascii="Verdana" w:eastAsia="Calibri" w:hAnsi="Verdana"/>
          <w:b w:val="0"/>
          <w:bCs/>
          <w:sz w:val="20"/>
          <w:szCs w:val="22"/>
        </w:rPr>
        <w:t xml:space="preserve">Shares </w:t>
      </w:r>
      <w:r w:rsidRPr="00A853C1">
        <w:rPr>
          <w:rFonts w:ascii="Verdana" w:eastAsia="Calibri" w:hAnsi="Verdana"/>
          <w:b w:val="0"/>
          <w:bCs/>
          <w:sz w:val="20"/>
          <w:szCs w:val="22"/>
        </w:rPr>
        <w:t>under the Exchange Offer or making any offer, resale, pledge or other transfer of the New Prosus Ordinary Shares N.</w:t>
      </w:r>
    </w:p>
    <w:p w14:paraId="35490095" w14:textId="6FA33D37" w:rsidR="00F3500F" w:rsidRPr="00A853C1" w:rsidRDefault="00F3500F" w:rsidP="0001593B">
      <w:pPr>
        <w:pStyle w:val="WWHeading1"/>
        <w:keepNext w:val="0"/>
        <w:numPr>
          <w:ilvl w:val="0"/>
          <w:numId w:val="0"/>
        </w:numPr>
        <w:spacing w:line="240" w:lineRule="auto"/>
        <w:ind w:left="567"/>
        <w:rPr>
          <w:rFonts w:ascii="Verdana" w:hAnsi="Verdana" w:cstheme="minorHAnsi"/>
          <w:b w:val="0"/>
          <w:bCs/>
          <w:sz w:val="20"/>
          <w:szCs w:val="22"/>
        </w:rPr>
      </w:pPr>
      <w:r w:rsidRPr="00A853C1">
        <w:rPr>
          <w:rFonts w:ascii="Verdana" w:eastAsia="Calibri" w:hAnsi="Verdana"/>
          <w:b w:val="0"/>
          <w:bCs/>
          <w:sz w:val="20"/>
          <w:szCs w:val="22"/>
        </w:rPr>
        <w:t>See the "</w:t>
      </w:r>
      <w:r w:rsidRPr="00A853C1">
        <w:rPr>
          <w:rFonts w:ascii="Verdana" w:eastAsia="Calibri" w:hAnsi="Verdana"/>
          <w:b w:val="0"/>
          <w:bCs/>
          <w:i/>
          <w:iCs/>
          <w:sz w:val="20"/>
          <w:szCs w:val="22"/>
        </w:rPr>
        <w:t>Restricted Naspers N Shareholders</w:t>
      </w:r>
      <w:r w:rsidRPr="00A853C1">
        <w:rPr>
          <w:rFonts w:ascii="Verdana" w:eastAsia="Calibri" w:hAnsi="Verdana"/>
          <w:b w:val="0"/>
          <w:bCs/>
          <w:sz w:val="20"/>
          <w:szCs w:val="22"/>
        </w:rPr>
        <w:t xml:space="preserve">" paragraph </w:t>
      </w:r>
      <w:r w:rsidRPr="00A853C1">
        <w:rPr>
          <w:rFonts w:ascii="Verdana" w:hAnsi="Verdana"/>
          <w:b w:val="0"/>
          <w:bCs/>
          <w:sz w:val="20"/>
          <w:szCs w:val="22"/>
        </w:rPr>
        <w:t>under the "</w:t>
      </w:r>
      <w:r w:rsidRPr="00A853C1">
        <w:rPr>
          <w:rFonts w:ascii="Verdana" w:hAnsi="Verdana"/>
          <w:b w:val="0"/>
          <w:bCs/>
          <w:i/>
          <w:iCs/>
          <w:sz w:val="20"/>
          <w:szCs w:val="22"/>
        </w:rPr>
        <w:t>Exchange Offer Memorandu</w:t>
      </w:r>
      <w:r w:rsidRPr="00A853C1">
        <w:rPr>
          <w:rFonts w:ascii="Verdana" w:hAnsi="Verdana"/>
          <w:b w:val="0"/>
          <w:bCs/>
          <w:sz w:val="20"/>
          <w:szCs w:val="22"/>
        </w:rPr>
        <w:t>m" section of the Prospectus</w:t>
      </w:r>
      <w:r w:rsidRPr="00A853C1">
        <w:rPr>
          <w:rFonts w:ascii="Verdana" w:eastAsia="Calibri" w:hAnsi="Verdana"/>
          <w:b w:val="0"/>
          <w:bCs/>
          <w:sz w:val="20"/>
          <w:szCs w:val="22"/>
        </w:rPr>
        <w:t>, for details regarding Restricted Naspers N Shareholders.</w:t>
      </w:r>
      <w:r w:rsidRPr="00A853C1">
        <w:rPr>
          <w:rFonts w:ascii="Verdana" w:hAnsi="Verdana" w:cstheme="minorHAnsi"/>
          <w:b w:val="0"/>
          <w:bCs/>
          <w:sz w:val="20"/>
          <w:szCs w:val="22"/>
        </w:rPr>
        <w:t xml:space="preserve"> </w:t>
      </w:r>
    </w:p>
    <w:p w14:paraId="68F8B1E0" w14:textId="77777777" w:rsidR="00C42E21" w:rsidRPr="00A853C1" w:rsidRDefault="00C42E21" w:rsidP="00C42E21">
      <w:pPr>
        <w:pStyle w:val="WWHeading1"/>
        <w:keepNext w:val="0"/>
        <w:numPr>
          <w:ilvl w:val="0"/>
          <w:numId w:val="0"/>
        </w:numPr>
        <w:tabs>
          <w:tab w:val="left" w:pos="720"/>
        </w:tabs>
        <w:spacing w:line="240" w:lineRule="auto"/>
        <w:ind w:left="567"/>
        <w:rPr>
          <w:rFonts w:ascii="Verdana" w:eastAsia="Calibri" w:hAnsi="Verdana"/>
          <w:b w:val="0"/>
        </w:rPr>
      </w:pPr>
      <w:r w:rsidRPr="00A853C1">
        <w:rPr>
          <w:rFonts w:ascii="Verdana" w:eastAsia="Calibri" w:hAnsi="Verdana"/>
          <w:b w:val="0"/>
          <w:bCs/>
          <w:sz w:val="20"/>
          <w:szCs w:val="22"/>
        </w:rPr>
        <w:t>Naspers N Shareholders who are in the United States or are U.S. Persons are reminded that the Exchange Offer is being made in or into the United States or to, for the account or benefit of, U.S. Persons only pursuant to the U.S. Private Placement  to Eligible U.S. Shareholders who are both a “qualified institutional buyer”, as defined in Rule 144A under the United States Securities Act of 1933, as amended, and a “qualified purchaser”, as defined in Section 2(a)(51)(A) of, and Rule 2a51-1(g) under, the U.S. Investment Company Act of 1940, as amended, being carried out concurrently with, and on the same terms and conditions as, the Exchange Offer. The U.S. Private Placement will be open from July 12, 2021 until 12:00 P.M., Central European Summer Time/South African Standard Time, on August 13, 2021, although Eligible U.S. Shareholders may need to instruct their broker or intermediary to tender their Naspers N Ordinary Shares before then in order to ensure that any acceptance is effectively received prior to the expiration of the Exchange Offer.  See the "</w:t>
      </w:r>
      <w:r w:rsidRPr="00A853C1">
        <w:rPr>
          <w:rFonts w:ascii="Verdana" w:eastAsia="Calibri" w:hAnsi="Verdana"/>
          <w:b w:val="0"/>
          <w:bCs/>
          <w:i/>
          <w:iCs/>
          <w:sz w:val="20"/>
          <w:szCs w:val="22"/>
        </w:rPr>
        <w:t>Important Information—Notice to Prospective Investors—Notice to Persons in the United States and U.S. Persons</w:t>
      </w:r>
      <w:r w:rsidRPr="00A853C1">
        <w:rPr>
          <w:rFonts w:ascii="Verdana" w:eastAsia="Calibri" w:hAnsi="Verdana"/>
          <w:b w:val="0"/>
          <w:bCs/>
          <w:sz w:val="20"/>
          <w:szCs w:val="22"/>
        </w:rPr>
        <w:t>" section of the Prospectus for further information in this regard.</w:t>
      </w:r>
    </w:p>
    <w:p w14:paraId="3C5FA84B" w14:textId="42D9BB68" w:rsidR="001A6C09" w:rsidRPr="00C42E21" w:rsidRDefault="001A6C09" w:rsidP="001A6C09">
      <w:pPr>
        <w:pStyle w:val="WWHeading1"/>
        <w:spacing w:line="240" w:lineRule="auto"/>
        <w:rPr>
          <w:rFonts w:ascii="Verdana" w:hAnsi="Verdana"/>
          <w:sz w:val="20"/>
          <w:szCs w:val="20"/>
          <w:lang w:val="en-ZA"/>
        </w:rPr>
      </w:pPr>
      <w:r w:rsidRPr="00C42E21">
        <w:rPr>
          <w:rFonts w:ascii="Verdana" w:hAnsi="Verdana"/>
          <w:sz w:val="20"/>
          <w:szCs w:val="20"/>
          <w:lang w:val="en-ZA"/>
        </w:rPr>
        <w:t>TAXATION</w:t>
      </w:r>
    </w:p>
    <w:p w14:paraId="6E910473" w14:textId="77777777" w:rsidR="0064296E" w:rsidRPr="00A853C1" w:rsidRDefault="0064296E" w:rsidP="005955F1">
      <w:pPr>
        <w:pStyle w:val="WWHeading1"/>
        <w:keepNext w:val="0"/>
        <w:numPr>
          <w:ilvl w:val="0"/>
          <w:numId w:val="0"/>
        </w:numPr>
        <w:spacing w:line="240" w:lineRule="auto"/>
        <w:ind w:left="567"/>
        <w:rPr>
          <w:rFonts w:ascii="Verdana" w:eastAsia="Calibri" w:hAnsi="Verdana"/>
          <w:b w:val="0"/>
          <w:bCs/>
          <w:sz w:val="20"/>
          <w:szCs w:val="22"/>
        </w:rPr>
      </w:pPr>
      <w:r w:rsidRPr="00A853C1">
        <w:rPr>
          <w:rFonts w:ascii="Verdana" w:eastAsia="Calibri" w:hAnsi="Verdana"/>
          <w:b w:val="0"/>
          <w:bCs/>
          <w:sz w:val="20"/>
          <w:szCs w:val="22"/>
        </w:rPr>
        <w:t xml:space="preserve">Naspers N Shareholders are reminded that it is expected that the Exchange Offer will result in an acceleration of tax for Naspers N Shareholders that participate in the Exchange Offer (i.e. the taxable shareholders like certain South African tax resident Naspers N Shareholders). Naspers N Shareholders accordingly should consult their tax advisers regarding the </w:t>
      </w:r>
      <w:proofErr w:type="gramStart"/>
      <w:r w:rsidRPr="00A853C1">
        <w:rPr>
          <w:rFonts w:ascii="Verdana" w:eastAsia="Calibri" w:hAnsi="Verdana"/>
          <w:b w:val="0"/>
          <w:bCs/>
          <w:sz w:val="20"/>
          <w:szCs w:val="22"/>
        </w:rPr>
        <w:t>particular tax</w:t>
      </w:r>
      <w:proofErr w:type="gramEnd"/>
      <w:r w:rsidRPr="00A853C1">
        <w:rPr>
          <w:rFonts w:ascii="Verdana" w:eastAsia="Calibri" w:hAnsi="Verdana"/>
          <w:b w:val="0"/>
          <w:bCs/>
          <w:sz w:val="20"/>
          <w:szCs w:val="22"/>
        </w:rPr>
        <w:t xml:space="preserve"> consequences applicable to them in relation to the </w:t>
      </w:r>
      <w:r w:rsidRPr="00A853C1">
        <w:rPr>
          <w:rFonts w:ascii="Verdana" w:eastAsia="Calibri" w:hAnsi="Verdana"/>
          <w:b w:val="0"/>
          <w:bCs/>
          <w:sz w:val="20"/>
          <w:szCs w:val="22"/>
        </w:rPr>
        <w:lastRenderedPageBreak/>
        <w:t>Exchange Offer, including the applicability and effect of other tax laws and possible changes in tax law. Further information regarding certain South African, Dutch and U.S. tax considerations related to the Exchange Offer is set out in the "Taxation" section of the Prospectus.</w:t>
      </w:r>
    </w:p>
    <w:p w14:paraId="389FAB27" w14:textId="00C33548" w:rsidR="001A6C09" w:rsidRPr="00A853C1" w:rsidRDefault="0064296E" w:rsidP="0001593B">
      <w:pPr>
        <w:pStyle w:val="WWHeading1"/>
        <w:keepNext w:val="0"/>
        <w:numPr>
          <w:ilvl w:val="0"/>
          <w:numId w:val="0"/>
        </w:numPr>
        <w:spacing w:line="240" w:lineRule="auto"/>
        <w:ind w:left="567"/>
        <w:rPr>
          <w:rFonts w:ascii="Verdana" w:eastAsia="Calibri" w:hAnsi="Verdana"/>
          <w:b w:val="0"/>
          <w:bCs/>
          <w:sz w:val="20"/>
          <w:szCs w:val="22"/>
        </w:rPr>
      </w:pPr>
      <w:r w:rsidRPr="00C42E21">
        <w:rPr>
          <w:rFonts w:ascii="Verdana" w:eastAsia="Calibri" w:hAnsi="Verdana"/>
          <w:b w:val="0"/>
          <w:bCs/>
          <w:sz w:val="20"/>
          <w:szCs w:val="22"/>
        </w:rPr>
        <w:t>Furthermore, S</w:t>
      </w:r>
      <w:r w:rsidR="001A6C09" w:rsidRPr="00C42E21">
        <w:rPr>
          <w:rFonts w:ascii="Verdana" w:eastAsia="Calibri" w:hAnsi="Verdana"/>
          <w:b w:val="0"/>
          <w:bCs/>
          <w:sz w:val="20"/>
          <w:szCs w:val="22"/>
        </w:rPr>
        <w:t xml:space="preserve">ecurities Transfer Tax (STT) at a rate of 0.25% of the taxable amount (which is, generally, the consideration for which a security is transferred) is a tax levied on, inter alia, a transfer of beneficial ownership of a security issued by a company which is listed in South Africa (i.e. a disposal of a Naspers N Ordinary Share). </w:t>
      </w:r>
    </w:p>
    <w:p w14:paraId="6075C4DE" w14:textId="3216F939" w:rsidR="001A6C09" w:rsidRPr="00A853C1" w:rsidRDefault="001A6C09" w:rsidP="001A6C09">
      <w:pPr>
        <w:pStyle w:val="WWHeading1"/>
        <w:keepNext w:val="0"/>
        <w:numPr>
          <w:ilvl w:val="0"/>
          <w:numId w:val="0"/>
        </w:numPr>
        <w:spacing w:line="240" w:lineRule="auto"/>
        <w:ind w:left="567"/>
        <w:rPr>
          <w:rFonts w:ascii="Verdana" w:eastAsia="Calibri" w:hAnsi="Verdana"/>
          <w:b w:val="0"/>
          <w:bCs/>
          <w:sz w:val="20"/>
          <w:szCs w:val="22"/>
        </w:rPr>
      </w:pPr>
      <w:r w:rsidRPr="00A853C1">
        <w:rPr>
          <w:rFonts w:ascii="Verdana" w:eastAsia="Calibri" w:hAnsi="Verdana"/>
          <w:b w:val="0"/>
          <w:bCs/>
          <w:sz w:val="20"/>
          <w:szCs w:val="22"/>
        </w:rPr>
        <w:t>STT will accordingly be payable</w:t>
      </w:r>
      <w:r w:rsidR="001914CB" w:rsidRPr="00A853C1">
        <w:rPr>
          <w:rFonts w:ascii="Verdana" w:eastAsia="Calibri" w:hAnsi="Verdana"/>
          <w:b w:val="0"/>
          <w:bCs/>
          <w:sz w:val="20"/>
          <w:szCs w:val="22"/>
        </w:rPr>
        <w:t xml:space="preserve"> </w:t>
      </w:r>
      <w:r w:rsidRPr="00A853C1">
        <w:rPr>
          <w:rFonts w:ascii="Verdana" w:eastAsia="Calibri" w:hAnsi="Verdana"/>
          <w:b w:val="0"/>
          <w:bCs/>
          <w:sz w:val="20"/>
          <w:szCs w:val="22"/>
        </w:rPr>
        <w:t xml:space="preserve">upon a transfer of beneficial ownership of Naspers N Ordinary Shares. In the context of listed shares, STT is normally payable by the Brokers and transfer secretaries and recoverable from the transferee </w:t>
      </w:r>
      <w:r w:rsidR="00935584" w:rsidRPr="00A853C1">
        <w:rPr>
          <w:rFonts w:ascii="Verdana" w:eastAsia="Calibri" w:hAnsi="Verdana"/>
          <w:b w:val="0"/>
          <w:bCs/>
          <w:sz w:val="20"/>
          <w:szCs w:val="22"/>
        </w:rPr>
        <w:t>(</w:t>
      </w:r>
      <w:r w:rsidRPr="00A853C1">
        <w:rPr>
          <w:rFonts w:ascii="Verdana" w:eastAsia="Calibri" w:hAnsi="Verdana"/>
          <w:b w:val="0"/>
          <w:bCs/>
          <w:sz w:val="20"/>
          <w:szCs w:val="22"/>
        </w:rPr>
        <w:t>i.e. STT on the Naspers N Ordinary Shares that are exchanged for New Prosus Ordinary Shares N will be a cost for the Company, not the transferor shareholder of the Naspers N Ordinary Shares).</w:t>
      </w:r>
    </w:p>
    <w:p w14:paraId="321C1733" w14:textId="77777777" w:rsidR="00D41470" w:rsidRPr="008231A0" w:rsidRDefault="00D41470" w:rsidP="00D41470">
      <w:pPr>
        <w:pStyle w:val="WWList2"/>
        <w:numPr>
          <w:ilvl w:val="0"/>
          <w:numId w:val="0"/>
        </w:numPr>
        <w:rPr>
          <w:rFonts w:ascii="Verdana" w:hAnsi="Verdana"/>
          <w:sz w:val="20"/>
          <w:szCs w:val="20"/>
        </w:rPr>
      </w:pPr>
      <w:r w:rsidRPr="00875060">
        <w:rPr>
          <w:rFonts w:ascii="Verdana" w:hAnsi="Verdana"/>
          <w:sz w:val="20"/>
          <w:szCs w:val="20"/>
        </w:rPr>
        <w:t>Should you</w:t>
      </w:r>
      <w:r w:rsidRPr="00875060">
        <w:rPr>
          <w:rFonts w:ascii="Verdana" w:hAnsi="Verdana"/>
          <w:bCs/>
          <w:sz w:val="20"/>
          <w:szCs w:val="20"/>
        </w:rPr>
        <w:t> </w:t>
      </w:r>
      <w:r>
        <w:rPr>
          <w:rFonts w:ascii="Verdana" w:hAnsi="Verdana"/>
          <w:bCs/>
          <w:sz w:val="20"/>
          <w:szCs w:val="20"/>
        </w:rPr>
        <w:t xml:space="preserve">require further </w:t>
      </w:r>
      <w:r w:rsidRPr="00875060">
        <w:rPr>
          <w:rFonts w:ascii="Verdana" w:hAnsi="Verdana"/>
          <w:sz w:val="20"/>
          <w:szCs w:val="20"/>
        </w:rPr>
        <w:t>assistance</w:t>
      </w:r>
      <w:r w:rsidRPr="00875060">
        <w:rPr>
          <w:rFonts w:ascii="Verdana" w:hAnsi="Verdana"/>
          <w:bCs/>
          <w:sz w:val="20"/>
          <w:szCs w:val="20"/>
        </w:rPr>
        <w:t>, </w:t>
      </w:r>
      <w:r w:rsidRPr="00875060">
        <w:rPr>
          <w:rFonts w:ascii="Verdana" w:hAnsi="Verdana"/>
          <w:sz w:val="20"/>
          <w:szCs w:val="20"/>
        </w:rPr>
        <w:t xml:space="preserve">please contact </w:t>
      </w:r>
      <w:r>
        <w:rPr>
          <w:rFonts w:ascii="Verdana" w:hAnsi="Verdana"/>
          <w:sz w:val="20"/>
          <w:szCs w:val="20"/>
        </w:rPr>
        <w:t>the c</w:t>
      </w:r>
      <w:r w:rsidRPr="00875060">
        <w:rPr>
          <w:rFonts w:ascii="Verdana" w:hAnsi="Verdana"/>
          <w:sz w:val="20"/>
          <w:szCs w:val="20"/>
        </w:rPr>
        <w:t xml:space="preserve">all </w:t>
      </w:r>
      <w:r>
        <w:rPr>
          <w:rFonts w:ascii="Verdana" w:hAnsi="Verdana"/>
          <w:sz w:val="20"/>
          <w:szCs w:val="20"/>
        </w:rPr>
        <w:t>c</w:t>
      </w:r>
      <w:r w:rsidRPr="00875060">
        <w:rPr>
          <w:rFonts w:ascii="Verdana" w:hAnsi="Verdana"/>
          <w:sz w:val="20"/>
          <w:szCs w:val="20"/>
        </w:rPr>
        <w:t>entre</w:t>
      </w:r>
      <w:r>
        <w:rPr>
          <w:rFonts w:ascii="Verdana" w:hAnsi="Verdana"/>
          <w:sz w:val="20"/>
          <w:szCs w:val="20"/>
        </w:rPr>
        <w:t xml:space="preserve"> on +27 </w:t>
      </w:r>
      <w:r w:rsidRPr="008231A0">
        <w:rPr>
          <w:rFonts w:ascii="Verdana" w:hAnsi="Verdana"/>
          <w:sz w:val="20"/>
          <w:szCs w:val="20"/>
        </w:rPr>
        <w:t>87 015 0343</w:t>
      </w:r>
      <w:r>
        <w:rPr>
          <w:rFonts w:ascii="Verdana" w:hAnsi="Verdana"/>
          <w:sz w:val="20"/>
          <w:szCs w:val="20"/>
        </w:rPr>
        <w:t>.</w:t>
      </w:r>
      <w:r w:rsidRPr="008231A0">
        <w:rPr>
          <w:rFonts w:ascii="Verdana" w:hAnsi="Verdana"/>
          <w:sz w:val="20"/>
          <w:szCs w:val="20"/>
        </w:rPr>
        <w:t xml:space="preserve"> </w:t>
      </w:r>
    </w:p>
    <w:p w14:paraId="0ACC12BF" w14:textId="0871F1AE" w:rsidR="0046119D" w:rsidRPr="00A853C1" w:rsidRDefault="00110DA9" w:rsidP="000E011B">
      <w:pPr>
        <w:pStyle w:val="WWHeading1"/>
        <w:keepNext w:val="0"/>
        <w:numPr>
          <w:ilvl w:val="0"/>
          <w:numId w:val="0"/>
        </w:numPr>
        <w:spacing w:line="240" w:lineRule="auto"/>
        <w:ind w:left="567" w:hanging="567"/>
        <w:rPr>
          <w:rFonts w:ascii="Verdana" w:hAnsi="Verdana" w:cstheme="minorHAnsi"/>
          <w:b w:val="0"/>
          <w:bCs/>
          <w:sz w:val="20"/>
          <w:szCs w:val="20"/>
          <w:lang w:val="en-ZA"/>
        </w:rPr>
      </w:pPr>
      <w:r w:rsidRPr="00A853C1">
        <w:rPr>
          <w:rFonts w:ascii="Verdana" w:hAnsi="Verdana" w:cstheme="minorHAnsi"/>
          <w:b w:val="0"/>
          <w:bCs/>
          <w:sz w:val="20"/>
          <w:szCs w:val="20"/>
          <w:lang w:val="en-ZA"/>
        </w:rPr>
        <w:t>Amsterdam, the Netherlands</w:t>
      </w:r>
    </w:p>
    <w:p w14:paraId="34CBD5D1" w14:textId="55518A7B" w:rsidR="003D14EC" w:rsidRPr="00A853C1" w:rsidRDefault="00023FF9" w:rsidP="000E011B">
      <w:pPr>
        <w:pStyle w:val="WWHeading1"/>
        <w:keepNext w:val="0"/>
        <w:numPr>
          <w:ilvl w:val="0"/>
          <w:numId w:val="0"/>
        </w:numPr>
        <w:spacing w:line="240" w:lineRule="auto"/>
        <w:ind w:left="567" w:hanging="567"/>
        <w:jc w:val="left"/>
        <w:rPr>
          <w:rFonts w:ascii="Verdana" w:hAnsi="Verdana" w:cstheme="minorHAnsi"/>
          <w:b w:val="0"/>
          <w:bCs/>
          <w:color w:val="000000"/>
          <w:sz w:val="20"/>
          <w:szCs w:val="20"/>
        </w:rPr>
      </w:pPr>
      <w:r w:rsidRPr="00A853C1">
        <w:rPr>
          <w:rFonts w:ascii="Verdana" w:hAnsi="Verdana" w:cstheme="minorHAnsi"/>
          <w:b w:val="0"/>
          <w:bCs/>
          <w:sz w:val="20"/>
          <w:szCs w:val="20"/>
          <w:lang w:val="en-ZA"/>
        </w:rPr>
        <w:t>12 July 2021</w:t>
      </w:r>
    </w:p>
    <w:p w14:paraId="1015E568" w14:textId="09F00C76" w:rsidR="003D14EC" w:rsidRPr="00A853C1" w:rsidRDefault="00D630BF" w:rsidP="000E011B">
      <w:pPr>
        <w:pStyle w:val="WWHeading1"/>
        <w:keepNext w:val="0"/>
        <w:numPr>
          <w:ilvl w:val="0"/>
          <w:numId w:val="0"/>
        </w:numPr>
        <w:spacing w:before="0" w:after="0" w:line="240" w:lineRule="auto"/>
        <w:ind w:left="567" w:hanging="567"/>
        <w:jc w:val="left"/>
        <w:rPr>
          <w:rFonts w:ascii="Verdana" w:hAnsi="Verdana" w:cstheme="minorHAnsi"/>
          <w:color w:val="000000"/>
          <w:sz w:val="20"/>
          <w:szCs w:val="20"/>
        </w:rPr>
      </w:pPr>
      <w:r w:rsidRPr="00A853C1">
        <w:rPr>
          <w:rFonts w:ascii="Verdana" w:hAnsi="Verdana" w:cstheme="minorHAnsi"/>
          <w:color w:val="000000"/>
          <w:sz w:val="20"/>
          <w:szCs w:val="20"/>
        </w:rPr>
        <w:t>JSE sponsor to Prosus</w:t>
      </w:r>
      <w:r w:rsidR="00EA5409" w:rsidRPr="00A853C1">
        <w:rPr>
          <w:rFonts w:ascii="Verdana" w:hAnsi="Verdana" w:cstheme="minorHAnsi"/>
          <w:color w:val="000000"/>
          <w:sz w:val="20"/>
          <w:szCs w:val="20"/>
        </w:rPr>
        <w:t xml:space="preserve"> </w:t>
      </w:r>
    </w:p>
    <w:p w14:paraId="7544A3B7" w14:textId="599F19A6" w:rsidR="00D630BF" w:rsidRPr="00A853C1" w:rsidRDefault="00D630BF" w:rsidP="000E011B">
      <w:pPr>
        <w:pStyle w:val="WWHeading1"/>
        <w:keepNext w:val="0"/>
        <w:numPr>
          <w:ilvl w:val="0"/>
          <w:numId w:val="0"/>
        </w:numPr>
        <w:spacing w:before="0" w:after="0" w:line="240" w:lineRule="auto"/>
        <w:ind w:left="567" w:hanging="567"/>
        <w:jc w:val="left"/>
        <w:rPr>
          <w:rFonts w:ascii="Verdana" w:hAnsi="Verdana" w:cstheme="minorHAnsi"/>
          <w:b w:val="0"/>
          <w:bCs/>
          <w:color w:val="000000"/>
          <w:sz w:val="20"/>
          <w:szCs w:val="20"/>
        </w:rPr>
      </w:pPr>
      <w:r w:rsidRPr="00A853C1">
        <w:rPr>
          <w:rFonts w:ascii="Verdana" w:hAnsi="Verdana" w:cstheme="minorHAnsi"/>
          <w:b w:val="0"/>
          <w:bCs/>
          <w:color w:val="000000"/>
          <w:sz w:val="20"/>
          <w:szCs w:val="20"/>
        </w:rPr>
        <w:t>Investec Bank Limited</w:t>
      </w:r>
    </w:p>
    <w:p w14:paraId="1BC7DAD2" w14:textId="591ACA55" w:rsidR="005F6587" w:rsidRPr="00A853C1" w:rsidRDefault="005F6587" w:rsidP="000E011B">
      <w:pPr>
        <w:pStyle w:val="WWList2"/>
        <w:numPr>
          <w:ilvl w:val="0"/>
          <w:numId w:val="0"/>
        </w:numPr>
        <w:spacing w:after="0" w:line="240" w:lineRule="auto"/>
        <w:ind w:left="1134" w:hanging="1134"/>
        <w:rPr>
          <w:rFonts w:ascii="Verdana" w:hAnsi="Verdana"/>
          <w:b/>
          <w:bCs/>
          <w:sz w:val="20"/>
          <w:szCs w:val="20"/>
        </w:rPr>
      </w:pPr>
      <w:r w:rsidRPr="00A853C1">
        <w:rPr>
          <w:rFonts w:ascii="Verdana" w:hAnsi="Verdana"/>
          <w:b/>
          <w:bCs/>
          <w:sz w:val="20"/>
          <w:szCs w:val="20"/>
        </w:rPr>
        <w:t>Dutch Legal Adviser to Prosus</w:t>
      </w:r>
      <w:r w:rsidR="00EA5409" w:rsidRPr="00A853C1">
        <w:rPr>
          <w:rFonts w:ascii="Verdana" w:hAnsi="Verdana"/>
          <w:b/>
          <w:bCs/>
          <w:sz w:val="20"/>
          <w:szCs w:val="20"/>
        </w:rPr>
        <w:t xml:space="preserve"> </w:t>
      </w:r>
    </w:p>
    <w:p w14:paraId="01EB1432" w14:textId="2BF42520" w:rsidR="005F6587" w:rsidRPr="00A853C1" w:rsidRDefault="005F6587" w:rsidP="000E011B">
      <w:pPr>
        <w:pStyle w:val="WWList2"/>
        <w:numPr>
          <w:ilvl w:val="0"/>
          <w:numId w:val="0"/>
        </w:numPr>
        <w:spacing w:after="0" w:line="240" w:lineRule="auto"/>
        <w:ind w:left="1134" w:hanging="1134"/>
        <w:rPr>
          <w:rFonts w:ascii="Verdana" w:hAnsi="Verdana"/>
          <w:sz w:val="20"/>
          <w:szCs w:val="20"/>
        </w:rPr>
      </w:pPr>
      <w:r w:rsidRPr="00A853C1">
        <w:rPr>
          <w:rFonts w:ascii="Verdana" w:hAnsi="Verdana"/>
          <w:sz w:val="20"/>
          <w:szCs w:val="20"/>
        </w:rPr>
        <w:t>Allen &amp; Overy LLP</w:t>
      </w:r>
    </w:p>
    <w:p w14:paraId="47A7DA9C" w14:textId="73D0F2F2" w:rsidR="005F6587" w:rsidRPr="00A853C1" w:rsidRDefault="005F6587" w:rsidP="000E011B">
      <w:pPr>
        <w:pStyle w:val="WWList2"/>
        <w:numPr>
          <w:ilvl w:val="0"/>
          <w:numId w:val="0"/>
        </w:numPr>
        <w:spacing w:after="0" w:line="240" w:lineRule="auto"/>
        <w:ind w:left="1134" w:hanging="1134"/>
        <w:rPr>
          <w:rFonts w:ascii="Verdana" w:hAnsi="Verdana"/>
          <w:b/>
          <w:bCs/>
          <w:sz w:val="20"/>
          <w:szCs w:val="20"/>
        </w:rPr>
      </w:pPr>
      <w:r w:rsidRPr="00A853C1">
        <w:rPr>
          <w:rFonts w:ascii="Verdana" w:hAnsi="Verdana"/>
          <w:b/>
          <w:bCs/>
          <w:sz w:val="20"/>
          <w:szCs w:val="20"/>
        </w:rPr>
        <w:t>South African Legal Adviser to Prosus</w:t>
      </w:r>
      <w:r w:rsidR="00EA5409" w:rsidRPr="00A853C1">
        <w:rPr>
          <w:rFonts w:ascii="Verdana" w:hAnsi="Verdana"/>
          <w:b/>
          <w:bCs/>
          <w:sz w:val="20"/>
          <w:szCs w:val="20"/>
        </w:rPr>
        <w:t xml:space="preserve"> </w:t>
      </w:r>
    </w:p>
    <w:p w14:paraId="6A3561D0" w14:textId="029DCBE9" w:rsidR="005F6587" w:rsidRPr="00A853C1" w:rsidRDefault="005F6587" w:rsidP="000E011B">
      <w:pPr>
        <w:pStyle w:val="WWList2"/>
        <w:numPr>
          <w:ilvl w:val="0"/>
          <w:numId w:val="0"/>
        </w:numPr>
        <w:spacing w:after="0" w:line="240" w:lineRule="auto"/>
        <w:ind w:left="1134" w:hanging="1134"/>
        <w:rPr>
          <w:rFonts w:ascii="Verdana" w:hAnsi="Verdana"/>
          <w:sz w:val="20"/>
          <w:szCs w:val="20"/>
        </w:rPr>
      </w:pPr>
      <w:r w:rsidRPr="00A853C1">
        <w:rPr>
          <w:rFonts w:ascii="Verdana" w:hAnsi="Verdana"/>
          <w:sz w:val="20"/>
          <w:szCs w:val="20"/>
        </w:rPr>
        <w:t>Webber Wentzel</w:t>
      </w:r>
    </w:p>
    <w:p w14:paraId="7AA467D5" w14:textId="3205267A" w:rsidR="00981FEA" w:rsidRPr="00A853C1" w:rsidRDefault="00981FEA" w:rsidP="000E011B">
      <w:pPr>
        <w:pStyle w:val="WWList2"/>
        <w:numPr>
          <w:ilvl w:val="0"/>
          <w:numId w:val="0"/>
        </w:numPr>
        <w:spacing w:after="0" w:line="240" w:lineRule="auto"/>
        <w:ind w:left="1134" w:hanging="1134"/>
        <w:rPr>
          <w:rFonts w:ascii="Verdana" w:hAnsi="Verdana"/>
          <w:b/>
          <w:bCs/>
          <w:sz w:val="20"/>
          <w:szCs w:val="20"/>
        </w:rPr>
      </w:pPr>
      <w:r w:rsidRPr="00A853C1">
        <w:rPr>
          <w:rFonts w:ascii="Verdana" w:hAnsi="Verdana"/>
          <w:b/>
          <w:bCs/>
          <w:sz w:val="20"/>
          <w:szCs w:val="20"/>
        </w:rPr>
        <w:t xml:space="preserve">US Legal Adviser to Prosus </w:t>
      </w:r>
    </w:p>
    <w:p w14:paraId="1D38F292" w14:textId="7144D6AF" w:rsidR="00981FEA" w:rsidRPr="00A853C1" w:rsidRDefault="00981FEA" w:rsidP="000E011B">
      <w:pPr>
        <w:pStyle w:val="WWList2"/>
        <w:numPr>
          <w:ilvl w:val="0"/>
          <w:numId w:val="0"/>
        </w:numPr>
        <w:spacing w:after="0" w:line="240" w:lineRule="auto"/>
        <w:ind w:left="1134" w:hanging="1134"/>
        <w:rPr>
          <w:rFonts w:ascii="Verdana" w:hAnsi="Verdana"/>
          <w:sz w:val="20"/>
          <w:szCs w:val="20"/>
        </w:rPr>
      </w:pPr>
      <w:r w:rsidRPr="00A853C1">
        <w:rPr>
          <w:rFonts w:ascii="Verdana" w:hAnsi="Verdana"/>
          <w:sz w:val="20"/>
          <w:szCs w:val="20"/>
        </w:rPr>
        <w:t>Cravath, Swaine &amp; Moore LLP</w:t>
      </w:r>
    </w:p>
    <w:p w14:paraId="509A2E52" w14:textId="431B00CC" w:rsidR="005F6587" w:rsidRPr="00A853C1" w:rsidRDefault="005F6587" w:rsidP="000E011B">
      <w:pPr>
        <w:pStyle w:val="WWList2"/>
        <w:numPr>
          <w:ilvl w:val="0"/>
          <w:numId w:val="0"/>
        </w:numPr>
        <w:spacing w:after="0" w:line="240" w:lineRule="auto"/>
        <w:ind w:left="1134" w:hanging="1134"/>
        <w:rPr>
          <w:rFonts w:ascii="Verdana" w:hAnsi="Verdana"/>
          <w:b/>
          <w:bCs/>
          <w:sz w:val="20"/>
          <w:szCs w:val="20"/>
        </w:rPr>
      </w:pPr>
      <w:r w:rsidRPr="00A853C1">
        <w:rPr>
          <w:rFonts w:ascii="Verdana" w:hAnsi="Verdana"/>
          <w:b/>
          <w:bCs/>
          <w:sz w:val="20"/>
          <w:szCs w:val="20"/>
        </w:rPr>
        <w:t>Joint Financial Advisers to Prosus</w:t>
      </w:r>
    </w:p>
    <w:p w14:paraId="3B39B629" w14:textId="11632E9C" w:rsidR="005F6587" w:rsidRPr="00A853C1" w:rsidRDefault="005F6587" w:rsidP="000E011B">
      <w:pPr>
        <w:pStyle w:val="WWList2"/>
        <w:numPr>
          <w:ilvl w:val="0"/>
          <w:numId w:val="0"/>
        </w:numPr>
        <w:spacing w:after="0" w:line="240" w:lineRule="auto"/>
        <w:ind w:left="1134" w:hanging="1134"/>
        <w:rPr>
          <w:rFonts w:ascii="Verdana" w:hAnsi="Verdana" w:cs="Arial"/>
          <w:sz w:val="20"/>
          <w:szCs w:val="20"/>
        </w:rPr>
      </w:pPr>
      <w:r w:rsidRPr="00A853C1">
        <w:rPr>
          <w:rFonts w:ascii="Verdana" w:hAnsi="Verdana" w:cs="Arial"/>
          <w:sz w:val="20"/>
          <w:szCs w:val="20"/>
        </w:rPr>
        <w:t xml:space="preserve">Goldman Sachs </w:t>
      </w:r>
      <w:r w:rsidR="000D71F0" w:rsidRPr="00A853C1">
        <w:rPr>
          <w:rFonts w:ascii="Verdana" w:hAnsi="Verdana" w:cs="Arial"/>
          <w:sz w:val="20"/>
          <w:szCs w:val="20"/>
        </w:rPr>
        <w:t>Bank Europe SE</w:t>
      </w:r>
    </w:p>
    <w:p w14:paraId="4AE942E4" w14:textId="71B80B2D" w:rsidR="005F6587" w:rsidRPr="00A853C1" w:rsidRDefault="005F6587" w:rsidP="000E011B">
      <w:pPr>
        <w:pStyle w:val="WWList2"/>
        <w:numPr>
          <w:ilvl w:val="0"/>
          <w:numId w:val="0"/>
        </w:numPr>
        <w:spacing w:after="0" w:line="240" w:lineRule="auto"/>
        <w:ind w:left="1134" w:hanging="1134"/>
        <w:rPr>
          <w:rFonts w:ascii="Verdana" w:hAnsi="Verdana"/>
          <w:sz w:val="20"/>
          <w:szCs w:val="20"/>
        </w:rPr>
      </w:pPr>
      <w:r w:rsidRPr="00A853C1">
        <w:rPr>
          <w:rFonts w:ascii="Verdana" w:hAnsi="Verdana" w:cs="Arial"/>
          <w:sz w:val="20"/>
          <w:szCs w:val="20"/>
        </w:rPr>
        <w:t>Morgan Stanley &amp; Co. International plc</w:t>
      </w:r>
    </w:p>
    <w:tbl>
      <w:tblPr>
        <w:tblStyle w:val="TableGrid"/>
        <w:tblW w:w="9360" w:type="dxa"/>
        <w:tblLook w:val="04A0" w:firstRow="1" w:lastRow="0" w:firstColumn="1" w:lastColumn="0" w:noHBand="0" w:noVBand="1"/>
      </w:tblPr>
      <w:tblGrid>
        <w:gridCol w:w="9425"/>
        <w:gridCol w:w="222"/>
      </w:tblGrid>
      <w:tr w:rsidR="004C14EE" w:rsidRPr="00A853C1" w14:paraId="5ED10635" w14:textId="77777777" w:rsidTr="00574C2B">
        <w:tc>
          <w:tcPr>
            <w:tcW w:w="9138" w:type="dxa"/>
            <w:tcBorders>
              <w:top w:val="nil"/>
              <w:left w:val="nil"/>
              <w:bottom w:val="nil"/>
              <w:right w:val="nil"/>
            </w:tcBorders>
          </w:tcPr>
          <w:p w14:paraId="167105FF" w14:textId="77777777" w:rsidR="004C14EE" w:rsidRPr="00A853C1" w:rsidRDefault="004C14EE" w:rsidP="000E011B">
            <w:pPr>
              <w:spacing w:before="240" w:after="240" w:line="240" w:lineRule="auto"/>
              <w:jc w:val="both"/>
              <w:rPr>
                <w:rFonts w:ascii="Verdana" w:hAnsi="Verdana" w:cstheme="minorHAnsi"/>
                <w:bCs/>
                <w:sz w:val="20"/>
                <w:szCs w:val="20"/>
                <w:lang w:val="en-ZA"/>
              </w:rPr>
            </w:pPr>
            <w:r w:rsidRPr="00A853C1">
              <w:rPr>
                <w:rFonts w:ascii="Verdana" w:hAnsi="Verdana" w:cstheme="minorHAnsi"/>
                <w:b/>
                <w:sz w:val="20"/>
                <w:szCs w:val="20"/>
                <w:lang w:val="en-ZA"/>
              </w:rPr>
              <w:t xml:space="preserve">For </w:t>
            </w:r>
            <w:r w:rsidRPr="00A853C1">
              <w:rPr>
                <w:rFonts w:ascii="Verdana" w:hAnsi="Verdana" w:cstheme="minorHAnsi"/>
                <w:b/>
                <w:bCs/>
                <w:sz w:val="20"/>
                <w:szCs w:val="20"/>
                <w:lang w:val="en-ZA"/>
              </w:rPr>
              <w:t>more information contact:</w:t>
            </w:r>
          </w:p>
          <w:tbl>
            <w:tblPr>
              <w:tblStyle w:val="TableGrid"/>
              <w:tblW w:w="9209" w:type="dxa"/>
              <w:tblLook w:val="04A0" w:firstRow="1" w:lastRow="0" w:firstColumn="1" w:lastColumn="0" w:noHBand="0" w:noVBand="1"/>
            </w:tblPr>
            <w:tblGrid>
              <w:gridCol w:w="4815"/>
              <w:gridCol w:w="4394"/>
            </w:tblGrid>
            <w:tr w:rsidR="004C14EE" w:rsidRPr="00A853C1" w14:paraId="050FE151" w14:textId="77777777" w:rsidTr="00574C2B">
              <w:tc>
                <w:tcPr>
                  <w:tcW w:w="4815" w:type="dxa"/>
                  <w:tcBorders>
                    <w:top w:val="nil"/>
                    <w:left w:val="nil"/>
                    <w:bottom w:val="nil"/>
                    <w:right w:val="nil"/>
                  </w:tcBorders>
                  <w:hideMark/>
                </w:tcPr>
                <w:p w14:paraId="57CB0169" w14:textId="7218F974" w:rsidR="004C14EE" w:rsidRPr="00A853C1" w:rsidRDefault="00110DA9" w:rsidP="000E011B">
                  <w:pPr>
                    <w:spacing w:line="240" w:lineRule="auto"/>
                    <w:jc w:val="both"/>
                    <w:rPr>
                      <w:rFonts w:ascii="Verdana" w:hAnsi="Verdana" w:cstheme="minorHAnsi"/>
                      <w:sz w:val="20"/>
                      <w:szCs w:val="20"/>
                      <w:lang w:val="fr-FR"/>
                    </w:rPr>
                  </w:pPr>
                  <w:r w:rsidRPr="00A853C1">
                    <w:rPr>
                      <w:rFonts w:ascii="Verdana" w:hAnsi="Verdana" w:cstheme="minorHAnsi"/>
                      <w:b/>
                      <w:sz w:val="20"/>
                      <w:szCs w:val="20"/>
                      <w:lang w:val="fr-FR"/>
                    </w:rPr>
                    <w:t>Sarah Ryan</w:t>
                  </w:r>
                  <w:r w:rsidR="004C14EE" w:rsidRPr="00A853C1">
                    <w:rPr>
                      <w:rFonts w:ascii="Verdana" w:hAnsi="Verdana" w:cstheme="minorHAnsi"/>
                      <w:b/>
                      <w:sz w:val="20"/>
                      <w:szCs w:val="20"/>
                      <w:lang w:val="fr-FR"/>
                    </w:rPr>
                    <w:t xml:space="preserve">, </w:t>
                  </w:r>
                  <w:r w:rsidRPr="00A853C1">
                    <w:rPr>
                      <w:rFonts w:ascii="Verdana" w:hAnsi="Verdana" w:cstheme="minorHAnsi"/>
                      <w:b/>
                      <w:sz w:val="20"/>
                      <w:szCs w:val="20"/>
                      <w:lang w:val="fr-FR"/>
                    </w:rPr>
                    <w:t xml:space="preserve">International Media Relations </w:t>
                  </w:r>
                </w:p>
                <w:p w14:paraId="2201FB87" w14:textId="074F74C4" w:rsidR="004C14EE" w:rsidRPr="00A853C1" w:rsidRDefault="004C14EE" w:rsidP="000E011B">
                  <w:pPr>
                    <w:spacing w:line="240" w:lineRule="auto"/>
                    <w:jc w:val="both"/>
                    <w:rPr>
                      <w:rFonts w:ascii="Verdana" w:hAnsi="Verdana" w:cstheme="minorHAnsi"/>
                      <w:sz w:val="20"/>
                      <w:szCs w:val="20"/>
                      <w:lang w:val="fr-FR"/>
                    </w:rPr>
                  </w:pPr>
                  <w:proofErr w:type="gramStart"/>
                  <w:r w:rsidRPr="00A853C1">
                    <w:rPr>
                      <w:rFonts w:ascii="Verdana" w:hAnsi="Verdana" w:cstheme="minorHAnsi"/>
                      <w:sz w:val="20"/>
                      <w:szCs w:val="20"/>
                      <w:lang w:val="fr-FR"/>
                    </w:rPr>
                    <w:t>Tel:</w:t>
                  </w:r>
                  <w:proofErr w:type="gramEnd"/>
                  <w:r w:rsidRPr="00A853C1">
                    <w:rPr>
                      <w:rFonts w:ascii="Verdana" w:hAnsi="Verdana" w:cstheme="minorHAnsi"/>
                      <w:sz w:val="20"/>
                      <w:szCs w:val="20"/>
                      <w:lang w:val="fr-FR"/>
                    </w:rPr>
                    <w:t xml:space="preserve">          </w:t>
                  </w:r>
                  <w:r w:rsidR="00110DA9" w:rsidRPr="00A853C1">
                    <w:rPr>
                      <w:rFonts w:ascii="Verdana" w:hAnsi="Verdana" w:cstheme="minorHAnsi"/>
                      <w:color w:val="000000"/>
                      <w:sz w:val="20"/>
                      <w:szCs w:val="20"/>
                      <w:lang w:val="fr-FR"/>
                    </w:rPr>
                    <w:t>+ 31 6 29721038</w:t>
                  </w:r>
                </w:p>
                <w:p w14:paraId="3A7615F8" w14:textId="77777777" w:rsidR="004C14EE" w:rsidRPr="00A853C1" w:rsidRDefault="004C14EE" w:rsidP="000E011B">
                  <w:pPr>
                    <w:spacing w:line="240" w:lineRule="auto"/>
                    <w:jc w:val="both"/>
                    <w:rPr>
                      <w:rFonts w:ascii="Verdana" w:hAnsi="Verdana" w:cstheme="minorHAnsi"/>
                      <w:sz w:val="20"/>
                      <w:szCs w:val="20"/>
                      <w:lang w:val="fr-FR"/>
                    </w:rPr>
                  </w:pPr>
                </w:p>
                <w:p w14:paraId="5F358F80" w14:textId="32896B93" w:rsidR="00C51763" w:rsidRPr="00A853C1" w:rsidRDefault="00C51763" w:rsidP="000E011B">
                  <w:pPr>
                    <w:spacing w:line="240" w:lineRule="auto"/>
                    <w:jc w:val="both"/>
                    <w:rPr>
                      <w:rFonts w:ascii="Verdana" w:hAnsi="Verdana" w:cstheme="minorHAnsi"/>
                      <w:b/>
                      <w:sz w:val="20"/>
                      <w:szCs w:val="20"/>
                      <w:lang w:val="en-US"/>
                    </w:rPr>
                  </w:pPr>
                  <w:r w:rsidRPr="00A853C1">
                    <w:rPr>
                      <w:rFonts w:ascii="Verdana" w:hAnsi="Verdana" w:cstheme="minorHAnsi"/>
                      <w:b/>
                      <w:sz w:val="20"/>
                      <w:szCs w:val="20"/>
                      <w:lang w:val="en-US"/>
                    </w:rPr>
                    <w:t xml:space="preserve">Shamiela Letsoalo, South Africa Media Relations </w:t>
                  </w:r>
                </w:p>
                <w:p w14:paraId="24CF1B7C" w14:textId="0D177FF5" w:rsidR="00C51763" w:rsidRPr="00A853C1" w:rsidRDefault="00C51763" w:rsidP="000E011B">
                  <w:pPr>
                    <w:spacing w:line="240" w:lineRule="auto"/>
                    <w:jc w:val="both"/>
                    <w:rPr>
                      <w:rFonts w:ascii="Verdana" w:hAnsi="Verdana" w:cstheme="minorHAnsi"/>
                      <w:sz w:val="20"/>
                      <w:szCs w:val="20"/>
                      <w:lang w:val="fr-FR"/>
                    </w:rPr>
                  </w:pPr>
                  <w:proofErr w:type="gramStart"/>
                  <w:r w:rsidRPr="00A853C1">
                    <w:rPr>
                      <w:rFonts w:ascii="Verdana" w:hAnsi="Verdana" w:cstheme="minorHAnsi"/>
                      <w:sz w:val="20"/>
                      <w:szCs w:val="20"/>
                      <w:lang w:val="fr-FR"/>
                    </w:rPr>
                    <w:t>Tel:</w:t>
                  </w:r>
                  <w:proofErr w:type="gramEnd"/>
                  <w:r w:rsidRPr="00A853C1">
                    <w:rPr>
                      <w:rFonts w:ascii="Verdana" w:hAnsi="Verdana" w:cstheme="minorHAnsi"/>
                      <w:sz w:val="20"/>
                      <w:szCs w:val="20"/>
                      <w:lang w:val="fr-FR"/>
                    </w:rPr>
                    <w:t xml:space="preserve">          </w:t>
                  </w:r>
                  <w:r w:rsidRPr="00A853C1">
                    <w:rPr>
                      <w:rFonts w:ascii="Verdana" w:hAnsi="Verdana" w:cstheme="minorHAnsi"/>
                      <w:color w:val="000000"/>
                      <w:sz w:val="20"/>
                      <w:szCs w:val="20"/>
                      <w:lang w:val="fr-FR"/>
                    </w:rPr>
                    <w:t xml:space="preserve">+ 27 </w:t>
                  </w:r>
                  <w:r w:rsidR="00B96383" w:rsidRPr="00A853C1">
                    <w:rPr>
                      <w:rFonts w:ascii="Verdana" w:hAnsi="Verdana" w:cstheme="minorHAnsi"/>
                      <w:color w:val="000000"/>
                      <w:sz w:val="20"/>
                      <w:szCs w:val="20"/>
                      <w:lang w:val="fr-FR"/>
                    </w:rPr>
                    <w:t>78 802 6310</w:t>
                  </w:r>
                </w:p>
                <w:p w14:paraId="4B1F8845" w14:textId="24A0735A" w:rsidR="00C51763" w:rsidRPr="00A853C1" w:rsidRDefault="00C51763" w:rsidP="000E011B">
                  <w:pPr>
                    <w:spacing w:line="240" w:lineRule="auto"/>
                    <w:jc w:val="both"/>
                    <w:rPr>
                      <w:rFonts w:ascii="Verdana" w:hAnsi="Verdana" w:cstheme="minorHAnsi"/>
                      <w:sz w:val="20"/>
                      <w:szCs w:val="20"/>
                      <w:lang w:val="fr-FR"/>
                    </w:rPr>
                  </w:pPr>
                </w:p>
              </w:tc>
              <w:tc>
                <w:tcPr>
                  <w:tcW w:w="4394" w:type="dxa"/>
                  <w:tcBorders>
                    <w:top w:val="nil"/>
                    <w:left w:val="nil"/>
                    <w:bottom w:val="nil"/>
                    <w:right w:val="nil"/>
                  </w:tcBorders>
                </w:tcPr>
                <w:p w14:paraId="13BB91A4" w14:textId="77777777" w:rsidR="004C14EE" w:rsidRPr="00A853C1" w:rsidRDefault="004C14EE" w:rsidP="000E011B">
                  <w:pPr>
                    <w:spacing w:line="240" w:lineRule="auto"/>
                    <w:jc w:val="both"/>
                    <w:rPr>
                      <w:rFonts w:ascii="Verdana" w:hAnsi="Verdana" w:cstheme="minorHAnsi"/>
                      <w:sz w:val="20"/>
                      <w:szCs w:val="20"/>
                    </w:rPr>
                  </w:pPr>
                  <w:r w:rsidRPr="00A853C1">
                    <w:rPr>
                      <w:rFonts w:ascii="Verdana" w:hAnsi="Verdana" w:cstheme="minorHAnsi"/>
                      <w:b/>
                      <w:sz w:val="20"/>
                      <w:szCs w:val="20"/>
                    </w:rPr>
                    <w:t>Eoin Ryan, Head of Investor Relations</w:t>
                  </w:r>
                </w:p>
                <w:p w14:paraId="1DCEFA80" w14:textId="5863DC9C" w:rsidR="004C14EE" w:rsidRPr="00A853C1" w:rsidRDefault="004C14EE" w:rsidP="000E011B">
                  <w:pPr>
                    <w:spacing w:line="240" w:lineRule="auto"/>
                    <w:jc w:val="both"/>
                    <w:rPr>
                      <w:rFonts w:ascii="Verdana" w:hAnsi="Verdana" w:cstheme="minorHAnsi"/>
                      <w:sz w:val="20"/>
                      <w:szCs w:val="20"/>
                    </w:rPr>
                  </w:pPr>
                  <w:r w:rsidRPr="00A853C1">
                    <w:rPr>
                      <w:rFonts w:ascii="Verdana" w:hAnsi="Verdana" w:cstheme="minorHAnsi"/>
                      <w:sz w:val="20"/>
                      <w:szCs w:val="20"/>
                    </w:rPr>
                    <w:t>Tel:          +1 347-210-4305</w:t>
                  </w:r>
                </w:p>
                <w:p w14:paraId="0A13241E" w14:textId="1B5D4567" w:rsidR="00C51763" w:rsidRPr="00A853C1" w:rsidRDefault="00C51763" w:rsidP="000E011B">
                  <w:pPr>
                    <w:spacing w:line="240" w:lineRule="auto"/>
                    <w:jc w:val="both"/>
                    <w:rPr>
                      <w:rFonts w:ascii="Verdana" w:hAnsi="Verdana" w:cstheme="minorHAnsi"/>
                      <w:sz w:val="20"/>
                      <w:szCs w:val="20"/>
                    </w:rPr>
                  </w:pPr>
                </w:p>
                <w:p w14:paraId="643C443A" w14:textId="77777777" w:rsidR="00C51763" w:rsidRPr="00A853C1" w:rsidRDefault="00C51763" w:rsidP="000E011B">
                  <w:pPr>
                    <w:spacing w:line="240" w:lineRule="auto"/>
                    <w:jc w:val="both"/>
                    <w:rPr>
                      <w:rFonts w:ascii="Verdana" w:hAnsi="Verdana" w:cstheme="minorHAnsi"/>
                      <w:sz w:val="20"/>
                      <w:szCs w:val="20"/>
                    </w:rPr>
                  </w:pPr>
                </w:p>
                <w:p w14:paraId="6F9A1476" w14:textId="77777777" w:rsidR="004C14EE" w:rsidRPr="00A853C1" w:rsidRDefault="004C14EE" w:rsidP="000E011B">
                  <w:pPr>
                    <w:spacing w:line="240" w:lineRule="auto"/>
                    <w:jc w:val="both"/>
                    <w:rPr>
                      <w:rFonts w:ascii="Verdana" w:hAnsi="Verdana" w:cstheme="minorHAnsi"/>
                      <w:bCs/>
                      <w:sz w:val="20"/>
                      <w:szCs w:val="20"/>
                      <w:lang w:val="en-ZA"/>
                    </w:rPr>
                  </w:pPr>
                </w:p>
              </w:tc>
            </w:tr>
            <w:tr w:rsidR="004C14EE" w:rsidRPr="00A853C1" w14:paraId="641F9EAD" w14:textId="77777777" w:rsidTr="00574C2B">
              <w:tc>
                <w:tcPr>
                  <w:tcW w:w="4815" w:type="dxa"/>
                  <w:tcBorders>
                    <w:top w:val="nil"/>
                    <w:left w:val="nil"/>
                    <w:bottom w:val="nil"/>
                    <w:right w:val="nil"/>
                  </w:tcBorders>
                </w:tcPr>
                <w:p w14:paraId="4D438A03" w14:textId="77777777" w:rsidR="004C14EE" w:rsidRPr="00C42E21" w:rsidRDefault="004C14EE" w:rsidP="000E011B">
                  <w:pPr>
                    <w:spacing w:line="240" w:lineRule="auto"/>
                    <w:jc w:val="both"/>
                    <w:rPr>
                      <w:rFonts w:ascii="Verdana" w:hAnsi="Verdana" w:cstheme="minorHAnsi"/>
                      <w:bCs/>
                      <w:sz w:val="20"/>
                      <w:szCs w:val="20"/>
                      <w:lang w:val="en-ZA"/>
                    </w:rPr>
                  </w:pPr>
                </w:p>
              </w:tc>
              <w:tc>
                <w:tcPr>
                  <w:tcW w:w="4394" w:type="dxa"/>
                  <w:tcBorders>
                    <w:top w:val="nil"/>
                    <w:left w:val="nil"/>
                    <w:bottom w:val="nil"/>
                    <w:right w:val="nil"/>
                  </w:tcBorders>
                </w:tcPr>
                <w:p w14:paraId="331267A9" w14:textId="77777777" w:rsidR="004C14EE" w:rsidRPr="00A853C1" w:rsidRDefault="004C14EE" w:rsidP="000E011B">
                  <w:pPr>
                    <w:spacing w:line="240" w:lineRule="auto"/>
                    <w:jc w:val="both"/>
                    <w:rPr>
                      <w:rFonts w:ascii="Verdana" w:hAnsi="Verdana" w:cstheme="minorHAnsi"/>
                      <w:bCs/>
                      <w:sz w:val="20"/>
                      <w:szCs w:val="20"/>
                      <w:lang w:val="en-ZA"/>
                    </w:rPr>
                  </w:pPr>
                </w:p>
              </w:tc>
            </w:tr>
          </w:tbl>
          <w:p w14:paraId="2C173C59" w14:textId="77777777" w:rsidR="004C14EE" w:rsidRPr="00C42E21" w:rsidRDefault="004C14EE" w:rsidP="000E011B">
            <w:pPr>
              <w:spacing w:line="240" w:lineRule="auto"/>
              <w:jc w:val="both"/>
              <w:rPr>
                <w:rFonts w:ascii="Verdana" w:hAnsi="Verdana" w:cstheme="minorHAnsi"/>
                <w:sz w:val="20"/>
                <w:szCs w:val="20"/>
              </w:rPr>
            </w:pPr>
          </w:p>
        </w:tc>
        <w:tc>
          <w:tcPr>
            <w:tcW w:w="222" w:type="dxa"/>
            <w:tcBorders>
              <w:top w:val="nil"/>
              <w:left w:val="nil"/>
              <w:bottom w:val="nil"/>
              <w:right w:val="nil"/>
            </w:tcBorders>
          </w:tcPr>
          <w:p w14:paraId="1272F295" w14:textId="77777777" w:rsidR="004C14EE" w:rsidRPr="00A853C1" w:rsidRDefault="004C14EE" w:rsidP="000E011B">
            <w:pPr>
              <w:spacing w:line="240" w:lineRule="auto"/>
              <w:jc w:val="both"/>
              <w:rPr>
                <w:rFonts w:ascii="Verdana" w:hAnsi="Verdana" w:cstheme="minorHAnsi"/>
                <w:bCs/>
                <w:sz w:val="20"/>
                <w:szCs w:val="20"/>
                <w:lang w:val="en-ZA"/>
              </w:rPr>
            </w:pPr>
          </w:p>
        </w:tc>
      </w:tr>
    </w:tbl>
    <w:p w14:paraId="0B865D59" w14:textId="77777777" w:rsidR="0070494F" w:rsidRPr="00C42E21" w:rsidRDefault="0070494F" w:rsidP="000E011B">
      <w:pPr>
        <w:pBdr>
          <w:bottom w:val="single" w:sz="12" w:space="1" w:color="auto"/>
        </w:pBdr>
        <w:jc w:val="both"/>
        <w:rPr>
          <w:rFonts w:ascii="Verdana" w:hAnsi="Verdana" w:cstheme="minorHAnsi"/>
          <w:bCs/>
          <w:sz w:val="20"/>
          <w:szCs w:val="20"/>
          <w:lang w:val="en-ZA"/>
        </w:rPr>
      </w:pPr>
    </w:p>
    <w:p w14:paraId="498A6E81" w14:textId="77777777" w:rsidR="004C14EE" w:rsidRPr="00A853C1" w:rsidRDefault="004C14EE" w:rsidP="000E011B">
      <w:pPr>
        <w:jc w:val="both"/>
        <w:rPr>
          <w:rFonts w:ascii="Verdana" w:hAnsi="Verdana" w:cstheme="minorHAnsi"/>
          <w:color w:val="000000"/>
          <w:sz w:val="20"/>
          <w:szCs w:val="20"/>
          <w:lang w:val="en-ZA"/>
        </w:rPr>
      </w:pPr>
    </w:p>
    <w:p w14:paraId="5EBE3363" w14:textId="3C1107E5" w:rsidR="004C14EE" w:rsidRPr="00A853C1" w:rsidRDefault="004C14EE" w:rsidP="000E011B">
      <w:pPr>
        <w:jc w:val="both"/>
        <w:rPr>
          <w:rFonts w:ascii="Verdana" w:hAnsi="Verdana" w:cstheme="minorHAnsi"/>
          <w:b/>
          <w:bCs/>
          <w:color w:val="000000"/>
          <w:sz w:val="20"/>
          <w:szCs w:val="20"/>
        </w:rPr>
      </w:pPr>
      <w:bookmarkStart w:id="5" w:name="_Hlk72228550"/>
      <w:r w:rsidRPr="00A853C1">
        <w:rPr>
          <w:rFonts w:ascii="Verdana" w:hAnsi="Verdana" w:cstheme="minorHAnsi"/>
          <w:b/>
          <w:bCs/>
          <w:color w:val="000000"/>
          <w:sz w:val="20"/>
          <w:szCs w:val="20"/>
        </w:rPr>
        <w:t xml:space="preserve">About </w:t>
      </w:r>
      <w:r w:rsidR="00D630BF" w:rsidRPr="00A853C1">
        <w:rPr>
          <w:rFonts w:ascii="Verdana" w:hAnsi="Verdana" w:cstheme="minorHAnsi"/>
          <w:b/>
          <w:bCs/>
          <w:color w:val="000000"/>
          <w:sz w:val="20"/>
          <w:szCs w:val="20"/>
        </w:rPr>
        <w:t>Prosus</w:t>
      </w:r>
    </w:p>
    <w:p w14:paraId="7468B6C7" w14:textId="77777777" w:rsidR="00D630BF" w:rsidRPr="00A853C1" w:rsidRDefault="00D630BF" w:rsidP="000E011B">
      <w:pPr>
        <w:jc w:val="both"/>
        <w:rPr>
          <w:rFonts w:ascii="Verdana" w:hAnsi="Verdana" w:cstheme="minorHAnsi"/>
          <w:b/>
          <w:bCs/>
          <w:color w:val="000000"/>
          <w:sz w:val="20"/>
          <w:szCs w:val="20"/>
        </w:rPr>
      </w:pPr>
    </w:p>
    <w:p w14:paraId="5E55D394" w14:textId="33A50591" w:rsidR="00B96383" w:rsidRPr="00A853C1" w:rsidRDefault="00B96383" w:rsidP="000E011B">
      <w:pPr>
        <w:jc w:val="both"/>
        <w:rPr>
          <w:rFonts w:ascii="Verdana" w:hAnsi="Verdana" w:cstheme="minorHAnsi"/>
          <w:bCs/>
          <w:sz w:val="20"/>
          <w:szCs w:val="20"/>
          <w:lang w:val="en-US"/>
        </w:rPr>
      </w:pPr>
      <w:r w:rsidRPr="00A853C1">
        <w:rPr>
          <w:rFonts w:ascii="Verdana" w:hAnsi="Verdana" w:cstheme="minorHAnsi"/>
          <w:bCs/>
          <w:sz w:val="20"/>
          <w:szCs w:val="20"/>
          <w:lang w:val="en-US"/>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5CD369DC" w14:textId="77777777" w:rsidR="00B96383" w:rsidRPr="00A853C1" w:rsidRDefault="00B96383" w:rsidP="000E011B">
      <w:pPr>
        <w:jc w:val="both"/>
        <w:rPr>
          <w:rFonts w:ascii="Verdana" w:hAnsi="Verdana" w:cstheme="minorHAnsi"/>
          <w:bCs/>
          <w:sz w:val="20"/>
          <w:szCs w:val="20"/>
          <w:lang w:val="en-US"/>
        </w:rPr>
      </w:pPr>
    </w:p>
    <w:p w14:paraId="1DA2CE3A" w14:textId="35910320" w:rsidR="00B96383" w:rsidRPr="00A853C1" w:rsidRDefault="00B96383" w:rsidP="000E011B">
      <w:pPr>
        <w:jc w:val="both"/>
        <w:rPr>
          <w:rFonts w:ascii="Verdana" w:hAnsi="Verdana" w:cstheme="minorHAnsi"/>
          <w:bCs/>
          <w:sz w:val="20"/>
          <w:szCs w:val="20"/>
          <w:lang w:val="en-US"/>
        </w:rPr>
      </w:pPr>
      <w:r w:rsidRPr="00A853C1">
        <w:rPr>
          <w:rFonts w:ascii="Verdana" w:hAnsi="Verdana" w:cstheme="minorHAnsi"/>
          <w:bCs/>
          <w:sz w:val="20"/>
          <w:szCs w:val="20"/>
          <w:lang w:val="en-US"/>
        </w:rPr>
        <w:t>The group is focused on building meaningful businesses in the online classifieds, food delivery, payments and fintech, and education technology sectors in markets including India, </w:t>
      </w:r>
      <w:proofErr w:type="gramStart"/>
      <w:r w:rsidRPr="00A853C1">
        <w:rPr>
          <w:rFonts w:ascii="Verdana" w:hAnsi="Verdana" w:cstheme="minorHAnsi"/>
          <w:bCs/>
          <w:sz w:val="20"/>
          <w:szCs w:val="20"/>
          <w:lang w:val="en-US"/>
        </w:rPr>
        <w:t>Russia</w:t>
      </w:r>
      <w:proofErr w:type="gramEnd"/>
      <w:r w:rsidRPr="00A853C1">
        <w:rPr>
          <w:rFonts w:ascii="Verdana" w:hAnsi="Verdana" w:cstheme="minorHAnsi"/>
          <w:bCs/>
          <w:sz w:val="20"/>
          <w:szCs w:val="20"/>
          <w:lang w:val="en-US"/>
        </w:rPr>
        <w:t>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1731B32D" w14:textId="77777777" w:rsidR="00B96383" w:rsidRPr="00A853C1" w:rsidRDefault="00B96383" w:rsidP="000E011B">
      <w:pPr>
        <w:jc w:val="both"/>
        <w:rPr>
          <w:rFonts w:ascii="Verdana" w:hAnsi="Verdana" w:cstheme="minorHAnsi"/>
          <w:bCs/>
          <w:sz w:val="20"/>
          <w:szCs w:val="20"/>
          <w:lang w:val="en-US"/>
        </w:rPr>
      </w:pPr>
    </w:p>
    <w:p w14:paraId="09CE4B69" w14:textId="68B382F0" w:rsidR="00B96383" w:rsidRPr="00A853C1" w:rsidRDefault="00B96383" w:rsidP="000E011B">
      <w:pPr>
        <w:jc w:val="both"/>
        <w:rPr>
          <w:rFonts w:ascii="Verdana" w:hAnsi="Verdana" w:cstheme="minorHAnsi"/>
          <w:bCs/>
          <w:sz w:val="20"/>
          <w:szCs w:val="20"/>
          <w:lang w:val="en-US"/>
        </w:rPr>
      </w:pPr>
      <w:r w:rsidRPr="00A853C1">
        <w:rPr>
          <w:rFonts w:ascii="Verdana" w:hAnsi="Verdana" w:cstheme="minorHAnsi"/>
          <w:bCs/>
          <w:sz w:val="20"/>
          <w:szCs w:val="20"/>
          <w:lang w:val="en-US"/>
        </w:rPr>
        <w:t xml:space="preserve">Every day, millions of people use the products and services of companies that Prosus has invested in, acquired or built, including Avito, Brainly, BYJU'S, </w:t>
      </w:r>
      <w:proofErr w:type="spellStart"/>
      <w:r w:rsidRPr="00A853C1">
        <w:rPr>
          <w:rFonts w:ascii="Verdana" w:hAnsi="Verdana" w:cstheme="minorHAnsi"/>
          <w:bCs/>
          <w:sz w:val="20"/>
          <w:szCs w:val="20"/>
          <w:lang w:val="en-US"/>
        </w:rPr>
        <w:t>Bykea</w:t>
      </w:r>
      <w:proofErr w:type="spellEnd"/>
      <w:r w:rsidRPr="00A853C1">
        <w:rPr>
          <w:rFonts w:ascii="Verdana" w:hAnsi="Verdana" w:cstheme="minorHAnsi"/>
          <w:bCs/>
          <w:sz w:val="20"/>
          <w:szCs w:val="20"/>
          <w:lang w:val="en-US"/>
        </w:rPr>
        <w:t xml:space="preserve">, </w:t>
      </w:r>
      <w:proofErr w:type="spellStart"/>
      <w:r w:rsidRPr="00A853C1">
        <w:rPr>
          <w:rFonts w:ascii="Verdana" w:hAnsi="Verdana" w:cstheme="minorHAnsi"/>
          <w:bCs/>
          <w:sz w:val="20"/>
          <w:szCs w:val="20"/>
          <w:lang w:val="en-US"/>
        </w:rPr>
        <w:t>Codecademy</w:t>
      </w:r>
      <w:proofErr w:type="spellEnd"/>
      <w:r w:rsidRPr="00A853C1">
        <w:rPr>
          <w:rFonts w:ascii="Verdana" w:hAnsi="Verdana" w:cstheme="minorHAnsi"/>
          <w:bCs/>
          <w:sz w:val="20"/>
          <w:szCs w:val="20"/>
          <w:lang w:val="en-US"/>
        </w:rPr>
        <w:t xml:space="preserve">, </w:t>
      </w:r>
      <w:proofErr w:type="spellStart"/>
      <w:r w:rsidRPr="00A853C1">
        <w:rPr>
          <w:rFonts w:ascii="Verdana" w:hAnsi="Verdana" w:cstheme="minorHAnsi"/>
          <w:bCs/>
          <w:sz w:val="20"/>
          <w:szCs w:val="20"/>
          <w:lang w:val="en-US"/>
        </w:rPr>
        <w:t>DappRadar</w:t>
      </w:r>
      <w:proofErr w:type="spellEnd"/>
      <w:r w:rsidRPr="00A853C1">
        <w:rPr>
          <w:rFonts w:ascii="Verdana" w:hAnsi="Verdana" w:cstheme="minorHAnsi"/>
          <w:bCs/>
          <w:sz w:val="20"/>
          <w:szCs w:val="20"/>
          <w:lang w:val="en-US"/>
        </w:rPr>
        <w:t xml:space="preserve">, </w:t>
      </w:r>
      <w:proofErr w:type="spellStart"/>
      <w:r w:rsidRPr="00A853C1">
        <w:rPr>
          <w:rFonts w:ascii="Verdana" w:hAnsi="Verdana" w:cstheme="minorHAnsi"/>
          <w:bCs/>
          <w:sz w:val="20"/>
          <w:szCs w:val="20"/>
          <w:lang w:val="en-US"/>
        </w:rPr>
        <w:t>DeHaat</w:t>
      </w:r>
      <w:proofErr w:type="spellEnd"/>
      <w:r w:rsidRPr="00A853C1">
        <w:rPr>
          <w:rFonts w:ascii="Verdana" w:hAnsi="Verdana" w:cstheme="minorHAnsi"/>
          <w:bCs/>
          <w:sz w:val="20"/>
          <w:szCs w:val="20"/>
          <w:lang w:val="en-US"/>
        </w:rPr>
        <w:t xml:space="preserve">, </w:t>
      </w:r>
      <w:proofErr w:type="spellStart"/>
      <w:r w:rsidRPr="00A853C1">
        <w:rPr>
          <w:rFonts w:ascii="Verdana" w:hAnsi="Verdana" w:cstheme="minorHAnsi"/>
          <w:bCs/>
          <w:sz w:val="20"/>
          <w:szCs w:val="20"/>
          <w:lang w:val="en-US"/>
        </w:rPr>
        <w:t>dott</w:t>
      </w:r>
      <w:proofErr w:type="spellEnd"/>
      <w:r w:rsidRPr="00A853C1">
        <w:rPr>
          <w:rFonts w:ascii="Verdana" w:hAnsi="Verdana" w:cstheme="minorHAnsi"/>
          <w:bCs/>
          <w:sz w:val="20"/>
          <w:szCs w:val="20"/>
          <w:lang w:val="en-US"/>
        </w:rPr>
        <w:t xml:space="preserve">, </w:t>
      </w:r>
      <w:proofErr w:type="spellStart"/>
      <w:r w:rsidRPr="00A853C1">
        <w:rPr>
          <w:rFonts w:ascii="Verdana" w:hAnsi="Verdana" w:cstheme="minorHAnsi"/>
          <w:bCs/>
          <w:sz w:val="20"/>
          <w:szCs w:val="20"/>
          <w:lang w:val="en-US"/>
        </w:rPr>
        <w:t>ElasticRun</w:t>
      </w:r>
      <w:proofErr w:type="spellEnd"/>
      <w:r w:rsidRPr="00A853C1">
        <w:rPr>
          <w:rFonts w:ascii="Verdana" w:hAnsi="Verdana" w:cstheme="minorHAnsi"/>
          <w:bCs/>
          <w:sz w:val="20"/>
          <w:szCs w:val="20"/>
          <w:lang w:val="en-US"/>
        </w:rPr>
        <w:t xml:space="preserve">, eMAG, </w:t>
      </w:r>
      <w:proofErr w:type="spellStart"/>
      <w:r w:rsidRPr="00A853C1">
        <w:rPr>
          <w:rFonts w:ascii="Verdana" w:hAnsi="Verdana" w:cstheme="minorHAnsi"/>
          <w:bCs/>
          <w:sz w:val="20"/>
          <w:szCs w:val="20"/>
          <w:lang w:val="en-US"/>
        </w:rPr>
        <w:t>Eruditus</w:t>
      </w:r>
      <w:proofErr w:type="spellEnd"/>
      <w:r w:rsidRPr="00A853C1">
        <w:rPr>
          <w:rFonts w:ascii="Verdana" w:hAnsi="Verdana" w:cstheme="minorHAnsi"/>
          <w:bCs/>
          <w:sz w:val="20"/>
          <w:szCs w:val="20"/>
          <w:lang w:val="en-US"/>
        </w:rPr>
        <w:t xml:space="preserve">, Honor, </w:t>
      </w:r>
      <w:proofErr w:type="spellStart"/>
      <w:r w:rsidRPr="00A853C1">
        <w:rPr>
          <w:rFonts w:ascii="Verdana" w:hAnsi="Verdana" w:cstheme="minorHAnsi"/>
          <w:bCs/>
          <w:sz w:val="20"/>
          <w:szCs w:val="20"/>
          <w:lang w:val="en-US"/>
        </w:rPr>
        <w:t>iFood</w:t>
      </w:r>
      <w:proofErr w:type="spellEnd"/>
      <w:r w:rsidRPr="00A853C1">
        <w:rPr>
          <w:rFonts w:ascii="Verdana" w:hAnsi="Verdana" w:cstheme="minorHAnsi"/>
          <w:bCs/>
          <w:sz w:val="20"/>
          <w:szCs w:val="20"/>
          <w:lang w:val="en-US"/>
        </w:rPr>
        <w:t xml:space="preserve">, </w:t>
      </w:r>
      <w:proofErr w:type="spellStart"/>
      <w:r w:rsidRPr="00A853C1">
        <w:rPr>
          <w:rFonts w:ascii="Verdana" w:hAnsi="Verdana" w:cstheme="minorHAnsi"/>
          <w:bCs/>
          <w:sz w:val="20"/>
          <w:szCs w:val="20"/>
          <w:lang w:val="en-US"/>
        </w:rPr>
        <w:t>Klar</w:t>
      </w:r>
      <w:proofErr w:type="spellEnd"/>
      <w:r w:rsidRPr="00A853C1">
        <w:rPr>
          <w:rFonts w:ascii="Verdana" w:hAnsi="Verdana" w:cstheme="minorHAnsi"/>
          <w:bCs/>
          <w:sz w:val="20"/>
          <w:szCs w:val="20"/>
          <w:lang w:val="en-US"/>
        </w:rPr>
        <w:t xml:space="preserve">, </w:t>
      </w:r>
      <w:proofErr w:type="spellStart"/>
      <w:r w:rsidRPr="00A853C1">
        <w:rPr>
          <w:rFonts w:ascii="Verdana" w:hAnsi="Verdana" w:cstheme="minorHAnsi"/>
          <w:bCs/>
          <w:sz w:val="20"/>
          <w:szCs w:val="20"/>
          <w:lang w:val="en-US"/>
        </w:rPr>
        <w:t>LazyPay</w:t>
      </w:r>
      <w:proofErr w:type="spellEnd"/>
      <w:r w:rsidRPr="00A853C1">
        <w:rPr>
          <w:rFonts w:ascii="Verdana" w:hAnsi="Verdana" w:cstheme="minorHAnsi"/>
          <w:bCs/>
          <w:sz w:val="20"/>
          <w:szCs w:val="20"/>
          <w:lang w:val="en-US"/>
        </w:rPr>
        <w:t xml:space="preserve">, </w:t>
      </w:r>
      <w:proofErr w:type="spellStart"/>
      <w:r w:rsidRPr="00A853C1">
        <w:rPr>
          <w:rFonts w:ascii="Verdana" w:hAnsi="Verdana" w:cstheme="minorHAnsi"/>
          <w:bCs/>
          <w:sz w:val="20"/>
          <w:szCs w:val="20"/>
          <w:lang w:val="en-US"/>
        </w:rPr>
        <w:t>letgo</w:t>
      </w:r>
      <w:proofErr w:type="spellEnd"/>
      <w:r w:rsidRPr="00A853C1">
        <w:rPr>
          <w:rFonts w:ascii="Verdana" w:hAnsi="Verdana" w:cstheme="minorHAnsi"/>
          <w:bCs/>
          <w:sz w:val="20"/>
          <w:szCs w:val="20"/>
          <w:lang w:val="en-US"/>
        </w:rPr>
        <w:t xml:space="preserve">, </w:t>
      </w:r>
      <w:proofErr w:type="spellStart"/>
      <w:r w:rsidRPr="00A853C1">
        <w:rPr>
          <w:rFonts w:ascii="Verdana" w:hAnsi="Verdana" w:cstheme="minorHAnsi"/>
          <w:bCs/>
          <w:sz w:val="20"/>
          <w:szCs w:val="20"/>
          <w:lang w:val="en-US"/>
        </w:rPr>
        <w:t>Meesho</w:t>
      </w:r>
      <w:proofErr w:type="spellEnd"/>
      <w:r w:rsidRPr="00A853C1">
        <w:rPr>
          <w:rFonts w:ascii="Verdana" w:hAnsi="Verdana" w:cstheme="minorHAnsi"/>
          <w:bCs/>
          <w:sz w:val="20"/>
          <w:szCs w:val="20"/>
          <w:lang w:val="en-US"/>
        </w:rPr>
        <w:t xml:space="preserve">, </w:t>
      </w:r>
      <w:proofErr w:type="spellStart"/>
      <w:r w:rsidRPr="00A853C1">
        <w:rPr>
          <w:rFonts w:ascii="Verdana" w:hAnsi="Verdana" w:cstheme="minorHAnsi"/>
          <w:bCs/>
          <w:sz w:val="20"/>
          <w:szCs w:val="20"/>
          <w:lang w:val="en-US"/>
        </w:rPr>
        <w:t>Movile</w:t>
      </w:r>
      <w:proofErr w:type="spellEnd"/>
      <w:r w:rsidRPr="00A853C1">
        <w:rPr>
          <w:rFonts w:ascii="Verdana" w:hAnsi="Verdana" w:cstheme="minorHAnsi"/>
          <w:bCs/>
          <w:sz w:val="20"/>
          <w:szCs w:val="20"/>
          <w:lang w:val="en-US"/>
        </w:rPr>
        <w:t xml:space="preserve">, OLX, PayU, Quick Ride, Red Dot Payment, </w:t>
      </w:r>
      <w:proofErr w:type="spellStart"/>
      <w:r w:rsidRPr="00A853C1">
        <w:rPr>
          <w:rFonts w:ascii="Verdana" w:hAnsi="Verdana" w:cstheme="minorHAnsi"/>
          <w:bCs/>
          <w:sz w:val="20"/>
          <w:szCs w:val="20"/>
          <w:lang w:val="en-US"/>
        </w:rPr>
        <w:t>Remitly</w:t>
      </w:r>
      <w:proofErr w:type="spellEnd"/>
      <w:r w:rsidRPr="00A853C1">
        <w:rPr>
          <w:rFonts w:ascii="Verdana" w:hAnsi="Verdana" w:cstheme="minorHAnsi"/>
          <w:bCs/>
          <w:sz w:val="20"/>
          <w:szCs w:val="20"/>
          <w:lang w:val="en-US"/>
        </w:rPr>
        <w:t xml:space="preserve">, Republic, </w:t>
      </w:r>
      <w:proofErr w:type="spellStart"/>
      <w:r w:rsidRPr="00A853C1">
        <w:rPr>
          <w:rFonts w:ascii="Verdana" w:hAnsi="Verdana" w:cstheme="minorHAnsi"/>
          <w:bCs/>
          <w:sz w:val="20"/>
          <w:szCs w:val="20"/>
          <w:lang w:val="en-US"/>
        </w:rPr>
        <w:t>SimilarWeb</w:t>
      </w:r>
      <w:proofErr w:type="spellEnd"/>
      <w:r w:rsidRPr="00A853C1">
        <w:rPr>
          <w:rFonts w:ascii="Verdana" w:hAnsi="Verdana" w:cstheme="minorHAnsi"/>
          <w:bCs/>
          <w:sz w:val="20"/>
          <w:szCs w:val="20"/>
          <w:lang w:val="en-US"/>
        </w:rPr>
        <w:t xml:space="preserve">, Shipper, Skillsoft, </w:t>
      </w:r>
      <w:proofErr w:type="spellStart"/>
      <w:r w:rsidRPr="00A853C1">
        <w:rPr>
          <w:rFonts w:ascii="Verdana" w:hAnsi="Verdana" w:cstheme="minorHAnsi"/>
          <w:bCs/>
          <w:sz w:val="20"/>
          <w:szCs w:val="20"/>
          <w:lang w:val="en-US"/>
        </w:rPr>
        <w:t>SoloLearn</w:t>
      </w:r>
      <w:proofErr w:type="spellEnd"/>
      <w:r w:rsidRPr="00A853C1">
        <w:rPr>
          <w:rFonts w:ascii="Verdana" w:hAnsi="Verdana" w:cstheme="minorHAnsi"/>
          <w:bCs/>
          <w:sz w:val="20"/>
          <w:szCs w:val="20"/>
          <w:lang w:val="en-US"/>
        </w:rPr>
        <w:t xml:space="preserve">, </w:t>
      </w:r>
      <w:proofErr w:type="spellStart"/>
      <w:r w:rsidRPr="00A853C1">
        <w:rPr>
          <w:rFonts w:ascii="Verdana" w:hAnsi="Verdana" w:cstheme="minorHAnsi"/>
          <w:bCs/>
          <w:sz w:val="20"/>
          <w:szCs w:val="20"/>
          <w:lang w:val="en-US"/>
        </w:rPr>
        <w:t>Swiggy</w:t>
      </w:r>
      <w:proofErr w:type="spellEnd"/>
      <w:r w:rsidRPr="00A853C1">
        <w:rPr>
          <w:rFonts w:ascii="Verdana" w:hAnsi="Verdana" w:cstheme="minorHAnsi"/>
          <w:bCs/>
          <w:sz w:val="20"/>
          <w:szCs w:val="20"/>
          <w:lang w:val="en-US"/>
        </w:rPr>
        <w:t>, and Udemy.</w:t>
      </w:r>
    </w:p>
    <w:p w14:paraId="49B316DD" w14:textId="77777777" w:rsidR="00B96383" w:rsidRPr="00A853C1" w:rsidRDefault="00B96383" w:rsidP="000E011B">
      <w:pPr>
        <w:jc w:val="both"/>
        <w:rPr>
          <w:rFonts w:ascii="Verdana" w:hAnsi="Verdana" w:cstheme="minorHAnsi"/>
          <w:bCs/>
          <w:sz w:val="20"/>
          <w:szCs w:val="20"/>
          <w:lang w:val="en-US"/>
        </w:rPr>
      </w:pPr>
    </w:p>
    <w:p w14:paraId="4A2FA16F" w14:textId="47859E29" w:rsidR="00B96383" w:rsidRPr="00C42E21" w:rsidRDefault="00B96383" w:rsidP="000E011B">
      <w:pPr>
        <w:jc w:val="both"/>
        <w:rPr>
          <w:rFonts w:ascii="Verdana" w:hAnsi="Verdana" w:cstheme="minorHAnsi"/>
          <w:bCs/>
          <w:sz w:val="20"/>
          <w:szCs w:val="20"/>
          <w:lang w:val="en-US"/>
        </w:rPr>
      </w:pPr>
      <w:r w:rsidRPr="00A853C1">
        <w:rPr>
          <w:rFonts w:ascii="Verdana" w:hAnsi="Verdana" w:cstheme="minorHAnsi"/>
          <w:bCs/>
          <w:sz w:val="20"/>
          <w:szCs w:val="20"/>
          <w:lang w:val="en-US"/>
        </w:rPr>
        <w:t>Hundreds of millions of people have made the platforms of Prosus’s associates a part of their daily lives. For listed companies where we have an interest, please see: Tencent (</w:t>
      </w:r>
      <w:hyperlink r:id="rId14" w:tgtFrame="_blank" w:history="1">
        <w:r w:rsidRPr="00A853C1">
          <w:rPr>
            <w:rStyle w:val="Hyperlink"/>
            <w:rFonts w:ascii="Verdana" w:hAnsi="Verdana" w:cstheme="minorHAnsi"/>
            <w:bCs/>
            <w:sz w:val="20"/>
            <w:szCs w:val="20"/>
            <w:lang w:val="en-US"/>
          </w:rPr>
          <w:t>www.tencent.com</w:t>
        </w:r>
      </w:hyperlink>
      <w:r w:rsidRPr="00C42E21">
        <w:rPr>
          <w:rFonts w:ascii="Verdana" w:hAnsi="Verdana" w:cstheme="minorHAnsi"/>
          <w:bCs/>
          <w:sz w:val="20"/>
          <w:szCs w:val="20"/>
          <w:lang w:val="en-US"/>
        </w:rPr>
        <w:t>), Mail.ru (</w:t>
      </w:r>
      <w:hyperlink r:id="rId15" w:tgtFrame="_blank" w:history="1">
        <w:r w:rsidRPr="00A853C1">
          <w:rPr>
            <w:rStyle w:val="Hyperlink"/>
            <w:rFonts w:ascii="Verdana" w:hAnsi="Verdana" w:cstheme="minorHAnsi"/>
            <w:bCs/>
            <w:sz w:val="20"/>
            <w:szCs w:val="20"/>
            <w:lang w:val="en-US"/>
          </w:rPr>
          <w:t>www.corp.mail.ru</w:t>
        </w:r>
      </w:hyperlink>
      <w:r w:rsidRPr="00C42E21">
        <w:rPr>
          <w:rFonts w:ascii="Verdana" w:hAnsi="Verdana" w:cstheme="minorHAnsi"/>
          <w:bCs/>
          <w:sz w:val="20"/>
          <w:szCs w:val="20"/>
          <w:lang w:val="en-US"/>
        </w:rPr>
        <w:t>), Trip.com Group Limited (</w:t>
      </w:r>
      <w:hyperlink r:id="rId16" w:tgtFrame="_blank" w:history="1">
        <w:r w:rsidRPr="00A853C1">
          <w:rPr>
            <w:rStyle w:val="Hyperlink"/>
            <w:rFonts w:ascii="Verdana" w:hAnsi="Verdana" w:cstheme="minorHAnsi"/>
            <w:bCs/>
            <w:sz w:val="20"/>
            <w:szCs w:val="20"/>
            <w:lang w:val="en-US"/>
          </w:rPr>
          <w:t>www.trip.com</w:t>
        </w:r>
      </w:hyperlink>
      <w:r w:rsidRPr="00C42E21">
        <w:rPr>
          <w:rFonts w:ascii="Verdana" w:hAnsi="Verdana" w:cstheme="minorHAnsi"/>
          <w:bCs/>
          <w:sz w:val="20"/>
          <w:szCs w:val="20"/>
          <w:lang w:val="en-US"/>
        </w:rPr>
        <w:t xml:space="preserve">), and </w:t>
      </w:r>
      <w:proofErr w:type="spellStart"/>
      <w:r w:rsidRPr="00C42E21">
        <w:rPr>
          <w:rFonts w:ascii="Verdana" w:hAnsi="Verdana" w:cstheme="minorHAnsi"/>
          <w:bCs/>
          <w:sz w:val="20"/>
          <w:szCs w:val="20"/>
          <w:lang w:val="en-US"/>
        </w:rPr>
        <w:t>DeliveryHero</w:t>
      </w:r>
      <w:proofErr w:type="spellEnd"/>
      <w:r w:rsidRPr="00C42E21">
        <w:rPr>
          <w:rFonts w:ascii="Verdana" w:hAnsi="Verdana" w:cstheme="minorHAnsi"/>
          <w:bCs/>
          <w:sz w:val="20"/>
          <w:szCs w:val="20"/>
          <w:lang w:val="en-US"/>
        </w:rPr>
        <w:t xml:space="preserve"> (</w:t>
      </w:r>
      <w:hyperlink r:id="rId17" w:tgtFrame="_blank" w:history="1">
        <w:r w:rsidRPr="00A853C1">
          <w:rPr>
            <w:rStyle w:val="Hyperlink"/>
            <w:rFonts w:ascii="Verdana" w:hAnsi="Verdana" w:cstheme="minorHAnsi"/>
            <w:bCs/>
            <w:sz w:val="20"/>
            <w:szCs w:val="20"/>
            <w:lang w:val="en-US"/>
          </w:rPr>
          <w:t>www.deliveryhero.com</w:t>
        </w:r>
      </w:hyperlink>
      <w:r w:rsidRPr="00C42E21">
        <w:rPr>
          <w:rFonts w:ascii="Verdana" w:hAnsi="Verdana" w:cstheme="minorHAnsi"/>
          <w:bCs/>
          <w:sz w:val="20"/>
          <w:szCs w:val="20"/>
          <w:lang w:val="en-US"/>
        </w:rPr>
        <w:t>).</w:t>
      </w:r>
    </w:p>
    <w:p w14:paraId="2050F232" w14:textId="768108C7" w:rsidR="00B96383" w:rsidRPr="00A853C1" w:rsidRDefault="00B96383" w:rsidP="000E011B">
      <w:pPr>
        <w:jc w:val="both"/>
        <w:rPr>
          <w:rFonts w:ascii="Verdana" w:hAnsi="Verdana" w:cstheme="minorHAnsi"/>
          <w:bCs/>
          <w:sz w:val="20"/>
          <w:szCs w:val="20"/>
          <w:lang w:val="en-US"/>
        </w:rPr>
      </w:pPr>
      <w:r w:rsidRPr="00A853C1">
        <w:rPr>
          <w:rFonts w:ascii="Verdana" w:hAnsi="Verdana" w:cstheme="minorHAnsi"/>
          <w:bCs/>
          <w:sz w:val="20"/>
          <w:szCs w:val="20"/>
          <w:lang w:val="en-US"/>
        </w:rPr>
        <w:t>Today, Prosus companies and associates help improve the lives of around a fifth of the world's population.</w:t>
      </w:r>
    </w:p>
    <w:p w14:paraId="4F3ABB18" w14:textId="77777777" w:rsidR="00B96383" w:rsidRPr="00A853C1" w:rsidRDefault="00B96383" w:rsidP="000E011B">
      <w:pPr>
        <w:jc w:val="both"/>
        <w:rPr>
          <w:rFonts w:ascii="Verdana" w:hAnsi="Verdana" w:cstheme="minorHAnsi"/>
          <w:bCs/>
          <w:sz w:val="20"/>
          <w:szCs w:val="20"/>
          <w:lang w:val="en-US"/>
        </w:rPr>
      </w:pPr>
    </w:p>
    <w:p w14:paraId="5C683DF5" w14:textId="6C116781" w:rsidR="00B96383" w:rsidRPr="00C42E21" w:rsidRDefault="00B96383" w:rsidP="000E011B">
      <w:pPr>
        <w:jc w:val="both"/>
        <w:rPr>
          <w:rFonts w:ascii="Verdana" w:hAnsi="Verdana" w:cstheme="minorHAnsi"/>
          <w:bCs/>
          <w:sz w:val="20"/>
          <w:szCs w:val="20"/>
          <w:lang w:val="en-US"/>
        </w:rPr>
      </w:pPr>
      <w:r w:rsidRPr="00A853C1">
        <w:rPr>
          <w:rFonts w:ascii="Verdana" w:hAnsi="Verdana" w:cstheme="minorHAnsi"/>
          <w:bCs/>
          <w:sz w:val="20"/>
          <w:szCs w:val="20"/>
          <w:lang w:val="en-US"/>
        </w:rPr>
        <w:t>Prosus has a primary listing on Euronext Amsterdam (AEX:PRX) and secondary listings on the Johannesburg Stock Exchange (XJSE:PRX) and a2X Markets (PRX.AJ). Prosus is majority owned by Naspers. For more information, please visit </w:t>
      </w:r>
      <w:hyperlink r:id="rId18">
        <w:r w:rsidRPr="00A853C1">
          <w:rPr>
            <w:rStyle w:val="Hyperlink"/>
            <w:rFonts w:ascii="Verdana" w:hAnsi="Verdana" w:cstheme="minorHAnsi"/>
            <w:bCs/>
            <w:sz w:val="20"/>
            <w:szCs w:val="20"/>
            <w:lang w:val="en-US"/>
          </w:rPr>
          <w:t>www.prosus.com</w:t>
        </w:r>
      </w:hyperlink>
      <w:r w:rsidRPr="00C42E21">
        <w:rPr>
          <w:rFonts w:ascii="Verdana" w:hAnsi="Verdana" w:cstheme="minorHAnsi"/>
          <w:bCs/>
          <w:sz w:val="20"/>
          <w:szCs w:val="20"/>
          <w:lang w:val="en-US"/>
        </w:rPr>
        <w:t>.</w:t>
      </w:r>
    </w:p>
    <w:bookmarkEnd w:id="5"/>
    <w:p w14:paraId="7897EC95" w14:textId="77777777" w:rsidR="00B96383" w:rsidRPr="00A853C1" w:rsidRDefault="00B96383" w:rsidP="000E011B">
      <w:pPr>
        <w:jc w:val="both"/>
        <w:rPr>
          <w:rFonts w:ascii="Verdana" w:hAnsi="Verdana" w:cstheme="minorHAnsi"/>
          <w:bCs/>
          <w:sz w:val="20"/>
          <w:szCs w:val="20"/>
          <w:lang w:val="en-US"/>
        </w:rPr>
      </w:pPr>
    </w:p>
    <w:p w14:paraId="194B3710" w14:textId="225CC604" w:rsidR="004C14EE" w:rsidRPr="00A853C1" w:rsidRDefault="004C14EE" w:rsidP="000E011B">
      <w:pPr>
        <w:jc w:val="both"/>
        <w:rPr>
          <w:rFonts w:ascii="Verdana" w:hAnsi="Verdana" w:cstheme="minorHAnsi"/>
          <w:b/>
          <w:bCs/>
          <w:color w:val="000000"/>
          <w:sz w:val="20"/>
          <w:szCs w:val="20"/>
        </w:rPr>
      </w:pPr>
      <w:r w:rsidRPr="00A853C1">
        <w:rPr>
          <w:rFonts w:ascii="Verdana" w:hAnsi="Verdana" w:cstheme="minorHAnsi"/>
          <w:b/>
          <w:bCs/>
          <w:color w:val="000000"/>
          <w:sz w:val="20"/>
          <w:szCs w:val="20"/>
        </w:rPr>
        <w:t>Disclaimer</w:t>
      </w:r>
      <w:r w:rsidR="00D51042" w:rsidRPr="00A853C1">
        <w:rPr>
          <w:rFonts w:ascii="Verdana" w:hAnsi="Verdana" w:cstheme="minorHAnsi"/>
          <w:b/>
          <w:bCs/>
          <w:color w:val="000000"/>
          <w:sz w:val="20"/>
          <w:szCs w:val="20"/>
        </w:rPr>
        <w:t>s</w:t>
      </w:r>
    </w:p>
    <w:p w14:paraId="0C82CD1A" w14:textId="1F196F20"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Shareholders should note that the Prosus Board reserves the right, in its discretion, to decide not to proceed with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and, as such,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may or may not proceed.</w:t>
      </w:r>
    </w:p>
    <w:p w14:paraId="110308A2"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This announcement is for information purposes only and is not an offer to sell or the solicitation of an offer to buy securities and neither this document nor anything herein nor any copy thereof may be taken into or distributed, directly or indirectly, in or into any jurisdiction in which to do so would be prohibited by applicable law.</w:t>
      </w:r>
    </w:p>
    <w:p w14:paraId="3C6EEC71"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There will be no public offer of any securities in the United States. The securities referred to in this announcement have not been and will not be registered under the U.S. Securities Act of 1933, as amended (the “Securities Act”), and will not be offered or sold, directly or indirectly, in or into the United States or to, or for the account or benefit of, any “U.S. person” as defined in Regulation S under the Securities Act except pursuant to an exemption from, or in a transaction not subject to, the registration requirements of the Securities Act. </w:t>
      </w:r>
    </w:p>
    <w:p w14:paraId="067190BB"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The information contained in this announcement does not constitute or form a part of any offer to the public for the sale of, or subscription for, or an invitation, advertisement or the solicitation of an offer to purchase and/or subscribe for, securities as defined in and/or contemplated by the South African Companies Act, No. 71 of 2008 ("South African Companies Act"). Accordingly, this announcement does not, nor does it intend to, constitute a “registered prospectus” or an advertisement relating to an offer to the public, as contemplated by the South African Companies Act and no prospectus has been, or will be, filed with the South African Companies and Intellectual Property Commission in respect of this announcement.</w:t>
      </w:r>
    </w:p>
    <w:p w14:paraId="4DCA1C11"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The information contained in this announcement constitutes factual information as contemplated in Section 1(3)(a) of the South African Financial Advisory and Intermediary Services Act, 37 of 2002, as amended ("FAIS Act") and should not be construed as an express or implied recommendation, guide or proposal that any particular transaction in respect of the Prosus Ordinary Shares N and/or Naspers N Ordinary Shares or in relation to the business or future investments of Prosus and/or Naspers, is appropriate to the particular investment objectives, financial situations or needs of a prospective investor, and nothing contained in this announcement should be construed as constituting the canvassing for, or marketing or advertising of, financial services in South Africa. Prosus is not a financial services provider licensed as such under the FAIS Act.</w:t>
      </w:r>
    </w:p>
    <w:p w14:paraId="5DA3929D"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In member states of the European Economic Area (“EEA”) (each, a “Relevant Member State”) no action has been undertaken or will be undertaken to make an offer to the public of Securities requiring publication of a prospectus in any Relevant Member State. As a result, this announcement and any offer if made subsequently is directed exclusively at persons who </w:t>
      </w:r>
      <w:r w:rsidRPr="00A853C1">
        <w:rPr>
          <w:rFonts w:ascii="Verdana" w:hAnsi="Verdana" w:cstheme="minorHAnsi"/>
          <w:b w:val="0"/>
          <w:bCs/>
          <w:i/>
          <w:iCs/>
          <w:sz w:val="20"/>
          <w:szCs w:val="20"/>
          <w:lang w:val="en-ZA"/>
        </w:rPr>
        <w:lastRenderedPageBreak/>
        <w:t xml:space="preserve">are “qualified investors” within the meaning of the Prospectus Regulation (“Qualified Investors”). For these purposes, the expression “Prospectus Regulation” means Regulation 2017/1129/EU (and amendments thereto) and includes any relevant implementing measure in the Relevant Member State. </w:t>
      </w:r>
    </w:p>
    <w:p w14:paraId="673C7417"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This announcement does not constitute a prospectus within the meaning of the Prospectus Regulation and has not been approved by the Dutch Authority for the Financial Markets (Stichting Autoriteit Financiële Markten).</w:t>
      </w:r>
    </w:p>
    <w:p w14:paraId="153E7525"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In the United Kingdom this announcement is only being distributed to, and is only directed at, and any investment or investment activity to which this announcement relates is available only to, and will be engaged in only with, qualified investors (as defined under Article 2(e) of Regulation (EU) 2017/1129 as it forms part of domestic law by virtue of the European Union (Withdrawal) Act 2018) who are (i) investment professionals falling with Article 19(5) of the UK Financial Services and Markets Act 2000 (Financial Promotion) Order 2005 (the “Order”); (ii) high net worth entities falling within Article 49(2)(a) to (d) of the Order, or (iii) other persons to whom it may otherwise be lawfully communicated (all such persons together being referred to as “relevant persons”). Persons who are not relevant persons should not take any action </w:t>
      </w:r>
      <w:proofErr w:type="gramStart"/>
      <w:r w:rsidRPr="00A853C1">
        <w:rPr>
          <w:rFonts w:ascii="Verdana" w:hAnsi="Verdana" w:cstheme="minorHAnsi"/>
          <w:b w:val="0"/>
          <w:bCs/>
          <w:i/>
          <w:iCs/>
          <w:sz w:val="20"/>
          <w:szCs w:val="20"/>
          <w:lang w:val="en-ZA"/>
        </w:rPr>
        <w:t>on the basis of</w:t>
      </w:r>
      <w:proofErr w:type="gramEnd"/>
      <w:r w:rsidRPr="00A853C1">
        <w:rPr>
          <w:rFonts w:ascii="Verdana" w:hAnsi="Verdana" w:cstheme="minorHAnsi"/>
          <w:b w:val="0"/>
          <w:bCs/>
          <w:i/>
          <w:iCs/>
          <w:sz w:val="20"/>
          <w:szCs w:val="20"/>
          <w:lang w:val="en-ZA"/>
        </w:rPr>
        <w:t xml:space="preserve"> this announcement and should not act or rely on it.</w:t>
      </w:r>
    </w:p>
    <w:p w14:paraId="1820B74E"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The release, publication or distribution of this announcement in jurisdictions other than South Africa may be restricted by law and therefore persons into whose possession this announcement comes should inform themselves about, and observe, any applicable restrictions or requirements. Any failure to comply with such restrictions may constitute a violation of the securities laws of any such jurisdiction. To the fullest extent permitted by applicable law, Prosus disclaims any responsibility or liability for the violation of such requirements by any person. </w:t>
      </w:r>
    </w:p>
    <w:p w14:paraId="3A24DAEB" w14:textId="549A445F"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It is the responsibility of person (including, without limitation, nominees, agents and trustees for such persons) wishing to receive this announcement and/or participate in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or a component thereof, to satisfy themselves as to the full observance of the applicable laws of any relevant territory, including obtaining any requisite governmental or other consents, observing any other requirements or formalities and paying any issue, transfer or other taxes due in such territories.  </w:t>
      </w:r>
    </w:p>
    <w:p w14:paraId="32EF29F6" w14:textId="526E21CD"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Investors are advised to read the </w:t>
      </w:r>
      <w:r w:rsidR="00FE627C">
        <w:rPr>
          <w:rFonts w:ascii="Verdana" w:hAnsi="Verdana" w:cstheme="minorHAnsi"/>
          <w:b w:val="0"/>
          <w:bCs/>
          <w:i/>
          <w:iCs/>
          <w:sz w:val="20"/>
          <w:szCs w:val="20"/>
          <w:lang w:val="en-ZA"/>
        </w:rPr>
        <w:t>Prospectus</w:t>
      </w:r>
      <w:r w:rsidRPr="00A853C1">
        <w:rPr>
          <w:rFonts w:ascii="Verdana" w:hAnsi="Verdana" w:cstheme="minorHAnsi"/>
          <w:b w:val="0"/>
          <w:bCs/>
          <w:i/>
          <w:iCs/>
          <w:sz w:val="20"/>
          <w:szCs w:val="20"/>
          <w:lang w:val="en-ZA"/>
        </w:rPr>
        <w:t>, which contain</w:t>
      </w:r>
      <w:r w:rsidR="00FE627C">
        <w:rPr>
          <w:rFonts w:ascii="Verdana" w:hAnsi="Verdana" w:cstheme="minorHAnsi"/>
          <w:b w:val="0"/>
          <w:bCs/>
          <w:i/>
          <w:iCs/>
          <w:sz w:val="20"/>
          <w:szCs w:val="20"/>
          <w:lang w:val="en-ZA"/>
        </w:rPr>
        <w:t>s</w:t>
      </w:r>
      <w:r w:rsidRPr="00A853C1">
        <w:rPr>
          <w:rFonts w:ascii="Verdana" w:hAnsi="Verdana" w:cstheme="minorHAnsi"/>
          <w:b w:val="0"/>
          <w:bCs/>
          <w:i/>
          <w:iCs/>
          <w:sz w:val="20"/>
          <w:szCs w:val="20"/>
          <w:lang w:val="en-ZA"/>
        </w:rPr>
        <w:t xml:space="preserve"> the terms and conditions of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with care and in full. Any decision to implement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or analysis of and/or </w:t>
      </w:r>
      <w:r w:rsidR="00EC5110" w:rsidRPr="00A853C1">
        <w:rPr>
          <w:rFonts w:ascii="Verdana" w:hAnsi="Verdana" w:cstheme="minorHAnsi"/>
          <w:b w:val="0"/>
          <w:bCs/>
          <w:i/>
          <w:iCs/>
          <w:sz w:val="20"/>
          <w:szCs w:val="20"/>
          <w:lang w:val="en-ZA"/>
        </w:rPr>
        <w:t xml:space="preserve">acceptance and/or </w:t>
      </w:r>
      <w:r w:rsidRPr="00A853C1">
        <w:rPr>
          <w:rFonts w:ascii="Verdana" w:hAnsi="Verdana" w:cstheme="minorHAnsi"/>
          <w:b w:val="0"/>
          <w:bCs/>
          <w:i/>
          <w:iCs/>
          <w:sz w:val="20"/>
          <w:szCs w:val="20"/>
          <w:lang w:val="en-ZA"/>
        </w:rPr>
        <w:t xml:space="preserve">election in respect of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and/or other matters dealt with in the </w:t>
      </w:r>
      <w:r w:rsidR="00FE627C">
        <w:rPr>
          <w:rFonts w:ascii="Verdana" w:hAnsi="Verdana" w:cstheme="minorHAnsi"/>
          <w:b w:val="0"/>
          <w:bCs/>
          <w:i/>
          <w:iCs/>
          <w:sz w:val="20"/>
          <w:szCs w:val="20"/>
          <w:lang w:val="en-ZA"/>
        </w:rPr>
        <w:t xml:space="preserve">Prospectus </w:t>
      </w:r>
      <w:r w:rsidRPr="00A853C1">
        <w:rPr>
          <w:rFonts w:ascii="Verdana" w:hAnsi="Verdana" w:cstheme="minorHAnsi"/>
          <w:b w:val="0"/>
          <w:bCs/>
          <w:i/>
          <w:iCs/>
          <w:sz w:val="20"/>
          <w:szCs w:val="20"/>
          <w:lang w:val="en-ZA"/>
        </w:rPr>
        <w:t xml:space="preserve">should be made only </w:t>
      </w:r>
      <w:proofErr w:type="gramStart"/>
      <w:r w:rsidRPr="00A853C1">
        <w:rPr>
          <w:rFonts w:ascii="Verdana" w:hAnsi="Verdana" w:cstheme="minorHAnsi"/>
          <w:b w:val="0"/>
          <w:bCs/>
          <w:i/>
          <w:iCs/>
          <w:sz w:val="20"/>
          <w:szCs w:val="20"/>
          <w:lang w:val="en-ZA"/>
        </w:rPr>
        <w:t>on the basis of</w:t>
      </w:r>
      <w:proofErr w:type="gramEnd"/>
      <w:r w:rsidRPr="00A853C1">
        <w:rPr>
          <w:rFonts w:ascii="Verdana" w:hAnsi="Verdana" w:cstheme="minorHAnsi"/>
          <w:b w:val="0"/>
          <w:bCs/>
          <w:i/>
          <w:iCs/>
          <w:sz w:val="20"/>
          <w:szCs w:val="20"/>
          <w:lang w:val="en-ZA"/>
        </w:rPr>
        <w:t xml:space="preserve"> such information. </w:t>
      </w:r>
    </w:p>
    <w:p w14:paraId="1C298BE0" w14:textId="6F358EF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Application will be made for </w:t>
      </w:r>
      <w:proofErr w:type="gramStart"/>
      <w:r w:rsidRPr="00A853C1">
        <w:rPr>
          <w:rFonts w:ascii="Verdana" w:hAnsi="Verdana" w:cstheme="minorHAnsi"/>
          <w:b w:val="0"/>
          <w:bCs/>
          <w:i/>
          <w:iCs/>
          <w:sz w:val="20"/>
          <w:szCs w:val="20"/>
          <w:lang w:val="en-ZA"/>
        </w:rPr>
        <w:t>all of</w:t>
      </w:r>
      <w:proofErr w:type="gramEnd"/>
      <w:r w:rsidRPr="00A853C1">
        <w:rPr>
          <w:rFonts w:ascii="Verdana" w:hAnsi="Verdana" w:cstheme="minorHAnsi"/>
          <w:b w:val="0"/>
          <w:bCs/>
          <w:i/>
          <w:iCs/>
          <w:sz w:val="20"/>
          <w:szCs w:val="20"/>
          <w:lang w:val="en-ZA"/>
        </w:rPr>
        <w:t xml:space="preserve"> the Prosus Ordinary Shares N proposed to be issued pursuant to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to be admitted to listing and trading on the AEX and on the Main Board of the JSE and A2X Markets. The </w:t>
      </w:r>
      <w:r w:rsidR="00FE627C">
        <w:rPr>
          <w:rFonts w:ascii="Verdana" w:hAnsi="Verdana" w:cstheme="minorHAnsi"/>
          <w:b w:val="0"/>
          <w:bCs/>
          <w:i/>
          <w:iCs/>
          <w:sz w:val="20"/>
          <w:szCs w:val="20"/>
          <w:lang w:val="en-ZA"/>
        </w:rPr>
        <w:t xml:space="preserve">Prospectus </w:t>
      </w:r>
      <w:r w:rsidRPr="00A853C1">
        <w:rPr>
          <w:rFonts w:ascii="Verdana" w:hAnsi="Verdana" w:cstheme="minorHAnsi"/>
          <w:b w:val="0"/>
          <w:bCs/>
          <w:i/>
          <w:iCs/>
          <w:sz w:val="20"/>
          <w:szCs w:val="20"/>
          <w:lang w:val="en-ZA"/>
        </w:rPr>
        <w:t xml:space="preserve">to be issued by Prosus in respect of, among other things,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will be made available in due course, subject to applicable securities laws, on </w:t>
      </w:r>
      <w:hyperlink r:id="rId19" w:history="1">
        <w:r w:rsidRPr="00A853C1">
          <w:rPr>
            <w:rFonts w:ascii="Verdana" w:hAnsi="Verdana"/>
            <w:sz w:val="20"/>
            <w:szCs w:val="20"/>
          </w:rPr>
          <w:t>www.prosus.com</w:t>
        </w:r>
      </w:hyperlink>
      <w:r w:rsidRPr="00C42E21">
        <w:rPr>
          <w:rFonts w:ascii="Verdana" w:hAnsi="Verdana" w:cstheme="minorHAnsi"/>
          <w:b w:val="0"/>
          <w:bCs/>
          <w:i/>
          <w:iCs/>
          <w:sz w:val="20"/>
          <w:szCs w:val="20"/>
          <w:lang w:val="en-ZA"/>
        </w:rPr>
        <w:t>. Investors should have regard to the</w:t>
      </w:r>
      <w:r w:rsidR="00FE627C">
        <w:rPr>
          <w:rFonts w:ascii="Verdana" w:hAnsi="Verdana" w:cstheme="minorHAnsi"/>
          <w:b w:val="0"/>
          <w:bCs/>
          <w:i/>
          <w:iCs/>
          <w:sz w:val="20"/>
          <w:szCs w:val="20"/>
          <w:lang w:val="en-ZA"/>
        </w:rPr>
        <w:t xml:space="preserve"> Prospectus </w:t>
      </w:r>
      <w:r w:rsidRPr="00C42E21">
        <w:rPr>
          <w:rFonts w:ascii="Verdana" w:hAnsi="Verdana" w:cstheme="minorHAnsi"/>
          <w:b w:val="0"/>
          <w:bCs/>
          <w:i/>
          <w:iCs/>
          <w:sz w:val="20"/>
          <w:szCs w:val="20"/>
          <w:lang w:val="en-ZA"/>
        </w:rPr>
        <w:t xml:space="preserve">before deciding to elect to participate in the </w:t>
      </w:r>
      <w:r w:rsidR="00FE627C">
        <w:rPr>
          <w:rFonts w:ascii="Verdana" w:hAnsi="Verdana" w:cstheme="minorHAnsi"/>
          <w:b w:val="0"/>
          <w:bCs/>
          <w:i/>
          <w:iCs/>
          <w:sz w:val="20"/>
          <w:szCs w:val="20"/>
          <w:lang w:val="en-ZA"/>
        </w:rPr>
        <w:t>Exchange Offer</w:t>
      </w:r>
      <w:r w:rsidRPr="00C42E21">
        <w:rPr>
          <w:rFonts w:ascii="Verdana" w:hAnsi="Verdana" w:cstheme="minorHAnsi"/>
          <w:b w:val="0"/>
          <w:bCs/>
          <w:i/>
          <w:iCs/>
          <w:sz w:val="20"/>
          <w:szCs w:val="20"/>
          <w:lang w:val="en-ZA"/>
        </w:rPr>
        <w:t xml:space="preserve">. </w:t>
      </w:r>
    </w:p>
    <w:p w14:paraId="00E7CB1F" w14:textId="73D7F4F8"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Any financial adviser of Prosus is acting exclusively for Prosus and no one else in connection with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No financial adviser will regard any other person as its client in relation to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and will not be responsible to anyone other than Prosus for providing the protections afforded to its client nor for giving advice in relation to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or any other transaction or arrangement referred to in this announcement. </w:t>
      </w:r>
    </w:p>
    <w:p w14:paraId="57682752"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No representation or warranty, express or implied, is made or given, and no responsibility is accepted, by or on behalf of any financial adviser or any of its affiliates or any of its respective directors, officers or employees or any other person, as to the accuracy, completeness, fairness or verification of the information or opinions contained this announcement and nothing contained in this announcement is, or shall be relied upon as, a promise or representation by any financial adviser or any of their respective affiliates as to the past or future. Accordingly, any financial advisers and its affiliates and respective directors, officers </w:t>
      </w:r>
      <w:r w:rsidRPr="00A853C1">
        <w:rPr>
          <w:rFonts w:ascii="Verdana" w:hAnsi="Verdana" w:cstheme="minorHAnsi"/>
          <w:b w:val="0"/>
          <w:bCs/>
          <w:i/>
          <w:iCs/>
          <w:sz w:val="20"/>
          <w:szCs w:val="20"/>
          <w:lang w:val="en-ZA"/>
        </w:rPr>
        <w:lastRenderedPageBreak/>
        <w:t>and employees disclaim, to the fullest extent permitted by applicable law, all and any liability, whether arising in tort or contract or that they might otherwise be found to have in respect of this announcement and/or any such statement.</w:t>
      </w:r>
    </w:p>
    <w:p w14:paraId="51B9646F"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Nothing contained in this announcement constitutes, or is intended to constitute, investment, tax, legal, accounting or other professional advice.</w:t>
      </w:r>
    </w:p>
    <w:p w14:paraId="504ECDFD"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Forward-looking statements </w:t>
      </w:r>
    </w:p>
    <w:p w14:paraId="7A4150AD" w14:textId="5F87408B"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This announcement contains statements about Prosus and/or Naspers that are, or may be, forward-looking statements. All statements (other than statements of historical fact) are, or may be deemed to be, forward-looking statements, including, without limitation, those concerning: strategy; the economic outlook for the industries in which Prosus and/or Naspers operates or invests as well as markets generally; production; cash costs and other operating results; growth prospects and outlook for operations and/or investments, individually or in the aggregate; liquidity, capital resources and expenditure, statements in relation to the approval by shareholders or implementation of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and/or the benefits of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These forward-looking statements are not based on historical facts, but rather reflect current expectations concerning future results and events and generally may be identified by the use of forward-looking words or phrases such as "believe", "aim", "expect", "anticipate", "intend", "foresee", "forecast", "likely", "should", "planned", "may", "estimated", "potential" or similar words and phrases. Examples of forward-looking statements include statements regarding a future financial position or future profits, cash flows, corporate strategy, implementation of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and/or the benefits of the </w:t>
      </w:r>
      <w:r w:rsidR="00FE627C">
        <w:rPr>
          <w:rFonts w:ascii="Verdana" w:hAnsi="Verdana" w:cstheme="minorHAnsi"/>
          <w:b w:val="0"/>
          <w:bCs/>
          <w:i/>
          <w:iCs/>
          <w:sz w:val="20"/>
          <w:szCs w:val="20"/>
          <w:lang w:val="en-ZA"/>
        </w:rPr>
        <w:t>Exchange Offer</w:t>
      </w:r>
      <w:r w:rsidRPr="00A853C1">
        <w:rPr>
          <w:rFonts w:ascii="Verdana" w:hAnsi="Verdana" w:cstheme="minorHAnsi"/>
          <w:b w:val="0"/>
          <w:bCs/>
          <w:i/>
          <w:iCs/>
          <w:sz w:val="20"/>
          <w:szCs w:val="20"/>
          <w:lang w:val="en-ZA"/>
        </w:rPr>
        <w:t xml:space="preserve">, anticipated levels of growth, estimates of capital expenditures, acquisition and investment strategy, expansion prospects or future capital expenditure levels and other economic factors, such as, among others, growth and interest rates. </w:t>
      </w:r>
    </w:p>
    <w:p w14:paraId="36C10106"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By their nature, forward-looking statements involve known and unknown risks and uncertainties because they relate to events and depend on circumstances that may or may not occur in the future. Prosus cautions that forward-looking statements are not guarantees of future performance. Actual results, financial and operating conditions, returns and the developments within the industries and markets in which Prosus and/or Naspers operates and/or invests may differ materially from those made in, or suggested by, the forward-looking statements contained in this announcement. All these forward-looking statements are based on estimates, predictions and assumptions, as regards Prosus or Naspers, all of which estimates, predictions and assumptions, although Prosus believes them to be reasonable, are inherently uncertain and may not eventuate or eventuate in the manner Prosus expects. Factors which may cause the actual results, performance or achievements to be materially different from any future results, performance or achievements expressed or implied in those statements or assumptions include matters not yet known to Prosus or not currently considered material by Prosus. </w:t>
      </w:r>
    </w:p>
    <w:p w14:paraId="2551068B" w14:textId="77777777" w:rsidR="00AB08E7" w:rsidRPr="00A853C1" w:rsidRDefault="00AB08E7" w:rsidP="00AB08E7">
      <w:pPr>
        <w:pStyle w:val="WWHeading1"/>
        <w:keepNext w:val="0"/>
        <w:numPr>
          <w:ilvl w:val="0"/>
          <w:numId w:val="0"/>
        </w:numPr>
        <w:spacing w:line="240" w:lineRule="auto"/>
        <w:rPr>
          <w:rFonts w:ascii="Verdana" w:hAnsi="Verdana" w:cstheme="minorHAnsi"/>
          <w:b w:val="0"/>
          <w:bCs/>
          <w:i/>
          <w:iCs/>
          <w:sz w:val="20"/>
          <w:szCs w:val="20"/>
          <w:lang w:val="en-ZA"/>
        </w:rPr>
      </w:pPr>
      <w:r w:rsidRPr="00A853C1">
        <w:rPr>
          <w:rFonts w:ascii="Verdana" w:hAnsi="Verdana" w:cstheme="minorHAnsi"/>
          <w:b w:val="0"/>
          <w:bCs/>
          <w:i/>
          <w:iCs/>
          <w:sz w:val="20"/>
          <w:szCs w:val="20"/>
          <w:lang w:val="en-ZA"/>
        </w:rPr>
        <w:t xml:space="preserve">Investors should keep in mind that any forward-looking statement made in this announcement or elsewhere is applicable only at the date on which such forward-looking statement is made. New factors that could cause the business of Prosus or Naspers not to develop as expected may emerge from time to time and it is not possible to predict all of them. Further, the extent to which any factor or combination of factors may cause actual results, performance or achievement to differ materially from those contained in any forward-looking statement is not known. Prosus has no duty to, and does not intend to, update or revise the forward-looking statements contained in this announcement or any other information herein, except as may be required by law. Any forward-looking statement has not been reviewed nor reported on by Prosus's external auditor or any other expert. </w:t>
      </w:r>
    </w:p>
    <w:p w14:paraId="1C7FAF33" w14:textId="053048A1" w:rsidR="00130E7F" w:rsidRPr="00A853C1" w:rsidRDefault="00130E7F" w:rsidP="000E011B">
      <w:pPr>
        <w:numPr>
          <w:ilvl w:val="0"/>
          <w:numId w:val="11"/>
        </w:numPr>
        <w:suppressAutoHyphens w:val="0"/>
        <w:spacing w:before="240"/>
        <w:jc w:val="both"/>
        <w:rPr>
          <w:rFonts w:ascii="Verdana" w:hAnsi="Verdana"/>
          <w:color w:val="000000"/>
          <w:sz w:val="20"/>
          <w:szCs w:val="20"/>
        </w:rPr>
      </w:pPr>
    </w:p>
    <w:sectPr w:rsidR="00130E7F" w:rsidRPr="00A853C1" w:rsidSect="00A441F7">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5EE28" w14:textId="77777777" w:rsidR="00F86775" w:rsidRDefault="00F86775">
      <w:r>
        <w:separator/>
      </w:r>
    </w:p>
  </w:endnote>
  <w:endnote w:type="continuationSeparator" w:id="0">
    <w:p w14:paraId="1944845F" w14:textId="77777777" w:rsidR="00F86775" w:rsidRDefault="00F86775">
      <w:r>
        <w:continuationSeparator/>
      </w:r>
    </w:p>
  </w:endnote>
  <w:endnote w:type="continuationNotice" w:id="1">
    <w:p w14:paraId="5EF10D56" w14:textId="77777777" w:rsidR="00F86775" w:rsidRDefault="00F86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C 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0644" w14:textId="77777777" w:rsidR="00B0595D" w:rsidRDefault="00B0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F704" w14:textId="77777777" w:rsidR="00055403" w:rsidRPr="00904864" w:rsidRDefault="00055403" w:rsidP="000431FD">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2ECB" w14:textId="77777777" w:rsidR="00B0595D" w:rsidRDefault="00B0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64CD2" w14:textId="77777777" w:rsidR="00F86775" w:rsidRDefault="00F86775" w:rsidP="00026608">
      <w:pPr>
        <w:spacing w:after="60"/>
      </w:pPr>
      <w:r>
        <w:separator/>
      </w:r>
    </w:p>
  </w:footnote>
  <w:footnote w:type="continuationSeparator" w:id="0">
    <w:p w14:paraId="4ECC5395" w14:textId="77777777" w:rsidR="00F86775" w:rsidRDefault="00F86775" w:rsidP="00EA6D1E">
      <w:pPr>
        <w:spacing w:after="60"/>
      </w:pPr>
      <w:r>
        <w:continuationSeparator/>
      </w:r>
    </w:p>
  </w:footnote>
  <w:footnote w:type="continuationNotice" w:id="1">
    <w:p w14:paraId="540263C6" w14:textId="77777777" w:rsidR="00F86775" w:rsidRDefault="00F86775" w:rsidP="00EA6D1E">
      <w:pPr>
        <w:spacing w:after="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7132" w14:textId="77777777" w:rsidR="00B0595D" w:rsidRDefault="00B05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6928" w14:textId="7325C126" w:rsidR="00055403" w:rsidRPr="00462D6F" w:rsidRDefault="00055403" w:rsidP="00A441F7">
    <w:pPr>
      <w:pStyle w:val="Header"/>
      <w:tabs>
        <w:tab w:val="clear" w:pos="4253"/>
        <w:tab w:val="clear" w:pos="8505"/>
        <w:tab w:val="right" w:pos="9356"/>
      </w:tabs>
      <w:rPr>
        <w:rStyle w:val="Filename"/>
      </w:rPr>
    </w:pPr>
    <w:r>
      <w:rPr>
        <w:rStyle w:val="Filename"/>
      </w:rPr>
      <w:tab/>
    </w:r>
    <w:r>
      <w:rPr>
        <w:rStyle w:val="PageNumber"/>
      </w:rPr>
      <w:fldChar w:fldCharType="begin"/>
    </w:r>
    <w:r>
      <w:rPr>
        <w:rStyle w:val="PageNumber"/>
      </w:rPr>
      <w:instrText xml:space="preserve"> PAGE </w:instrText>
    </w:r>
    <w:r>
      <w:rPr>
        <w:rStyle w:val="PageNumber"/>
      </w:rPr>
      <w:fldChar w:fldCharType="separate"/>
    </w:r>
    <w:r w:rsidR="003728EC">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B881" w14:textId="6DB0D0BC" w:rsidR="00055403" w:rsidRPr="00E85882" w:rsidRDefault="00055403" w:rsidP="00973F71">
    <w:pPr>
      <w:pStyle w:val="Header"/>
      <w:tabs>
        <w:tab w:val="clear" w:pos="4253"/>
      </w:tabs>
      <w:rPr>
        <w:rStyle w:val="Filename"/>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11F2"/>
    <w:multiLevelType w:val="multilevel"/>
    <w:tmpl w:val="B4C81384"/>
    <w:lvl w:ilvl="0">
      <w:start w:val="1"/>
      <w:numFmt w:val="bullet"/>
      <w:lvlRestart w:val="0"/>
      <w:pStyle w:val="BulletL1"/>
      <w:lvlText w:val="·"/>
      <w:lvlJc w:val="left"/>
      <w:pPr>
        <w:tabs>
          <w:tab w:val="num" w:pos="360"/>
        </w:tabs>
        <w:ind w:left="360" w:hanging="360"/>
      </w:pPr>
      <w:rPr>
        <w:rFonts w:ascii="Symbol" w:hAnsi="Symbol" w:hint="default"/>
      </w:rPr>
    </w:lvl>
    <w:lvl w:ilvl="1">
      <w:start w:val="1"/>
      <w:numFmt w:val="bullet"/>
      <w:lvlRestart w:val="0"/>
      <w:pStyle w:val="BulletL2"/>
      <w:lvlText w:val="·"/>
      <w:lvlJc w:val="left"/>
      <w:pPr>
        <w:tabs>
          <w:tab w:val="num" w:pos="720"/>
        </w:tabs>
        <w:ind w:left="720" w:hanging="360"/>
      </w:pPr>
      <w:rPr>
        <w:rFonts w:ascii="Symbol" w:hAnsi="Symbol" w:hint="default"/>
      </w:rPr>
    </w:lvl>
    <w:lvl w:ilvl="2">
      <w:start w:val="1"/>
      <w:numFmt w:val="bullet"/>
      <w:lvlRestart w:val="0"/>
      <w:pStyle w:val="BulletL3"/>
      <w:lvlText w:val="·"/>
      <w:lvlJc w:val="left"/>
      <w:pPr>
        <w:ind w:left="1440" w:hanging="720"/>
      </w:pPr>
      <w:rPr>
        <w:rFonts w:ascii="Symbol" w:hAnsi="Symbol" w:hint="default"/>
      </w:rPr>
    </w:lvl>
    <w:lvl w:ilvl="3">
      <w:start w:val="1"/>
      <w:numFmt w:val="bullet"/>
      <w:lvlRestart w:val="0"/>
      <w:pStyle w:val="BulletL4"/>
      <w:lvlText w:val="○"/>
      <w:lvlJc w:val="left"/>
      <w:pPr>
        <w:tabs>
          <w:tab w:val="num" w:pos="2160"/>
        </w:tabs>
        <w:ind w:left="2160" w:hanging="360"/>
      </w:pPr>
      <w:rPr>
        <w:rFonts w:ascii="Times New Roman" w:hAnsi="Times New Roman" w:cs="Times New Roman" w:hint="default"/>
      </w:rPr>
    </w:lvl>
    <w:lvl w:ilvl="4">
      <w:start w:val="1"/>
      <w:numFmt w:val="bullet"/>
      <w:lvlRestart w:val="0"/>
      <w:pStyle w:val="BulletL5"/>
      <w:lvlText w:val="·"/>
      <w:lvlJc w:val="left"/>
      <w:pPr>
        <w:ind w:left="2160" w:hanging="720"/>
      </w:pPr>
      <w:rPr>
        <w:rFonts w:ascii="Symbol" w:hAnsi="Symbol" w:hint="default"/>
      </w:rPr>
    </w:lvl>
    <w:lvl w:ilvl="5">
      <w:start w:val="1"/>
      <w:numFmt w:val="bullet"/>
      <w:lvlRestart w:val="0"/>
      <w:pStyle w:val="BulletL6"/>
      <w:lvlText w:val="-"/>
      <w:lvlJc w:val="left"/>
      <w:pPr>
        <w:ind w:left="2160" w:hanging="720"/>
      </w:pPr>
      <w:rPr>
        <w:rFonts w:ascii="Symbol" w:hAnsi="Symbol" w:hint="default"/>
      </w:rPr>
    </w:lvl>
    <w:lvl w:ilvl="6">
      <w:start w:val="1"/>
      <w:numFmt w:val="bullet"/>
      <w:lvlRestart w:val="0"/>
      <w:pStyle w:val="BulletL7"/>
      <w:lvlText w:val="·"/>
      <w:lvlJc w:val="left"/>
      <w:pPr>
        <w:ind w:left="2880" w:hanging="720"/>
      </w:pPr>
      <w:rPr>
        <w:rFonts w:ascii="Symbol" w:hAnsi="Symbol" w:hint="default"/>
      </w:rPr>
    </w:lvl>
    <w:lvl w:ilvl="7">
      <w:start w:val="1"/>
      <w:numFmt w:val="bullet"/>
      <w:lvlRestart w:val="0"/>
      <w:pStyle w:val="BulletL8"/>
      <w:lvlText w:val="-"/>
      <w:lvlJc w:val="left"/>
      <w:pPr>
        <w:ind w:left="2880" w:hanging="720"/>
      </w:pPr>
      <w:rPr>
        <w:rFonts w:ascii="Symbol" w:hAnsi="Symbol" w:hint="default"/>
      </w:rPr>
    </w:lvl>
    <w:lvl w:ilvl="8">
      <w:start w:val="1"/>
      <w:numFmt w:val="bullet"/>
      <w:lvlRestart w:val="0"/>
      <w:pStyle w:val="BulletL9"/>
      <w:lvlText w:val="·"/>
      <w:lvlJc w:val="left"/>
      <w:pPr>
        <w:ind w:left="3600" w:hanging="720"/>
      </w:pPr>
      <w:rPr>
        <w:rFonts w:ascii="Symbol" w:hAnsi="Symbol" w:hint="default"/>
      </w:rPr>
    </w:lvl>
  </w:abstractNum>
  <w:abstractNum w:abstractNumId="2"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B6D5612"/>
    <w:multiLevelType w:val="multilevel"/>
    <w:tmpl w:val="1610DFD8"/>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AnnexList7"/>
      <w:lvlText w:val="%1.%2.%3.%4.%5.%6.%7"/>
      <w:lvlJc w:val="left"/>
      <w:pPr>
        <w:tabs>
          <w:tab w:val="num" w:pos="3572"/>
        </w:tabs>
        <w:ind w:left="3572" w:hanging="3572"/>
      </w:pPr>
      <w:rPr>
        <w:rFonts w:hint="default"/>
        <w:b w:val="0"/>
        <w:i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536A81"/>
    <w:multiLevelType w:val="multilevel"/>
    <w:tmpl w:val="9042AC90"/>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7"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51C0287"/>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0" w15:restartNumberingAfterBreak="0">
    <w:nsid w:val="4A7B1789"/>
    <w:multiLevelType w:val="multilevel"/>
    <w:tmpl w:val="D33C3716"/>
    <w:lvl w:ilvl="0">
      <w:start w:val="1"/>
      <w:numFmt w:val="decimal"/>
      <w:pStyle w:val="WWHeading1"/>
      <w:lvlText w:val="%1."/>
      <w:lvlJc w:val="left"/>
      <w:pPr>
        <w:tabs>
          <w:tab w:val="num" w:pos="567"/>
        </w:tabs>
        <w:ind w:left="567" w:hanging="567"/>
      </w:pPr>
      <w:rPr>
        <w:rFonts w:cs="Times New Roman" w:hint="default"/>
        <w:b w:val="0"/>
        <w:i w:val="0"/>
      </w:rPr>
    </w:lvl>
    <w:lvl w:ilvl="1">
      <w:start w:val="1"/>
      <w:numFmt w:val="bullet"/>
      <w:pStyle w:val="WWHeading2"/>
      <w:lvlText w:val=""/>
      <w:lvlJc w:val="left"/>
      <w:pPr>
        <w:ind w:left="360" w:hanging="360"/>
      </w:pPr>
      <w:rPr>
        <w:rFonts w:ascii="Symbol" w:hAnsi="Symbol"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1"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E4B4E3E"/>
    <w:multiLevelType w:val="multilevel"/>
    <w:tmpl w:val="C4661A3C"/>
    <w:name w:val="AOHead"/>
    <w:lvl w:ilvl="0">
      <w:start w:val="1"/>
      <w:numFmt w:val="decimal"/>
      <w:pStyle w:val="AOHead1"/>
      <w:lvlText w:val="%1."/>
      <w:lvlJc w:val="left"/>
      <w:pPr>
        <w:tabs>
          <w:tab w:val="num" w:pos="720"/>
        </w:tabs>
        <w:ind w:left="720" w:hanging="720"/>
      </w:pPr>
      <w:rPr>
        <w:lang w:val="en-G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5E04034B"/>
    <w:multiLevelType w:val="multilevel"/>
    <w:tmpl w:val="8A1A7456"/>
    <w:name w:val="ClientNum1"/>
    <w:lvl w:ilvl="0">
      <w:start w:val="1"/>
      <w:numFmt w:val="decimal"/>
      <w:lvlRestart w:val="0"/>
      <w:pStyle w:val="Num1L1"/>
      <w:lvlText w:val="%1."/>
      <w:lvlJc w:val="left"/>
      <w:pPr>
        <w:ind w:left="720" w:hanging="720"/>
      </w:pPr>
      <w:rPr>
        <w:rFonts w:hint="default"/>
      </w:rPr>
    </w:lvl>
    <w:lvl w:ilvl="1">
      <w:start w:val="1"/>
      <w:numFmt w:val="decimal"/>
      <w:pStyle w:val="Num1L2"/>
      <w:lvlText w:val="%1.%2"/>
      <w:lvlJc w:val="left"/>
      <w:pPr>
        <w:ind w:left="720" w:hanging="720"/>
      </w:pPr>
      <w:rPr>
        <w:rFonts w:hint="default"/>
      </w:rPr>
    </w:lvl>
    <w:lvl w:ilvl="2">
      <w:start w:val="1"/>
      <w:numFmt w:val="decimal"/>
      <w:pStyle w:val="Num1L3"/>
      <w:lvlText w:val="%1.%3"/>
      <w:lvlJc w:val="left"/>
      <w:pPr>
        <w:ind w:left="1440" w:hanging="720"/>
      </w:pPr>
      <w:rPr>
        <w:rFonts w:hint="default"/>
      </w:rPr>
    </w:lvl>
    <w:lvl w:ilvl="3">
      <w:start w:val="1"/>
      <w:numFmt w:val="lowerLetter"/>
      <w:pStyle w:val="Num1L4"/>
      <w:lvlText w:val="(%4)"/>
      <w:lvlJc w:val="left"/>
      <w:pPr>
        <w:ind w:left="1440" w:hanging="720"/>
      </w:pPr>
      <w:rPr>
        <w:rFonts w:hint="default"/>
      </w:rPr>
    </w:lvl>
    <w:lvl w:ilvl="4">
      <w:start w:val="1"/>
      <w:numFmt w:val="lowerLetter"/>
      <w:pStyle w:val="Num1L5"/>
      <w:lvlText w:val="(%5)"/>
      <w:lvlJc w:val="left"/>
      <w:pPr>
        <w:ind w:left="2160" w:hanging="720"/>
      </w:pPr>
      <w:rPr>
        <w:rFonts w:hint="default"/>
      </w:rPr>
    </w:lvl>
    <w:lvl w:ilvl="5">
      <w:start w:val="1"/>
      <w:numFmt w:val="lowerRoman"/>
      <w:pStyle w:val="Num1L6"/>
      <w:lvlText w:val="(%6)"/>
      <w:lvlJc w:val="left"/>
      <w:pPr>
        <w:ind w:left="2160" w:hanging="720"/>
      </w:pPr>
      <w:rPr>
        <w:rFonts w:hint="default"/>
      </w:rPr>
    </w:lvl>
    <w:lvl w:ilvl="6">
      <w:start w:val="1"/>
      <w:numFmt w:val="lowerRoman"/>
      <w:pStyle w:val="Num1L7"/>
      <w:lvlText w:val="(%7)"/>
      <w:lvlJc w:val="left"/>
      <w:pPr>
        <w:ind w:left="2880" w:hanging="720"/>
      </w:pPr>
      <w:rPr>
        <w:rFonts w:hint="default"/>
      </w:rPr>
    </w:lvl>
    <w:lvl w:ilvl="7">
      <w:start w:val="1"/>
      <w:numFmt w:val="upperLetter"/>
      <w:pStyle w:val="Num1L8"/>
      <w:lvlText w:val="(%8)"/>
      <w:lvlJc w:val="left"/>
      <w:pPr>
        <w:ind w:left="2880" w:hanging="720"/>
      </w:pPr>
      <w:rPr>
        <w:rFonts w:hint="default"/>
      </w:rPr>
    </w:lvl>
    <w:lvl w:ilvl="8">
      <w:start w:val="1"/>
      <w:numFmt w:val="upperLetter"/>
      <w:pStyle w:val="Num1L9"/>
      <w:lvlText w:val="(%9)"/>
      <w:lvlJc w:val="left"/>
      <w:pPr>
        <w:ind w:left="3600" w:hanging="720"/>
      </w:pPr>
      <w:rPr>
        <w:rFonts w:hint="default"/>
      </w:rPr>
    </w:lvl>
  </w:abstractNum>
  <w:abstractNum w:abstractNumId="14" w15:restartNumberingAfterBreak="0">
    <w:nsid w:val="65221AA2"/>
    <w:multiLevelType w:val="hybridMultilevel"/>
    <w:tmpl w:val="3AE011E6"/>
    <w:lvl w:ilvl="0" w:tplc="6C740F46">
      <w:numFmt w:val="bullet"/>
      <w:lvlText w:val="-"/>
      <w:lvlJc w:val="left"/>
      <w:pPr>
        <w:ind w:left="927" w:hanging="360"/>
      </w:pPr>
      <w:rPr>
        <w:rFonts w:ascii="Calibri" w:eastAsia="Times New Roman" w:hAnsi="Calibri" w:cs="Calibri" w:hint="default"/>
      </w:rPr>
    </w:lvl>
    <w:lvl w:ilvl="1" w:tplc="FEBCFB42">
      <w:start w:val="1"/>
      <w:numFmt w:val="lowerLetter"/>
      <w:lvlText w:val="(%2)"/>
      <w:lvlJc w:val="left"/>
      <w:pPr>
        <w:ind w:left="1352" w:hanging="360"/>
      </w:pPr>
      <w:rPr>
        <w:rFonts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6DA103F"/>
    <w:multiLevelType w:val="multilevel"/>
    <w:tmpl w:val="CC6CFCEA"/>
    <w:name w:val="ClientDef"/>
    <w:lvl w:ilvl="0">
      <w:start w:val="1"/>
      <w:numFmt w:val="none"/>
      <w:lvlRestart w:val="0"/>
      <w:pStyle w:val="DefHead"/>
      <w:suff w:val="nothing"/>
      <w:lvlText w:val=""/>
      <w:lvlJc w:val="left"/>
      <w:pPr>
        <w:ind w:left="0" w:firstLine="0"/>
      </w:pPr>
    </w:lvl>
    <w:lvl w:ilvl="1">
      <w:start w:val="1"/>
      <w:numFmt w:val="lowerLetter"/>
      <w:pStyle w:val="DefL1"/>
      <w:lvlText w:val="(%2)"/>
      <w:lvlJc w:val="left"/>
      <w:pPr>
        <w:ind w:left="720" w:hanging="720"/>
      </w:pPr>
    </w:lvl>
    <w:lvl w:ilvl="2">
      <w:start w:val="1"/>
      <w:numFmt w:val="lowerLetter"/>
      <w:pStyle w:val="DefL2"/>
      <w:lvlText w:val="(%3)"/>
      <w:lvlJc w:val="left"/>
      <w:pPr>
        <w:ind w:left="1440" w:hanging="720"/>
      </w:pPr>
    </w:lvl>
    <w:lvl w:ilvl="3">
      <w:start w:val="1"/>
      <w:numFmt w:val="lowerRoman"/>
      <w:pStyle w:val="DefL3"/>
      <w:lvlText w:val="(%4)"/>
      <w:lvlJc w:val="left"/>
      <w:pPr>
        <w:ind w:left="1440" w:hanging="720"/>
      </w:pPr>
    </w:lvl>
    <w:lvl w:ilvl="4">
      <w:start w:val="1"/>
      <w:numFmt w:val="lowerRoman"/>
      <w:pStyle w:val="DefL4"/>
      <w:lvlText w:val="(%5)"/>
      <w:lvlJc w:val="left"/>
      <w:pPr>
        <w:ind w:left="2160" w:hanging="720"/>
      </w:pPr>
    </w:lvl>
    <w:lvl w:ilvl="5">
      <w:start w:val="1"/>
      <w:numFmt w:val="upperLetter"/>
      <w:pStyle w:val="DefL5"/>
      <w:lvlText w:val="(%6)"/>
      <w:lvlJc w:val="left"/>
      <w:pPr>
        <w:ind w:left="2160" w:hanging="720"/>
      </w:pPr>
    </w:lvl>
    <w:lvl w:ilvl="6">
      <w:start w:val="1"/>
      <w:numFmt w:val="upperLetter"/>
      <w:pStyle w:val="DefL6"/>
      <w:lvlText w:val="(%7)"/>
      <w:lvlJc w:val="left"/>
      <w:pPr>
        <w:ind w:left="2880" w:hanging="720"/>
      </w:pPr>
    </w:lvl>
    <w:lvl w:ilvl="7">
      <w:start w:val="1"/>
      <w:numFmt w:val="upperRoman"/>
      <w:pStyle w:val="DefL7"/>
      <w:lvlText w:val="(%8)"/>
      <w:lvlJc w:val="left"/>
      <w:pPr>
        <w:ind w:left="2880" w:hanging="720"/>
      </w:pPr>
    </w:lvl>
    <w:lvl w:ilvl="8">
      <w:start w:val="1"/>
      <w:numFmt w:val="decimal"/>
      <w:pStyle w:val="DefL8"/>
      <w:lvlText w:val="(%9)"/>
      <w:lvlJc w:val="left"/>
      <w:pPr>
        <w:ind w:left="3600" w:hanging="720"/>
      </w:pPr>
    </w:lvl>
  </w:abstractNum>
  <w:abstractNum w:abstractNumId="16" w15:restartNumberingAfterBreak="0">
    <w:nsid w:val="6D8E1F75"/>
    <w:multiLevelType w:val="multilevel"/>
    <w:tmpl w:val="A46A03A8"/>
    <w:name w:val="ClientNum2"/>
    <w:lvl w:ilvl="0">
      <w:start w:val="1"/>
      <w:numFmt w:val="none"/>
      <w:lvlRestart w:val="0"/>
      <w:pStyle w:val="Num2L1"/>
      <w:suff w:val="nothing"/>
      <w:lvlText w:val=""/>
      <w:lvlJc w:val="left"/>
      <w:pPr>
        <w:ind w:left="0" w:firstLine="0"/>
      </w:pPr>
    </w:lvl>
    <w:lvl w:ilvl="1">
      <w:start w:val="1"/>
      <w:numFmt w:val="lowerLetter"/>
      <w:pStyle w:val="Num2L2"/>
      <w:lvlText w:val="(%2)"/>
      <w:lvlJc w:val="left"/>
      <w:pPr>
        <w:ind w:left="720" w:hanging="720"/>
      </w:pPr>
    </w:lvl>
    <w:lvl w:ilvl="2">
      <w:start w:val="1"/>
      <w:numFmt w:val="lowerLetter"/>
      <w:pStyle w:val="Num2L3"/>
      <w:lvlText w:val="(%3)"/>
      <w:lvlJc w:val="left"/>
      <w:pPr>
        <w:ind w:left="1440" w:hanging="720"/>
      </w:pPr>
    </w:lvl>
    <w:lvl w:ilvl="3">
      <w:start w:val="1"/>
      <w:numFmt w:val="lowerRoman"/>
      <w:pStyle w:val="Num2L4"/>
      <w:lvlText w:val="(%4)"/>
      <w:lvlJc w:val="left"/>
      <w:pPr>
        <w:ind w:left="1440" w:hanging="720"/>
      </w:pPr>
    </w:lvl>
    <w:lvl w:ilvl="4">
      <w:start w:val="1"/>
      <w:numFmt w:val="lowerRoman"/>
      <w:pStyle w:val="Num2L5"/>
      <w:lvlText w:val="(%5)"/>
      <w:lvlJc w:val="left"/>
      <w:pPr>
        <w:ind w:left="2160" w:hanging="720"/>
      </w:pPr>
    </w:lvl>
    <w:lvl w:ilvl="5">
      <w:start w:val="1"/>
      <w:numFmt w:val="upperLetter"/>
      <w:pStyle w:val="Num2L6"/>
      <w:lvlText w:val="(%6)"/>
      <w:lvlJc w:val="left"/>
      <w:pPr>
        <w:ind w:left="2160" w:hanging="720"/>
      </w:pPr>
      <w:rPr>
        <w:b/>
      </w:rPr>
    </w:lvl>
    <w:lvl w:ilvl="6">
      <w:start w:val="1"/>
      <w:numFmt w:val="upperLetter"/>
      <w:pStyle w:val="Num2L7"/>
      <w:lvlText w:val="(%7)"/>
      <w:lvlJc w:val="left"/>
      <w:pPr>
        <w:ind w:left="2880" w:hanging="720"/>
      </w:pPr>
    </w:lvl>
    <w:lvl w:ilvl="7">
      <w:start w:val="1"/>
      <w:numFmt w:val="upperRoman"/>
      <w:pStyle w:val="Num2L8"/>
      <w:lvlText w:val="(%8)"/>
      <w:lvlJc w:val="left"/>
      <w:pPr>
        <w:ind w:left="2880" w:hanging="720"/>
      </w:pPr>
    </w:lvl>
    <w:lvl w:ilvl="8">
      <w:start w:val="1"/>
      <w:numFmt w:val="decimal"/>
      <w:pStyle w:val="Num2L9"/>
      <w:lvlText w:val="(%9)"/>
      <w:lvlJc w:val="left"/>
      <w:pPr>
        <w:ind w:left="3600" w:hanging="720"/>
      </w:pPr>
    </w:lvl>
  </w:abstractNum>
  <w:abstractNum w:abstractNumId="17" w15:restartNumberingAfterBreak="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0"/>
  </w:num>
  <w:num w:numId="3">
    <w:abstractNumId w:val="5"/>
  </w:num>
  <w:num w:numId="4">
    <w:abstractNumId w:val="3"/>
  </w:num>
  <w:num w:numId="5">
    <w:abstractNumId w:val="7"/>
  </w:num>
  <w:num w:numId="6">
    <w:abstractNumId w:val="2"/>
  </w:num>
  <w:num w:numId="7">
    <w:abstractNumId w:val="10"/>
  </w:num>
  <w:num w:numId="8">
    <w:abstractNumId w:val="4"/>
  </w:num>
  <w:num w:numId="9">
    <w:abstractNumId w:val="17"/>
  </w:num>
  <w:num w:numId="10">
    <w:abstractNumId w:val="11"/>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13"/>
  </w:num>
  <w:num w:numId="16">
    <w:abstractNumId w:val="1"/>
  </w:num>
  <w:num w:numId="17">
    <w:abstractNumId w:val="15"/>
  </w:num>
  <w:num w:numId="18">
    <w:abstractNumId w:val="16"/>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lvlOverride w:ilvl="1">
      <w:startOverride w:val="1"/>
    </w:lvlOverride>
    <w:lvlOverride w:ilvl="2"/>
    <w:lvlOverride w:ilvl="3"/>
    <w:lvlOverride w:ilvl="4"/>
    <w:lvlOverride w:ilvl="5"/>
    <w:lvlOverride w:ilvl="6"/>
    <w:lvlOverride w:ilvl="7"/>
    <w:lvlOverride w:ilvl="8"/>
  </w:num>
  <w:num w:numId="55">
    <w:abstractNumId w:val="10"/>
  </w:num>
  <w:num w:numId="56">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fr-FR" w:vendorID="64" w:dllVersion="6"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1"/>
  </w:docVars>
  <w:rsids>
    <w:rsidRoot w:val="00236D2D"/>
    <w:rsid w:val="000033D9"/>
    <w:rsid w:val="00003DA3"/>
    <w:rsid w:val="000060F0"/>
    <w:rsid w:val="000063C3"/>
    <w:rsid w:val="000103D6"/>
    <w:rsid w:val="000112CC"/>
    <w:rsid w:val="000116FC"/>
    <w:rsid w:val="00012D20"/>
    <w:rsid w:val="000136A1"/>
    <w:rsid w:val="00014500"/>
    <w:rsid w:val="0001593B"/>
    <w:rsid w:val="00015AF0"/>
    <w:rsid w:val="00015B0E"/>
    <w:rsid w:val="00016533"/>
    <w:rsid w:val="000176F5"/>
    <w:rsid w:val="0002062A"/>
    <w:rsid w:val="000216BF"/>
    <w:rsid w:val="00022CB5"/>
    <w:rsid w:val="00023139"/>
    <w:rsid w:val="00023FF9"/>
    <w:rsid w:val="000250A1"/>
    <w:rsid w:val="00026608"/>
    <w:rsid w:val="00030DBD"/>
    <w:rsid w:val="00030F19"/>
    <w:rsid w:val="000323BC"/>
    <w:rsid w:val="0003357B"/>
    <w:rsid w:val="00037ABC"/>
    <w:rsid w:val="00041D37"/>
    <w:rsid w:val="0004268D"/>
    <w:rsid w:val="000431FD"/>
    <w:rsid w:val="00045300"/>
    <w:rsid w:val="00045A0E"/>
    <w:rsid w:val="00055403"/>
    <w:rsid w:val="000562A5"/>
    <w:rsid w:val="00056D38"/>
    <w:rsid w:val="00060322"/>
    <w:rsid w:val="00060370"/>
    <w:rsid w:val="000639CF"/>
    <w:rsid w:val="0006482F"/>
    <w:rsid w:val="00067145"/>
    <w:rsid w:val="00067683"/>
    <w:rsid w:val="0007072D"/>
    <w:rsid w:val="000707A5"/>
    <w:rsid w:val="0007174D"/>
    <w:rsid w:val="00072DFB"/>
    <w:rsid w:val="0007309D"/>
    <w:rsid w:val="00076698"/>
    <w:rsid w:val="000771F4"/>
    <w:rsid w:val="0007798C"/>
    <w:rsid w:val="0008078A"/>
    <w:rsid w:val="00082708"/>
    <w:rsid w:val="000861FF"/>
    <w:rsid w:val="000908A9"/>
    <w:rsid w:val="00090D4B"/>
    <w:rsid w:val="0009139F"/>
    <w:rsid w:val="000920AF"/>
    <w:rsid w:val="00093F07"/>
    <w:rsid w:val="00095F39"/>
    <w:rsid w:val="0009659D"/>
    <w:rsid w:val="000978E3"/>
    <w:rsid w:val="00097A23"/>
    <w:rsid w:val="000A19D7"/>
    <w:rsid w:val="000A3E3C"/>
    <w:rsid w:val="000A4904"/>
    <w:rsid w:val="000A4F8B"/>
    <w:rsid w:val="000A5CAB"/>
    <w:rsid w:val="000A61D5"/>
    <w:rsid w:val="000C063D"/>
    <w:rsid w:val="000C53F2"/>
    <w:rsid w:val="000C7195"/>
    <w:rsid w:val="000D3597"/>
    <w:rsid w:val="000D71F0"/>
    <w:rsid w:val="000E011B"/>
    <w:rsid w:val="000E1C38"/>
    <w:rsid w:val="000E2C7D"/>
    <w:rsid w:val="000E2D41"/>
    <w:rsid w:val="000E470A"/>
    <w:rsid w:val="000E66F3"/>
    <w:rsid w:val="000E6F90"/>
    <w:rsid w:val="000E706E"/>
    <w:rsid w:val="000E7885"/>
    <w:rsid w:val="000E78FF"/>
    <w:rsid w:val="000F0B24"/>
    <w:rsid w:val="000F0E43"/>
    <w:rsid w:val="000F4C6C"/>
    <w:rsid w:val="000F5A9E"/>
    <w:rsid w:val="000F610E"/>
    <w:rsid w:val="000F658F"/>
    <w:rsid w:val="000F7A7D"/>
    <w:rsid w:val="00100826"/>
    <w:rsid w:val="00100C6C"/>
    <w:rsid w:val="00100FAF"/>
    <w:rsid w:val="00104CBF"/>
    <w:rsid w:val="00104D82"/>
    <w:rsid w:val="00105CC9"/>
    <w:rsid w:val="001072B0"/>
    <w:rsid w:val="00107E94"/>
    <w:rsid w:val="0011002B"/>
    <w:rsid w:val="00110DA9"/>
    <w:rsid w:val="001113BE"/>
    <w:rsid w:val="00112C77"/>
    <w:rsid w:val="001160F2"/>
    <w:rsid w:val="00125C70"/>
    <w:rsid w:val="00127D8E"/>
    <w:rsid w:val="00127DB0"/>
    <w:rsid w:val="00127EA7"/>
    <w:rsid w:val="00130703"/>
    <w:rsid w:val="00130E7F"/>
    <w:rsid w:val="0013306F"/>
    <w:rsid w:val="00134D77"/>
    <w:rsid w:val="001442C6"/>
    <w:rsid w:val="00147224"/>
    <w:rsid w:val="0015314C"/>
    <w:rsid w:val="00153AA4"/>
    <w:rsid w:val="00153E53"/>
    <w:rsid w:val="001572C5"/>
    <w:rsid w:val="00160AD4"/>
    <w:rsid w:val="0016198B"/>
    <w:rsid w:val="00164F34"/>
    <w:rsid w:val="0016567E"/>
    <w:rsid w:val="00166EDB"/>
    <w:rsid w:val="001726BA"/>
    <w:rsid w:val="00172FD1"/>
    <w:rsid w:val="00174458"/>
    <w:rsid w:val="00180122"/>
    <w:rsid w:val="001835C8"/>
    <w:rsid w:val="001848B4"/>
    <w:rsid w:val="001856F1"/>
    <w:rsid w:val="001914CB"/>
    <w:rsid w:val="001920CF"/>
    <w:rsid w:val="0019230A"/>
    <w:rsid w:val="001925F4"/>
    <w:rsid w:val="0019277B"/>
    <w:rsid w:val="00193220"/>
    <w:rsid w:val="0019437B"/>
    <w:rsid w:val="00194F6E"/>
    <w:rsid w:val="00196EC3"/>
    <w:rsid w:val="001A6046"/>
    <w:rsid w:val="001A614F"/>
    <w:rsid w:val="001A6C09"/>
    <w:rsid w:val="001B43DB"/>
    <w:rsid w:val="001B4BD7"/>
    <w:rsid w:val="001B732B"/>
    <w:rsid w:val="001C07B1"/>
    <w:rsid w:val="001C1345"/>
    <w:rsid w:val="001C14C9"/>
    <w:rsid w:val="001C16A5"/>
    <w:rsid w:val="001D1E40"/>
    <w:rsid w:val="001D20C1"/>
    <w:rsid w:val="001D2BF0"/>
    <w:rsid w:val="001D3DE2"/>
    <w:rsid w:val="001D4B81"/>
    <w:rsid w:val="001D4BB4"/>
    <w:rsid w:val="001D685A"/>
    <w:rsid w:val="001D74B9"/>
    <w:rsid w:val="001E052D"/>
    <w:rsid w:val="001E0A55"/>
    <w:rsid w:val="001E0DB1"/>
    <w:rsid w:val="001E1B8C"/>
    <w:rsid w:val="001E51ED"/>
    <w:rsid w:val="001E6B86"/>
    <w:rsid w:val="001F0C46"/>
    <w:rsid w:val="001F1CFD"/>
    <w:rsid w:val="001F2497"/>
    <w:rsid w:val="001F7DD7"/>
    <w:rsid w:val="00201676"/>
    <w:rsid w:val="00201FA4"/>
    <w:rsid w:val="0020377D"/>
    <w:rsid w:val="00206AE2"/>
    <w:rsid w:val="002077CD"/>
    <w:rsid w:val="0021008E"/>
    <w:rsid w:val="00211A59"/>
    <w:rsid w:val="00211CF8"/>
    <w:rsid w:val="00213390"/>
    <w:rsid w:val="00214500"/>
    <w:rsid w:val="00214A6C"/>
    <w:rsid w:val="00214CDE"/>
    <w:rsid w:val="00214D9B"/>
    <w:rsid w:val="00215283"/>
    <w:rsid w:val="00217DBA"/>
    <w:rsid w:val="00221134"/>
    <w:rsid w:val="00221788"/>
    <w:rsid w:val="00224CF9"/>
    <w:rsid w:val="00224F6F"/>
    <w:rsid w:val="00225347"/>
    <w:rsid w:val="00230651"/>
    <w:rsid w:val="00232891"/>
    <w:rsid w:val="00236D2D"/>
    <w:rsid w:val="00236E32"/>
    <w:rsid w:val="00241F5A"/>
    <w:rsid w:val="00247CA8"/>
    <w:rsid w:val="00251B06"/>
    <w:rsid w:val="0025395D"/>
    <w:rsid w:val="00254109"/>
    <w:rsid w:val="00255117"/>
    <w:rsid w:val="00255870"/>
    <w:rsid w:val="0025676D"/>
    <w:rsid w:val="00257336"/>
    <w:rsid w:val="00261BE0"/>
    <w:rsid w:val="00261FCA"/>
    <w:rsid w:val="0026304F"/>
    <w:rsid w:val="00264DEC"/>
    <w:rsid w:val="00265E95"/>
    <w:rsid w:val="00266221"/>
    <w:rsid w:val="00267325"/>
    <w:rsid w:val="002702AF"/>
    <w:rsid w:val="0027299B"/>
    <w:rsid w:val="0027557E"/>
    <w:rsid w:val="002809D6"/>
    <w:rsid w:val="00281849"/>
    <w:rsid w:val="00283465"/>
    <w:rsid w:val="0028675B"/>
    <w:rsid w:val="00286DDE"/>
    <w:rsid w:val="00290278"/>
    <w:rsid w:val="002907EC"/>
    <w:rsid w:val="00293D25"/>
    <w:rsid w:val="0029721C"/>
    <w:rsid w:val="002A17B2"/>
    <w:rsid w:val="002A3A3B"/>
    <w:rsid w:val="002A6F3B"/>
    <w:rsid w:val="002B06AA"/>
    <w:rsid w:val="002B427F"/>
    <w:rsid w:val="002B5E28"/>
    <w:rsid w:val="002B7ADD"/>
    <w:rsid w:val="002C3DED"/>
    <w:rsid w:val="002C404F"/>
    <w:rsid w:val="002C569A"/>
    <w:rsid w:val="002C5BF1"/>
    <w:rsid w:val="002C6016"/>
    <w:rsid w:val="002C6024"/>
    <w:rsid w:val="002D027C"/>
    <w:rsid w:val="002D0AF5"/>
    <w:rsid w:val="002D123F"/>
    <w:rsid w:val="002D2E2D"/>
    <w:rsid w:val="002D3476"/>
    <w:rsid w:val="002D5E2A"/>
    <w:rsid w:val="002E05A5"/>
    <w:rsid w:val="002E2C89"/>
    <w:rsid w:val="002E2F75"/>
    <w:rsid w:val="002E3E47"/>
    <w:rsid w:val="002E4D0C"/>
    <w:rsid w:val="002F111F"/>
    <w:rsid w:val="002F1C50"/>
    <w:rsid w:val="002F350B"/>
    <w:rsid w:val="002F4F90"/>
    <w:rsid w:val="003005FC"/>
    <w:rsid w:val="0030152B"/>
    <w:rsid w:val="0030249D"/>
    <w:rsid w:val="00303EE9"/>
    <w:rsid w:val="003064FA"/>
    <w:rsid w:val="003074CC"/>
    <w:rsid w:val="00307838"/>
    <w:rsid w:val="003109B3"/>
    <w:rsid w:val="00311C1C"/>
    <w:rsid w:val="00312CF9"/>
    <w:rsid w:val="00313286"/>
    <w:rsid w:val="003135C3"/>
    <w:rsid w:val="003254AD"/>
    <w:rsid w:val="00325993"/>
    <w:rsid w:val="00327DB5"/>
    <w:rsid w:val="003300A3"/>
    <w:rsid w:val="00330F74"/>
    <w:rsid w:val="003312D0"/>
    <w:rsid w:val="0033199A"/>
    <w:rsid w:val="00331B06"/>
    <w:rsid w:val="00332A87"/>
    <w:rsid w:val="003340EB"/>
    <w:rsid w:val="00335A0A"/>
    <w:rsid w:val="0033608E"/>
    <w:rsid w:val="00344FEF"/>
    <w:rsid w:val="0034686E"/>
    <w:rsid w:val="00347879"/>
    <w:rsid w:val="00350450"/>
    <w:rsid w:val="003507D0"/>
    <w:rsid w:val="0035092B"/>
    <w:rsid w:val="0035198E"/>
    <w:rsid w:val="0035268A"/>
    <w:rsid w:val="00353C85"/>
    <w:rsid w:val="003548B9"/>
    <w:rsid w:val="00354DAE"/>
    <w:rsid w:val="00355CA7"/>
    <w:rsid w:val="003569A7"/>
    <w:rsid w:val="00357765"/>
    <w:rsid w:val="003601CC"/>
    <w:rsid w:val="00361316"/>
    <w:rsid w:val="00364BCD"/>
    <w:rsid w:val="003653A2"/>
    <w:rsid w:val="00370131"/>
    <w:rsid w:val="00371234"/>
    <w:rsid w:val="0037170A"/>
    <w:rsid w:val="003728EC"/>
    <w:rsid w:val="00375D57"/>
    <w:rsid w:val="003770EA"/>
    <w:rsid w:val="003805CF"/>
    <w:rsid w:val="00380F77"/>
    <w:rsid w:val="0038723B"/>
    <w:rsid w:val="00387C26"/>
    <w:rsid w:val="00391B0A"/>
    <w:rsid w:val="00392D49"/>
    <w:rsid w:val="00396C1E"/>
    <w:rsid w:val="00396DAB"/>
    <w:rsid w:val="003970F8"/>
    <w:rsid w:val="003A5056"/>
    <w:rsid w:val="003B00BF"/>
    <w:rsid w:val="003B2E5A"/>
    <w:rsid w:val="003B4158"/>
    <w:rsid w:val="003B4678"/>
    <w:rsid w:val="003B4ACD"/>
    <w:rsid w:val="003B4F78"/>
    <w:rsid w:val="003B69A5"/>
    <w:rsid w:val="003C1B03"/>
    <w:rsid w:val="003C4E7D"/>
    <w:rsid w:val="003C6DD3"/>
    <w:rsid w:val="003C7BB2"/>
    <w:rsid w:val="003D07B2"/>
    <w:rsid w:val="003D14EC"/>
    <w:rsid w:val="003D2272"/>
    <w:rsid w:val="003D4012"/>
    <w:rsid w:val="003E18DD"/>
    <w:rsid w:val="003E1D3E"/>
    <w:rsid w:val="003E4BE1"/>
    <w:rsid w:val="003E5383"/>
    <w:rsid w:val="003E6EFA"/>
    <w:rsid w:val="003F3080"/>
    <w:rsid w:val="00402DC4"/>
    <w:rsid w:val="00405E61"/>
    <w:rsid w:val="004115E3"/>
    <w:rsid w:val="00411B17"/>
    <w:rsid w:val="00412B21"/>
    <w:rsid w:val="004145F8"/>
    <w:rsid w:val="0041508D"/>
    <w:rsid w:val="00415905"/>
    <w:rsid w:val="004201B2"/>
    <w:rsid w:val="00421D1A"/>
    <w:rsid w:val="00422AC9"/>
    <w:rsid w:val="0042561F"/>
    <w:rsid w:val="00426184"/>
    <w:rsid w:val="00430093"/>
    <w:rsid w:val="00432736"/>
    <w:rsid w:val="004405B2"/>
    <w:rsid w:val="004419D3"/>
    <w:rsid w:val="004467D7"/>
    <w:rsid w:val="004467EA"/>
    <w:rsid w:val="00447FA4"/>
    <w:rsid w:val="00451875"/>
    <w:rsid w:val="00453E14"/>
    <w:rsid w:val="0045442E"/>
    <w:rsid w:val="0046004C"/>
    <w:rsid w:val="00460D60"/>
    <w:rsid w:val="0046119D"/>
    <w:rsid w:val="0046172A"/>
    <w:rsid w:val="00462D6F"/>
    <w:rsid w:val="00463323"/>
    <w:rsid w:val="00463EB5"/>
    <w:rsid w:val="00466272"/>
    <w:rsid w:val="00466FBC"/>
    <w:rsid w:val="00470AF5"/>
    <w:rsid w:val="00470B6A"/>
    <w:rsid w:val="00471330"/>
    <w:rsid w:val="00471F87"/>
    <w:rsid w:val="0047212E"/>
    <w:rsid w:val="00472AF1"/>
    <w:rsid w:val="00474852"/>
    <w:rsid w:val="00474997"/>
    <w:rsid w:val="0047762E"/>
    <w:rsid w:val="004778DF"/>
    <w:rsid w:val="00477900"/>
    <w:rsid w:val="00480154"/>
    <w:rsid w:val="004820BB"/>
    <w:rsid w:val="004845F7"/>
    <w:rsid w:val="004858E0"/>
    <w:rsid w:val="004900E2"/>
    <w:rsid w:val="00490122"/>
    <w:rsid w:val="00492FE8"/>
    <w:rsid w:val="00493552"/>
    <w:rsid w:val="004968BE"/>
    <w:rsid w:val="004A1160"/>
    <w:rsid w:val="004A2BAD"/>
    <w:rsid w:val="004A72AE"/>
    <w:rsid w:val="004B1053"/>
    <w:rsid w:val="004B22CD"/>
    <w:rsid w:val="004B58B3"/>
    <w:rsid w:val="004B6CA0"/>
    <w:rsid w:val="004B788E"/>
    <w:rsid w:val="004C048C"/>
    <w:rsid w:val="004C138C"/>
    <w:rsid w:val="004C14EE"/>
    <w:rsid w:val="004D0D06"/>
    <w:rsid w:val="004D116F"/>
    <w:rsid w:val="004D225F"/>
    <w:rsid w:val="004D2832"/>
    <w:rsid w:val="004D3108"/>
    <w:rsid w:val="004D35E7"/>
    <w:rsid w:val="004D3B83"/>
    <w:rsid w:val="004D73F3"/>
    <w:rsid w:val="004D74FF"/>
    <w:rsid w:val="004D7C2C"/>
    <w:rsid w:val="004E0415"/>
    <w:rsid w:val="004E3643"/>
    <w:rsid w:val="004E4DCA"/>
    <w:rsid w:val="004E5A60"/>
    <w:rsid w:val="004E62C5"/>
    <w:rsid w:val="004E692F"/>
    <w:rsid w:val="004E73F4"/>
    <w:rsid w:val="004E7DEB"/>
    <w:rsid w:val="004E7F33"/>
    <w:rsid w:val="004F0D78"/>
    <w:rsid w:val="004F1679"/>
    <w:rsid w:val="004F2A72"/>
    <w:rsid w:val="004F3A6E"/>
    <w:rsid w:val="004F59D0"/>
    <w:rsid w:val="005003D9"/>
    <w:rsid w:val="005012A3"/>
    <w:rsid w:val="00501357"/>
    <w:rsid w:val="00502DAF"/>
    <w:rsid w:val="00504166"/>
    <w:rsid w:val="00504B29"/>
    <w:rsid w:val="00504F8B"/>
    <w:rsid w:val="005105B4"/>
    <w:rsid w:val="0051369E"/>
    <w:rsid w:val="00513A27"/>
    <w:rsid w:val="00516E5B"/>
    <w:rsid w:val="005174FB"/>
    <w:rsid w:val="00517651"/>
    <w:rsid w:val="00520E44"/>
    <w:rsid w:val="005214DB"/>
    <w:rsid w:val="0052301C"/>
    <w:rsid w:val="0052394E"/>
    <w:rsid w:val="00526130"/>
    <w:rsid w:val="00527B11"/>
    <w:rsid w:val="00530B07"/>
    <w:rsid w:val="005331AF"/>
    <w:rsid w:val="00533660"/>
    <w:rsid w:val="005337A7"/>
    <w:rsid w:val="005343FC"/>
    <w:rsid w:val="00534BBD"/>
    <w:rsid w:val="00537ED6"/>
    <w:rsid w:val="00540C7B"/>
    <w:rsid w:val="00541C8B"/>
    <w:rsid w:val="00545EDB"/>
    <w:rsid w:val="005462D4"/>
    <w:rsid w:val="005468A6"/>
    <w:rsid w:val="00547F55"/>
    <w:rsid w:val="00552F2A"/>
    <w:rsid w:val="0055368B"/>
    <w:rsid w:val="00555C76"/>
    <w:rsid w:val="00556BE8"/>
    <w:rsid w:val="00560708"/>
    <w:rsid w:val="00561944"/>
    <w:rsid w:val="00563196"/>
    <w:rsid w:val="00563E05"/>
    <w:rsid w:val="005708AD"/>
    <w:rsid w:val="00570B39"/>
    <w:rsid w:val="0057178C"/>
    <w:rsid w:val="0057196B"/>
    <w:rsid w:val="00574A04"/>
    <w:rsid w:val="00574C2B"/>
    <w:rsid w:val="00576CA1"/>
    <w:rsid w:val="00577DD6"/>
    <w:rsid w:val="005804BA"/>
    <w:rsid w:val="00583147"/>
    <w:rsid w:val="00583682"/>
    <w:rsid w:val="00590122"/>
    <w:rsid w:val="005930B1"/>
    <w:rsid w:val="00593537"/>
    <w:rsid w:val="00593A8A"/>
    <w:rsid w:val="005955F1"/>
    <w:rsid w:val="005A085A"/>
    <w:rsid w:val="005A3A7B"/>
    <w:rsid w:val="005B082A"/>
    <w:rsid w:val="005B0CC5"/>
    <w:rsid w:val="005B2482"/>
    <w:rsid w:val="005B24C1"/>
    <w:rsid w:val="005B25E6"/>
    <w:rsid w:val="005B29A1"/>
    <w:rsid w:val="005B3194"/>
    <w:rsid w:val="005B57B7"/>
    <w:rsid w:val="005C0738"/>
    <w:rsid w:val="005C4A07"/>
    <w:rsid w:val="005C5402"/>
    <w:rsid w:val="005D0FFB"/>
    <w:rsid w:val="005D5411"/>
    <w:rsid w:val="005E0F99"/>
    <w:rsid w:val="005E24F2"/>
    <w:rsid w:val="005E37F1"/>
    <w:rsid w:val="005E56E7"/>
    <w:rsid w:val="005E6908"/>
    <w:rsid w:val="005E6ED6"/>
    <w:rsid w:val="005F0C3A"/>
    <w:rsid w:val="005F0DE9"/>
    <w:rsid w:val="005F1E2F"/>
    <w:rsid w:val="005F655C"/>
    <w:rsid w:val="005F6587"/>
    <w:rsid w:val="0060019A"/>
    <w:rsid w:val="006011C6"/>
    <w:rsid w:val="00604AA3"/>
    <w:rsid w:val="006062B3"/>
    <w:rsid w:val="006064C3"/>
    <w:rsid w:val="006074EC"/>
    <w:rsid w:val="0061071F"/>
    <w:rsid w:val="00610D33"/>
    <w:rsid w:val="00611E0F"/>
    <w:rsid w:val="00612396"/>
    <w:rsid w:val="006124EE"/>
    <w:rsid w:val="00612EA0"/>
    <w:rsid w:val="00614C57"/>
    <w:rsid w:val="00620129"/>
    <w:rsid w:val="00620263"/>
    <w:rsid w:val="00621F93"/>
    <w:rsid w:val="00623625"/>
    <w:rsid w:val="006244FA"/>
    <w:rsid w:val="00627336"/>
    <w:rsid w:val="00627B74"/>
    <w:rsid w:val="00630435"/>
    <w:rsid w:val="00631C4C"/>
    <w:rsid w:val="0063474A"/>
    <w:rsid w:val="00635A07"/>
    <w:rsid w:val="00635D71"/>
    <w:rsid w:val="00635E18"/>
    <w:rsid w:val="00636DE5"/>
    <w:rsid w:val="00636E47"/>
    <w:rsid w:val="0064295F"/>
    <w:rsid w:val="0064296E"/>
    <w:rsid w:val="006443B7"/>
    <w:rsid w:val="006444EE"/>
    <w:rsid w:val="0065069C"/>
    <w:rsid w:val="006521B3"/>
    <w:rsid w:val="006523A6"/>
    <w:rsid w:val="00653A59"/>
    <w:rsid w:val="00664676"/>
    <w:rsid w:val="00670874"/>
    <w:rsid w:val="006721D8"/>
    <w:rsid w:val="00673E3D"/>
    <w:rsid w:val="00676309"/>
    <w:rsid w:val="00677256"/>
    <w:rsid w:val="00682323"/>
    <w:rsid w:val="006825D8"/>
    <w:rsid w:val="00684604"/>
    <w:rsid w:val="006878B2"/>
    <w:rsid w:val="0069119A"/>
    <w:rsid w:val="006939B3"/>
    <w:rsid w:val="00694BF7"/>
    <w:rsid w:val="00694D38"/>
    <w:rsid w:val="0069760A"/>
    <w:rsid w:val="006A08B2"/>
    <w:rsid w:val="006A27B8"/>
    <w:rsid w:val="006A3CBB"/>
    <w:rsid w:val="006A526E"/>
    <w:rsid w:val="006A573A"/>
    <w:rsid w:val="006A58FD"/>
    <w:rsid w:val="006A64EB"/>
    <w:rsid w:val="006A76CC"/>
    <w:rsid w:val="006B197C"/>
    <w:rsid w:val="006B2076"/>
    <w:rsid w:val="006B2762"/>
    <w:rsid w:val="006C00FA"/>
    <w:rsid w:val="006C27C5"/>
    <w:rsid w:val="006C2AE7"/>
    <w:rsid w:val="006C4B68"/>
    <w:rsid w:val="006C66F4"/>
    <w:rsid w:val="006C7E81"/>
    <w:rsid w:val="006D0B5E"/>
    <w:rsid w:val="006D1DC9"/>
    <w:rsid w:val="006D3BAD"/>
    <w:rsid w:val="006D3C86"/>
    <w:rsid w:val="006D62FD"/>
    <w:rsid w:val="006D7971"/>
    <w:rsid w:val="006E2877"/>
    <w:rsid w:val="006E2CF8"/>
    <w:rsid w:val="006E3720"/>
    <w:rsid w:val="006E7CE4"/>
    <w:rsid w:val="006F1BC2"/>
    <w:rsid w:val="006F43C9"/>
    <w:rsid w:val="006F4DFD"/>
    <w:rsid w:val="006F6124"/>
    <w:rsid w:val="006F7A75"/>
    <w:rsid w:val="00702764"/>
    <w:rsid w:val="0070494F"/>
    <w:rsid w:val="0070614C"/>
    <w:rsid w:val="00707681"/>
    <w:rsid w:val="00710205"/>
    <w:rsid w:val="0071074E"/>
    <w:rsid w:val="00712916"/>
    <w:rsid w:val="007166F5"/>
    <w:rsid w:val="007210D4"/>
    <w:rsid w:val="007211E0"/>
    <w:rsid w:val="00722500"/>
    <w:rsid w:val="00724A7F"/>
    <w:rsid w:val="007307C6"/>
    <w:rsid w:val="007308FE"/>
    <w:rsid w:val="00731E0A"/>
    <w:rsid w:val="0073233C"/>
    <w:rsid w:val="00734A5E"/>
    <w:rsid w:val="007352FF"/>
    <w:rsid w:val="00735F27"/>
    <w:rsid w:val="00737C77"/>
    <w:rsid w:val="00741C6E"/>
    <w:rsid w:val="00742A40"/>
    <w:rsid w:val="007445A2"/>
    <w:rsid w:val="00744AB5"/>
    <w:rsid w:val="00746540"/>
    <w:rsid w:val="007470C9"/>
    <w:rsid w:val="00750C6A"/>
    <w:rsid w:val="00750E5F"/>
    <w:rsid w:val="00752DD9"/>
    <w:rsid w:val="00753794"/>
    <w:rsid w:val="007550D8"/>
    <w:rsid w:val="00755F72"/>
    <w:rsid w:val="00757E34"/>
    <w:rsid w:val="00761BC8"/>
    <w:rsid w:val="0076274D"/>
    <w:rsid w:val="00762AB0"/>
    <w:rsid w:val="00764E86"/>
    <w:rsid w:val="00765D47"/>
    <w:rsid w:val="00771644"/>
    <w:rsid w:val="00773F62"/>
    <w:rsid w:val="0077461C"/>
    <w:rsid w:val="00774EBF"/>
    <w:rsid w:val="00775BDE"/>
    <w:rsid w:val="0077654A"/>
    <w:rsid w:val="007776B6"/>
    <w:rsid w:val="00782A04"/>
    <w:rsid w:val="007856D4"/>
    <w:rsid w:val="00791377"/>
    <w:rsid w:val="007930D8"/>
    <w:rsid w:val="00794532"/>
    <w:rsid w:val="00794DA2"/>
    <w:rsid w:val="00797425"/>
    <w:rsid w:val="007975C1"/>
    <w:rsid w:val="007B00CC"/>
    <w:rsid w:val="007B0BBD"/>
    <w:rsid w:val="007B1E07"/>
    <w:rsid w:val="007B2261"/>
    <w:rsid w:val="007B31EE"/>
    <w:rsid w:val="007B3F7B"/>
    <w:rsid w:val="007B42FE"/>
    <w:rsid w:val="007B572D"/>
    <w:rsid w:val="007B65BD"/>
    <w:rsid w:val="007B7BBE"/>
    <w:rsid w:val="007C0066"/>
    <w:rsid w:val="007C328A"/>
    <w:rsid w:val="007C59D8"/>
    <w:rsid w:val="007C6B25"/>
    <w:rsid w:val="007D49D2"/>
    <w:rsid w:val="007D6F5A"/>
    <w:rsid w:val="007D70C4"/>
    <w:rsid w:val="007E101F"/>
    <w:rsid w:val="007E53B6"/>
    <w:rsid w:val="007E5DD4"/>
    <w:rsid w:val="007E70AF"/>
    <w:rsid w:val="007E7FC6"/>
    <w:rsid w:val="007F0F15"/>
    <w:rsid w:val="007F39B3"/>
    <w:rsid w:val="007F4087"/>
    <w:rsid w:val="007F451D"/>
    <w:rsid w:val="007F62D5"/>
    <w:rsid w:val="0080047C"/>
    <w:rsid w:val="00800A3F"/>
    <w:rsid w:val="00805DB6"/>
    <w:rsid w:val="00812A47"/>
    <w:rsid w:val="00812F41"/>
    <w:rsid w:val="0081414F"/>
    <w:rsid w:val="00820B68"/>
    <w:rsid w:val="00821F00"/>
    <w:rsid w:val="008225B8"/>
    <w:rsid w:val="008230A4"/>
    <w:rsid w:val="00824E4E"/>
    <w:rsid w:val="0082585D"/>
    <w:rsid w:val="008334A8"/>
    <w:rsid w:val="00834273"/>
    <w:rsid w:val="00834C69"/>
    <w:rsid w:val="00840118"/>
    <w:rsid w:val="00840727"/>
    <w:rsid w:val="00840C8D"/>
    <w:rsid w:val="0084202F"/>
    <w:rsid w:val="00846F1C"/>
    <w:rsid w:val="00852F5F"/>
    <w:rsid w:val="00854746"/>
    <w:rsid w:val="008550B0"/>
    <w:rsid w:val="0085669A"/>
    <w:rsid w:val="00860A8D"/>
    <w:rsid w:val="008615F0"/>
    <w:rsid w:val="00861880"/>
    <w:rsid w:val="00861E98"/>
    <w:rsid w:val="0086465E"/>
    <w:rsid w:val="00867A32"/>
    <w:rsid w:val="00867BEB"/>
    <w:rsid w:val="00867E91"/>
    <w:rsid w:val="00871064"/>
    <w:rsid w:val="00873C63"/>
    <w:rsid w:val="00873F89"/>
    <w:rsid w:val="00876FB7"/>
    <w:rsid w:val="00877813"/>
    <w:rsid w:val="00877A5B"/>
    <w:rsid w:val="00881838"/>
    <w:rsid w:val="008834BA"/>
    <w:rsid w:val="008854DB"/>
    <w:rsid w:val="00886D85"/>
    <w:rsid w:val="008872A4"/>
    <w:rsid w:val="008902FF"/>
    <w:rsid w:val="00893281"/>
    <w:rsid w:val="00894C43"/>
    <w:rsid w:val="00894D97"/>
    <w:rsid w:val="008965BA"/>
    <w:rsid w:val="008A067C"/>
    <w:rsid w:val="008A4470"/>
    <w:rsid w:val="008A4D9A"/>
    <w:rsid w:val="008A6DFB"/>
    <w:rsid w:val="008A7E4F"/>
    <w:rsid w:val="008B087C"/>
    <w:rsid w:val="008B76DF"/>
    <w:rsid w:val="008B7C12"/>
    <w:rsid w:val="008C0176"/>
    <w:rsid w:val="008C3189"/>
    <w:rsid w:val="008C41F5"/>
    <w:rsid w:val="008C42F8"/>
    <w:rsid w:val="008C444F"/>
    <w:rsid w:val="008C539E"/>
    <w:rsid w:val="008C76F0"/>
    <w:rsid w:val="008C7DE0"/>
    <w:rsid w:val="008D0726"/>
    <w:rsid w:val="008D2A28"/>
    <w:rsid w:val="008D33D6"/>
    <w:rsid w:val="008D543F"/>
    <w:rsid w:val="008D7ED7"/>
    <w:rsid w:val="008D7F09"/>
    <w:rsid w:val="008E0861"/>
    <w:rsid w:val="008E10DE"/>
    <w:rsid w:val="008E528C"/>
    <w:rsid w:val="008E648C"/>
    <w:rsid w:val="008E662C"/>
    <w:rsid w:val="008F1819"/>
    <w:rsid w:val="008F1E0B"/>
    <w:rsid w:val="008F24EC"/>
    <w:rsid w:val="008F30F4"/>
    <w:rsid w:val="008F31FA"/>
    <w:rsid w:val="008F4622"/>
    <w:rsid w:val="008F5C23"/>
    <w:rsid w:val="008F79F0"/>
    <w:rsid w:val="0090185A"/>
    <w:rsid w:val="0090337B"/>
    <w:rsid w:val="00903ADB"/>
    <w:rsid w:val="00904864"/>
    <w:rsid w:val="009048E8"/>
    <w:rsid w:val="0090528F"/>
    <w:rsid w:val="00905CB9"/>
    <w:rsid w:val="00906E96"/>
    <w:rsid w:val="00911E66"/>
    <w:rsid w:val="0091321A"/>
    <w:rsid w:val="009178B2"/>
    <w:rsid w:val="009179BA"/>
    <w:rsid w:val="009211A0"/>
    <w:rsid w:val="009214A3"/>
    <w:rsid w:val="00923383"/>
    <w:rsid w:val="009233DC"/>
    <w:rsid w:val="00930F4C"/>
    <w:rsid w:val="00932EB6"/>
    <w:rsid w:val="00934D87"/>
    <w:rsid w:val="00934F7E"/>
    <w:rsid w:val="00935584"/>
    <w:rsid w:val="0093658D"/>
    <w:rsid w:val="00936F5F"/>
    <w:rsid w:val="009415E9"/>
    <w:rsid w:val="00942A66"/>
    <w:rsid w:val="00943D67"/>
    <w:rsid w:val="00946148"/>
    <w:rsid w:val="0094734B"/>
    <w:rsid w:val="00950223"/>
    <w:rsid w:val="0095154F"/>
    <w:rsid w:val="00953A4C"/>
    <w:rsid w:val="00953E39"/>
    <w:rsid w:val="00953F93"/>
    <w:rsid w:val="00957F95"/>
    <w:rsid w:val="00960F5E"/>
    <w:rsid w:val="009619C0"/>
    <w:rsid w:val="00962EAE"/>
    <w:rsid w:val="009633F5"/>
    <w:rsid w:val="009637C4"/>
    <w:rsid w:val="009657C8"/>
    <w:rsid w:val="009668AD"/>
    <w:rsid w:val="00970799"/>
    <w:rsid w:val="00970C08"/>
    <w:rsid w:val="00970D8D"/>
    <w:rsid w:val="00971CB7"/>
    <w:rsid w:val="009725F5"/>
    <w:rsid w:val="00973F71"/>
    <w:rsid w:val="00980547"/>
    <w:rsid w:val="00981AF6"/>
    <w:rsid w:val="00981FEA"/>
    <w:rsid w:val="00983D4D"/>
    <w:rsid w:val="009842FD"/>
    <w:rsid w:val="009862C6"/>
    <w:rsid w:val="009870E8"/>
    <w:rsid w:val="00987F84"/>
    <w:rsid w:val="009919F8"/>
    <w:rsid w:val="00992C3F"/>
    <w:rsid w:val="00992DF2"/>
    <w:rsid w:val="009947B9"/>
    <w:rsid w:val="0099675A"/>
    <w:rsid w:val="00996F54"/>
    <w:rsid w:val="009A009C"/>
    <w:rsid w:val="009A1135"/>
    <w:rsid w:val="009A1C83"/>
    <w:rsid w:val="009A2AD9"/>
    <w:rsid w:val="009A2B86"/>
    <w:rsid w:val="009A533E"/>
    <w:rsid w:val="009A65A1"/>
    <w:rsid w:val="009A7A65"/>
    <w:rsid w:val="009B199F"/>
    <w:rsid w:val="009B20AE"/>
    <w:rsid w:val="009C575B"/>
    <w:rsid w:val="009C5DC3"/>
    <w:rsid w:val="009C635B"/>
    <w:rsid w:val="009C671F"/>
    <w:rsid w:val="009C725E"/>
    <w:rsid w:val="009C7929"/>
    <w:rsid w:val="009D080F"/>
    <w:rsid w:val="009D0ACE"/>
    <w:rsid w:val="009D23F8"/>
    <w:rsid w:val="009D25BA"/>
    <w:rsid w:val="009D495C"/>
    <w:rsid w:val="009D58BF"/>
    <w:rsid w:val="009D5C1E"/>
    <w:rsid w:val="009D696F"/>
    <w:rsid w:val="009D6F82"/>
    <w:rsid w:val="009D71E8"/>
    <w:rsid w:val="009E0AAC"/>
    <w:rsid w:val="009E3C2A"/>
    <w:rsid w:val="009E4A90"/>
    <w:rsid w:val="009F0423"/>
    <w:rsid w:val="009F2FBB"/>
    <w:rsid w:val="009F39D7"/>
    <w:rsid w:val="009F5432"/>
    <w:rsid w:val="009F75DF"/>
    <w:rsid w:val="009F7AE6"/>
    <w:rsid w:val="00A00508"/>
    <w:rsid w:val="00A04B95"/>
    <w:rsid w:val="00A06D51"/>
    <w:rsid w:val="00A07364"/>
    <w:rsid w:val="00A1070B"/>
    <w:rsid w:val="00A1338E"/>
    <w:rsid w:val="00A13E79"/>
    <w:rsid w:val="00A158CA"/>
    <w:rsid w:val="00A175A8"/>
    <w:rsid w:val="00A1777A"/>
    <w:rsid w:val="00A2009B"/>
    <w:rsid w:val="00A20ABC"/>
    <w:rsid w:val="00A250C4"/>
    <w:rsid w:val="00A263DC"/>
    <w:rsid w:val="00A269B6"/>
    <w:rsid w:val="00A27566"/>
    <w:rsid w:val="00A31667"/>
    <w:rsid w:val="00A31E1D"/>
    <w:rsid w:val="00A328A3"/>
    <w:rsid w:val="00A3559D"/>
    <w:rsid w:val="00A37B84"/>
    <w:rsid w:val="00A42ADE"/>
    <w:rsid w:val="00A4354A"/>
    <w:rsid w:val="00A43568"/>
    <w:rsid w:val="00A441DC"/>
    <w:rsid w:val="00A441F7"/>
    <w:rsid w:val="00A45F28"/>
    <w:rsid w:val="00A50CA4"/>
    <w:rsid w:val="00A52061"/>
    <w:rsid w:val="00A61EF8"/>
    <w:rsid w:val="00A67ED6"/>
    <w:rsid w:val="00A71D4C"/>
    <w:rsid w:val="00A72AC6"/>
    <w:rsid w:val="00A73963"/>
    <w:rsid w:val="00A73CD0"/>
    <w:rsid w:val="00A80B37"/>
    <w:rsid w:val="00A853C1"/>
    <w:rsid w:val="00A854D1"/>
    <w:rsid w:val="00A85956"/>
    <w:rsid w:val="00A85D12"/>
    <w:rsid w:val="00A864D6"/>
    <w:rsid w:val="00A86FE8"/>
    <w:rsid w:val="00A8733D"/>
    <w:rsid w:val="00A9339B"/>
    <w:rsid w:val="00A9369F"/>
    <w:rsid w:val="00A94751"/>
    <w:rsid w:val="00A97FC3"/>
    <w:rsid w:val="00A97FC5"/>
    <w:rsid w:val="00AA0000"/>
    <w:rsid w:val="00AA085C"/>
    <w:rsid w:val="00AA0BB1"/>
    <w:rsid w:val="00AA1EB8"/>
    <w:rsid w:val="00AA4921"/>
    <w:rsid w:val="00AA51B0"/>
    <w:rsid w:val="00AA6353"/>
    <w:rsid w:val="00AA7B38"/>
    <w:rsid w:val="00AA7B8F"/>
    <w:rsid w:val="00AB08E7"/>
    <w:rsid w:val="00AB2FF9"/>
    <w:rsid w:val="00AB3598"/>
    <w:rsid w:val="00AB4473"/>
    <w:rsid w:val="00AB5A3E"/>
    <w:rsid w:val="00AB61DF"/>
    <w:rsid w:val="00AC2B8D"/>
    <w:rsid w:val="00AC59F0"/>
    <w:rsid w:val="00AC67EF"/>
    <w:rsid w:val="00AD0356"/>
    <w:rsid w:val="00AD0BD9"/>
    <w:rsid w:val="00AD69D4"/>
    <w:rsid w:val="00AE1450"/>
    <w:rsid w:val="00AE1913"/>
    <w:rsid w:val="00AE276F"/>
    <w:rsid w:val="00AE287C"/>
    <w:rsid w:val="00AE320E"/>
    <w:rsid w:val="00AE3378"/>
    <w:rsid w:val="00AE6034"/>
    <w:rsid w:val="00AE686A"/>
    <w:rsid w:val="00AF06A5"/>
    <w:rsid w:val="00AF0AD8"/>
    <w:rsid w:val="00AF239C"/>
    <w:rsid w:val="00AF4A2B"/>
    <w:rsid w:val="00AF52F0"/>
    <w:rsid w:val="00AF7139"/>
    <w:rsid w:val="00B00544"/>
    <w:rsid w:val="00B0595D"/>
    <w:rsid w:val="00B05BE7"/>
    <w:rsid w:val="00B0618C"/>
    <w:rsid w:val="00B06D76"/>
    <w:rsid w:val="00B06EB9"/>
    <w:rsid w:val="00B1366D"/>
    <w:rsid w:val="00B1584C"/>
    <w:rsid w:val="00B16548"/>
    <w:rsid w:val="00B16871"/>
    <w:rsid w:val="00B16C04"/>
    <w:rsid w:val="00B24225"/>
    <w:rsid w:val="00B26283"/>
    <w:rsid w:val="00B27583"/>
    <w:rsid w:val="00B3086D"/>
    <w:rsid w:val="00B32CA5"/>
    <w:rsid w:val="00B35CF8"/>
    <w:rsid w:val="00B36A88"/>
    <w:rsid w:val="00B379F0"/>
    <w:rsid w:val="00B45603"/>
    <w:rsid w:val="00B50AC3"/>
    <w:rsid w:val="00B541F2"/>
    <w:rsid w:val="00B544F3"/>
    <w:rsid w:val="00B55DCE"/>
    <w:rsid w:val="00B563CF"/>
    <w:rsid w:val="00B56B85"/>
    <w:rsid w:val="00B611E2"/>
    <w:rsid w:val="00B72361"/>
    <w:rsid w:val="00B724DD"/>
    <w:rsid w:val="00B76026"/>
    <w:rsid w:val="00B833B7"/>
    <w:rsid w:val="00B83621"/>
    <w:rsid w:val="00B86C98"/>
    <w:rsid w:val="00B86E93"/>
    <w:rsid w:val="00B87DE7"/>
    <w:rsid w:val="00B90966"/>
    <w:rsid w:val="00B947B6"/>
    <w:rsid w:val="00B9526D"/>
    <w:rsid w:val="00B95B3F"/>
    <w:rsid w:val="00B96383"/>
    <w:rsid w:val="00BA0BF5"/>
    <w:rsid w:val="00BA144E"/>
    <w:rsid w:val="00BA1D03"/>
    <w:rsid w:val="00BA3AA0"/>
    <w:rsid w:val="00BA68F0"/>
    <w:rsid w:val="00BB37E3"/>
    <w:rsid w:val="00BB6A3D"/>
    <w:rsid w:val="00BB75D5"/>
    <w:rsid w:val="00BC0E4C"/>
    <w:rsid w:val="00BC3DF8"/>
    <w:rsid w:val="00BD0A7F"/>
    <w:rsid w:val="00BD2620"/>
    <w:rsid w:val="00BD42AC"/>
    <w:rsid w:val="00BD5B07"/>
    <w:rsid w:val="00BD70BA"/>
    <w:rsid w:val="00BE14B0"/>
    <w:rsid w:val="00BE5F2A"/>
    <w:rsid w:val="00BF2AF5"/>
    <w:rsid w:val="00BF7DBC"/>
    <w:rsid w:val="00C02130"/>
    <w:rsid w:val="00C03829"/>
    <w:rsid w:val="00C04AB5"/>
    <w:rsid w:val="00C061BA"/>
    <w:rsid w:val="00C12A38"/>
    <w:rsid w:val="00C17223"/>
    <w:rsid w:val="00C2252E"/>
    <w:rsid w:val="00C226E2"/>
    <w:rsid w:val="00C308BF"/>
    <w:rsid w:val="00C33A10"/>
    <w:rsid w:val="00C37A83"/>
    <w:rsid w:val="00C4005C"/>
    <w:rsid w:val="00C40102"/>
    <w:rsid w:val="00C404CA"/>
    <w:rsid w:val="00C4208E"/>
    <w:rsid w:val="00C42E21"/>
    <w:rsid w:val="00C44230"/>
    <w:rsid w:val="00C445E7"/>
    <w:rsid w:val="00C460C8"/>
    <w:rsid w:val="00C50D8E"/>
    <w:rsid w:val="00C51763"/>
    <w:rsid w:val="00C5264A"/>
    <w:rsid w:val="00C54741"/>
    <w:rsid w:val="00C57F9D"/>
    <w:rsid w:val="00C64809"/>
    <w:rsid w:val="00C670A6"/>
    <w:rsid w:val="00C674A9"/>
    <w:rsid w:val="00C7435E"/>
    <w:rsid w:val="00C74581"/>
    <w:rsid w:val="00C74FE8"/>
    <w:rsid w:val="00C7538F"/>
    <w:rsid w:val="00C77D58"/>
    <w:rsid w:val="00C829B3"/>
    <w:rsid w:val="00C8355B"/>
    <w:rsid w:val="00C909BB"/>
    <w:rsid w:val="00C912AC"/>
    <w:rsid w:val="00C95AAC"/>
    <w:rsid w:val="00CA260A"/>
    <w:rsid w:val="00CA350D"/>
    <w:rsid w:val="00CA3D58"/>
    <w:rsid w:val="00CA6B4C"/>
    <w:rsid w:val="00CB04FE"/>
    <w:rsid w:val="00CB0B0D"/>
    <w:rsid w:val="00CB1CB1"/>
    <w:rsid w:val="00CB2E32"/>
    <w:rsid w:val="00CB472A"/>
    <w:rsid w:val="00CB51D5"/>
    <w:rsid w:val="00CB5D2E"/>
    <w:rsid w:val="00CB5E18"/>
    <w:rsid w:val="00CC1D56"/>
    <w:rsid w:val="00CC4B07"/>
    <w:rsid w:val="00CC65CF"/>
    <w:rsid w:val="00CD0290"/>
    <w:rsid w:val="00CD0831"/>
    <w:rsid w:val="00CD0ECA"/>
    <w:rsid w:val="00CD2270"/>
    <w:rsid w:val="00CD3DFD"/>
    <w:rsid w:val="00CD40B7"/>
    <w:rsid w:val="00CD428F"/>
    <w:rsid w:val="00CD55C0"/>
    <w:rsid w:val="00CD657B"/>
    <w:rsid w:val="00CD6BC1"/>
    <w:rsid w:val="00CE26C1"/>
    <w:rsid w:val="00CE2880"/>
    <w:rsid w:val="00CE2C43"/>
    <w:rsid w:val="00CE2D4A"/>
    <w:rsid w:val="00CE51A2"/>
    <w:rsid w:val="00CE6C50"/>
    <w:rsid w:val="00CE7490"/>
    <w:rsid w:val="00CF2629"/>
    <w:rsid w:val="00CF3308"/>
    <w:rsid w:val="00CF5873"/>
    <w:rsid w:val="00CF72ED"/>
    <w:rsid w:val="00D0263C"/>
    <w:rsid w:val="00D03058"/>
    <w:rsid w:val="00D03F9E"/>
    <w:rsid w:val="00D05AEA"/>
    <w:rsid w:val="00D07939"/>
    <w:rsid w:val="00D103B5"/>
    <w:rsid w:val="00D107CF"/>
    <w:rsid w:val="00D10D42"/>
    <w:rsid w:val="00D12D47"/>
    <w:rsid w:val="00D149A0"/>
    <w:rsid w:val="00D15942"/>
    <w:rsid w:val="00D15C41"/>
    <w:rsid w:val="00D15D3E"/>
    <w:rsid w:val="00D24C11"/>
    <w:rsid w:val="00D26888"/>
    <w:rsid w:val="00D31CA2"/>
    <w:rsid w:val="00D35B07"/>
    <w:rsid w:val="00D40A70"/>
    <w:rsid w:val="00D40BA2"/>
    <w:rsid w:val="00D41470"/>
    <w:rsid w:val="00D4370D"/>
    <w:rsid w:val="00D441D6"/>
    <w:rsid w:val="00D446A2"/>
    <w:rsid w:val="00D4577E"/>
    <w:rsid w:val="00D458FA"/>
    <w:rsid w:val="00D4676B"/>
    <w:rsid w:val="00D46CC0"/>
    <w:rsid w:val="00D47865"/>
    <w:rsid w:val="00D5033E"/>
    <w:rsid w:val="00D51042"/>
    <w:rsid w:val="00D55164"/>
    <w:rsid w:val="00D5593E"/>
    <w:rsid w:val="00D630BF"/>
    <w:rsid w:val="00D63ED8"/>
    <w:rsid w:val="00D65672"/>
    <w:rsid w:val="00D73376"/>
    <w:rsid w:val="00D74637"/>
    <w:rsid w:val="00D75DD5"/>
    <w:rsid w:val="00D814F3"/>
    <w:rsid w:val="00D820D9"/>
    <w:rsid w:val="00D83908"/>
    <w:rsid w:val="00D84DC0"/>
    <w:rsid w:val="00D8510D"/>
    <w:rsid w:val="00D87928"/>
    <w:rsid w:val="00D87DA3"/>
    <w:rsid w:val="00D93250"/>
    <w:rsid w:val="00D93864"/>
    <w:rsid w:val="00D945D9"/>
    <w:rsid w:val="00DA18D3"/>
    <w:rsid w:val="00DA32AF"/>
    <w:rsid w:val="00DA4270"/>
    <w:rsid w:val="00DA4BE4"/>
    <w:rsid w:val="00DA7102"/>
    <w:rsid w:val="00DA781C"/>
    <w:rsid w:val="00DB2A9A"/>
    <w:rsid w:val="00DB4387"/>
    <w:rsid w:val="00DB4681"/>
    <w:rsid w:val="00DB513A"/>
    <w:rsid w:val="00DB5A8C"/>
    <w:rsid w:val="00DB6B95"/>
    <w:rsid w:val="00DB7513"/>
    <w:rsid w:val="00DB78BB"/>
    <w:rsid w:val="00DB7A8B"/>
    <w:rsid w:val="00DB7E8E"/>
    <w:rsid w:val="00DC28CE"/>
    <w:rsid w:val="00DC30F0"/>
    <w:rsid w:val="00DC68C6"/>
    <w:rsid w:val="00DC6D96"/>
    <w:rsid w:val="00DC7875"/>
    <w:rsid w:val="00DD3901"/>
    <w:rsid w:val="00DD506C"/>
    <w:rsid w:val="00DD77EA"/>
    <w:rsid w:val="00DD7DFD"/>
    <w:rsid w:val="00DE1528"/>
    <w:rsid w:val="00DE20EC"/>
    <w:rsid w:val="00DE36F3"/>
    <w:rsid w:val="00DE43A9"/>
    <w:rsid w:val="00DE51C3"/>
    <w:rsid w:val="00DE5780"/>
    <w:rsid w:val="00DF035E"/>
    <w:rsid w:val="00DF2686"/>
    <w:rsid w:val="00DF6FCE"/>
    <w:rsid w:val="00DF7864"/>
    <w:rsid w:val="00E01E3E"/>
    <w:rsid w:val="00E0201E"/>
    <w:rsid w:val="00E0203C"/>
    <w:rsid w:val="00E02331"/>
    <w:rsid w:val="00E02EFE"/>
    <w:rsid w:val="00E02FE9"/>
    <w:rsid w:val="00E033F8"/>
    <w:rsid w:val="00E03780"/>
    <w:rsid w:val="00E07668"/>
    <w:rsid w:val="00E11CFC"/>
    <w:rsid w:val="00E122E5"/>
    <w:rsid w:val="00E13C10"/>
    <w:rsid w:val="00E1506F"/>
    <w:rsid w:val="00E22176"/>
    <w:rsid w:val="00E244FB"/>
    <w:rsid w:val="00E25618"/>
    <w:rsid w:val="00E26E5C"/>
    <w:rsid w:val="00E27B2B"/>
    <w:rsid w:val="00E27C98"/>
    <w:rsid w:val="00E310FF"/>
    <w:rsid w:val="00E31AA2"/>
    <w:rsid w:val="00E31B74"/>
    <w:rsid w:val="00E32A8E"/>
    <w:rsid w:val="00E333EB"/>
    <w:rsid w:val="00E33B59"/>
    <w:rsid w:val="00E34EB4"/>
    <w:rsid w:val="00E35553"/>
    <w:rsid w:val="00E3581B"/>
    <w:rsid w:val="00E367B0"/>
    <w:rsid w:val="00E372D3"/>
    <w:rsid w:val="00E37912"/>
    <w:rsid w:val="00E42044"/>
    <w:rsid w:val="00E4615C"/>
    <w:rsid w:val="00E46629"/>
    <w:rsid w:val="00E4663D"/>
    <w:rsid w:val="00E5008B"/>
    <w:rsid w:val="00E50317"/>
    <w:rsid w:val="00E50A1E"/>
    <w:rsid w:val="00E51030"/>
    <w:rsid w:val="00E52E08"/>
    <w:rsid w:val="00E532CF"/>
    <w:rsid w:val="00E54E0E"/>
    <w:rsid w:val="00E56199"/>
    <w:rsid w:val="00E610A2"/>
    <w:rsid w:val="00E61F06"/>
    <w:rsid w:val="00E641C5"/>
    <w:rsid w:val="00E646C6"/>
    <w:rsid w:val="00E64AA9"/>
    <w:rsid w:val="00E64DA7"/>
    <w:rsid w:val="00E706B7"/>
    <w:rsid w:val="00E70E59"/>
    <w:rsid w:val="00E7152A"/>
    <w:rsid w:val="00E71707"/>
    <w:rsid w:val="00E7197E"/>
    <w:rsid w:val="00E73605"/>
    <w:rsid w:val="00E73CEE"/>
    <w:rsid w:val="00E74E1A"/>
    <w:rsid w:val="00E75392"/>
    <w:rsid w:val="00E772F0"/>
    <w:rsid w:val="00E80A3F"/>
    <w:rsid w:val="00E84A89"/>
    <w:rsid w:val="00E85058"/>
    <w:rsid w:val="00E85627"/>
    <w:rsid w:val="00E85882"/>
    <w:rsid w:val="00E905FA"/>
    <w:rsid w:val="00E90F53"/>
    <w:rsid w:val="00E923A1"/>
    <w:rsid w:val="00E93CDA"/>
    <w:rsid w:val="00E95739"/>
    <w:rsid w:val="00E969CB"/>
    <w:rsid w:val="00E97321"/>
    <w:rsid w:val="00EA394C"/>
    <w:rsid w:val="00EA41C7"/>
    <w:rsid w:val="00EA5409"/>
    <w:rsid w:val="00EA6D1E"/>
    <w:rsid w:val="00EB0FC0"/>
    <w:rsid w:val="00EB196D"/>
    <w:rsid w:val="00EB1B67"/>
    <w:rsid w:val="00EB2477"/>
    <w:rsid w:val="00EB3ED2"/>
    <w:rsid w:val="00EB5B59"/>
    <w:rsid w:val="00EB6418"/>
    <w:rsid w:val="00EB7F46"/>
    <w:rsid w:val="00EC340B"/>
    <w:rsid w:val="00EC3754"/>
    <w:rsid w:val="00EC48EC"/>
    <w:rsid w:val="00EC4E69"/>
    <w:rsid w:val="00EC5110"/>
    <w:rsid w:val="00EC5616"/>
    <w:rsid w:val="00EC589F"/>
    <w:rsid w:val="00EC5A61"/>
    <w:rsid w:val="00ED205E"/>
    <w:rsid w:val="00ED7355"/>
    <w:rsid w:val="00ED7AC3"/>
    <w:rsid w:val="00EE3B38"/>
    <w:rsid w:val="00EE40FC"/>
    <w:rsid w:val="00EE4FD5"/>
    <w:rsid w:val="00EE532E"/>
    <w:rsid w:val="00EE5A15"/>
    <w:rsid w:val="00EF0C47"/>
    <w:rsid w:val="00EF20BF"/>
    <w:rsid w:val="00EF4692"/>
    <w:rsid w:val="00EF482B"/>
    <w:rsid w:val="00EF69DD"/>
    <w:rsid w:val="00EF7020"/>
    <w:rsid w:val="00EF73DB"/>
    <w:rsid w:val="00EF78F2"/>
    <w:rsid w:val="00F0020F"/>
    <w:rsid w:val="00F0199C"/>
    <w:rsid w:val="00F02A4A"/>
    <w:rsid w:val="00F03F6D"/>
    <w:rsid w:val="00F047C6"/>
    <w:rsid w:val="00F053AD"/>
    <w:rsid w:val="00F0541B"/>
    <w:rsid w:val="00F05EA6"/>
    <w:rsid w:val="00F06BC1"/>
    <w:rsid w:val="00F12822"/>
    <w:rsid w:val="00F12F30"/>
    <w:rsid w:val="00F14DB3"/>
    <w:rsid w:val="00F1523A"/>
    <w:rsid w:val="00F20780"/>
    <w:rsid w:val="00F20D80"/>
    <w:rsid w:val="00F21BCA"/>
    <w:rsid w:val="00F23E06"/>
    <w:rsid w:val="00F24456"/>
    <w:rsid w:val="00F2565F"/>
    <w:rsid w:val="00F2629F"/>
    <w:rsid w:val="00F267D5"/>
    <w:rsid w:val="00F26FE1"/>
    <w:rsid w:val="00F32200"/>
    <w:rsid w:val="00F32513"/>
    <w:rsid w:val="00F3257F"/>
    <w:rsid w:val="00F330F0"/>
    <w:rsid w:val="00F33867"/>
    <w:rsid w:val="00F3500F"/>
    <w:rsid w:val="00F37005"/>
    <w:rsid w:val="00F37223"/>
    <w:rsid w:val="00F375B2"/>
    <w:rsid w:val="00F42858"/>
    <w:rsid w:val="00F455FD"/>
    <w:rsid w:val="00F46E88"/>
    <w:rsid w:val="00F4747F"/>
    <w:rsid w:val="00F47C22"/>
    <w:rsid w:val="00F525B9"/>
    <w:rsid w:val="00F54830"/>
    <w:rsid w:val="00F54D61"/>
    <w:rsid w:val="00F5536D"/>
    <w:rsid w:val="00F55952"/>
    <w:rsid w:val="00F57FB0"/>
    <w:rsid w:val="00F620EF"/>
    <w:rsid w:val="00F62C12"/>
    <w:rsid w:val="00F6401B"/>
    <w:rsid w:val="00F650BA"/>
    <w:rsid w:val="00F65CF0"/>
    <w:rsid w:val="00F676C3"/>
    <w:rsid w:val="00F721D0"/>
    <w:rsid w:val="00F73660"/>
    <w:rsid w:val="00F7493F"/>
    <w:rsid w:val="00F7720C"/>
    <w:rsid w:val="00F8087D"/>
    <w:rsid w:val="00F80B4B"/>
    <w:rsid w:val="00F8259D"/>
    <w:rsid w:val="00F86775"/>
    <w:rsid w:val="00F87CD7"/>
    <w:rsid w:val="00F916FC"/>
    <w:rsid w:val="00F91D7E"/>
    <w:rsid w:val="00F92507"/>
    <w:rsid w:val="00F948F2"/>
    <w:rsid w:val="00F94976"/>
    <w:rsid w:val="00F96A05"/>
    <w:rsid w:val="00F96E7C"/>
    <w:rsid w:val="00F97B2C"/>
    <w:rsid w:val="00FA101B"/>
    <w:rsid w:val="00FA22A6"/>
    <w:rsid w:val="00FA3DE0"/>
    <w:rsid w:val="00FA3F83"/>
    <w:rsid w:val="00FA4227"/>
    <w:rsid w:val="00FA4B33"/>
    <w:rsid w:val="00FA5AD8"/>
    <w:rsid w:val="00FB0830"/>
    <w:rsid w:val="00FB0D42"/>
    <w:rsid w:val="00FB1577"/>
    <w:rsid w:val="00FB2369"/>
    <w:rsid w:val="00FB4685"/>
    <w:rsid w:val="00FB7026"/>
    <w:rsid w:val="00FC0DDE"/>
    <w:rsid w:val="00FC2D7E"/>
    <w:rsid w:val="00FC49F3"/>
    <w:rsid w:val="00FC4A87"/>
    <w:rsid w:val="00FC6BB7"/>
    <w:rsid w:val="00FD0325"/>
    <w:rsid w:val="00FD2640"/>
    <w:rsid w:val="00FD2901"/>
    <w:rsid w:val="00FD2912"/>
    <w:rsid w:val="00FD2D35"/>
    <w:rsid w:val="00FD4E6A"/>
    <w:rsid w:val="00FD57EC"/>
    <w:rsid w:val="00FE220E"/>
    <w:rsid w:val="00FE2E23"/>
    <w:rsid w:val="00FE32EB"/>
    <w:rsid w:val="00FE3FF9"/>
    <w:rsid w:val="00FE627C"/>
    <w:rsid w:val="00FE7D44"/>
    <w:rsid w:val="00FF0732"/>
    <w:rsid w:val="00FF3972"/>
    <w:rsid w:val="00FF4018"/>
    <w:rsid w:val="00FF69C5"/>
    <w:rsid w:val="00FF6BED"/>
  </w:rsids>
  <m:mathPr>
    <m:mathFont m:val="Cambria Math"/>
    <m:brkBin m:val="before"/>
    <m:brkBinSub m:val="--"/>
    <m:smallFrac m:val="0"/>
    <m:dispDef/>
    <m:lMargin m:val="0"/>
    <m:rMargin m:val="0"/>
    <m:defJc m:val="centerGroup"/>
    <m:wrapIndent m:val="1440"/>
    <m:intLim m:val="subSup"/>
    <m:naryLim m:val="undOvr"/>
  </m:mathPr>
  <w:attachedSchema w:val="urn:o2smart.com/namespaces/docassembly"/>
  <w:attachedSchema w:val="http://www.w3.org/2001/XMLSchema"/>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8FB88"/>
  <w15:docId w15:val="{F14EDEEF-BB11-43A8-AA0C-FFFE01E4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873F89"/>
    <w:pPr>
      <w:suppressAutoHyphens/>
    </w:pPr>
    <w:rPr>
      <w:rFonts w:ascii="Arial" w:hAnsi="Arial"/>
      <w:sz w:val="22"/>
      <w:szCs w:val="24"/>
    </w:rPr>
  </w:style>
  <w:style w:type="paragraph" w:styleId="Heading1">
    <w:name w:val="heading 1"/>
    <w:basedOn w:val="Normal"/>
    <w:next w:val="Normal"/>
    <w:link w:val="Heading1Char"/>
    <w:qFormat/>
    <w:rsid w:val="00873F8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73F8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73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1">
    <w:name w:val="WW_BodyText1"/>
    <w:basedOn w:val="WWBodyText"/>
    <w:rsid w:val="00873F89"/>
    <w:pPr>
      <w:ind w:left="567"/>
    </w:pPr>
  </w:style>
  <w:style w:type="paragraph" w:customStyle="1" w:styleId="WWBodyText2">
    <w:name w:val="WW_BodyText2"/>
    <w:basedOn w:val="WWBodyText"/>
    <w:rsid w:val="00873F89"/>
    <w:pPr>
      <w:tabs>
        <w:tab w:val="left" w:pos="3402"/>
        <w:tab w:val="left" w:pos="3969"/>
      </w:tabs>
      <w:ind w:left="1134"/>
    </w:pPr>
  </w:style>
  <w:style w:type="paragraph" w:customStyle="1" w:styleId="WWBodyText3">
    <w:name w:val="WW_BodyText3"/>
    <w:basedOn w:val="WWBodyText"/>
    <w:rsid w:val="00873F89"/>
    <w:pPr>
      <w:tabs>
        <w:tab w:val="left" w:pos="3969"/>
        <w:tab w:val="left" w:pos="4536"/>
      </w:tabs>
      <w:ind w:left="1701"/>
    </w:pPr>
  </w:style>
  <w:style w:type="paragraph" w:customStyle="1" w:styleId="WWBodyText4">
    <w:name w:val="WW_BodyText4"/>
    <w:basedOn w:val="WWBodyText"/>
    <w:rsid w:val="00873F89"/>
    <w:pPr>
      <w:ind w:left="2268"/>
    </w:pPr>
  </w:style>
  <w:style w:type="paragraph" w:customStyle="1" w:styleId="WWBodyText5">
    <w:name w:val="WW_BodyText5"/>
    <w:basedOn w:val="WWBodyText"/>
    <w:rsid w:val="00873F89"/>
    <w:pPr>
      <w:ind w:left="2835"/>
    </w:pPr>
  </w:style>
  <w:style w:type="paragraph" w:customStyle="1" w:styleId="WWBodyText6">
    <w:name w:val="WW_BodyText6"/>
    <w:basedOn w:val="WWBodyText"/>
    <w:rsid w:val="00873F89"/>
    <w:pPr>
      <w:ind w:left="3402"/>
    </w:pPr>
  </w:style>
  <w:style w:type="paragraph" w:customStyle="1" w:styleId="WWBodyText7">
    <w:name w:val="WW_BodyText7"/>
    <w:basedOn w:val="WWBodyText"/>
    <w:rsid w:val="00873F89"/>
    <w:pPr>
      <w:ind w:left="3969"/>
    </w:pPr>
  </w:style>
  <w:style w:type="paragraph" w:customStyle="1" w:styleId="WWBodyText8">
    <w:name w:val="WW_BodyText8"/>
    <w:basedOn w:val="WWBodyText"/>
    <w:rsid w:val="00873F89"/>
    <w:pPr>
      <w:ind w:left="4536"/>
    </w:pPr>
  </w:style>
  <w:style w:type="paragraph" w:customStyle="1" w:styleId="WWHeading1">
    <w:name w:val="WW_Heading1"/>
    <w:basedOn w:val="WWHead"/>
    <w:next w:val="WWList2"/>
    <w:qFormat/>
    <w:rsid w:val="00AF7139"/>
    <w:pPr>
      <w:numPr>
        <w:numId w:val="7"/>
      </w:numPr>
      <w:spacing w:before="240"/>
      <w:outlineLvl w:val="0"/>
    </w:pPr>
  </w:style>
  <w:style w:type="paragraph" w:customStyle="1" w:styleId="WWHeading2">
    <w:name w:val="WW_Heading2"/>
    <w:basedOn w:val="WWHead"/>
    <w:next w:val="WWList3"/>
    <w:qFormat/>
    <w:rsid w:val="00873F89"/>
    <w:pPr>
      <w:numPr>
        <w:ilvl w:val="1"/>
        <w:numId w:val="7"/>
      </w:numPr>
      <w:tabs>
        <w:tab w:val="left" w:pos="3402"/>
        <w:tab w:val="left" w:pos="3969"/>
      </w:tabs>
      <w:outlineLvl w:val="1"/>
    </w:pPr>
  </w:style>
  <w:style w:type="paragraph" w:customStyle="1" w:styleId="WWHeading3">
    <w:name w:val="WW_Heading3"/>
    <w:basedOn w:val="WWHead"/>
    <w:next w:val="WWList4"/>
    <w:qFormat/>
    <w:rsid w:val="00873F89"/>
    <w:pPr>
      <w:numPr>
        <w:ilvl w:val="2"/>
        <w:numId w:val="7"/>
      </w:numPr>
      <w:tabs>
        <w:tab w:val="left" w:pos="3969"/>
        <w:tab w:val="left" w:pos="4536"/>
      </w:tabs>
      <w:outlineLvl w:val="2"/>
    </w:pPr>
  </w:style>
  <w:style w:type="paragraph" w:customStyle="1" w:styleId="WWHeading4">
    <w:name w:val="WW_Heading4"/>
    <w:basedOn w:val="WWHead"/>
    <w:next w:val="WWList5"/>
    <w:rsid w:val="00873F89"/>
    <w:pPr>
      <w:numPr>
        <w:ilvl w:val="3"/>
        <w:numId w:val="7"/>
      </w:numPr>
      <w:outlineLvl w:val="3"/>
    </w:pPr>
  </w:style>
  <w:style w:type="paragraph" w:customStyle="1" w:styleId="WWHeading5">
    <w:name w:val="WW_Heading5"/>
    <w:basedOn w:val="WWHead"/>
    <w:next w:val="WWList6"/>
    <w:rsid w:val="00873F89"/>
    <w:pPr>
      <w:numPr>
        <w:ilvl w:val="4"/>
        <w:numId w:val="7"/>
      </w:numPr>
      <w:outlineLvl w:val="4"/>
    </w:pPr>
  </w:style>
  <w:style w:type="paragraph" w:customStyle="1" w:styleId="WWHeading6">
    <w:name w:val="WW_Heading6"/>
    <w:basedOn w:val="WWHead"/>
    <w:next w:val="WWBodyText6"/>
    <w:rsid w:val="00873F89"/>
    <w:pPr>
      <w:numPr>
        <w:ilvl w:val="5"/>
        <w:numId w:val="7"/>
      </w:numPr>
      <w:tabs>
        <w:tab w:val="clear" w:pos="3402"/>
      </w:tabs>
      <w:ind w:left="2160" w:hanging="720"/>
      <w:outlineLvl w:val="5"/>
    </w:pPr>
  </w:style>
  <w:style w:type="paragraph" w:customStyle="1" w:styleId="WWHeading7">
    <w:name w:val="WW_Heading7"/>
    <w:basedOn w:val="Normal"/>
    <w:next w:val="WWBodyText7"/>
    <w:rsid w:val="00472AF1"/>
    <w:pPr>
      <w:keepNext/>
      <w:numPr>
        <w:ilvl w:val="6"/>
        <w:numId w:val="1"/>
      </w:numPr>
      <w:outlineLvl w:val="6"/>
    </w:pPr>
    <w:rPr>
      <w:b/>
    </w:rPr>
  </w:style>
  <w:style w:type="paragraph" w:styleId="Header">
    <w:name w:val="header"/>
    <w:basedOn w:val="Normal"/>
    <w:link w:val="HeaderChar"/>
    <w:rsid w:val="00873F89"/>
    <w:pPr>
      <w:tabs>
        <w:tab w:val="center" w:pos="4253"/>
        <w:tab w:val="right" w:pos="8505"/>
      </w:tabs>
      <w:jc w:val="both"/>
    </w:pPr>
  </w:style>
  <w:style w:type="paragraph" w:styleId="Footer">
    <w:name w:val="footer"/>
    <w:basedOn w:val="Normal"/>
    <w:link w:val="FooterChar"/>
    <w:uiPriority w:val="99"/>
    <w:rsid w:val="00873F89"/>
    <w:pPr>
      <w:tabs>
        <w:tab w:val="center" w:pos="4253"/>
        <w:tab w:val="right" w:pos="8505"/>
      </w:tabs>
      <w:jc w:val="both"/>
    </w:pPr>
  </w:style>
  <w:style w:type="character" w:customStyle="1" w:styleId="Filename">
    <w:name w:val="Filename"/>
    <w:rsid w:val="009A009C"/>
    <w:rPr>
      <w:rFonts w:cs="Times New Roman"/>
      <w:sz w:val="13"/>
    </w:rPr>
  </w:style>
  <w:style w:type="paragraph" w:styleId="TOC1">
    <w:name w:val="toc 1"/>
    <w:basedOn w:val="Normal"/>
    <w:next w:val="Normal"/>
    <w:autoRedefine/>
    <w:unhideWhenUsed/>
    <w:rsid w:val="00873F89"/>
    <w:pPr>
      <w:tabs>
        <w:tab w:val="left" w:pos="567"/>
        <w:tab w:val="right" w:leader="dot" w:pos="8789"/>
      </w:tabs>
      <w:spacing w:before="120"/>
      <w:ind w:left="567" w:right="567" w:hanging="567"/>
    </w:pPr>
  </w:style>
  <w:style w:type="paragraph" w:styleId="TOC2">
    <w:name w:val="toc 2"/>
    <w:basedOn w:val="Normal"/>
    <w:next w:val="Normal"/>
    <w:autoRedefine/>
    <w:unhideWhenUsed/>
    <w:rsid w:val="00873F89"/>
    <w:pPr>
      <w:tabs>
        <w:tab w:val="left" w:pos="1134"/>
        <w:tab w:val="right" w:leader="dot" w:pos="8789"/>
      </w:tabs>
      <w:spacing w:before="120"/>
      <w:ind w:left="1134" w:right="567" w:hanging="1134"/>
    </w:pPr>
  </w:style>
  <w:style w:type="paragraph" w:styleId="TOC3">
    <w:name w:val="toc 3"/>
    <w:basedOn w:val="Normal"/>
    <w:next w:val="Normal"/>
    <w:autoRedefine/>
    <w:unhideWhenUsed/>
    <w:rsid w:val="00873F89"/>
    <w:pPr>
      <w:tabs>
        <w:tab w:val="left" w:pos="1701"/>
        <w:tab w:val="right" w:leader="dot" w:pos="8448"/>
      </w:tabs>
      <w:spacing w:before="120"/>
      <w:ind w:left="1701" w:right="680" w:hanging="1701"/>
    </w:pPr>
  </w:style>
  <w:style w:type="paragraph" w:styleId="TOC4">
    <w:name w:val="toc 4"/>
    <w:basedOn w:val="Normal"/>
    <w:next w:val="Normal"/>
    <w:autoRedefine/>
    <w:rsid w:val="00873F89"/>
    <w:pPr>
      <w:tabs>
        <w:tab w:val="left" w:pos="2041"/>
        <w:tab w:val="right" w:leader="dot" w:pos="8448"/>
      </w:tabs>
      <w:spacing w:before="120"/>
      <w:jc w:val="both"/>
    </w:pPr>
  </w:style>
  <w:style w:type="paragraph" w:customStyle="1" w:styleId="WWMainHead">
    <w:name w:val="WW_MainHead"/>
    <w:basedOn w:val="Normal"/>
    <w:next w:val="Normal"/>
    <w:rsid w:val="00C674A9"/>
    <w:pPr>
      <w:keepNext/>
    </w:pPr>
    <w:rPr>
      <w:b/>
    </w:rPr>
  </w:style>
  <w:style w:type="paragraph" w:customStyle="1" w:styleId="WWAnnexHead">
    <w:name w:val="WW_AnnexHead"/>
    <w:basedOn w:val="Normal"/>
    <w:next w:val="Normal"/>
    <w:rsid w:val="00871064"/>
    <w:pPr>
      <w:keepNext/>
    </w:pPr>
    <w:rPr>
      <w:b/>
    </w:rPr>
  </w:style>
  <w:style w:type="character" w:styleId="FootnoteReference">
    <w:name w:val="footnote reference"/>
    <w:rsid w:val="00873F89"/>
    <w:rPr>
      <w:rFonts w:cs="Times New Roman"/>
      <w:sz w:val="22"/>
      <w:vertAlign w:val="superscript"/>
    </w:rPr>
  </w:style>
  <w:style w:type="character" w:styleId="EndnoteReference">
    <w:name w:val="endnote reference"/>
    <w:rsid w:val="00873F89"/>
    <w:rPr>
      <w:rFonts w:cs="Times New Roman"/>
      <w:vertAlign w:val="superscript"/>
    </w:rPr>
  </w:style>
  <w:style w:type="paragraph" w:styleId="EndnoteText">
    <w:name w:val="endnote text"/>
    <w:basedOn w:val="Normal"/>
    <w:rsid w:val="00873F89"/>
    <w:pPr>
      <w:tabs>
        <w:tab w:val="left" w:pos="340"/>
      </w:tabs>
      <w:spacing w:after="60"/>
      <w:ind w:left="340" w:hanging="340"/>
      <w:jc w:val="both"/>
    </w:pPr>
    <w:rPr>
      <w:sz w:val="20"/>
      <w:szCs w:val="20"/>
    </w:rPr>
  </w:style>
  <w:style w:type="paragraph" w:styleId="FootnoteText">
    <w:name w:val="footnote text"/>
    <w:basedOn w:val="Normal"/>
    <w:rsid w:val="00873F89"/>
    <w:pPr>
      <w:tabs>
        <w:tab w:val="left" w:pos="340"/>
      </w:tabs>
      <w:spacing w:after="60"/>
      <w:ind w:left="340" w:hanging="340"/>
      <w:jc w:val="both"/>
    </w:pPr>
    <w:rPr>
      <w:sz w:val="18"/>
      <w:szCs w:val="20"/>
    </w:rPr>
  </w:style>
  <w:style w:type="character" w:styleId="PageNumber">
    <w:name w:val="page number"/>
    <w:rsid w:val="00873F89"/>
    <w:rPr>
      <w:rFonts w:cs="Times New Roman"/>
      <w:sz w:val="22"/>
    </w:rPr>
  </w:style>
  <w:style w:type="character" w:styleId="Hyperlink">
    <w:name w:val="Hyperlink"/>
    <w:uiPriority w:val="99"/>
    <w:rsid w:val="00873F89"/>
    <w:rPr>
      <w:color w:val="0000FF"/>
      <w:u w:val="single"/>
    </w:rPr>
  </w:style>
  <w:style w:type="paragraph" w:customStyle="1" w:styleId="StyleNormal">
    <w:name w:val="StyleNormal"/>
    <w:basedOn w:val="Normal"/>
    <w:rsid w:val="00905CB9"/>
  </w:style>
  <w:style w:type="paragraph" w:customStyle="1" w:styleId="TitlePage">
    <w:name w:val="Title Page"/>
    <w:basedOn w:val="Normal"/>
    <w:rsid w:val="00905CB9"/>
  </w:style>
  <w:style w:type="paragraph" w:styleId="TOCHeading">
    <w:name w:val="TOC Heading"/>
    <w:basedOn w:val="Normal"/>
    <w:next w:val="Normal"/>
    <w:qFormat/>
    <w:rsid w:val="00060322"/>
    <w:pPr>
      <w:jc w:val="center"/>
    </w:pPr>
    <w:rPr>
      <w:rFonts w:cs="Arial"/>
      <w:b/>
      <w:bCs/>
      <w:caps/>
      <w:noProof/>
      <w:szCs w:val="22"/>
    </w:rPr>
  </w:style>
  <w:style w:type="paragraph" w:customStyle="1" w:styleId="TOCPage">
    <w:name w:val="TOC Page"/>
    <w:basedOn w:val="Normal"/>
    <w:next w:val="Normal"/>
    <w:rsid w:val="00871064"/>
    <w:pPr>
      <w:jc w:val="right"/>
    </w:pPr>
    <w:rPr>
      <w:b/>
    </w:rPr>
  </w:style>
  <w:style w:type="paragraph" w:customStyle="1" w:styleId="WWAnnexNum">
    <w:name w:val="WW_AnnexNum"/>
    <w:basedOn w:val="Normal"/>
    <w:next w:val="Normal"/>
    <w:rsid w:val="00C674A9"/>
    <w:pPr>
      <w:keepNext/>
      <w:jc w:val="right"/>
    </w:pPr>
    <w:rPr>
      <w:b/>
    </w:rPr>
  </w:style>
  <w:style w:type="paragraph" w:customStyle="1" w:styleId="WWBodyText9">
    <w:name w:val="WW_BodyText9"/>
    <w:basedOn w:val="WWBodyText"/>
    <w:rsid w:val="00873F89"/>
    <w:pPr>
      <w:ind w:left="5103"/>
    </w:pPr>
  </w:style>
  <w:style w:type="paragraph" w:styleId="Signature">
    <w:name w:val="Signature"/>
    <w:basedOn w:val="Normal"/>
    <w:rsid w:val="004845F7"/>
    <w:rPr>
      <w:sz w:val="12"/>
    </w:rPr>
  </w:style>
  <w:style w:type="paragraph" w:customStyle="1" w:styleId="WWBodyText10">
    <w:name w:val="WW_BodyText10"/>
    <w:basedOn w:val="WWBodyText"/>
    <w:rsid w:val="00873F89"/>
    <w:pPr>
      <w:ind w:left="5670"/>
    </w:pPr>
  </w:style>
  <w:style w:type="paragraph" w:customStyle="1" w:styleId="WWList1">
    <w:name w:val="WW_List1"/>
    <w:basedOn w:val="WWHeading1"/>
    <w:rsid w:val="00873F89"/>
    <w:pPr>
      <w:keepNext w:val="0"/>
      <w:spacing w:before="0"/>
    </w:pPr>
    <w:rPr>
      <w:b w:val="0"/>
    </w:rPr>
  </w:style>
  <w:style w:type="paragraph" w:customStyle="1" w:styleId="WWList2">
    <w:name w:val="WW_List2"/>
    <w:basedOn w:val="WWHeading2"/>
    <w:link w:val="WWList2Char"/>
    <w:qFormat/>
    <w:rsid w:val="00873F89"/>
    <w:pPr>
      <w:keepNext w:val="0"/>
    </w:pPr>
    <w:rPr>
      <w:b w:val="0"/>
    </w:rPr>
  </w:style>
  <w:style w:type="paragraph" w:customStyle="1" w:styleId="WWList3">
    <w:name w:val="WW_List3"/>
    <w:basedOn w:val="WWHeading3"/>
    <w:rsid w:val="00873F89"/>
    <w:pPr>
      <w:keepNext w:val="0"/>
    </w:pPr>
    <w:rPr>
      <w:b w:val="0"/>
    </w:rPr>
  </w:style>
  <w:style w:type="paragraph" w:customStyle="1" w:styleId="WWList4">
    <w:name w:val="WW_List4"/>
    <w:basedOn w:val="WWHeading4"/>
    <w:rsid w:val="00873F89"/>
    <w:pPr>
      <w:keepNext w:val="0"/>
    </w:pPr>
    <w:rPr>
      <w:b w:val="0"/>
    </w:rPr>
  </w:style>
  <w:style w:type="paragraph" w:customStyle="1" w:styleId="WWList5">
    <w:name w:val="WW_List5"/>
    <w:basedOn w:val="WWHeading5"/>
    <w:rsid w:val="00873F89"/>
    <w:pPr>
      <w:keepNext w:val="0"/>
    </w:pPr>
    <w:rPr>
      <w:b w:val="0"/>
    </w:rPr>
  </w:style>
  <w:style w:type="paragraph" w:customStyle="1" w:styleId="WWList6">
    <w:name w:val="WW_List6"/>
    <w:basedOn w:val="WWHeading6"/>
    <w:rsid w:val="00873F89"/>
    <w:pPr>
      <w:keepNext w:val="0"/>
    </w:pPr>
    <w:rPr>
      <w:b w:val="0"/>
    </w:rPr>
  </w:style>
  <w:style w:type="paragraph" w:customStyle="1" w:styleId="WWList7">
    <w:name w:val="WW_List7"/>
    <w:basedOn w:val="WWHeading7"/>
    <w:next w:val="WWBodyText7"/>
    <w:rsid w:val="000060F0"/>
    <w:pPr>
      <w:keepNext w:val="0"/>
    </w:pPr>
    <w:rPr>
      <w:b w:val="0"/>
    </w:rPr>
  </w:style>
  <w:style w:type="paragraph" w:customStyle="1" w:styleId="WWAnnexList1">
    <w:name w:val="WW_AnnexList1"/>
    <w:basedOn w:val="WWAnnexHead1"/>
    <w:next w:val="WWBodyText"/>
    <w:rsid w:val="00873F89"/>
    <w:pPr>
      <w:keepNext w:val="0"/>
      <w:spacing w:before="0"/>
    </w:pPr>
    <w:rPr>
      <w:b w:val="0"/>
    </w:rPr>
  </w:style>
  <w:style w:type="paragraph" w:customStyle="1" w:styleId="WWAnnexList2">
    <w:name w:val="WW_AnnexList2"/>
    <w:basedOn w:val="WWAnnexHead2"/>
    <w:rsid w:val="00873F89"/>
    <w:pPr>
      <w:keepNext w:val="0"/>
    </w:pPr>
    <w:rPr>
      <w:b w:val="0"/>
    </w:rPr>
  </w:style>
  <w:style w:type="paragraph" w:customStyle="1" w:styleId="WWAnnexList3">
    <w:name w:val="WW_AnnexList3"/>
    <w:basedOn w:val="WWAnnexHead3"/>
    <w:rsid w:val="00873F89"/>
    <w:pPr>
      <w:keepNext w:val="0"/>
    </w:pPr>
    <w:rPr>
      <w:b w:val="0"/>
    </w:rPr>
  </w:style>
  <w:style w:type="paragraph" w:customStyle="1" w:styleId="WWAnnexList4">
    <w:name w:val="WW_AnnexList4"/>
    <w:basedOn w:val="WWAnnexHead4"/>
    <w:rsid w:val="00873F89"/>
    <w:pPr>
      <w:keepNext w:val="0"/>
    </w:pPr>
    <w:rPr>
      <w:b w:val="0"/>
    </w:rPr>
  </w:style>
  <w:style w:type="paragraph" w:customStyle="1" w:styleId="WWAnnexList5">
    <w:name w:val="WW_AnnexList5"/>
    <w:basedOn w:val="WWAnnexHead5"/>
    <w:rsid w:val="00873F89"/>
    <w:pPr>
      <w:keepNext w:val="0"/>
    </w:pPr>
    <w:rPr>
      <w:b w:val="0"/>
    </w:rPr>
  </w:style>
  <w:style w:type="paragraph" w:customStyle="1" w:styleId="WWAnnexList6">
    <w:name w:val="WW_AnnexList6"/>
    <w:basedOn w:val="WWAnnexHead6"/>
    <w:next w:val="WWBodyText6"/>
    <w:rsid w:val="00873F89"/>
    <w:pPr>
      <w:keepNext w:val="0"/>
    </w:pPr>
    <w:rPr>
      <w:b w:val="0"/>
    </w:rPr>
  </w:style>
  <w:style w:type="paragraph" w:customStyle="1" w:styleId="WWAnnexList7">
    <w:name w:val="WW_AnnexList7"/>
    <w:basedOn w:val="Normal"/>
    <w:next w:val="WWBodyText7"/>
    <w:rsid w:val="000F610E"/>
    <w:pPr>
      <w:numPr>
        <w:ilvl w:val="6"/>
        <w:numId w:val="3"/>
      </w:numPr>
      <w:outlineLvl w:val="6"/>
    </w:pPr>
  </w:style>
  <w:style w:type="character" w:customStyle="1" w:styleId="AuthorDetails">
    <w:name w:val="AuthorDetails"/>
    <w:rsid w:val="009211A0"/>
    <w:rPr>
      <w:sz w:val="17"/>
    </w:rPr>
  </w:style>
  <w:style w:type="paragraph" w:customStyle="1" w:styleId="SignatureEnding">
    <w:name w:val="Signature Ending"/>
    <w:basedOn w:val="Normal"/>
    <w:rsid w:val="00332A87"/>
  </w:style>
  <w:style w:type="paragraph" w:styleId="BalloonText">
    <w:name w:val="Balloon Text"/>
    <w:basedOn w:val="Normal"/>
    <w:link w:val="BalloonTextChar"/>
    <w:rsid w:val="00873F89"/>
    <w:rPr>
      <w:rFonts w:ascii="Tahoma" w:hAnsi="Tahoma" w:cs="Tahoma"/>
      <w:sz w:val="16"/>
      <w:szCs w:val="16"/>
    </w:rPr>
  </w:style>
  <w:style w:type="character" w:customStyle="1" w:styleId="BalloonTextChar">
    <w:name w:val="Balloon Text Char"/>
    <w:link w:val="BalloonText"/>
    <w:rsid w:val="006F43C9"/>
    <w:rPr>
      <w:rFonts w:ascii="Tahoma" w:hAnsi="Tahoma" w:cs="Tahoma"/>
      <w:sz w:val="16"/>
      <w:szCs w:val="16"/>
    </w:rPr>
  </w:style>
  <w:style w:type="character" w:customStyle="1" w:styleId="Heading1Char">
    <w:name w:val="Heading 1 Char"/>
    <w:link w:val="Heading1"/>
    <w:rsid w:val="009A009C"/>
    <w:rPr>
      <w:rFonts w:ascii="Arial" w:hAnsi="Arial" w:cs="Arial"/>
      <w:b/>
      <w:bCs/>
      <w:kern w:val="32"/>
      <w:sz w:val="32"/>
      <w:szCs w:val="32"/>
    </w:rPr>
  </w:style>
  <w:style w:type="character" w:customStyle="1" w:styleId="Heading2Char">
    <w:name w:val="Heading 2 Char"/>
    <w:link w:val="Heading2"/>
    <w:rsid w:val="009A009C"/>
    <w:rPr>
      <w:rFonts w:ascii="Arial" w:hAnsi="Arial" w:cs="Arial"/>
      <w:b/>
      <w:bCs/>
      <w:i/>
      <w:iCs/>
      <w:sz w:val="28"/>
      <w:szCs w:val="28"/>
    </w:rPr>
  </w:style>
  <w:style w:type="character" w:customStyle="1" w:styleId="Heading3Char">
    <w:name w:val="Heading 3 Char"/>
    <w:link w:val="Heading3"/>
    <w:rsid w:val="009A009C"/>
    <w:rPr>
      <w:rFonts w:ascii="Arial" w:hAnsi="Arial" w:cs="Arial"/>
      <w:b/>
      <w:bCs/>
      <w:sz w:val="26"/>
      <w:szCs w:val="26"/>
    </w:rPr>
  </w:style>
  <w:style w:type="character" w:customStyle="1" w:styleId="WWFilename">
    <w:name w:val="WW_Filename"/>
    <w:rsid w:val="00873F89"/>
    <w:rPr>
      <w:rFonts w:cs="Times New Roman"/>
      <w:sz w:val="16"/>
    </w:rPr>
  </w:style>
  <w:style w:type="paragraph" w:customStyle="1" w:styleId="WWAnnexHead1">
    <w:name w:val="WW_AnnexHead1"/>
    <w:basedOn w:val="WWHead"/>
    <w:next w:val="WWAnnexList2"/>
    <w:rsid w:val="00873F89"/>
    <w:pPr>
      <w:numPr>
        <w:numId w:val="8"/>
      </w:numPr>
      <w:spacing w:before="240"/>
      <w:outlineLvl w:val="0"/>
    </w:pPr>
  </w:style>
  <w:style w:type="paragraph" w:customStyle="1" w:styleId="WWAnnexHead2">
    <w:name w:val="WW_AnnexHead2"/>
    <w:basedOn w:val="WWHead"/>
    <w:next w:val="WWAnnexList3"/>
    <w:rsid w:val="00873F89"/>
    <w:pPr>
      <w:numPr>
        <w:ilvl w:val="1"/>
        <w:numId w:val="8"/>
      </w:numPr>
      <w:tabs>
        <w:tab w:val="left" w:pos="3402"/>
        <w:tab w:val="left" w:pos="3969"/>
      </w:tabs>
      <w:outlineLvl w:val="1"/>
    </w:pPr>
  </w:style>
  <w:style w:type="paragraph" w:customStyle="1" w:styleId="WWAnnexHead3">
    <w:name w:val="WW_AnnexHead3"/>
    <w:basedOn w:val="WWHead"/>
    <w:next w:val="WWAnnexList4"/>
    <w:rsid w:val="00873F89"/>
    <w:pPr>
      <w:numPr>
        <w:ilvl w:val="2"/>
        <w:numId w:val="8"/>
      </w:numPr>
      <w:tabs>
        <w:tab w:val="left" w:pos="3969"/>
        <w:tab w:val="left" w:pos="4536"/>
      </w:tabs>
      <w:outlineLvl w:val="2"/>
    </w:pPr>
  </w:style>
  <w:style w:type="paragraph" w:customStyle="1" w:styleId="WWAnnexHead4">
    <w:name w:val="WW_AnnexHead4"/>
    <w:basedOn w:val="WWHead"/>
    <w:next w:val="WWAnnexList5"/>
    <w:rsid w:val="00873F89"/>
    <w:pPr>
      <w:numPr>
        <w:ilvl w:val="3"/>
        <w:numId w:val="8"/>
      </w:numPr>
      <w:outlineLvl w:val="3"/>
    </w:pPr>
  </w:style>
  <w:style w:type="paragraph" w:customStyle="1" w:styleId="WWAnnexHead5">
    <w:name w:val="WW_AnnexHead5"/>
    <w:basedOn w:val="WWHead"/>
    <w:next w:val="WWAnnexList6"/>
    <w:rsid w:val="00873F89"/>
    <w:pPr>
      <w:numPr>
        <w:ilvl w:val="4"/>
        <w:numId w:val="8"/>
      </w:numPr>
      <w:outlineLvl w:val="4"/>
    </w:pPr>
  </w:style>
  <w:style w:type="paragraph" w:styleId="DocumentMap">
    <w:name w:val="Document Map"/>
    <w:basedOn w:val="Normal"/>
    <w:link w:val="DocumentMapChar"/>
    <w:rsid w:val="00873F89"/>
    <w:pPr>
      <w:shd w:val="clear" w:color="auto" w:fill="000080"/>
    </w:pPr>
    <w:rPr>
      <w:rFonts w:ascii="Tahoma" w:hAnsi="Tahoma" w:cs="Tahoma"/>
      <w:sz w:val="20"/>
      <w:szCs w:val="20"/>
    </w:rPr>
  </w:style>
  <w:style w:type="character" w:customStyle="1" w:styleId="DocumentMapChar">
    <w:name w:val="Document Map Char"/>
    <w:link w:val="DocumentMap"/>
    <w:rsid w:val="009A009C"/>
    <w:rPr>
      <w:rFonts w:ascii="Tahoma" w:hAnsi="Tahoma" w:cs="Tahoma"/>
      <w:shd w:val="clear" w:color="auto" w:fill="000080"/>
    </w:rPr>
  </w:style>
  <w:style w:type="paragraph" w:customStyle="1" w:styleId="WWTitleCentre">
    <w:name w:val="WW_TitleCentre"/>
    <w:basedOn w:val="WWBodyText"/>
    <w:next w:val="WWBodyText"/>
    <w:rsid w:val="00873F89"/>
    <w:pPr>
      <w:keepNext/>
      <w:jc w:val="center"/>
    </w:pPr>
    <w:rPr>
      <w:b/>
    </w:rPr>
  </w:style>
  <w:style w:type="paragraph" w:customStyle="1" w:styleId="WWSectionAlpha">
    <w:name w:val="WW_SectionAlpha"/>
    <w:basedOn w:val="WWBodyText"/>
    <w:next w:val="WWBodyText"/>
    <w:rsid w:val="00873F89"/>
    <w:pPr>
      <w:keepNext/>
      <w:numPr>
        <w:numId w:val="4"/>
      </w:numPr>
    </w:pPr>
    <w:rPr>
      <w:b/>
      <w:spacing w:val="2"/>
    </w:rPr>
  </w:style>
  <w:style w:type="paragraph" w:customStyle="1" w:styleId="WWRecital1">
    <w:name w:val="WW_Recital1"/>
    <w:basedOn w:val="WWBodyText"/>
    <w:rsid w:val="00873F89"/>
    <w:pPr>
      <w:numPr>
        <w:numId w:val="6"/>
      </w:numPr>
      <w:outlineLvl w:val="0"/>
    </w:pPr>
  </w:style>
  <w:style w:type="table" w:styleId="TableGrid">
    <w:name w:val="Table Grid"/>
    <w:basedOn w:val="TableNormal"/>
    <w:uiPriority w:val="59"/>
    <w:rsid w:val="00873F89"/>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73F89"/>
    <w:pPr>
      <w:keepNext/>
      <w:jc w:val="center"/>
    </w:pPr>
    <w:rPr>
      <w:rFonts w:cs="Arial"/>
      <w:b/>
      <w:bCs/>
      <w:caps/>
      <w:szCs w:val="32"/>
    </w:rPr>
  </w:style>
  <w:style w:type="character" w:customStyle="1" w:styleId="TitleChar">
    <w:name w:val="Title Char"/>
    <w:link w:val="Title"/>
    <w:rsid w:val="009A009C"/>
    <w:rPr>
      <w:rFonts w:ascii="Arial" w:hAnsi="Arial" w:cs="Arial"/>
      <w:b/>
      <w:bCs/>
      <w:caps/>
      <w:sz w:val="22"/>
      <w:szCs w:val="32"/>
    </w:rPr>
  </w:style>
  <w:style w:type="character" w:styleId="CommentReference">
    <w:name w:val="annotation reference"/>
    <w:rsid w:val="00873F89"/>
    <w:rPr>
      <w:rFonts w:cs="Times New Roman"/>
      <w:sz w:val="16"/>
      <w:szCs w:val="16"/>
    </w:rPr>
  </w:style>
  <w:style w:type="paragraph" w:styleId="CommentText">
    <w:name w:val="annotation text"/>
    <w:basedOn w:val="Normal"/>
    <w:link w:val="CommentTextChar"/>
    <w:rsid w:val="00873F89"/>
    <w:rPr>
      <w:sz w:val="16"/>
      <w:szCs w:val="20"/>
    </w:rPr>
  </w:style>
  <w:style w:type="character" w:customStyle="1" w:styleId="CommentTextChar">
    <w:name w:val="Comment Text Char"/>
    <w:link w:val="CommentText"/>
    <w:rsid w:val="009A009C"/>
    <w:rPr>
      <w:rFonts w:ascii="Arial" w:hAnsi="Arial"/>
      <w:sz w:val="16"/>
    </w:rPr>
  </w:style>
  <w:style w:type="paragraph" w:styleId="CommentSubject">
    <w:name w:val="annotation subject"/>
    <w:basedOn w:val="CommentText"/>
    <w:next w:val="CommentText"/>
    <w:link w:val="CommentSubjectChar"/>
    <w:rsid w:val="00873F89"/>
    <w:rPr>
      <w:b/>
      <w:bCs/>
    </w:rPr>
  </w:style>
  <w:style w:type="character" w:customStyle="1" w:styleId="CommentSubjectChar">
    <w:name w:val="Comment Subject Char"/>
    <w:link w:val="CommentSubject"/>
    <w:rsid w:val="009A009C"/>
    <w:rPr>
      <w:rFonts w:ascii="Arial" w:hAnsi="Arial"/>
      <w:b/>
      <w:bCs/>
      <w:sz w:val="16"/>
    </w:rPr>
  </w:style>
  <w:style w:type="paragraph" w:customStyle="1" w:styleId="WWSection">
    <w:name w:val="WW_Section"/>
    <w:basedOn w:val="WWBodyText"/>
    <w:next w:val="WWBodyText"/>
    <w:rsid w:val="00873F89"/>
    <w:pPr>
      <w:keepNext/>
    </w:pPr>
    <w:rPr>
      <w:b/>
    </w:rPr>
  </w:style>
  <w:style w:type="paragraph" w:customStyle="1" w:styleId="WWTramLines">
    <w:name w:val="WW_TramLines"/>
    <w:basedOn w:val="WWBodyText"/>
    <w:next w:val="WWBodyText"/>
    <w:rsid w:val="00873F89"/>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873F89"/>
    <w:pPr>
      <w:tabs>
        <w:tab w:val="right" w:pos="8789"/>
      </w:tabs>
    </w:pPr>
  </w:style>
  <w:style w:type="paragraph" w:customStyle="1" w:styleId="WWBodyText">
    <w:name w:val="WW_BodyText"/>
    <w:basedOn w:val="Normal"/>
    <w:rsid w:val="00873F89"/>
    <w:pPr>
      <w:spacing w:after="240" w:line="360" w:lineRule="auto"/>
      <w:jc w:val="both"/>
    </w:pPr>
  </w:style>
  <w:style w:type="paragraph" w:customStyle="1" w:styleId="WWAddressee">
    <w:name w:val="WW_Addressee"/>
    <w:basedOn w:val="Normal"/>
    <w:next w:val="WWBodyText"/>
    <w:rsid w:val="00873F89"/>
    <w:pPr>
      <w:suppressAutoHyphens w:val="0"/>
      <w:spacing w:before="480" w:after="480"/>
      <w:contextualSpacing/>
    </w:pPr>
    <w:rPr>
      <w:lang w:eastAsia="en-US"/>
    </w:rPr>
  </w:style>
  <w:style w:type="paragraph" w:customStyle="1" w:styleId="WWBox">
    <w:name w:val="WW_Box"/>
    <w:basedOn w:val="Normal"/>
    <w:next w:val="Normal"/>
    <w:rsid w:val="00873F89"/>
    <w:pPr>
      <w:suppressAutoHyphens w:val="0"/>
      <w:spacing w:before="60" w:after="60"/>
    </w:pPr>
    <w:rPr>
      <w:sz w:val="20"/>
      <w:lang w:eastAsia="en-US"/>
    </w:rPr>
  </w:style>
  <w:style w:type="paragraph" w:customStyle="1" w:styleId="WWEnding">
    <w:name w:val="WW_Ending"/>
    <w:basedOn w:val="Normal"/>
    <w:next w:val="Normal"/>
    <w:rsid w:val="00873F89"/>
    <w:pPr>
      <w:keepNext/>
      <w:suppressAutoHyphens w:val="0"/>
      <w:spacing w:before="360" w:after="720"/>
      <w:jc w:val="both"/>
    </w:pPr>
    <w:rPr>
      <w:bCs/>
      <w:szCs w:val="20"/>
      <w:lang w:eastAsia="en-US"/>
    </w:rPr>
  </w:style>
  <w:style w:type="paragraph" w:customStyle="1" w:styleId="WWSalutation">
    <w:name w:val="WW_Salutation"/>
    <w:basedOn w:val="Normal"/>
    <w:next w:val="Normal"/>
    <w:rsid w:val="00873F89"/>
    <w:pPr>
      <w:suppressAutoHyphens w:val="0"/>
      <w:spacing w:before="480"/>
      <w:jc w:val="both"/>
    </w:pPr>
    <w:rPr>
      <w:lang w:eastAsia="en-US"/>
    </w:rPr>
  </w:style>
  <w:style w:type="paragraph" w:customStyle="1" w:styleId="WWSubject">
    <w:name w:val="WW_Subject"/>
    <w:basedOn w:val="Normal"/>
    <w:next w:val="Normal"/>
    <w:rsid w:val="00873F89"/>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873F89"/>
    <w:pPr>
      <w:jc w:val="left"/>
    </w:pPr>
  </w:style>
  <w:style w:type="paragraph" w:customStyle="1" w:styleId="WWBullet1">
    <w:name w:val="WW_Bullet1"/>
    <w:basedOn w:val="WWBodyText"/>
    <w:rsid w:val="00873F89"/>
    <w:pPr>
      <w:numPr>
        <w:numId w:val="5"/>
      </w:numPr>
      <w:outlineLvl w:val="0"/>
    </w:pPr>
  </w:style>
  <w:style w:type="paragraph" w:customStyle="1" w:styleId="WWBullet2">
    <w:name w:val="WW_Bullet2"/>
    <w:basedOn w:val="WWBodyText"/>
    <w:rsid w:val="00873F89"/>
    <w:pPr>
      <w:numPr>
        <w:ilvl w:val="1"/>
        <w:numId w:val="5"/>
      </w:numPr>
      <w:outlineLvl w:val="1"/>
    </w:pPr>
  </w:style>
  <w:style w:type="paragraph" w:customStyle="1" w:styleId="WWBullet3">
    <w:name w:val="WW_Bullet3"/>
    <w:basedOn w:val="WWBodyText"/>
    <w:rsid w:val="00873F89"/>
    <w:pPr>
      <w:numPr>
        <w:ilvl w:val="2"/>
        <w:numId w:val="5"/>
      </w:numPr>
      <w:outlineLvl w:val="2"/>
    </w:pPr>
  </w:style>
  <w:style w:type="paragraph" w:customStyle="1" w:styleId="WWBullet4">
    <w:name w:val="WW_Bullet4"/>
    <w:basedOn w:val="WWBodyText"/>
    <w:rsid w:val="00873F89"/>
    <w:pPr>
      <w:numPr>
        <w:ilvl w:val="3"/>
        <w:numId w:val="5"/>
      </w:numPr>
      <w:outlineLvl w:val="3"/>
    </w:pPr>
  </w:style>
  <w:style w:type="paragraph" w:customStyle="1" w:styleId="WWBullet5">
    <w:name w:val="WW_Bullet5"/>
    <w:basedOn w:val="WWBodyText"/>
    <w:rsid w:val="00873F89"/>
    <w:pPr>
      <w:numPr>
        <w:ilvl w:val="4"/>
        <w:numId w:val="5"/>
      </w:numPr>
      <w:outlineLvl w:val="4"/>
    </w:pPr>
  </w:style>
  <w:style w:type="paragraph" w:customStyle="1" w:styleId="WWBullet6">
    <w:name w:val="WW_Bullet6"/>
    <w:basedOn w:val="WWBodyText"/>
    <w:rsid w:val="00873F89"/>
    <w:pPr>
      <w:numPr>
        <w:ilvl w:val="5"/>
        <w:numId w:val="5"/>
      </w:numPr>
    </w:pPr>
  </w:style>
  <w:style w:type="paragraph" w:customStyle="1" w:styleId="WWTitleRight">
    <w:name w:val="WW_TitleRight"/>
    <w:basedOn w:val="WWTitleCentre"/>
    <w:next w:val="WWBodyText"/>
    <w:rsid w:val="00873F89"/>
    <w:pPr>
      <w:jc w:val="right"/>
    </w:pPr>
  </w:style>
  <w:style w:type="paragraph" w:styleId="ListBullet">
    <w:name w:val="List Bullet"/>
    <w:basedOn w:val="Normal"/>
    <w:rsid w:val="00873F89"/>
    <w:pPr>
      <w:numPr>
        <w:numId w:val="2"/>
      </w:numPr>
    </w:pPr>
  </w:style>
  <w:style w:type="paragraph" w:customStyle="1" w:styleId="WWRecital2">
    <w:name w:val="WW_Recital2"/>
    <w:basedOn w:val="WWBodyText"/>
    <w:rsid w:val="00873F89"/>
    <w:pPr>
      <w:numPr>
        <w:ilvl w:val="1"/>
        <w:numId w:val="6"/>
      </w:numPr>
      <w:outlineLvl w:val="1"/>
    </w:pPr>
  </w:style>
  <w:style w:type="paragraph" w:customStyle="1" w:styleId="WWRecital3">
    <w:name w:val="WW_Recital3"/>
    <w:basedOn w:val="WWBodyText"/>
    <w:rsid w:val="00873F89"/>
    <w:pPr>
      <w:numPr>
        <w:ilvl w:val="2"/>
        <w:numId w:val="6"/>
      </w:numPr>
      <w:outlineLvl w:val="2"/>
    </w:pPr>
  </w:style>
  <w:style w:type="paragraph" w:customStyle="1" w:styleId="WWRecital4">
    <w:name w:val="WW_Recital4"/>
    <w:basedOn w:val="WWBodyText"/>
    <w:rsid w:val="00873F89"/>
    <w:pPr>
      <w:numPr>
        <w:ilvl w:val="3"/>
        <w:numId w:val="6"/>
      </w:numPr>
      <w:outlineLvl w:val="3"/>
    </w:pPr>
  </w:style>
  <w:style w:type="paragraph" w:customStyle="1" w:styleId="WWRecital5">
    <w:name w:val="WW_Recital5"/>
    <w:basedOn w:val="WWBodyText"/>
    <w:rsid w:val="00873F89"/>
    <w:pPr>
      <w:numPr>
        <w:ilvl w:val="4"/>
        <w:numId w:val="6"/>
      </w:numPr>
      <w:outlineLvl w:val="4"/>
    </w:pPr>
  </w:style>
  <w:style w:type="paragraph" w:customStyle="1" w:styleId="WWRecital6">
    <w:name w:val="WW_Recital6"/>
    <w:basedOn w:val="WWBodyText"/>
    <w:rsid w:val="00873F89"/>
    <w:pPr>
      <w:numPr>
        <w:ilvl w:val="5"/>
        <w:numId w:val="6"/>
      </w:numPr>
      <w:outlineLvl w:val="5"/>
    </w:pPr>
  </w:style>
  <w:style w:type="paragraph" w:customStyle="1" w:styleId="WWAnnexHead6">
    <w:name w:val="WW_AnnexHead6"/>
    <w:basedOn w:val="WWHead"/>
    <w:next w:val="WWBodyText6"/>
    <w:rsid w:val="00873F89"/>
    <w:pPr>
      <w:numPr>
        <w:ilvl w:val="5"/>
        <w:numId w:val="8"/>
      </w:numPr>
      <w:outlineLvl w:val="5"/>
    </w:pPr>
  </w:style>
  <w:style w:type="paragraph" w:customStyle="1" w:styleId="WWAppendNum">
    <w:name w:val="WW_AppendNum"/>
    <w:basedOn w:val="WWBodyText"/>
    <w:next w:val="WWBodyText"/>
    <w:rsid w:val="00873F89"/>
    <w:pPr>
      <w:keepNext/>
      <w:jc w:val="right"/>
    </w:pPr>
    <w:rPr>
      <w:b/>
    </w:rPr>
  </w:style>
  <w:style w:type="paragraph" w:customStyle="1" w:styleId="WWHead">
    <w:name w:val="WW_Head"/>
    <w:basedOn w:val="WWBodyText"/>
    <w:rsid w:val="00873F89"/>
    <w:pPr>
      <w:keepNext/>
    </w:pPr>
    <w:rPr>
      <w:b/>
    </w:rPr>
  </w:style>
  <w:style w:type="paragraph" w:customStyle="1" w:styleId="WWSimpleList1">
    <w:name w:val="WW_SimpleList1"/>
    <w:basedOn w:val="WWBodyText"/>
    <w:rsid w:val="00873F89"/>
    <w:pPr>
      <w:numPr>
        <w:numId w:val="9"/>
      </w:numPr>
      <w:outlineLvl w:val="0"/>
    </w:pPr>
  </w:style>
  <w:style w:type="paragraph" w:customStyle="1" w:styleId="WWSimpleList2">
    <w:name w:val="WW_SimpleList2"/>
    <w:basedOn w:val="WWBodyText"/>
    <w:rsid w:val="00873F89"/>
    <w:pPr>
      <w:numPr>
        <w:ilvl w:val="1"/>
        <w:numId w:val="9"/>
      </w:numPr>
      <w:outlineLvl w:val="1"/>
    </w:pPr>
  </w:style>
  <w:style w:type="paragraph" w:customStyle="1" w:styleId="WWSimpleList3">
    <w:name w:val="WW_SimpleList3"/>
    <w:basedOn w:val="WWBodyText"/>
    <w:rsid w:val="00873F89"/>
    <w:pPr>
      <w:numPr>
        <w:ilvl w:val="2"/>
        <w:numId w:val="9"/>
      </w:numPr>
      <w:outlineLvl w:val="2"/>
    </w:pPr>
  </w:style>
  <w:style w:type="paragraph" w:customStyle="1" w:styleId="WWSimpleList4">
    <w:name w:val="WW_SimpleList4"/>
    <w:basedOn w:val="WWBodyText"/>
    <w:rsid w:val="00873F89"/>
    <w:pPr>
      <w:numPr>
        <w:ilvl w:val="3"/>
        <w:numId w:val="9"/>
      </w:numPr>
      <w:tabs>
        <w:tab w:val="clear" w:pos="2268"/>
      </w:tabs>
      <w:ind w:left="1440" w:hanging="720"/>
      <w:outlineLvl w:val="3"/>
    </w:pPr>
  </w:style>
  <w:style w:type="paragraph" w:customStyle="1" w:styleId="WWSimpleList5">
    <w:name w:val="WW_SimpleList5"/>
    <w:basedOn w:val="WWBodyText"/>
    <w:rsid w:val="00873F89"/>
    <w:pPr>
      <w:numPr>
        <w:ilvl w:val="4"/>
        <w:numId w:val="9"/>
      </w:numPr>
      <w:outlineLvl w:val="4"/>
    </w:pPr>
  </w:style>
  <w:style w:type="paragraph" w:customStyle="1" w:styleId="WWSimpleList6">
    <w:name w:val="WW_SimpleList6"/>
    <w:basedOn w:val="WWBodyText"/>
    <w:rsid w:val="00873F89"/>
    <w:pPr>
      <w:numPr>
        <w:ilvl w:val="5"/>
        <w:numId w:val="9"/>
      </w:numPr>
      <w:outlineLvl w:val="5"/>
    </w:pPr>
  </w:style>
  <w:style w:type="paragraph" w:customStyle="1" w:styleId="WWTOCHead">
    <w:name w:val="WW_TOCHead"/>
    <w:basedOn w:val="WWTitleCentre"/>
    <w:next w:val="WWBodyText"/>
    <w:rsid w:val="00873F89"/>
    <w:rPr>
      <w:caps/>
    </w:rPr>
  </w:style>
  <w:style w:type="paragraph" w:customStyle="1" w:styleId="WWAnnexeHead">
    <w:name w:val="WW_AnnexeHead"/>
    <w:basedOn w:val="WWBodyText"/>
    <w:rsid w:val="00873F89"/>
    <w:pPr>
      <w:keepNext/>
      <w:jc w:val="center"/>
    </w:pPr>
    <w:rPr>
      <w:b/>
    </w:rPr>
  </w:style>
  <w:style w:type="paragraph" w:customStyle="1" w:styleId="WWAnnexeAlpha">
    <w:name w:val="WW_AnnexeAlpha"/>
    <w:basedOn w:val="WWAnnexeHead"/>
    <w:next w:val="WWAnnexeHead"/>
    <w:rsid w:val="00873F89"/>
    <w:pPr>
      <w:numPr>
        <w:numId w:val="10"/>
      </w:numPr>
      <w:jc w:val="right"/>
      <w:outlineLvl w:val="0"/>
    </w:pPr>
  </w:style>
  <w:style w:type="paragraph" w:customStyle="1" w:styleId="WWInfo">
    <w:name w:val="WW_Info"/>
    <w:basedOn w:val="Normal"/>
    <w:next w:val="Normal"/>
    <w:qFormat/>
    <w:rsid w:val="00873F89"/>
    <w:pPr>
      <w:spacing w:before="240" w:after="240"/>
      <w:jc w:val="both"/>
    </w:pPr>
    <w:rPr>
      <w:rFonts w:ascii="Arial Bold" w:hAnsi="Arial Bold"/>
      <w:b/>
    </w:rPr>
  </w:style>
  <w:style w:type="paragraph" w:styleId="TOC9">
    <w:name w:val="toc 9"/>
    <w:basedOn w:val="Normal"/>
    <w:next w:val="Normal"/>
    <w:autoRedefine/>
    <w:unhideWhenUsed/>
    <w:rsid w:val="00873F89"/>
    <w:pPr>
      <w:tabs>
        <w:tab w:val="right" w:leader="dot" w:pos="7314"/>
      </w:tabs>
    </w:pPr>
  </w:style>
  <w:style w:type="paragraph" w:customStyle="1" w:styleId="WWFirmEnding">
    <w:name w:val="WW_FirmEnding"/>
    <w:basedOn w:val="Normal"/>
    <w:next w:val="WWAuthorDetails"/>
    <w:qFormat/>
    <w:rsid w:val="00873F89"/>
    <w:pPr>
      <w:keepNext/>
      <w:spacing w:after="60"/>
      <w:jc w:val="both"/>
    </w:pPr>
    <w:rPr>
      <w:rFonts w:ascii="Arial Bold" w:hAnsi="Arial Bold"/>
      <w:b/>
    </w:rPr>
  </w:style>
  <w:style w:type="paragraph" w:customStyle="1" w:styleId="WWAuthorDetails">
    <w:name w:val="WW_AuthorDetails"/>
    <w:basedOn w:val="WWFirmEnding"/>
    <w:qFormat/>
    <w:rsid w:val="00873F89"/>
    <w:rPr>
      <w:rFonts w:ascii="Arial" w:hAnsi="Arial" w:cs="Arial"/>
      <w:b w:val="0"/>
      <w:sz w:val="17"/>
      <w:szCs w:val="12"/>
    </w:rPr>
  </w:style>
  <w:style w:type="character" w:customStyle="1" w:styleId="HeaderChar">
    <w:name w:val="Header Char"/>
    <w:link w:val="Header"/>
    <w:rsid w:val="009A009C"/>
    <w:rPr>
      <w:rFonts w:ascii="Arial" w:hAnsi="Arial"/>
      <w:sz w:val="22"/>
      <w:szCs w:val="24"/>
    </w:rPr>
  </w:style>
  <w:style w:type="paragraph" w:styleId="ListParagraph">
    <w:name w:val="List Paragraph"/>
    <w:aliases w:val="Numbered List,Paragr-1st,Colorful List - Accent 11,Bullet List,FooterText,numbered,List Paragraph1,Paragraphe de liste1,Bulletr List Paragraph,列出段落,列出段落1,Listeafsnit1,Parágrafo da Lista1,List Paragraph2,List Paragraph21,リスト段落1,Foot,??"/>
    <w:basedOn w:val="Normal"/>
    <w:link w:val="ListParagraphChar"/>
    <w:uiPriority w:val="34"/>
    <w:qFormat/>
    <w:rsid w:val="00FE2E23"/>
    <w:pPr>
      <w:suppressAutoHyphens w:val="0"/>
      <w:ind w:left="720"/>
      <w:contextualSpacing/>
    </w:pPr>
    <w:rPr>
      <w:rFonts w:ascii="Calibri" w:eastAsia="Calibri" w:hAnsi="Calibri"/>
      <w:sz w:val="24"/>
      <w:lang w:val="en-US" w:eastAsia="en-US"/>
    </w:rPr>
  </w:style>
  <w:style w:type="character" w:customStyle="1" w:styleId="ListParagraphChar">
    <w:name w:val="List Paragraph Char"/>
    <w:aliases w:val="Numbered List Char,Paragr-1st Char,Colorful List - Accent 11 Char,Bullet List Char,FooterText Char,numbered Char,List Paragraph1 Char,Paragraphe de liste1 Char,Bulletr List Paragraph Char,列出段落 Char,列出段落1 Char,Listeafsnit1 Char"/>
    <w:link w:val="ListParagraph"/>
    <w:uiPriority w:val="34"/>
    <w:locked/>
    <w:rsid w:val="00FE2E23"/>
    <w:rPr>
      <w:rFonts w:ascii="Calibri" w:eastAsia="Calibri" w:hAnsi="Calibri"/>
      <w:sz w:val="24"/>
      <w:szCs w:val="24"/>
      <w:lang w:val="en-US" w:eastAsia="en-US"/>
    </w:rPr>
  </w:style>
  <w:style w:type="paragraph" w:customStyle="1" w:styleId="Title16">
    <w:name w:val="Title16"/>
    <w:basedOn w:val="Normal"/>
    <w:rsid w:val="00834C69"/>
    <w:pPr>
      <w:keepNext/>
      <w:keepLines/>
      <w:spacing w:after="120" w:line="290" w:lineRule="auto"/>
      <w:jc w:val="center"/>
      <w:outlineLvl w:val="0"/>
    </w:pPr>
    <w:rPr>
      <w:rFonts w:ascii="Times New Roman" w:hAnsi="Times New Roman"/>
      <w:b/>
      <w:kern w:val="20"/>
      <w:sz w:val="32"/>
    </w:rPr>
  </w:style>
  <w:style w:type="paragraph" w:customStyle="1" w:styleId="Default">
    <w:name w:val="Default"/>
    <w:rsid w:val="00D12D47"/>
    <w:pPr>
      <w:autoSpaceDE w:val="0"/>
      <w:autoSpaceDN w:val="0"/>
      <w:adjustRightInd w:val="0"/>
    </w:pPr>
    <w:rPr>
      <w:rFonts w:ascii="Courier New" w:hAnsi="Courier New" w:cs="Courier New"/>
      <w:color w:val="000000"/>
      <w:sz w:val="24"/>
      <w:szCs w:val="24"/>
    </w:rPr>
  </w:style>
  <w:style w:type="paragraph" w:customStyle="1" w:styleId="AOHead1">
    <w:name w:val="AOHead1"/>
    <w:basedOn w:val="Normal"/>
    <w:next w:val="Normal"/>
    <w:rsid w:val="00AE6034"/>
    <w:pPr>
      <w:keepNext/>
      <w:numPr>
        <w:numId w:val="12"/>
      </w:numPr>
      <w:suppressAutoHyphens w:val="0"/>
      <w:spacing w:before="240" w:line="260" w:lineRule="atLeast"/>
      <w:jc w:val="both"/>
      <w:outlineLvl w:val="0"/>
    </w:pPr>
    <w:rPr>
      <w:rFonts w:ascii="Times New Roman" w:eastAsia="SimSun" w:hAnsi="Times New Roman"/>
      <w:b/>
      <w:caps/>
      <w:kern w:val="28"/>
      <w:szCs w:val="22"/>
      <w:lang w:val="nl-NL" w:eastAsia="en-US"/>
    </w:rPr>
  </w:style>
  <w:style w:type="paragraph" w:customStyle="1" w:styleId="AOHead2">
    <w:name w:val="AOHead2"/>
    <w:basedOn w:val="Normal"/>
    <w:next w:val="Normal"/>
    <w:rsid w:val="00AE6034"/>
    <w:pPr>
      <w:keepNext/>
      <w:numPr>
        <w:ilvl w:val="1"/>
        <w:numId w:val="12"/>
      </w:numPr>
      <w:suppressAutoHyphens w:val="0"/>
      <w:spacing w:before="240" w:line="260" w:lineRule="atLeast"/>
      <w:jc w:val="both"/>
      <w:outlineLvl w:val="1"/>
    </w:pPr>
    <w:rPr>
      <w:rFonts w:ascii="Times New Roman" w:eastAsia="SimSun" w:hAnsi="Times New Roman"/>
      <w:b/>
      <w:szCs w:val="22"/>
      <w:lang w:val="nl-NL" w:eastAsia="en-US"/>
    </w:rPr>
  </w:style>
  <w:style w:type="paragraph" w:customStyle="1" w:styleId="AOHead3">
    <w:name w:val="AOHead3"/>
    <w:basedOn w:val="Normal"/>
    <w:next w:val="Normal"/>
    <w:rsid w:val="00AE6034"/>
    <w:pPr>
      <w:numPr>
        <w:ilvl w:val="2"/>
        <w:numId w:val="12"/>
      </w:numPr>
      <w:suppressAutoHyphens w:val="0"/>
      <w:spacing w:before="240" w:line="260" w:lineRule="atLeast"/>
      <w:jc w:val="both"/>
      <w:outlineLvl w:val="2"/>
    </w:pPr>
    <w:rPr>
      <w:rFonts w:ascii="Times New Roman" w:eastAsia="SimSun" w:hAnsi="Times New Roman"/>
      <w:szCs w:val="22"/>
      <w:lang w:val="nl-NL" w:eastAsia="en-US"/>
    </w:rPr>
  </w:style>
  <w:style w:type="paragraph" w:customStyle="1" w:styleId="AOHead4">
    <w:name w:val="AOHead4"/>
    <w:basedOn w:val="Normal"/>
    <w:next w:val="Normal"/>
    <w:rsid w:val="00AE6034"/>
    <w:pPr>
      <w:numPr>
        <w:ilvl w:val="3"/>
        <w:numId w:val="12"/>
      </w:numPr>
      <w:suppressAutoHyphens w:val="0"/>
      <w:spacing w:before="240" w:line="260" w:lineRule="atLeast"/>
      <w:jc w:val="both"/>
      <w:outlineLvl w:val="3"/>
    </w:pPr>
    <w:rPr>
      <w:rFonts w:ascii="Times New Roman" w:eastAsia="SimSun" w:hAnsi="Times New Roman"/>
      <w:szCs w:val="22"/>
      <w:lang w:val="nl-NL" w:eastAsia="en-US"/>
    </w:rPr>
  </w:style>
  <w:style w:type="paragraph" w:customStyle="1" w:styleId="AOHead5">
    <w:name w:val="AOHead5"/>
    <w:basedOn w:val="Normal"/>
    <w:next w:val="Normal"/>
    <w:rsid w:val="00AE6034"/>
    <w:pPr>
      <w:numPr>
        <w:ilvl w:val="4"/>
        <w:numId w:val="12"/>
      </w:numPr>
      <w:suppressAutoHyphens w:val="0"/>
      <w:spacing w:before="240" w:line="260" w:lineRule="atLeast"/>
      <w:jc w:val="both"/>
      <w:outlineLvl w:val="4"/>
    </w:pPr>
    <w:rPr>
      <w:rFonts w:ascii="Times New Roman" w:eastAsia="SimSun" w:hAnsi="Times New Roman"/>
      <w:szCs w:val="22"/>
      <w:lang w:val="nl-NL" w:eastAsia="en-US"/>
    </w:rPr>
  </w:style>
  <w:style w:type="paragraph" w:customStyle="1" w:styleId="AOHead6">
    <w:name w:val="AOHead6"/>
    <w:basedOn w:val="Normal"/>
    <w:next w:val="Normal"/>
    <w:rsid w:val="00AE6034"/>
    <w:pPr>
      <w:numPr>
        <w:ilvl w:val="5"/>
        <w:numId w:val="12"/>
      </w:numPr>
      <w:suppressAutoHyphens w:val="0"/>
      <w:spacing w:before="240" w:line="260" w:lineRule="atLeast"/>
      <w:jc w:val="both"/>
      <w:outlineLvl w:val="5"/>
    </w:pPr>
    <w:rPr>
      <w:rFonts w:ascii="Times New Roman" w:eastAsia="SimSun" w:hAnsi="Times New Roman"/>
      <w:szCs w:val="22"/>
      <w:lang w:val="nl-NL" w:eastAsia="en-US"/>
    </w:rPr>
  </w:style>
  <w:style w:type="character" w:customStyle="1" w:styleId="FooterChar">
    <w:name w:val="Footer Char"/>
    <w:basedOn w:val="DefaultParagraphFont"/>
    <w:link w:val="Footer"/>
    <w:uiPriority w:val="99"/>
    <w:rsid w:val="009633F5"/>
    <w:rPr>
      <w:rFonts w:ascii="Arial" w:hAnsi="Arial"/>
      <w:sz w:val="22"/>
      <w:szCs w:val="24"/>
    </w:rPr>
  </w:style>
  <w:style w:type="character" w:customStyle="1" w:styleId="UnresolvedMention1">
    <w:name w:val="Unresolved Mention1"/>
    <w:basedOn w:val="DefaultParagraphFont"/>
    <w:uiPriority w:val="99"/>
    <w:semiHidden/>
    <w:unhideWhenUsed/>
    <w:rsid w:val="00561944"/>
    <w:rPr>
      <w:color w:val="605E5C"/>
      <w:shd w:val="clear" w:color="auto" w:fill="E1DFDD"/>
    </w:rPr>
  </w:style>
  <w:style w:type="paragraph" w:customStyle="1" w:styleId="BodyAfterBullet">
    <w:name w:val="_BodyAfterBullet"/>
    <w:basedOn w:val="Normal"/>
    <w:next w:val="Normal"/>
    <w:qFormat/>
    <w:rsid w:val="0030249D"/>
    <w:pPr>
      <w:suppressAutoHyphens w:val="0"/>
      <w:spacing w:before="200" w:after="200"/>
    </w:pPr>
    <w:rPr>
      <w:rFonts w:eastAsia="SC STKaiti"/>
      <w:sz w:val="20"/>
      <w:lang w:val="en-US" w:eastAsia="zh-CN"/>
    </w:rPr>
  </w:style>
  <w:style w:type="character" w:customStyle="1" w:styleId="WWList2Char">
    <w:name w:val="WW_List2 Char"/>
    <w:link w:val="WWList2"/>
    <w:rsid w:val="00290278"/>
    <w:rPr>
      <w:rFonts w:ascii="Arial" w:hAnsi="Arial"/>
      <w:sz w:val="22"/>
      <w:szCs w:val="24"/>
    </w:rPr>
  </w:style>
  <w:style w:type="paragraph" w:styleId="Revision">
    <w:name w:val="Revision"/>
    <w:hidden/>
    <w:semiHidden/>
    <w:rsid w:val="006C00FA"/>
    <w:rPr>
      <w:rFonts w:ascii="Arial" w:hAnsi="Arial"/>
      <w:sz w:val="22"/>
      <w:szCs w:val="24"/>
    </w:rPr>
  </w:style>
  <w:style w:type="paragraph" w:customStyle="1" w:styleId="DocText">
    <w:name w:val="DocText"/>
    <w:basedOn w:val="Normal"/>
    <w:link w:val="DocTextChar"/>
    <w:rsid w:val="00DF035E"/>
    <w:pPr>
      <w:numPr>
        <w:numId w:val="14"/>
      </w:numPr>
      <w:suppressAutoHyphens w:val="0"/>
      <w:spacing w:before="240" w:line="260" w:lineRule="atLeast"/>
      <w:jc w:val="both"/>
    </w:pPr>
    <w:rPr>
      <w:rFonts w:ascii="Times New Roman" w:eastAsiaTheme="minorHAnsi" w:hAnsi="Times New Roman"/>
      <w:szCs w:val="22"/>
      <w:lang w:eastAsia="en-US"/>
    </w:rPr>
  </w:style>
  <w:style w:type="paragraph" w:customStyle="1" w:styleId="DocTextL1">
    <w:name w:val="DocTextL1"/>
    <w:basedOn w:val="DocText"/>
    <w:rsid w:val="00DF035E"/>
    <w:pPr>
      <w:numPr>
        <w:ilvl w:val="1"/>
      </w:numPr>
      <w:tabs>
        <w:tab w:val="num" w:pos="1021"/>
      </w:tabs>
      <w:ind w:left="1021" w:hanging="1021"/>
    </w:pPr>
  </w:style>
  <w:style w:type="paragraph" w:customStyle="1" w:styleId="DocTextL2">
    <w:name w:val="DocTextL2"/>
    <w:basedOn w:val="DocText"/>
    <w:rsid w:val="00DF035E"/>
    <w:pPr>
      <w:numPr>
        <w:ilvl w:val="2"/>
      </w:numPr>
      <w:tabs>
        <w:tab w:val="num" w:pos="360"/>
        <w:tab w:val="num" w:pos="1531"/>
      </w:tabs>
      <w:ind w:left="1531" w:hanging="1531"/>
    </w:pPr>
  </w:style>
  <w:style w:type="paragraph" w:customStyle="1" w:styleId="DocTextL3">
    <w:name w:val="DocTextL3"/>
    <w:basedOn w:val="DocText"/>
    <w:rsid w:val="00DF035E"/>
    <w:pPr>
      <w:numPr>
        <w:ilvl w:val="3"/>
      </w:numPr>
      <w:tabs>
        <w:tab w:val="num" w:pos="360"/>
        <w:tab w:val="num" w:pos="2041"/>
      </w:tabs>
      <w:ind w:left="2041" w:hanging="2041"/>
    </w:pPr>
  </w:style>
  <w:style w:type="paragraph" w:customStyle="1" w:styleId="DocTextL4">
    <w:name w:val="DocTextL4"/>
    <w:basedOn w:val="DocText"/>
    <w:rsid w:val="00DF035E"/>
    <w:pPr>
      <w:numPr>
        <w:ilvl w:val="4"/>
      </w:numPr>
      <w:tabs>
        <w:tab w:val="num" w:pos="360"/>
        <w:tab w:val="num" w:pos="2552"/>
      </w:tabs>
      <w:ind w:left="2552" w:hanging="2552"/>
    </w:pPr>
  </w:style>
  <w:style w:type="paragraph" w:customStyle="1" w:styleId="DocTextL5">
    <w:name w:val="DocTextL5"/>
    <w:basedOn w:val="DocText"/>
    <w:rsid w:val="00DF035E"/>
    <w:pPr>
      <w:numPr>
        <w:ilvl w:val="5"/>
      </w:numPr>
      <w:tabs>
        <w:tab w:val="num" w:pos="360"/>
        <w:tab w:val="num" w:pos="3062"/>
      </w:tabs>
      <w:ind w:left="3062" w:hanging="3062"/>
    </w:pPr>
  </w:style>
  <w:style w:type="paragraph" w:customStyle="1" w:styleId="DocTextL6">
    <w:name w:val="DocTextL6"/>
    <w:basedOn w:val="DocText"/>
    <w:rsid w:val="00DF035E"/>
    <w:pPr>
      <w:numPr>
        <w:ilvl w:val="6"/>
      </w:numPr>
      <w:tabs>
        <w:tab w:val="num" w:pos="360"/>
        <w:tab w:val="num" w:pos="3572"/>
      </w:tabs>
      <w:ind w:left="3572" w:hanging="3572"/>
    </w:pPr>
  </w:style>
  <w:style w:type="paragraph" w:customStyle="1" w:styleId="DocTextL7">
    <w:name w:val="DocTextL7"/>
    <w:basedOn w:val="DocText"/>
    <w:rsid w:val="00DF035E"/>
    <w:pPr>
      <w:numPr>
        <w:ilvl w:val="7"/>
      </w:numPr>
      <w:tabs>
        <w:tab w:val="num" w:pos="360"/>
        <w:tab w:val="num" w:pos="5760"/>
      </w:tabs>
      <w:ind w:left="3744" w:hanging="1224"/>
    </w:pPr>
  </w:style>
  <w:style w:type="paragraph" w:customStyle="1" w:styleId="DocTextL8">
    <w:name w:val="DocTextL8"/>
    <w:basedOn w:val="DocText"/>
    <w:rsid w:val="00DF035E"/>
    <w:pPr>
      <w:numPr>
        <w:ilvl w:val="8"/>
      </w:numPr>
      <w:tabs>
        <w:tab w:val="num" w:pos="360"/>
        <w:tab w:val="num" w:pos="6480"/>
      </w:tabs>
      <w:ind w:left="4320" w:hanging="1440"/>
    </w:pPr>
  </w:style>
  <w:style w:type="character" w:customStyle="1" w:styleId="DocTextChar">
    <w:name w:val="DocText Char"/>
    <w:basedOn w:val="DefaultParagraphFont"/>
    <w:link w:val="DocText"/>
    <w:rsid w:val="00DF035E"/>
    <w:rPr>
      <w:rFonts w:eastAsiaTheme="minorHAnsi"/>
      <w:sz w:val="22"/>
      <w:szCs w:val="22"/>
      <w:lang w:eastAsia="en-US"/>
    </w:rPr>
  </w:style>
  <w:style w:type="character" w:customStyle="1" w:styleId="UnresolvedMention2">
    <w:name w:val="Unresolved Mention2"/>
    <w:basedOn w:val="DefaultParagraphFont"/>
    <w:uiPriority w:val="99"/>
    <w:semiHidden/>
    <w:unhideWhenUsed/>
    <w:rsid w:val="00B96383"/>
    <w:rPr>
      <w:color w:val="605E5C"/>
      <w:shd w:val="clear" w:color="auto" w:fill="E1DFDD"/>
    </w:rPr>
  </w:style>
  <w:style w:type="paragraph" w:styleId="HTMLPreformatted">
    <w:name w:val="HTML Preformatted"/>
    <w:basedOn w:val="Normal"/>
    <w:link w:val="HTMLPreformattedChar"/>
    <w:uiPriority w:val="99"/>
    <w:semiHidden/>
    <w:unhideWhenUsed/>
    <w:rsid w:val="0059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3A8A"/>
    <w:rPr>
      <w:rFonts w:ascii="Courier New" w:hAnsi="Courier New" w:cs="Courier New"/>
    </w:rPr>
  </w:style>
  <w:style w:type="character" w:customStyle="1" w:styleId="UnresolvedMention3">
    <w:name w:val="Unresolved Mention3"/>
    <w:basedOn w:val="DefaultParagraphFont"/>
    <w:uiPriority w:val="99"/>
    <w:semiHidden/>
    <w:unhideWhenUsed/>
    <w:rsid w:val="005B0CC5"/>
    <w:rPr>
      <w:color w:val="605E5C"/>
      <w:shd w:val="clear" w:color="auto" w:fill="E1DFDD"/>
    </w:rPr>
  </w:style>
  <w:style w:type="paragraph" w:customStyle="1" w:styleId="ClientNormal">
    <w:name w:val="ClientNormal"/>
    <w:rsid w:val="000E011B"/>
    <w:rPr>
      <w:rFonts w:eastAsiaTheme="minorHAnsi"/>
      <w:sz w:val="22"/>
      <w:szCs w:val="22"/>
      <w:lang w:eastAsia="en-US"/>
    </w:rPr>
  </w:style>
  <w:style w:type="paragraph" w:customStyle="1" w:styleId="Num1L1">
    <w:name w:val="Num1L1"/>
    <w:basedOn w:val="DocText"/>
    <w:next w:val="DocTextL1"/>
    <w:rsid w:val="000E011B"/>
    <w:pPr>
      <w:keepNext/>
      <w:numPr>
        <w:numId w:val="15"/>
      </w:numPr>
    </w:pPr>
  </w:style>
  <w:style w:type="paragraph" w:customStyle="1" w:styleId="Num1L2">
    <w:name w:val="Num1L2"/>
    <w:basedOn w:val="DocText"/>
    <w:next w:val="DocTextL1"/>
    <w:rsid w:val="000E011B"/>
    <w:pPr>
      <w:keepNext/>
      <w:numPr>
        <w:ilvl w:val="1"/>
        <w:numId w:val="15"/>
      </w:numPr>
    </w:pPr>
  </w:style>
  <w:style w:type="paragraph" w:customStyle="1" w:styleId="Num1L3">
    <w:name w:val="Num1L3"/>
    <w:basedOn w:val="DocText"/>
    <w:next w:val="DocTextL2"/>
    <w:rsid w:val="000E011B"/>
    <w:pPr>
      <w:numPr>
        <w:ilvl w:val="2"/>
        <w:numId w:val="15"/>
      </w:numPr>
    </w:pPr>
  </w:style>
  <w:style w:type="paragraph" w:customStyle="1" w:styleId="Num1L4">
    <w:name w:val="Num1L4"/>
    <w:basedOn w:val="DocText"/>
    <w:next w:val="DocTextL2"/>
    <w:rsid w:val="000E011B"/>
    <w:pPr>
      <w:numPr>
        <w:ilvl w:val="3"/>
        <w:numId w:val="15"/>
      </w:numPr>
    </w:pPr>
  </w:style>
  <w:style w:type="paragraph" w:customStyle="1" w:styleId="Num1L5">
    <w:name w:val="Num1L5"/>
    <w:basedOn w:val="DocText"/>
    <w:next w:val="DocTextL3"/>
    <w:rsid w:val="000E011B"/>
    <w:pPr>
      <w:numPr>
        <w:ilvl w:val="4"/>
        <w:numId w:val="15"/>
      </w:numPr>
    </w:pPr>
  </w:style>
  <w:style w:type="paragraph" w:customStyle="1" w:styleId="Num1L6">
    <w:name w:val="Num1L6"/>
    <w:basedOn w:val="DocText"/>
    <w:next w:val="DocTextL3"/>
    <w:rsid w:val="000E011B"/>
    <w:pPr>
      <w:numPr>
        <w:ilvl w:val="5"/>
        <w:numId w:val="15"/>
      </w:numPr>
    </w:pPr>
  </w:style>
  <w:style w:type="paragraph" w:customStyle="1" w:styleId="Num1L7">
    <w:name w:val="Num1L7"/>
    <w:basedOn w:val="DocText"/>
    <w:next w:val="DocTextL4"/>
    <w:rsid w:val="000E011B"/>
    <w:pPr>
      <w:numPr>
        <w:ilvl w:val="6"/>
        <w:numId w:val="15"/>
      </w:numPr>
    </w:pPr>
  </w:style>
  <w:style w:type="paragraph" w:customStyle="1" w:styleId="Num1L8">
    <w:name w:val="Num1L8"/>
    <w:basedOn w:val="DocText"/>
    <w:next w:val="DocTextL4"/>
    <w:rsid w:val="000E011B"/>
    <w:pPr>
      <w:numPr>
        <w:ilvl w:val="7"/>
        <w:numId w:val="15"/>
      </w:numPr>
    </w:pPr>
  </w:style>
  <w:style w:type="paragraph" w:customStyle="1" w:styleId="Num1L9">
    <w:name w:val="Num1L9"/>
    <w:basedOn w:val="DocText"/>
    <w:next w:val="DocTextL5"/>
    <w:rsid w:val="000E011B"/>
    <w:pPr>
      <w:numPr>
        <w:ilvl w:val="8"/>
        <w:numId w:val="15"/>
      </w:numPr>
    </w:pPr>
  </w:style>
  <w:style w:type="paragraph" w:customStyle="1" w:styleId="BulletL1">
    <w:name w:val="BulletL1"/>
    <w:basedOn w:val="DocText"/>
    <w:rsid w:val="006A3CBB"/>
    <w:pPr>
      <w:numPr>
        <w:numId w:val="16"/>
      </w:numPr>
      <w:spacing w:before="0" w:after="240" w:line="240" w:lineRule="auto"/>
    </w:pPr>
    <w:rPr>
      <w:rFonts w:ascii="Arial" w:hAnsi="Arial" w:cs="Arial"/>
      <w:sz w:val="20"/>
    </w:rPr>
  </w:style>
  <w:style w:type="paragraph" w:customStyle="1" w:styleId="BulletL2">
    <w:name w:val="BulletL2"/>
    <w:basedOn w:val="DocText"/>
    <w:rsid w:val="006A3CBB"/>
    <w:pPr>
      <w:numPr>
        <w:ilvl w:val="1"/>
        <w:numId w:val="16"/>
      </w:numPr>
      <w:spacing w:before="0" w:after="240" w:line="240" w:lineRule="auto"/>
    </w:pPr>
    <w:rPr>
      <w:rFonts w:ascii="Arial" w:hAnsi="Arial" w:cs="Arial"/>
      <w:sz w:val="20"/>
    </w:rPr>
  </w:style>
  <w:style w:type="paragraph" w:customStyle="1" w:styleId="BulletL3">
    <w:name w:val="BulletL3"/>
    <w:basedOn w:val="DocText"/>
    <w:rsid w:val="006A3CBB"/>
    <w:pPr>
      <w:numPr>
        <w:ilvl w:val="2"/>
        <w:numId w:val="16"/>
      </w:numPr>
      <w:spacing w:before="0" w:after="240" w:line="240" w:lineRule="auto"/>
    </w:pPr>
    <w:rPr>
      <w:rFonts w:ascii="Arial" w:hAnsi="Arial" w:cs="Arial"/>
      <w:sz w:val="20"/>
    </w:rPr>
  </w:style>
  <w:style w:type="paragraph" w:customStyle="1" w:styleId="BulletL4">
    <w:name w:val="BulletL4"/>
    <w:basedOn w:val="DocText"/>
    <w:rsid w:val="006A3CBB"/>
    <w:pPr>
      <w:numPr>
        <w:ilvl w:val="3"/>
        <w:numId w:val="16"/>
      </w:numPr>
      <w:spacing w:before="0" w:after="240" w:line="240" w:lineRule="auto"/>
    </w:pPr>
    <w:rPr>
      <w:rFonts w:ascii="Arial" w:hAnsi="Arial" w:cs="Arial"/>
      <w:sz w:val="20"/>
    </w:rPr>
  </w:style>
  <w:style w:type="paragraph" w:customStyle="1" w:styleId="BulletL5">
    <w:name w:val="BulletL5"/>
    <w:basedOn w:val="DocText"/>
    <w:rsid w:val="006A3CBB"/>
    <w:pPr>
      <w:numPr>
        <w:ilvl w:val="4"/>
        <w:numId w:val="16"/>
      </w:numPr>
      <w:spacing w:before="0" w:after="240" w:line="240" w:lineRule="auto"/>
    </w:pPr>
    <w:rPr>
      <w:rFonts w:ascii="Arial" w:hAnsi="Arial" w:cs="Arial"/>
      <w:sz w:val="20"/>
    </w:rPr>
  </w:style>
  <w:style w:type="paragraph" w:customStyle="1" w:styleId="BulletL6">
    <w:name w:val="BulletL6"/>
    <w:basedOn w:val="DocText"/>
    <w:rsid w:val="006A3CBB"/>
    <w:pPr>
      <w:numPr>
        <w:ilvl w:val="5"/>
        <w:numId w:val="16"/>
      </w:numPr>
      <w:spacing w:before="0" w:after="240" w:line="240" w:lineRule="auto"/>
    </w:pPr>
    <w:rPr>
      <w:rFonts w:ascii="Arial" w:hAnsi="Arial" w:cs="Arial"/>
      <w:sz w:val="20"/>
    </w:rPr>
  </w:style>
  <w:style w:type="paragraph" w:customStyle="1" w:styleId="BulletL7">
    <w:name w:val="BulletL7"/>
    <w:basedOn w:val="DocText"/>
    <w:rsid w:val="006A3CBB"/>
    <w:pPr>
      <w:numPr>
        <w:ilvl w:val="6"/>
        <w:numId w:val="16"/>
      </w:numPr>
      <w:spacing w:before="0" w:after="240" w:line="240" w:lineRule="auto"/>
    </w:pPr>
    <w:rPr>
      <w:rFonts w:ascii="Arial" w:hAnsi="Arial" w:cs="Arial"/>
      <w:sz w:val="20"/>
    </w:rPr>
  </w:style>
  <w:style w:type="paragraph" w:customStyle="1" w:styleId="BulletL8">
    <w:name w:val="BulletL8"/>
    <w:basedOn w:val="DocText"/>
    <w:rsid w:val="006A3CBB"/>
    <w:pPr>
      <w:numPr>
        <w:ilvl w:val="7"/>
        <w:numId w:val="16"/>
      </w:numPr>
      <w:spacing w:before="0" w:after="240" w:line="240" w:lineRule="auto"/>
    </w:pPr>
    <w:rPr>
      <w:rFonts w:ascii="Arial" w:hAnsi="Arial" w:cs="Arial"/>
      <w:sz w:val="20"/>
    </w:rPr>
  </w:style>
  <w:style w:type="paragraph" w:customStyle="1" w:styleId="BulletL9">
    <w:name w:val="BulletL9"/>
    <w:basedOn w:val="DocText"/>
    <w:rsid w:val="006A3CBB"/>
    <w:pPr>
      <w:numPr>
        <w:ilvl w:val="8"/>
        <w:numId w:val="16"/>
      </w:numPr>
      <w:spacing w:before="0" w:after="240" w:line="240" w:lineRule="auto"/>
    </w:pPr>
    <w:rPr>
      <w:rFonts w:ascii="Arial" w:hAnsi="Arial" w:cs="Arial"/>
      <w:sz w:val="20"/>
    </w:rPr>
  </w:style>
  <w:style w:type="character" w:customStyle="1" w:styleId="UnresolvedMention4">
    <w:name w:val="Unresolved Mention4"/>
    <w:basedOn w:val="DefaultParagraphFont"/>
    <w:uiPriority w:val="99"/>
    <w:semiHidden/>
    <w:unhideWhenUsed/>
    <w:rsid w:val="00460D60"/>
    <w:rPr>
      <w:color w:val="605E5C"/>
      <w:shd w:val="clear" w:color="auto" w:fill="E1DFDD"/>
    </w:rPr>
  </w:style>
  <w:style w:type="paragraph" w:customStyle="1" w:styleId="Num2L1">
    <w:name w:val="Num2L1"/>
    <w:basedOn w:val="DocText"/>
    <w:next w:val="DocText"/>
    <w:rsid w:val="00387C26"/>
    <w:pPr>
      <w:keepNext/>
      <w:numPr>
        <w:numId w:val="18"/>
      </w:numPr>
    </w:pPr>
  </w:style>
  <w:style w:type="paragraph" w:customStyle="1" w:styleId="Num2L2">
    <w:name w:val="Num2L2"/>
    <w:basedOn w:val="DocText"/>
    <w:next w:val="DocTextL1"/>
    <w:rsid w:val="00387C26"/>
    <w:pPr>
      <w:numPr>
        <w:ilvl w:val="1"/>
        <w:numId w:val="18"/>
      </w:numPr>
    </w:pPr>
  </w:style>
  <w:style w:type="paragraph" w:customStyle="1" w:styleId="Num2L3">
    <w:name w:val="Num2L3"/>
    <w:basedOn w:val="DocText"/>
    <w:next w:val="DocTextL2"/>
    <w:rsid w:val="00387C26"/>
    <w:pPr>
      <w:numPr>
        <w:ilvl w:val="2"/>
        <w:numId w:val="18"/>
      </w:numPr>
    </w:pPr>
  </w:style>
  <w:style w:type="paragraph" w:customStyle="1" w:styleId="Num2L4">
    <w:name w:val="Num2L4"/>
    <w:basedOn w:val="DocText"/>
    <w:next w:val="DocTextL2"/>
    <w:rsid w:val="00387C26"/>
    <w:pPr>
      <w:numPr>
        <w:ilvl w:val="3"/>
        <w:numId w:val="18"/>
      </w:numPr>
    </w:pPr>
  </w:style>
  <w:style w:type="paragraph" w:customStyle="1" w:styleId="Num2L5">
    <w:name w:val="Num2L5"/>
    <w:basedOn w:val="DocText"/>
    <w:next w:val="DocTextL3"/>
    <w:rsid w:val="00387C26"/>
    <w:pPr>
      <w:numPr>
        <w:ilvl w:val="4"/>
        <w:numId w:val="18"/>
      </w:numPr>
    </w:pPr>
  </w:style>
  <w:style w:type="paragraph" w:customStyle="1" w:styleId="Num2L6">
    <w:name w:val="Num2L6"/>
    <w:basedOn w:val="DocText"/>
    <w:next w:val="DocTextL3"/>
    <w:rsid w:val="00387C26"/>
    <w:pPr>
      <w:numPr>
        <w:ilvl w:val="5"/>
        <w:numId w:val="18"/>
      </w:numPr>
    </w:pPr>
  </w:style>
  <w:style w:type="paragraph" w:customStyle="1" w:styleId="Num2L7">
    <w:name w:val="Num2L7"/>
    <w:basedOn w:val="DocText"/>
    <w:next w:val="DocTextL4"/>
    <w:rsid w:val="00387C26"/>
    <w:pPr>
      <w:numPr>
        <w:ilvl w:val="6"/>
        <w:numId w:val="18"/>
      </w:numPr>
    </w:pPr>
  </w:style>
  <w:style w:type="paragraph" w:customStyle="1" w:styleId="Num2L8">
    <w:name w:val="Num2L8"/>
    <w:basedOn w:val="DocText"/>
    <w:next w:val="DocTextL4"/>
    <w:rsid w:val="00387C26"/>
    <w:pPr>
      <w:numPr>
        <w:ilvl w:val="7"/>
        <w:numId w:val="18"/>
      </w:numPr>
    </w:pPr>
  </w:style>
  <w:style w:type="paragraph" w:customStyle="1" w:styleId="Num2L9">
    <w:name w:val="Num2L9"/>
    <w:basedOn w:val="DocText"/>
    <w:next w:val="DocTextL5"/>
    <w:rsid w:val="00387C26"/>
    <w:pPr>
      <w:numPr>
        <w:ilvl w:val="8"/>
        <w:numId w:val="18"/>
      </w:numPr>
    </w:pPr>
  </w:style>
  <w:style w:type="paragraph" w:customStyle="1" w:styleId="DefHead">
    <w:name w:val="DefHead"/>
    <w:basedOn w:val="DocText"/>
    <w:next w:val="DocText"/>
    <w:rsid w:val="00387C26"/>
    <w:pPr>
      <w:numPr>
        <w:numId w:val="17"/>
      </w:numPr>
      <w:tabs>
        <w:tab w:val="num" w:pos="360"/>
      </w:tabs>
      <w:ind w:left="360" w:hanging="360"/>
    </w:pPr>
  </w:style>
  <w:style w:type="paragraph" w:customStyle="1" w:styleId="DefL1">
    <w:name w:val="DefL1"/>
    <w:basedOn w:val="DocText"/>
    <w:next w:val="DocTextL1"/>
    <w:rsid w:val="00387C26"/>
    <w:pPr>
      <w:numPr>
        <w:ilvl w:val="1"/>
        <w:numId w:val="17"/>
      </w:numPr>
      <w:tabs>
        <w:tab w:val="num" w:pos="360"/>
      </w:tabs>
      <w:ind w:left="360" w:hanging="360"/>
    </w:pPr>
  </w:style>
  <w:style w:type="paragraph" w:customStyle="1" w:styleId="DefL2">
    <w:name w:val="DefL2"/>
    <w:basedOn w:val="DocText"/>
    <w:next w:val="DocTextL2"/>
    <w:rsid w:val="00387C26"/>
    <w:pPr>
      <w:numPr>
        <w:ilvl w:val="2"/>
        <w:numId w:val="17"/>
      </w:numPr>
      <w:tabs>
        <w:tab w:val="num" w:pos="360"/>
      </w:tabs>
      <w:ind w:left="360" w:hanging="360"/>
    </w:pPr>
  </w:style>
  <w:style w:type="paragraph" w:customStyle="1" w:styleId="DefL3">
    <w:name w:val="DefL3"/>
    <w:basedOn w:val="DocText"/>
    <w:next w:val="DocTextL2"/>
    <w:rsid w:val="00387C26"/>
    <w:pPr>
      <w:numPr>
        <w:ilvl w:val="3"/>
        <w:numId w:val="17"/>
      </w:numPr>
      <w:tabs>
        <w:tab w:val="num" w:pos="360"/>
      </w:tabs>
      <w:ind w:left="360" w:hanging="360"/>
    </w:pPr>
  </w:style>
  <w:style w:type="paragraph" w:customStyle="1" w:styleId="DefL4">
    <w:name w:val="DefL4"/>
    <w:basedOn w:val="DocText"/>
    <w:next w:val="DocTextL3"/>
    <w:rsid w:val="00387C26"/>
    <w:pPr>
      <w:numPr>
        <w:ilvl w:val="4"/>
        <w:numId w:val="17"/>
      </w:numPr>
      <w:tabs>
        <w:tab w:val="num" w:pos="360"/>
      </w:tabs>
      <w:ind w:left="360" w:hanging="360"/>
    </w:pPr>
  </w:style>
  <w:style w:type="paragraph" w:customStyle="1" w:styleId="DefL5">
    <w:name w:val="DefL5"/>
    <w:basedOn w:val="DocText"/>
    <w:next w:val="DocTextL3"/>
    <w:rsid w:val="00387C26"/>
    <w:pPr>
      <w:numPr>
        <w:ilvl w:val="5"/>
        <w:numId w:val="17"/>
      </w:numPr>
      <w:tabs>
        <w:tab w:val="num" w:pos="360"/>
      </w:tabs>
      <w:ind w:left="360" w:hanging="360"/>
    </w:pPr>
  </w:style>
  <w:style w:type="paragraph" w:customStyle="1" w:styleId="DefL6">
    <w:name w:val="DefL6"/>
    <w:basedOn w:val="DocText"/>
    <w:next w:val="DocTextL4"/>
    <w:rsid w:val="00387C26"/>
    <w:pPr>
      <w:numPr>
        <w:ilvl w:val="6"/>
        <w:numId w:val="17"/>
      </w:numPr>
      <w:tabs>
        <w:tab w:val="num" w:pos="360"/>
      </w:tabs>
      <w:ind w:left="360" w:hanging="360"/>
    </w:pPr>
  </w:style>
  <w:style w:type="paragraph" w:customStyle="1" w:styleId="DefL7">
    <w:name w:val="DefL7"/>
    <w:basedOn w:val="DocText"/>
    <w:next w:val="DocTextL4"/>
    <w:rsid w:val="00387C26"/>
    <w:pPr>
      <w:numPr>
        <w:ilvl w:val="7"/>
        <w:numId w:val="17"/>
      </w:numPr>
      <w:tabs>
        <w:tab w:val="num" w:pos="360"/>
      </w:tabs>
      <w:ind w:left="360" w:hanging="360"/>
    </w:pPr>
  </w:style>
  <w:style w:type="paragraph" w:customStyle="1" w:styleId="DefL8">
    <w:name w:val="DefL8"/>
    <w:basedOn w:val="DocText"/>
    <w:next w:val="DocTextL5"/>
    <w:rsid w:val="00387C26"/>
    <w:pPr>
      <w:numPr>
        <w:ilvl w:val="8"/>
        <w:numId w:val="17"/>
      </w:num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7347">
      <w:bodyDiv w:val="1"/>
      <w:marLeft w:val="0"/>
      <w:marRight w:val="0"/>
      <w:marTop w:val="0"/>
      <w:marBottom w:val="0"/>
      <w:divBdr>
        <w:top w:val="none" w:sz="0" w:space="0" w:color="auto"/>
        <w:left w:val="none" w:sz="0" w:space="0" w:color="auto"/>
        <w:bottom w:val="none" w:sz="0" w:space="0" w:color="auto"/>
        <w:right w:val="none" w:sz="0" w:space="0" w:color="auto"/>
      </w:divBdr>
    </w:div>
    <w:div w:id="167529427">
      <w:bodyDiv w:val="1"/>
      <w:marLeft w:val="0"/>
      <w:marRight w:val="0"/>
      <w:marTop w:val="0"/>
      <w:marBottom w:val="0"/>
      <w:divBdr>
        <w:top w:val="none" w:sz="0" w:space="0" w:color="auto"/>
        <w:left w:val="none" w:sz="0" w:space="0" w:color="auto"/>
        <w:bottom w:val="none" w:sz="0" w:space="0" w:color="auto"/>
        <w:right w:val="none" w:sz="0" w:space="0" w:color="auto"/>
      </w:divBdr>
    </w:div>
    <w:div w:id="229849082">
      <w:bodyDiv w:val="1"/>
      <w:marLeft w:val="0"/>
      <w:marRight w:val="0"/>
      <w:marTop w:val="0"/>
      <w:marBottom w:val="0"/>
      <w:divBdr>
        <w:top w:val="none" w:sz="0" w:space="0" w:color="auto"/>
        <w:left w:val="none" w:sz="0" w:space="0" w:color="auto"/>
        <w:bottom w:val="none" w:sz="0" w:space="0" w:color="auto"/>
        <w:right w:val="none" w:sz="0" w:space="0" w:color="auto"/>
      </w:divBdr>
    </w:div>
    <w:div w:id="504974433">
      <w:bodyDiv w:val="1"/>
      <w:marLeft w:val="0"/>
      <w:marRight w:val="0"/>
      <w:marTop w:val="0"/>
      <w:marBottom w:val="0"/>
      <w:divBdr>
        <w:top w:val="none" w:sz="0" w:space="0" w:color="auto"/>
        <w:left w:val="none" w:sz="0" w:space="0" w:color="auto"/>
        <w:bottom w:val="none" w:sz="0" w:space="0" w:color="auto"/>
        <w:right w:val="none" w:sz="0" w:space="0" w:color="auto"/>
      </w:divBdr>
    </w:div>
    <w:div w:id="652102174">
      <w:bodyDiv w:val="1"/>
      <w:marLeft w:val="0"/>
      <w:marRight w:val="0"/>
      <w:marTop w:val="0"/>
      <w:marBottom w:val="0"/>
      <w:divBdr>
        <w:top w:val="none" w:sz="0" w:space="0" w:color="auto"/>
        <w:left w:val="none" w:sz="0" w:space="0" w:color="auto"/>
        <w:bottom w:val="none" w:sz="0" w:space="0" w:color="auto"/>
        <w:right w:val="none" w:sz="0" w:space="0" w:color="auto"/>
      </w:divBdr>
    </w:div>
    <w:div w:id="684593076">
      <w:bodyDiv w:val="1"/>
      <w:marLeft w:val="0"/>
      <w:marRight w:val="0"/>
      <w:marTop w:val="0"/>
      <w:marBottom w:val="0"/>
      <w:divBdr>
        <w:top w:val="none" w:sz="0" w:space="0" w:color="auto"/>
        <w:left w:val="none" w:sz="0" w:space="0" w:color="auto"/>
        <w:bottom w:val="none" w:sz="0" w:space="0" w:color="auto"/>
        <w:right w:val="none" w:sz="0" w:space="0" w:color="auto"/>
      </w:divBdr>
    </w:div>
    <w:div w:id="713046385">
      <w:bodyDiv w:val="1"/>
      <w:marLeft w:val="0"/>
      <w:marRight w:val="0"/>
      <w:marTop w:val="0"/>
      <w:marBottom w:val="0"/>
      <w:divBdr>
        <w:top w:val="none" w:sz="0" w:space="0" w:color="auto"/>
        <w:left w:val="none" w:sz="0" w:space="0" w:color="auto"/>
        <w:bottom w:val="none" w:sz="0" w:space="0" w:color="auto"/>
        <w:right w:val="none" w:sz="0" w:space="0" w:color="auto"/>
      </w:divBdr>
    </w:div>
    <w:div w:id="789134124">
      <w:bodyDiv w:val="1"/>
      <w:marLeft w:val="0"/>
      <w:marRight w:val="0"/>
      <w:marTop w:val="0"/>
      <w:marBottom w:val="0"/>
      <w:divBdr>
        <w:top w:val="none" w:sz="0" w:space="0" w:color="auto"/>
        <w:left w:val="none" w:sz="0" w:space="0" w:color="auto"/>
        <w:bottom w:val="none" w:sz="0" w:space="0" w:color="auto"/>
        <w:right w:val="none" w:sz="0" w:space="0" w:color="auto"/>
      </w:divBdr>
    </w:div>
    <w:div w:id="835266519">
      <w:bodyDiv w:val="1"/>
      <w:marLeft w:val="0"/>
      <w:marRight w:val="0"/>
      <w:marTop w:val="0"/>
      <w:marBottom w:val="0"/>
      <w:divBdr>
        <w:top w:val="none" w:sz="0" w:space="0" w:color="auto"/>
        <w:left w:val="none" w:sz="0" w:space="0" w:color="auto"/>
        <w:bottom w:val="none" w:sz="0" w:space="0" w:color="auto"/>
        <w:right w:val="none" w:sz="0" w:space="0" w:color="auto"/>
      </w:divBdr>
    </w:div>
    <w:div w:id="1062020947">
      <w:bodyDiv w:val="1"/>
      <w:marLeft w:val="0"/>
      <w:marRight w:val="0"/>
      <w:marTop w:val="0"/>
      <w:marBottom w:val="0"/>
      <w:divBdr>
        <w:top w:val="none" w:sz="0" w:space="0" w:color="auto"/>
        <w:left w:val="none" w:sz="0" w:space="0" w:color="auto"/>
        <w:bottom w:val="none" w:sz="0" w:space="0" w:color="auto"/>
        <w:right w:val="none" w:sz="0" w:space="0" w:color="auto"/>
      </w:divBdr>
    </w:div>
    <w:div w:id="1105542461">
      <w:bodyDiv w:val="1"/>
      <w:marLeft w:val="0"/>
      <w:marRight w:val="0"/>
      <w:marTop w:val="0"/>
      <w:marBottom w:val="0"/>
      <w:divBdr>
        <w:top w:val="none" w:sz="0" w:space="0" w:color="auto"/>
        <w:left w:val="none" w:sz="0" w:space="0" w:color="auto"/>
        <w:bottom w:val="none" w:sz="0" w:space="0" w:color="auto"/>
        <w:right w:val="none" w:sz="0" w:space="0" w:color="auto"/>
      </w:divBdr>
    </w:div>
    <w:div w:id="1139147039">
      <w:bodyDiv w:val="1"/>
      <w:marLeft w:val="0"/>
      <w:marRight w:val="0"/>
      <w:marTop w:val="0"/>
      <w:marBottom w:val="0"/>
      <w:divBdr>
        <w:top w:val="none" w:sz="0" w:space="0" w:color="auto"/>
        <w:left w:val="none" w:sz="0" w:space="0" w:color="auto"/>
        <w:bottom w:val="none" w:sz="0" w:space="0" w:color="auto"/>
        <w:right w:val="none" w:sz="0" w:space="0" w:color="auto"/>
      </w:divBdr>
    </w:div>
    <w:div w:id="1453477022">
      <w:bodyDiv w:val="1"/>
      <w:marLeft w:val="0"/>
      <w:marRight w:val="0"/>
      <w:marTop w:val="0"/>
      <w:marBottom w:val="0"/>
      <w:divBdr>
        <w:top w:val="none" w:sz="0" w:space="0" w:color="auto"/>
        <w:left w:val="none" w:sz="0" w:space="0" w:color="auto"/>
        <w:bottom w:val="none" w:sz="0" w:space="0" w:color="auto"/>
        <w:right w:val="none" w:sz="0" w:space="0" w:color="auto"/>
      </w:divBdr>
    </w:div>
    <w:div w:id="1591155116">
      <w:bodyDiv w:val="1"/>
      <w:marLeft w:val="0"/>
      <w:marRight w:val="0"/>
      <w:marTop w:val="0"/>
      <w:marBottom w:val="0"/>
      <w:divBdr>
        <w:top w:val="none" w:sz="0" w:space="0" w:color="auto"/>
        <w:left w:val="none" w:sz="0" w:space="0" w:color="auto"/>
        <w:bottom w:val="none" w:sz="0" w:space="0" w:color="auto"/>
        <w:right w:val="none" w:sz="0" w:space="0" w:color="auto"/>
      </w:divBdr>
    </w:div>
    <w:div w:id="1877504017">
      <w:bodyDiv w:val="1"/>
      <w:marLeft w:val="0"/>
      <w:marRight w:val="0"/>
      <w:marTop w:val="0"/>
      <w:marBottom w:val="0"/>
      <w:divBdr>
        <w:top w:val="none" w:sz="0" w:space="0" w:color="auto"/>
        <w:left w:val="none" w:sz="0" w:space="0" w:color="auto"/>
        <w:bottom w:val="none" w:sz="0" w:space="0" w:color="auto"/>
        <w:right w:val="none" w:sz="0" w:space="0" w:color="auto"/>
      </w:divBdr>
    </w:div>
    <w:div w:id="1983999559">
      <w:bodyDiv w:val="1"/>
      <w:marLeft w:val="0"/>
      <w:marRight w:val="0"/>
      <w:marTop w:val="0"/>
      <w:marBottom w:val="0"/>
      <w:divBdr>
        <w:top w:val="none" w:sz="0" w:space="0" w:color="auto"/>
        <w:left w:val="none" w:sz="0" w:space="0" w:color="auto"/>
        <w:bottom w:val="none" w:sz="0" w:space="0" w:color="auto"/>
        <w:right w:val="none" w:sz="0" w:space="0" w:color="auto"/>
      </w:divBdr>
    </w:div>
    <w:div w:id="20370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sus.com" TargetMode="External"/><Relationship Id="rId18" Type="http://schemas.openxmlformats.org/officeDocument/2006/relationships/hyperlink" Target="https://c212.net/c/link/?t=0&amp;l=en&amp;o=2978415-1&amp;h=2431822814&amp;u=http%3A%2F%2Fwww.prosus.com%2F&amp;a=www.prosu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rosus.com" TargetMode="External"/><Relationship Id="rId17" Type="http://schemas.openxmlformats.org/officeDocument/2006/relationships/hyperlink" Target="https://c212.net/c/link/?t=0&amp;l=en&amp;o=2978415-1&amp;h=617097799&amp;u=http%3A%2F%2Fwww.deliveryhero.com%2F&amp;a=www.deliveryhero.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212.net/c/link/?t=0&amp;l=en&amp;o=2978415-1&amp;h=1613752044&amp;u=http%3A%2F%2Fwww.trip.com%2F&amp;a=www.tri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are-exchange-offer.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212.net/c/link/?t=0&amp;l=en&amp;o=2978415-1&amp;h=4206264094&amp;u=http%3A%2F%2Fwww.corp.mail.ru%2F&amp;a=www.corp.mail.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rosu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212.net/c/link/?t=0&amp;l=en&amp;o=2978415-1&amp;h=3658478742&amp;u=http%3A%2F%2Fwww.tencent.com%2F&amp;a=www.tencent.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2" ma:contentTypeDescription="Create a new document." ma:contentTypeScope="" ma:versionID="9cac01fff653336af59b5189627da947">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a590057c4d0b260b656afb208a86339c"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782AB-383C-4070-853B-B68BD94E76AD}">
  <ds:schemaRefs>
    <ds:schemaRef ds:uri="http://schemas.microsoft.com/sharepoint/v3/contenttype/forms"/>
  </ds:schemaRefs>
</ds:datastoreItem>
</file>

<file path=customXml/itemProps2.xml><?xml version="1.0" encoding="utf-8"?>
<ds:datastoreItem xmlns:ds="http://schemas.openxmlformats.org/officeDocument/2006/customXml" ds:itemID="{B95AC1EF-70B1-452B-9DF2-B16F59F9F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FF809-7684-4890-A2B7-47B815582621}">
  <ds:schemaRefs>
    <ds:schemaRef ds:uri="http://schemas.openxmlformats.org/officeDocument/2006/bibliography"/>
  </ds:schemaRefs>
</ds:datastoreItem>
</file>

<file path=customXml/itemProps4.xml><?xml version="1.0" encoding="utf-8"?>
<ds:datastoreItem xmlns:ds="http://schemas.openxmlformats.org/officeDocument/2006/customXml" ds:itemID="{9EBCD1DC-0259-47AE-A94D-83AE0B344B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5617</Words>
  <Characters>32021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Watson</dc:creator>
  <cp:lastModifiedBy>Tonilee Lutz</cp:lastModifiedBy>
  <cp:revision>6</cp:revision>
  <cp:lastPrinted>2021-07-09T00:12:00Z</cp:lastPrinted>
  <dcterms:created xsi:type="dcterms:W3CDTF">2021-07-11T15:43:00Z</dcterms:created>
  <dcterms:modified xsi:type="dcterms:W3CDTF">2021-07-12T06:14:00Z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y fmtid="{D5CDD505-2E9C-101B-9397-08002B2CF9AE}" pid="3" name="MSIP_Label_42e67a54-274b-43d7-8098-b3ba5f50e576_Enabled">
    <vt:lpwstr>True</vt:lpwstr>
  </property>
  <property fmtid="{D5CDD505-2E9C-101B-9397-08002B2CF9AE}" pid="4" name="MSIP_Label_42e67a54-274b-43d7-8098-b3ba5f50e576_SiteId">
    <vt:lpwstr>7f0b44d2-04f8-4672-bf5d-4676796468a3</vt:lpwstr>
  </property>
  <property fmtid="{D5CDD505-2E9C-101B-9397-08002B2CF9AE}" pid="5" name="MSIP_Label_42e67a54-274b-43d7-8098-b3ba5f50e576_Owner">
    <vt:lpwstr>Olivier.Valk@allenovery.com</vt:lpwstr>
  </property>
  <property fmtid="{D5CDD505-2E9C-101B-9397-08002B2CF9AE}" pid="6" name="MSIP_Label_42e67a54-274b-43d7-8098-b3ba5f50e576_SetDate">
    <vt:lpwstr>2021-05-25T21:47:42.7657854Z</vt:lpwstr>
  </property>
  <property fmtid="{D5CDD505-2E9C-101B-9397-08002B2CF9AE}" pid="7" name="MSIP_Label_42e67a54-274b-43d7-8098-b3ba5f50e576_Name">
    <vt:lpwstr>Restricted</vt:lpwstr>
  </property>
  <property fmtid="{D5CDD505-2E9C-101B-9397-08002B2CF9AE}" pid="8" name="MSIP_Label_42e67a54-274b-43d7-8098-b3ba5f50e576_Application">
    <vt:lpwstr>Microsoft Azure Information Protection</vt:lpwstr>
  </property>
  <property fmtid="{D5CDD505-2E9C-101B-9397-08002B2CF9AE}" pid="9" name="MSIP_Label_42e67a54-274b-43d7-8098-b3ba5f50e576_ActionId">
    <vt:lpwstr>b294ed9e-9bfb-4b0c-8d70-42d38336a799</vt:lpwstr>
  </property>
  <property fmtid="{D5CDD505-2E9C-101B-9397-08002B2CF9AE}" pid="10" name="MSIP_Label_42e67a54-274b-43d7-8098-b3ba5f50e576_Extended_MSFT_Method">
    <vt:lpwstr>Automatic</vt:lpwstr>
  </property>
  <property fmtid="{D5CDD505-2E9C-101B-9397-08002B2CF9AE}" pid="11" name="Client">
    <vt:lpwstr>0097703</vt:lpwstr>
  </property>
  <property fmtid="{D5CDD505-2E9C-101B-9397-08002B2CF9AE}" pid="12" name="Matter">
    <vt:lpwstr>0000002</vt:lpwstr>
  </property>
  <property fmtid="{D5CDD505-2E9C-101B-9397-08002B2CF9AE}" pid="13" name="cpDocRef">
    <vt:lpwstr>EUO3: 2004993249.1</vt:lpwstr>
  </property>
  <property fmtid="{D5CDD505-2E9C-101B-9397-08002B2CF9AE}" pid="14" name="cpClientMatter">
    <vt:lpwstr>0097703-0000002</vt:lpwstr>
  </property>
  <property fmtid="{D5CDD505-2E9C-101B-9397-08002B2CF9AE}" pid="15" name="cpCombinedRef">
    <vt:lpwstr>0097703-0000002 EUO3: 2004993249.1</vt:lpwstr>
  </property>
</Properties>
</file>