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484F7621" w14:textId="318E6741" w:rsidR="001B56F9" w:rsidRPr="001E3714" w:rsidRDefault="001E3714" w:rsidP="001E3714">
      <w:pPr>
        <w:pStyle w:val="AODocTxt"/>
        <w:spacing w:before="0"/>
        <w:jc w:val="center"/>
        <w:rPr>
          <w:rFonts w:ascii="Verdana" w:hAnsi="Verdana"/>
          <w:b/>
          <w:bCs/>
          <w:sz w:val="20"/>
          <w:szCs w:val="20"/>
        </w:rPr>
      </w:pPr>
      <w:r w:rsidRPr="001E3714">
        <w:rPr>
          <w:rFonts w:ascii="Verdana" w:hAnsi="Verdana"/>
          <w:b/>
          <w:bCs/>
          <w:sz w:val="20"/>
          <w:szCs w:val="20"/>
        </w:rPr>
        <w:t xml:space="preserve">Prosus </w:t>
      </w:r>
      <w:r w:rsidR="00A71BF4">
        <w:rPr>
          <w:rFonts w:ascii="Verdana" w:hAnsi="Verdana"/>
          <w:b/>
          <w:bCs/>
          <w:sz w:val="20"/>
          <w:szCs w:val="20"/>
        </w:rPr>
        <w:t>p</w:t>
      </w:r>
      <w:r w:rsidRPr="001E3714">
        <w:rPr>
          <w:rFonts w:ascii="Verdana" w:hAnsi="Verdana"/>
          <w:b/>
          <w:bCs/>
          <w:sz w:val="20"/>
          <w:szCs w:val="20"/>
        </w:rPr>
        <w:t xml:space="preserve">rices </w:t>
      </w:r>
      <w:r w:rsidR="00A71BF4">
        <w:rPr>
          <w:rFonts w:ascii="Verdana" w:hAnsi="Verdana"/>
          <w:b/>
          <w:bCs/>
          <w:sz w:val="20"/>
          <w:szCs w:val="20"/>
        </w:rPr>
        <w:t>n</w:t>
      </w:r>
      <w:r w:rsidRPr="001E3714">
        <w:rPr>
          <w:rFonts w:ascii="Verdana" w:hAnsi="Verdana"/>
          <w:b/>
          <w:bCs/>
          <w:sz w:val="20"/>
          <w:szCs w:val="20"/>
        </w:rPr>
        <w:t>ew 10-</w:t>
      </w:r>
      <w:r w:rsidR="00A71BF4">
        <w:rPr>
          <w:rFonts w:ascii="Verdana" w:hAnsi="Verdana"/>
          <w:b/>
          <w:bCs/>
          <w:sz w:val="20"/>
          <w:szCs w:val="20"/>
        </w:rPr>
        <w:t>y</w:t>
      </w:r>
      <w:r w:rsidRPr="001E3714">
        <w:rPr>
          <w:rFonts w:ascii="Verdana" w:hAnsi="Verdana"/>
          <w:b/>
          <w:bCs/>
          <w:sz w:val="20"/>
          <w:szCs w:val="20"/>
        </w:rPr>
        <w:t xml:space="preserve">ear </w:t>
      </w:r>
      <w:r w:rsidR="00A71BF4">
        <w:rPr>
          <w:rFonts w:ascii="Verdana" w:hAnsi="Verdana"/>
          <w:b/>
          <w:bCs/>
          <w:sz w:val="20"/>
          <w:szCs w:val="20"/>
        </w:rPr>
        <w:t>t</w:t>
      </w:r>
      <w:r w:rsidRPr="001E3714">
        <w:rPr>
          <w:rFonts w:ascii="Verdana" w:hAnsi="Verdana"/>
          <w:b/>
          <w:bCs/>
          <w:sz w:val="20"/>
          <w:szCs w:val="20"/>
        </w:rPr>
        <w:t xml:space="preserve">ranche USD </w:t>
      </w:r>
      <w:r w:rsidR="00A71BF4">
        <w:rPr>
          <w:rFonts w:ascii="Verdana" w:hAnsi="Verdana"/>
          <w:b/>
          <w:bCs/>
          <w:sz w:val="20"/>
          <w:szCs w:val="20"/>
        </w:rPr>
        <w:t>b</w:t>
      </w:r>
      <w:r w:rsidRPr="001E3714">
        <w:rPr>
          <w:rFonts w:ascii="Verdana" w:hAnsi="Verdana"/>
          <w:b/>
          <w:bCs/>
          <w:sz w:val="20"/>
          <w:szCs w:val="20"/>
        </w:rPr>
        <w:t>ond and 8-</w:t>
      </w:r>
      <w:r w:rsidR="00A71BF4">
        <w:rPr>
          <w:rFonts w:ascii="Verdana" w:hAnsi="Verdana"/>
          <w:b/>
          <w:bCs/>
          <w:sz w:val="20"/>
          <w:szCs w:val="20"/>
        </w:rPr>
        <w:t>y</w:t>
      </w:r>
      <w:r w:rsidRPr="001E3714">
        <w:rPr>
          <w:rFonts w:ascii="Verdana" w:hAnsi="Verdana"/>
          <w:b/>
          <w:bCs/>
          <w:sz w:val="20"/>
          <w:szCs w:val="20"/>
        </w:rPr>
        <w:t>ear and 12-</w:t>
      </w:r>
      <w:r w:rsidR="00A71BF4">
        <w:rPr>
          <w:rFonts w:ascii="Verdana" w:hAnsi="Verdana"/>
          <w:b/>
          <w:bCs/>
          <w:sz w:val="20"/>
          <w:szCs w:val="20"/>
        </w:rPr>
        <w:t>y</w:t>
      </w:r>
      <w:r w:rsidRPr="001E3714">
        <w:rPr>
          <w:rFonts w:ascii="Verdana" w:hAnsi="Verdana"/>
          <w:b/>
          <w:bCs/>
          <w:sz w:val="20"/>
          <w:szCs w:val="20"/>
        </w:rPr>
        <w:t xml:space="preserve">ear </w:t>
      </w:r>
      <w:r w:rsidR="00A71BF4">
        <w:rPr>
          <w:rFonts w:ascii="Verdana" w:hAnsi="Verdana"/>
          <w:b/>
          <w:bCs/>
          <w:sz w:val="20"/>
          <w:szCs w:val="20"/>
        </w:rPr>
        <w:t>t</w:t>
      </w:r>
      <w:r w:rsidRPr="001E3714">
        <w:rPr>
          <w:rFonts w:ascii="Verdana" w:hAnsi="Verdana"/>
          <w:b/>
          <w:bCs/>
          <w:sz w:val="20"/>
          <w:szCs w:val="20"/>
        </w:rPr>
        <w:t>ranches EUR</w:t>
      </w:r>
      <w:r>
        <w:rPr>
          <w:rFonts w:ascii="Verdana" w:hAnsi="Verdana"/>
          <w:b/>
          <w:bCs/>
          <w:sz w:val="20"/>
          <w:szCs w:val="20"/>
        </w:rPr>
        <w:t> </w:t>
      </w:r>
      <w:r w:rsidR="00A71BF4">
        <w:rPr>
          <w:rFonts w:ascii="Verdana" w:hAnsi="Verdana"/>
          <w:b/>
          <w:bCs/>
          <w:sz w:val="20"/>
          <w:szCs w:val="20"/>
        </w:rPr>
        <w:t>b</w:t>
      </w:r>
      <w:r w:rsidRPr="001E3714">
        <w:rPr>
          <w:rFonts w:ascii="Verdana" w:hAnsi="Verdana"/>
          <w:b/>
          <w:bCs/>
          <w:sz w:val="20"/>
          <w:szCs w:val="20"/>
        </w:rPr>
        <w:t>onds</w:t>
      </w:r>
    </w:p>
    <w:p w14:paraId="4B21221E" w14:textId="5126A4A6" w:rsidR="001E3714" w:rsidRDefault="001E3714" w:rsidP="00FF1DB0">
      <w:pPr>
        <w:pStyle w:val="AODocTxt"/>
        <w:spacing w:before="0"/>
        <w:rPr>
          <w:rFonts w:ascii="Verdana" w:hAnsi="Verdana"/>
          <w:sz w:val="20"/>
          <w:szCs w:val="20"/>
        </w:rPr>
      </w:pPr>
    </w:p>
    <w:p w14:paraId="39F67F89" w14:textId="5529D506" w:rsidR="001E3714" w:rsidRPr="001E3714" w:rsidRDefault="001E3714" w:rsidP="001E3714">
      <w:pPr>
        <w:pStyle w:val="AODocTxt"/>
        <w:rPr>
          <w:rFonts w:ascii="Verdana" w:hAnsi="Verdana"/>
          <w:sz w:val="20"/>
          <w:szCs w:val="20"/>
        </w:rPr>
      </w:pPr>
      <w:r w:rsidRPr="001E3714">
        <w:rPr>
          <w:rFonts w:ascii="Verdana" w:hAnsi="Verdana"/>
          <w:sz w:val="20"/>
          <w:szCs w:val="20"/>
        </w:rPr>
        <w:t>On 7 July 2021, Prosus priced USD and EUR notes in an aggregate principal amount totalling US$4.0 billion equivalent under its Global Medium-Term Note Programme. These issuances consist of US$1.85 billion 3.061% notes due 2031, €1.0 billion 1.288% notes due 2029 and €850 million 1.985% notes due 2033 (the “Bonds”).</w:t>
      </w:r>
    </w:p>
    <w:p w14:paraId="408773AD" w14:textId="77777777" w:rsidR="001E3714" w:rsidRPr="001E3714" w:rsidRDefault="001E3714" w:rsidP="001E3714">
      <w:pPr>
        <w:pStyle w:val="AODocTxt"/>
        <w:rPr>
          <w:rFonts w:ascii="Verdana" w:hAnsi="Verdana"/>
          <w:sz w:val="20"/>
          <w:szCs w:val="20"/>
        </w:rPr>
      </w:pPr>
      <w:r w:rsidRPr="001E3714">
        <w:rPr>
          <w:rFonts w:ascii="Verdana" w:hAnsi="Verdana"/>
          <w:sz w:val="20"/>
          <w:szCs w:val="20"/>
        </w:rPr>
        <w:t>The current favourable market backdrop enabled Prosus to extend its debt maturity profile as part of a refinancing of its existing debt.</w:t>
      </w:r>
    </w:p>
    <w:p w14:paraId="528766A5" w14:textId="2F5D5C12" w:rsidR="001E3714" w:rsidRDefault="001E3714" w:rsidP="001E3714">
      <w:pPr>
        <w:pStyle w:val="AODocTxt"/>
        <w:rPr>
          <w:rFonts w:ascii="Verdana" w:hAnsi="Verdana"/>
          <w:sz w:val="20"/>
          <w:szCs w:val="20"/>
        </w:rPr>
      </w:pPr>
      <w:r w:rsidRPr="001E3714">
        <w:rPr>
          <w:rFonts w:ascii="Verdana" w:hAnsi="Verdana"/>
          <w:sz w:val="20"/>
          <w:szCs w:val="20"/>
        </w:rPr>
        <w:t>The purpose of the offerings is to raise proceeds for general corporate purposes, including debt refinancing, which may take the form of redemptions, repayments at maturity, tender offers, repurchases or other transactions.</w:t>
      </w:r>
    </w:p>
    <w:p w14:paraId="1F7698CE" w14:textId="77777777" w:rsidR="001E3714" w:rsidRPr="001E3714" w:rsidRDefault="001E3714" w:rsidP="001E3714">
      <w:pPr>
        <w:pStyle w:val="AODocTxt"/>
        <w:rPr>
          <w:rFonts w:ascii="Verdana" w:hAnsi="Verdana"/>
          <w:sz w:val="20"/>
          <w:szCs w:val="20"/>
        </w:rPr>
      </w:pPr>
      <w:r w:rsidRPr="001E3714">
        <w:rPr>
          <w:rFonts w:ascii="Verdana" w:hAnsi="Verdana"/>
          <w:sz w:val="20"/>
          <w:szCs w:val="20"/>
        </w:rPr>
        <w:t>It is expected that this financing will be ratings neutral for Prosus. Prosus remains committed to an Investment Grade credit rating, as management believes this to be important in providing the group with debt capital market access at attractive rates.</w:t>
      </w:r>
    </w:p>
    <w:p w14:paraId="23D0C9CA" w14:textId="77777777" w:rsidR="001E3714" w:rsidRPr="001E3714" w:rsidRDefault="001E3714" w:rsidP="001E3714">
      <w:pPr>
        <w:pStyle w:val="AODocTxt"/>
        <w:rPr>
          <w:rFonts w:ascii="Verdana" w:hAnsi="Verdana"/>
          <w:sz w:val="20"/>
          <w:szCs w:val="20"/>
        </w:rPr>
      </w:pPr>
      <w:r w:rsidRPr="001E3714">
        <w:rPr>
          <w:rFonts w:ascii="Verdana" w:hAnsi="Verdana"/>
          <w:sz w:val="20"/>
          <w:szCs w:val="20"/>
        </w:rPr>
        <w:t>The offerings are expected to close on 13 July 2021, subject to customary closing conditions.</w:t>
      </w:r>
    </w:p>
    <w:p w14:paraId="73F53891" w14:textId="1BDA11A4" w:rsidR="001E3714" w:rsidRDefault="001E3714" w:rsidP="001E3714">
      <w:pPr>
        <w:pStyle w:val="AODocTxt"/>
        <w:rPr>
          <w:rFonts w:ascii="Verdana" w:hAnsi="Verdana"/>
          <w:sz w:val="20"/>
          <w:szCs w:val="20"/>
        </w:rPr>
      </w:pPr>
      <w:r w:rsidRPr="001E3714">
        <w:rPr>
          <w:rFonts w:ascii="Verdana" w:hAnsi="Verdana"/>
          <w:sz w:val="20"/>
          <w:szCs w:val="20"/>
        </w:rPr>
        <w:t>Application has been made to The Irish Stock Exchange plc trading as Euronext Dublin for the Bonds to be admitted to listing on the Official List and traded on the Global Exchange Market of Euronext Dublin.</w:t>
      </w:r>
    </w:p>
    <w:p w14:paraId="3F4F8572" w14:textId="77777777" w:rsidR="001E3714" w:rsidRPr="001B56F9" w:rsidRDefault="001E3714" w:rsidP="001E3714">
      <w:pPr>
        <w:pStyle w:val="AODocTxt"/>
        <w:rPr>
          <w:rFonts w:ascii="Verdana" w:hAnsi="Verdana"/>
          <w:sz w:val="20"/>
          <w:szCs w:val="20"/>
        </w:rPr>
      </w:pPr>
      <w:r w:rsidRPr="001B56F9">
        <w:rPr>
          <w:rFonts w:ascii="Verdana" w:hAnsi="Verdana"/>
          <w:sz w:val="20"/>
          <w:szCs w:val="20"/>
        </w:rPr>
        <w:t>Amsterdam, the Netherlands</w:t>
      </w:r>
    </w:p>
    <w:p w14:paraId="68BF2A26" w14:textId="4A87512C" w:rsidR="001E3714" w:rsidRPr="001B56F9" w:rsidRDefault="001E3714" w:rsidP="001E3714">
      <w:pPr>
        <w:pStyle w:val="AODocTxt"/>
        <w:spacing w:before="0"/>
        <w:rPr>
          <w:rFonts w:ascii="Verdana" w:hAnsi="Verdana"/>
          <w:sz w:val="20"/>
          <w:szCs w:val="20"/>
        </w:rPr>
      </w:pPr>
      <w:r>
        <w:rPr>
          <w:rFonts w:ascii="Verdana" w:hAnsi="Verdana"/>
          <w:sz w:val="20"/>
          <w:szCs w:val="20"/>
        </w:rPr>
        <w:t xml:space="preserve">8 July </w:t>
      </w:r>
      <w:r w:rsidRPr="001B56F9">
        <w:rPr>
          <w:rFonts w:ascii="Verdana" w:hAnsi="Verdana"/>
          <w:sz w:val="20"/>
          <w:szCs w:val="20"/>
        </w:rPr>
        <w:t>202</w:t>
      </w:r>
      <w:r>
        <w:rPr>
          <w:rFonts w:ascii="Verdana" w:hAnsi="Verdana"/>
          <w:sz w:val="20"/>
          <w:szCs w:val="20"/>
        </w:rPr>
        <w:t>1</w:t>
      </w:r>
    </w:p>
    <w:p w14:paraId="08C0D571" w14:textId="77777777" w:rsidR="001E3714" w:rsidRPr="001B56F9" w:rsidRDefault="001E3714" w:rsidP="001E3714">
      <w:pPr>
        <w:pStyle w:val="AODocTxt"/>
        <w:rPr>
          <w:rFonts w:ascii="Verdana" w:hAnsi="Verdana"/>
          <w:sz w:val="20"/>
          <w:szCs w:val="20"/>
        </w:rPr>
      </w:pPr>
      <w:r w:rsidRPr="001B56F9">
        <w:rPr>
          <w:rFonts w:ascii="Verdana" w:hAnsi="Verdana"/>
          <w:sz w:val="20"/>
          <w:szCs w:val="20"/>
        </w:rPr>
        <w:t>JSE sponsor to Prosus</w:t>
      </w:r>
    </w:p>
    <w:p w14:paraId="68C8F729" w14:textId="77777777" w:rsidR="001E3714" w:rsidRDefault="001E3714" w:rsidP="001E3714">
      <w:pPr>
        <w:pStyle w:val="AODocTxt"/>
        <w:spacing w:before="0"/>
        <w:rPr>
          <w:rFonts w:ascii="Verdana" w:hAnsi="Verdana"/>
          <w:sz w:val="20"/>
          <w:szCs w:val="20"/>
        </w:rPr>
      </w:pPr>
      <w:r w:rsidRPr="001B56F9">
        <w:rPr>
          <w:rFonts w:ascii="Verdana" w:hAnsi="Verdana"/>
          <w:sz w:val="20"/>
          <w:szCs w:val="20"/>
        </w:rPr>
        <w:t>Investec Bank Limited</w:t>
      </w: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3A537E">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3A537E">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3A537E">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2C450AE3" w14:textId="77777777" w:rsidR="001E3714" w:rsidRDefault="001E3714" w:rsidP="00A97AFA">
      <w:pPr>
        <w:pStyle w:val="AODocTxt"/>
        <w:spacing w:line="240" w:lineRule="auto"/>
        <w:rPr>
          <w:rFonts w:ascii="Verdana" w:hAnsi="Verdana"/>
          <w:b/>
          <w:i/>
          <w:iCs/>
          <w:sz w:val="16"/>
          <w:szCs w:val="16"/>
          <w:lang w:val="en-US"/>
        </w:rPr>
      </w:pPr>
    </w:p>
    <w:p w14:paraId="53EA545E" w14:textId="77777777" w:rsidR="001E3714" w:rsidRPr="001E3714" w:rsidRDefault="001E3714" w:rsidP="001E3714">
      <w:pPr>
        <w:pStyle w:val="AODocTxt"/>
        <w:rPr>
          <w:rFonts w:ascii="Verdana" w:hAnsi="Verdana"/>
          <w:b/>
          <w:i/>
          <w:iCs/>
          <w:sz w:val="16"/>
          <w:szCs w:val="16"/>
          <w:lang w:val="en-US"/>
        </w:rPr>
      </w:pPr>
      <w:r w:rsidRPr="001E3714">
        <w:rPr>
          <w:rFonts w:ascii="Verdana" w:hAnsi="Verdana"/>
          <w:b/>
          <w:i/>
          <w:iCs/>
          <w:sz w:val="16"/>
          <w:szCs w:val="16"/>
          <w:lang w:val="en-US"/>
        </w:rPr>
        <w:t>Cautionary Statement</w:t>
      </w:r>
    </w:p>
    <w:p w14:paraId="5FB37BC7" w14:textId="77777777" w:rsidR="001E3714" w:rsidRPr="001E3714" w:rsidRDefault="001E3714" w:rsidP="001E3714">
      <w:pPr>
        <w:spacing w:after="120"/>
        <w:jc w:val="both"/>
        <w:rPr>
          <w:rFonts w:ascii="Verdana" w:hAnsi="Verdana"/>
          <w:i/>
          <w:iCs/>
          <w:sz w:val="16"/>
          <w:szCs w:val="16"/>
        </w:rPr>
      </w:pPr>
      <w:r w:rsidRPr="001E3714">
        <w:rPr>
          <w:rFonts w:ascii="Verdana" w:hAnsi="Verdana"/>
          <w:i/>
          <w:iCs/>
          <w:sz w:val="16"/>
          <w:szCs w:val="16"/>
        </w:rPr>
        <w:t>This announcement is for information purposes only and does not constitute a prospectus or any offer to sell or the solicitation of an offer to buy any security in the United States or in any other jurisdiction. Any securities mentioned herein have not been and will not be registered under the U.S. Securities Act of 1933, as amended (the “Securities Act”) or applicable state or foreign securities laws and may not be offered or sold in the United States absent registration under federal or applicable state securities laws or an   applicable exemption from such registration requirements. Any securities mentioned  herein have been and will only be offered (</w:t>
      </w:r>
      <w:proofErr w:type="spellStart"/>
      <w:r w:rsidRPr="001E3714">
        <w:rPr>
          <w:rFonts w:ascii="Verdana" w:hAnsi="Verdana"/>
          <w:i/>
          <w:iCs/>
          <w:sz w:val="16"/>
          <w:szCs w:val="16"/>
        </w:rPr>
        <w:t>i</w:t>
      </w:r>
      <w:proofErr w:type="spellEnd"/>
      <w:r w:rsidRPr="001E3714">
        <w:rPr>
          <w:rFonts w:ascii="Verdana" w:hAnsi="Verdana"/>
          <w:i/>
          <w:iCs/>
          <w:sz w:val="16"/>
          <w:szCs w:val="16"/>
        </w:rPr>
        <w:t xml:space="preserve">) in the United States to investors who are reasonably </w:t>
      </w:r>
      <w:r w:rsidRPr="001E3714">
        <w:rPr>
          <w:rFonts w:ascii="Verdana" w:hAnsi="Verdana"/>
          <w:i/>
          <w:iCs/>
          <w:sz w:val="16"/>
          <w:szCs w:val="16"/>
        </w:rPr>
        <w:lastRenderedPageBreak/>
        <w:t>believed to be both (1) qualified institutional buyers pursuant to Rule 144A under the Securities Act and (2) Qualified Purchasers (as defined in Section 2(a)(51)(a) of the U.S. Investment Company Act of 1940, as amended (the “Investment Company Act”)), and the rules and regulations promulgated thereunder or (ii) outside the United States to investors who are both (1) non-U.S. residents (as defined for purposes of the Investment Company Act) and (2) non</w:t>
      </w:r>
      <w:r w:rsidRPr="001E3714">
        <w:rPr>
          <w:rFonts w:ascii="Cambria Math" w:hAnsi="Cambria Math" w:cs="Cambria Math"/>
          <w:i/>
          <w:iCs/>
          <w:sz w:val="16"/>
          <w:szCs w:val="16"/>
        </w:rPr>
        <w:t>‑</w:t>
      </w:r>
      <w:r w:rsidRPr="001E3714">
        <w:rPr>
          <w:rFonts w:ascii="Verdana" w:hAnsi="Verdana"/>
          <w:i/>
          <w:iCs/>
          <w:sz w:val="16"/>
          <w:szCs w:val="16"/>
        </w:rPr>
        <w:t>U.S. persons (within the meaning of Regulation S under the Securities Act).</w:t>
      </w:r>
    </w:p>
    <w:p w14:paraId="210E9D7C" w14:textId="591A44E5" w:rsidR="001E3714" w:rsidRDefault="001E3714" w:rsidP="001E3714">
      <w:pPr>
        <w:spacing w:after="120"/>
        <w:jc w:val="both"/>
        <w:rPr>
          <w:rFonts w:ascii="Verdana" w:hAnsi="Verdana"/>
          <w:i/>
          <w:iCs/>
          <w:sz w:val="16"/>
          <w:szCs w:val="16"/>
        </w:rPr>
      </w:pPr>
      <w:r w:rsidRPr="001E3714">
        <w:rPr>
          <w:rFonts w:ascii="Verdana" w:hAnsi="Verdana"/>
          <w:i/>
          <w:iCs/>
          <w:sz w:val="16"/>
          <w:szCs w:val="16"/>
        </w:rPr>
        <w:t>This announcement contains information that qualifies, or may qualify, as inside information within the meaning of Article 7(1) of the Market Abuse Regulation (EU) 596/2014.</w:t>
      </w:r>
    </w:p>
    <w:p w14:paraId="6BA3C16D" w14:textId="77777777" w:rsidR="001E3714" w:rsidRPr="001E3714" w:rsidRDefault="001E3714" w:rsidP="001E3714">
      <w:pPr>
        <w:spacing w:after="120"/>
        <w:jc w:val="both"/>
        <w:rPr>
          <w:rFonts w:ascii="Verdana" w:hAnsi="Verdana"/>
          <w:i/>
          <w:iCs/>
          <w:sz w:val="16"/>
          <w:szCs w:val="16"/>
        </w:rPr>
      </w:pPr>
      <w:r w:rsidRPr="001E3714">
        <w:rPr>
          <w:rFonts w:ascii="Verdana" w:hAnsi="Verdana"/>
          <w:i/>
          <w:iCs/>
          <w:sz w:val="16"/>
          <w:szCs w:val="16"/>
        </w:rPr>
        <w:t xml:space="preserve">This announcement may include forward-looking statements. These forward-looking statements are subject to </w:t>
      </w:r>
      <w:proofErr w:type="gramStart"/>
      <w:r w:rsidRPr="001E3714">
        <w:rPr>
          <w:rFonts w:ascii="Verdana" w:hAnsi="Verdana"/>
          <w:i/>
          <w:iCs/>
          <w:sz w:val="16"/>
          <w:szCs w:val="16"/>
        </w:rPr>
        <w:t>a number of</w:t>
      </w:r>
      <w:proofErr w:type="gramEnd"/>
      <w:r w:rsidRPr="001E3714">
        <w:rPr>
          <w:rFonts w:ascii="Verdana" w:hAnsi="Verdana"/>
          <w:i/>
          <w:iCs/>
          <w:sz w:val="16"/>
          <w:szCs w:val="16"/>
        </w:rPr>
        <w:t xml:space="preserve"> risks and uncertainties, many of which are beyond Prosus’s control and all of which are based on Prosus’s current beliefs and expectations about future events. Forward-looking statements are sometimes identified by the use of forward-looking terminology such as “aim”, “annualised”, “anticipate”, “assume”, “believe”, “continue”, “could”, “estimate”, “expect”, “forecast”, “goal”, “hope”, “intend”, “likely”, “may”, “objective”, “plan”, “position”, “potential”, “predict”, “project”, “risk”, “seek”, “should”, “target”, “will” or “would” or the highlights or the negatives thereof, other variations thereon or comparable terminology. These forward-looking statements include all matters that are not historical facts. </w:t>
      </w:r>
    </w:p>
    <w:p w14:paraId="04406C23" w14:textId="77777777" w:rsidR="001E3714" w:rsidRPr="001E3714" w:rsidRDefault="001E3714" w:rsidP="001E3714">
      <w:pPr>
        <w:spacing w:after="120"/>
        <w:jc w:val="both"/>
        <w:rPr>
          <w:rFonts w:ascii="Verdana" w:hAnsi="Verdana"/>
          <w:i/>
          <w:iCs/>
          <w:sz w:val="16"/>
          <w:szCs w:val="16"/>
        </w:rPr>
      </w:pPr>
      <w:r w:rsidRPr="001E3714">
        <w:rPr>
          <w:rFonts w:ascii="Verdana" w:hAnsi="Verdana"/>
          <w:i/>
          <w:iCs/>
          <w:sz w:val="16"/>
          <w:szCs w:val="16"/>
        </w:rPr>
        <w:t xml:space="preserve">These forward-looking statements and other statements contained in this announcement regarding matters that are not historical facts involve predictions. No assurance can be given that such future results will be achieved; actual events or results may differ materially </w:t>
      </w:r>
      <w:proofErr w:type="gramStart"/>
      <w:r w:rsidRPr="001E3714">
        <w:rPr>
          <w:rFonts w:ascii="Verdana" w:hAnsi="Verdana"/>
          <w:i/>
          <w:iCs/>
          <w:sz w:val="16"/>
          <w:szCs w:val="16"/>
        </w:rPr>
        <w:t>as a result of</w:t>
      </w:r>
      <w:proofErr w:type="gramEnd"/>
      <w:r w:rsidRPr="001E3714">
        <w:rPr>
          <w:rFonts w:ascii="Verdana" w:hAnsi="Verdana"/>
          <w:i/>
          <w:iCs/>
          <w:sz w:val="16"/>
          <w:szCs w:val="16"/>
        </w:rPr>
        <w:t xml:space="preserve"> risks and uncertainties facing Prosus. Such risks and uncertainties could cause actual results to vary materially from the future results indicated, </w:t>
      </w:r>
      <w:proofErr w:type="gramStart"/>
      <w:r w:rsidRPr="001E3714">
        <w:rPr>
          <w:rFonts w:ascii="Verdana" w:hAnsi="Verdana"/>
          <w:i/>
          <w:iCs/>
          <w:sz w:val="16"/>
          <w:szCs w:val="16"/>
        </w:rPr>
        <w:t>expressed</w:t>
      </w:r>
      <w:proofErr w:type="gramEnd"/>
      <w:r w:rsidRPr="001E3714">
        <w:rPr>
          <w:rFonts w:ascii="Verdana" w:hAnsi="Verdana"/>
          <w:i/>
          <w:iCs/>
          <w:sz w:val="16"/>
          <w:szCs w:val="16"/>
        </w:rPr>
        <w:t xml:space="preserve"> or implied in such forward-looking statements. </w:t>
      </w:r>
    </w:p>
    <w:p w14:paraId="5FD1FD4D" w14:textId="36811FCE" w:rsidR="001E3714" w:rsidRPr="001E3714" w:rsidRDefault="001E3714" w:rsidP="001E3714">
      <w:pPr>
        <w:spacing w:after="120"/>
        <w:jc w:val="both"/>
        <w:rPr>
          <w:rFonts w:ascii="Verdana" w:hAnsi="Verdana"/>
          <w:i/>
          <w:iCs/>
          <w:sz w:val="16"/>
          <w:szCs w:val="16"/>
        </w:rPr>
      </w:pPr>
      <w:r w:rsidRPr="001E3714">
        <w:rPr>
          <w:rFonts w:ascii="Verdana" w:hAnsi="Verdana"/>
          <w:i/>
          <w:iCs/>
          <w:sz w:val="16"/>
          <w:szCs w:val="16"/>
        </w:rPr>
        <w:t xml:space="preserve">Forward-looking statements in this announcement speak only as of the date they are made. Except as required by applicable laws and regulations, Prosus expressly disclaims any obligation or undertaking to update or revise the forward-looking statements contained in this announcement to reflect any change in its expectations or any change in events, conditions or circumstances on which such statements are based.  </w:t>
      </w:r>
    </w:p>
    <w:p w14:paraId="0083A20E" w14:textId="6FBF82EC" w:rsidR="00FF1DB0" w:rsidRPr="001B56F9" w:rsidRDefault="00B548F8" w:rsidP="00A97AFA">
      <w:pPr>
        <w:pStyle w:val="AODocTxt"/>
        <w:spacing w:line="240" w:lineRule="auto"/>
        <w:rPr>
          <w:rFonts w:ascii="Verdana" w:hAnsi="Verdana"/>
          <w:b/>
          <w:i/>
          <w:iCs/>
          <w:sz w:val="16"/>
          <w:szCs w:val="16"/>
          <w:lang w:val="en-US"/>
        </w:rPr>
      </w:pPr>
      <w:r w:rsidRPr="001B56F9">
        <w:rPr>
          <w:rFonts w:ascii="Verdana" w:hAnsi="Verdana"/>
          <w:b/>
          <w:i/>
          <w:iCs/>
          <w:sz w:val="16"/>
          <w:szCs w:val="16"/>
          <w:lang w:val="en-US"/>
        </w:rPr>
        <w:t>About Prosus</w:t>
      </w:r>
    </w:p>
    <w:p w14:paraId="298F7711" w14:textId="77777777" w:rsidR="00281A21" w:rsidRPr="00281A21" w:rsidRDefault="00281A21" w:rsidP="00281A21">
      <w:pPr>
        <w:spacing w:after="120"/>
        <w:jc w:val="both"/>
        <w:rPr>
          <w:rFonts w:ascii="Verdana" w:hAnsi="Verdana"/>
          <w:i/>
          <w:iCs/>
          <w:sz w:val="16"/>
          <w:szCs w:val="16"/>
        </w:rPr>
      </w:pPr>
      <w:r w:rsidRPr="00281A21">
        <w:rPr>
          <w:rFonts w:ascii="Verdana" w:hAnsi="Verdana"/>
          <w:i/>
          <w:iCs/>
          <w:sz w:val="16"/>
          <w:szCs w:val="16"/>
        </w:rPr>
        <w:t xml:space="preserve">Prosus is a global consumer internet group and one of the largest technology investors in the world. Operating and investing globally in markets with long-term growth potential, Prosus builds leading consumer internet companies that empower people and enrich communities. </w:t>
      </w:r>
    </w:p>
    <w:p w14:paraId="7FD78BE2" w14:textId="77777777" w:rsidR="00281A21" w:rsidRPr="00281A21" w:rsidRDefault="00281A21" w:rsidP="00281A21">
      <w:pPr>
        <w:spacing w:after="120"/>
        <w:jc w:val="both"/>
        <w:rPr>
          <w:rFonts w:ascii="Verdana" w:hAnsi="Verdana"/>
          <w:i/>
          <w:iCs/>
          <w:sz w:val="16"/>
          <w:szCs w:val="16"/>
        </w:rPr>
      </w:pPr>
      <w:r w:rsidRPr="00281A21">
        <w:rPr>
          <w:rFonts w:ascii="Verdana" w:hAnsi="Verdana"/>
          <w:i/>
          <w:iCs/>
          <w:sz w:val="16"/>
          <w:szCs w:val="16"/>
        </w:rPr>
        <w:t>The group is focused on building meaningful businesses in the online classifieds, food delivery, payments and fintech, and education technology sectors in markets including India, Russia,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0B1E4C99" w14:textId="77777777" w:rsidR="00281A21" w:rsidRPr="00281A21" w:rsidRDefault="00281A21" w:rsidP="00281A21">
      <w:pPr>
        <w:spacing w:after="120"/>
        <w:jc w:val="both"/>
        <w:rPr>
          <w:rFonts w:ascii="Verdana" w:hAnsi="Verdana"/>
          <w:i/>
          <w:iCs/>
          <w:sz w:val="16"/>
          <w:szCs w:val="16"/>
        </w:rPr>
      </w:pPr>
      <w:r w:rsidRPr="00281A21">
        <w:rPr>
          <w:rFonts w:ascii="Verdana" w:hAnsi="Verdana"/>
          <w:i/>
          <w:iCs/>
          <w:sz w:val="16"/>
          <w:szCs w:val="16"/>
        </w:rPr>
        <w:t xml:space="preserve">Every day, millions of people use the products and services of companies that Prosus has invested in, acquired or built, including 99minutos, </w:t>
      </w:r>
      <w:proofErr w:type="spellStart"/>
      <w:r w:rsidRPr="00281A21">
        <w:rPr>
          <w:rFonts w:ascii="Verdana" w:hAnsi="Verdana"/>
          <w:i/>
          <w:iCs/>
          <w:sz w:val="16"/>
          <w:szCs w:val="16"/>
        </w:rPr>
        <w:t>Avito</w:t>
      </w:r>
      <w:proofErr w:type="spellEnd"/>
      <w:r w:rsidRPr="00281A21">
        <w:rPr>
          <w:rFonts w:ascii="Verdana" w:hAnsi="Verdana"/>
          <w:i/>
          <w:iCs/>
          <w:sz w:val="16"/>
          <w:szCs w:val="16"/>
        </w:rPr>
        <w:t xml:space="preserve">, Brainly, BUX, BYJU'S, </w:t>
      </w:r>
      <w:proofErr w:type="spellStart"/>
      <w:r w:rsidRPr="00281A21">
        <w:rPr>
          <w:rFonts w:ascii="Verdana" w:hAnsi="Verdana"/>
          <w:i/>
          <w:iCs/>
          <w:sz w:val="16"/>
          <w:szCs w:val="16"/>
        </w:rPr>
        <w:t>Bykea</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Codecademy</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DappRadar</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DeHaat</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dott</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ElasticRun</w:t>
      </w:r>
      <w:proofErr w:type="spellEnd"/>
      <w:r w:rsidRPr="00281A21">
        <w:rPr>
          <w:rFonts w:ascii="Verdana" w:hAnsi="Verdana"/>
          <w:i/>
          <w:iCs/>
          <w:sz w:val="16"/>
          <w:szCs w:val="16"/>
        </w:rPr>
        <w:t xml:space="preserve">, eMAG, </w:t>
      </w:r>
      <w:proofErr w:type="spellStart"/>
      <w:r w:rsidRPr="00281A21">
        <w:rPr>
          <w:rFonts w:ascii="Verdana" w:hAnsi="Verdana"/>
          <w:i/>
          <w:iCs/>
          <w:sz w:val="16"/>
          <w:szCs w:val="16"/>
        </w:rPr>
        <w:t>Eruditus</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Flink</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GoodHabitz</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Honor</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iFood</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Klar</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LazyPay</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letgo</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Meesho</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Movile</w:t>
      </w:r>
      <w:proofErr w:type="spellEnd"/>
      <w:r w:rsidRPr="00281A21">
        <w:rPr>
          <w:rFonts w:ascii="Verdana" w:hAnsi="Verdana"/>
          <w:i/>
          <w:iCs/>
          <w:sz w:val="16"/>
          <w:szCs w:val="16"/>
        </w:rPr>
        <w:t xml:space="preserve">, Oda, OLX, PayU, Quick Ride, Red Dot Payment, </w:t>
      </w:r>
      <w:proofErr w:type="spellStart"/>
      <w:r w:rsidRPr="00281A21">
        <w:rPr>
          <w:rFonts w:ascii="Verdana" w:hAnsi="Verdana"/>
          <w:i/>
          <w:iCs/>
          <w:sz w:val="16"/>
          <w:szCs w:val="16"/>
        </w:rPr>
        <w:t>Remitly</w:t>
      </w:r>
      <w:proofErr w:type="spellEnd"/>
      <w:r w:rsidRPr="00281A21">
        <w:rPr>
          <w:rFonts w:ascii="Verdana" w:hAnsi="Verdana"/>
          <w:i/>
          <w:iCs/>
          <w:sz w:val="16"/>
          <w:szCs w:val="16"/>
        </w:rPr>
        <w:t xml:space="preserve">, Republic, Shipper, </w:t>
      </w:r>
      <w:proofErr w:type="spellStart"/>
      <w:r w:rsidRPr="00281A21">
        <w:rPr>
          <w:rFonts w:ascii="Verdana" w:hAnsi="Verdana"/>
          <w:i/>
          <w:iCs/>
          <w:sz w:val="16"/>
          <w:szCs w:val="16"/>
        </w:rPr>
        <w:t>SimilarWeb</w:t>
      </w:r>
      <w:proofErr w:type="spellEnd"/>
      <w:r w:rsidRPr="00281A21">
        <w:rPr>
          <w:rFonts w:ascii="Verdana" w:hAnsi="Verdana"/>
          <w:i/>
          <w:iCs/>
          <w:sz w:val="16"/>
          <w:szCs w:val="16"/>
        </w:rPr>
        <w:t xml:space="preserve">, Skillsoft, </w:t>
      </w:r>
      <w:proofErr w:type="spellStart"/>
      <w:r w:rsidRPr="00281A21">
        <w:rPr>
          <w:rFonts w:ascii="Verdana" w:hAnsi="Verdana"/>
          <w:i/>
          <w:iCs/>
          <w:sz w:val="16"/>
          <w:szCs w:val="16"/>
        </w:rPr>
        <w:t>SoloLearn</w:t>
      </w:r>
      <w:proofErr w:type="spellEnd"/>
      <w:r w:rsidRPr="00281A21">
        <w:rPr>
          <w:rFonts w:ascii="Verdana" w:hAnsi="Verdana"/>
          <w:i/>
          <w:iCs/>
          <w:sz w:val="16"/>
          <w:szCs w:val="16"/>
        </w:rPr>
        <w:t xml:space="preserve">, </w:t>
      </w:r>
      <w:proofErr w:type="spellStart"/>
      <w:r w:rsidRPr="00281A21">
        <w:rPr>
          <w:rFonts w:ascii="Verdana" w:hAnsi="Verdana"/>
          <w:i/>
          <w:iCs/>
          <w:sz w:val="16"/>
          <w:szCs w:val="16"/>
        </w:rPr>
        <w:t>Swiggy</w:t>
      </w:r>
      <w:proofErr w:type="spellEnd"/>
      <w:r w:rsidRPr="00281A21">
        <w:rPr>
          <w:rFonts w:ascii="Verdana" w:hAnsi="Verdana"/>
          <w:i/>
          <w:iCs/>
          <w:sz w:val="16"/>
          <w:szCs w:val="16"/>
        </w:rPr>
        <w:t xml:space="preserve">, Udemy, Urban Company and </w:t>
      </w:r>
      <w:proofErr w:type="spellStart"/>
      <w:r w:rsidRPr="00281A21">
        <w:rPr>
          <w:rFonts w:ascii="Verdana" w:hAnsi="Verdana"/>
          <w:i/>
          <w:iCs/>
          <w:sz w:val="16"/>
          <w:szCs w:val="16"/>
        </w:rPr>
        <w:t>Wolt</w:t>
      </w:r>
      <w:proofErr w:type="spellEnd"/>
      <w:r w:rsidRPr="00281A21">
        <w:rPr>
          <w:rFonts w:ascii="Verdana" w:hAnsi="Verdana"/>
          <w:i/>
          <w:iCs/>
          <w:sz w:val="16"/>
          <w:szCs w:val="16"/>
        </w:rPr>
        <w:t>.</w:t>
      </w:r>
    </w:p>
    <w:p w14:paraId="246D47D9" w14:textId="77777777" w:rsidR="00281A21" w:rsidRPr="00281A21" w:rsidRDefault="00281A21" w:rsidP="00281A21">
      <w:pPr>
        <w:spacing w:after="120"/>
        <w:jc w:val="both"/>
        <w:rPr>
          <w:rFonts w:ascii="Verdana" w:hAnsi="Verdana"/>
          <w:i/>
          <w:iCs/>
          <w:sz w:val="16"/>
          <w:szCs w:val="16"/>
        </w:rPr>
      </w:pPr>
      <w:r w:rsidRPr="00281A21">
        <w:rPr>
          <w:rFonts w:ascii="Verdana" w:hAnsi="Verdana"/>
          <w:i/>
          <w:iCs/>
          <w:sz w:val="16"/>
          <w:szCs w:val="16"/>
        </w:rPr>
        <w:t xml:space="preserve">Hundreds of millions of people have made the platforms of Prosus’s associates a part of their daily lives. For listed companies where we have an interest, please see: Tencent, Mail.ru, Trip.com Group Limited, and </w:t>
      </w:r>
      <w:proofErr w:type="spellStart"/>
      <w:r w:rsidRPr="00281A21">
        <w:rPr>
          <w:rFonts w:ascii="Verdana" w:hAnsi="Verdana"/>
          <w:i/>
          <w:iCs/>
          <w:sz w:val="16"/>
          <w:szCs w:val="16"/>
        </w:rPr>
        <w:t>DeliveryHero</w:t>
      </w:r>
      <w:proofErr w:type="spellEnd"/>
      <w:r w:rsidRPr="00281A21">
        <w:rPr>
          <w:rFonts w:ascii="Verdana" w:hAnsi="Verdana"/>
          <w:i/>
          <w:iCs/>
          <w:sz w:val="16"/>
          <w:szCs w:val="16"/>
        </w:rPr>
        <w:t xml:space="preserve">. </w:t>
      </w:r>
    </w:p>
    <w:p w14:paraId="0F6A2780" w14:textId="77777777" w:rsidR="00281A21" w:rsidRPr="00281A21" w:rsidRDefault="00281A21" w:rsidP="00281A21">
      <w:pPr>
        <w:spacing w:after="120"/>
        <w:jc w:val="both"/>
        <w:rPr>
          <w:rFonts w:ascii="Verdana" w:hAnsi="Verdana"/>
          <w:i/>
          <w:iCs/>
          <w:sz w:val="16"/>
          <w:szCs w:val="16"/>
        </w:rPr>
      </w:pPr>
      <w:r w:rsidRPr="00281A21">
        <w:rPr>
          <w:rFonts w:ascii="Verdana" w:hAnsi="Verdana"/>
          <w:i/>
          <w:iCs/>
          <w:sz w:val="16"/>
          <w:szCs w:val="16"/>
        </w:rPr>
        <w:t xml:space="preserve">Today, Prosus companies and associates help improve the lives of more than 2 billion users globally. </w:t>
      </w:r>
    </w:p>
    <w:p w14:paraId="767A20E7" w14:textId="62407EBD" w:rsidR="00281A21" w:rsidRPr="00281A21" w:rsidRDefault="00281A21" w:rsidP="00281A21">
      <w:pPr>
        <w:spacing w:after="120"/>
        <w:jc w:val="both"/>
        <w:rPr>
          <w:rFonts w:ascii="Verdana" w:hAnsi="Verdana"/>
          <w:i/>
          <w:iCs/>
          <w:sz w:val="16"/>
          <w:szCs w:val="16"/>
        </w:rPr>
      </w:pPr>
      <w:r w:rsidRPr="00281A21">
        <w:rPr>
          <w:rFonts w:ascii="Verdana" w:hAnsi="Verdana"/>
          <w:i/>
          <w:iCs/>
          <w:sz w:val="16"/>
          <w:szCs w:val="16"/>
        </w:rPr>
        <w:t xml:space="preserve">Prosus has a primary listing on Euronext Amsterdam (AEX:PRX) and secondary listings on the Johannesburg Stock Exchange (XJSE:PRX) and </w:t>
      </w:r>
      <w:r w:rsidR="00916033">
        <w:rPr>
          <w:rFonts w:ascii="Verdana" w:hAnsi="Verdana"/>
          <w:i/>
          <w:iCs/>
          <w:sz w:val="16"/>
          <w:szCs w:val="16"/>
        </w:rPr>
        <w:t>A</w:t>
      </w:r>
      <w:r w:rsidRPr="00281A21">
        <w:rPr>
          <w:rFonts w:ascii="Verdana" w:hAnsi="Verdana"/>
          <w:i/>
          <w:iCs/>
          <w:sz w:val="16"/>
          <w:szCs w:val="16"/>
        </w:rPr>
        <w:t xml:space="preserve">2X Markets (PRX.AJ). Prosus is majority-owned by Naspers. </w:t>
      </w:r>
    </w:p>
    <w:p w14:paraId="14C932C9" w14:textId="464D4217" w:rsidR="00A97AFA" w:rsidRPr="001B56F9" w:rsidRDefault="00281A21" w:rsidP="00281A21">
      <w:pPr>
        <w:spacing w:after="120"/>
        <w:jc w:val="both"/>
        <w:rPr>
          <w:rFonts w:ascii="Verdana" w:hAnsi="Verdana"/>
          <w:i/>
          <w:iCs/>
          <w:sz w:val="16"/>
          <w:szCs w:val="16"/>
        </w:rPr>
      </w:pPr>
      <w:r w:rsidRPr="00281A21">
        <w:rPr>
          <w:rFonts w:ascii="Verdana" w:hAnsi="Verdana"/>
          <w:i/>
          <w:iCs/>
          <w:sz w:val="16"/>
          <w:szCs w:val="16"/>
        </w:rPr>
        <w:t>For more information, please visit www.prosus.com.</w:t>
      </w:r>
    </w:p>
    <w:sectPr w:rsidR="00A97AFA" w:rsidRPr="001B56F9" w:rsidSect="00A11278">
      <w:footerReference w:type="first" r:id="rId10"/>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8BE33" w14:textId="77777777" w:rsidR="00A73373" w:rsidRDefault="00A73373">
      <w:r>
        <w:separator/>
      </w:r>
    </w:p>
  </w:endnote>
  <w:endnote w:type="continuationSeparator" w:id="0">
    <w:p w14:paraId="0D1F80BD" w14:textId="77777777" w:rsidR="00A73373" w:rsidRDefault="00A73373">
      <w:r>
        <w:continuationSeparator/>
      </w:r>
    </w:p>
  </w:endnote>
  <w:endnote w:type="continuationNotice" w:id="1">
    <w:p w14:paraId="229C75E9" w14:textId="77777777" w:rsidR="00A73373" w:rsidRDefault="00A7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1B56F9" w:rsidRDefault="001B56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1B56F9" w:rsidRDefault="001B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690BB" w14:textId="77777777" w:rsidR="00A73373" w:rsidRDefault="00A73373">
      <w:r>
        <w:separator/>
      </w:r>
    </w:p>
  </w:footnote>
  <w:footnote w:type="continuationSeparator" w:id="0">
    <w:p w14:paraId="3D7864FB" w14:textId="77777777" w:rsidR="00A73373" w:rsidRDefault="00A73373">
      <w:r>
        <w:continuationSeparator/>
      </w:r>
    </w:p>
  </w:footnote>
  <w:footnote w:type="continuationNotice" w:id="1">
    <w:p w14:paraId="387EF859" w14:textId="77777777" w:rsidR="00A73373" w:rsidRDefault="00A733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6253BC5"/>
    <w:multiLevelType w:val="hybridMultilevel"/>
    <w:tmpl w:val="89A8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6"/>
  </w:num>
  <w:num w:numId="6">
    <w:abstractNumId w:val="9"/>
  </w:num>
  <w:num w:numId="7">
    <w:abstractNumId w:val="16"/>
  </w:num>
  <w:num w:numId="8">
    <w:abstractNumId w:val="0"/>
  </w:num>
  <w:num w:numId="9">
    <w:abstractNumId w:val="10"/>
  </w:num>
  <w:num w:numId="10">
    <w:abstractNumId w:val="5"/>
  </w:num>
  <w:num w:numId="11">
    <w:abstractNumId w:val="3"/>
  </w:num>
  <w:num w:numId="12">
    <w:abstractNumId w:val="2"/>
  </w:num>
  <w:num w:numId="13">
    <w:abstractNumId w:val="17"/>
  </w:num>
  <w:num w:numId="14">
    <w:abstractNumId w:val="7"/>
  </w:num>
  <w:num w:numId="15">
    <w:abstractNumId w:val="13"/>
  </w:num>
  <w:num w:numId="16">
    <w:abstractNumId w:val="4"/>
  </w:num>
  <w:num w:numId="17">
    <w:abstractNumId w:val="15"/>
  </w:num>
  <w:num w:numId="18">
    <w:abstractNumId w:val="1"/>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0EB7"/>
    <w:rsid w:val="000311DD"/>
    <w:rsid w:val="00035DF9"/>
    <w:rsid w:val="000520A8"/>
    <w:rsid w:val="000524E4"/>
    <w:rsid w:val="00076610"/>
    <w:rsid w:val="00081C4B"/>
    <w:rsid w:val="00083181"/>
    <w:rsid w:val="000858C5"/>
    <w:rsid w:val="000926C9"/>
    <w:rsid w:val="00096F56"/>
    <w:rsid w:val="000A007D"/>
    <w:rsid w:val="000B5E70"/>
    <w:rsid w:val="000D0702"/>
    <w:rsid w:val="000D37AE"/>
    <w:rsid w:val="000D6545"/>
    <w:rsid w:val="00100952"/>
    <w:rsid w:val="00107626"/>
    <w:rsid w:val="00111788"/>
    <w:rsid w:val="001241D8"/>
    <w:rsid w:val="001258F0"/>
    <w:rsid w:val="001354E4"/>
    <w:rsid w:val="00137356"/>
    <w:rsid w:val="0015523E"/>
    <w:rsid w:val="00162242"/>
    <w:rsid w:val="00163063"/>
    <w:rsid w:val="00171474"/>
    <w:rsid w:val="0017422B"/>
    <w:rsid w:val="001837F3"/>
    <w:rsid w:val="00187A05"/>
    <w:rsid w:val="0019642E"/>
    <w:rsid w:val="001A0D0C"/>
    <w:rsid w:val="001A4C02"/>
    <w:rsid w:val="001B0BCE"/>
    <w:rsid w:val="001B56F9"/>
    <w:rsid w:val="001C143F"/>
    <w:rsid w:val="001D640C"/>
    <w:rsid w:val="001E0BC8"/>
    <w:rsid w:val="001E3714"/>
    <w:rsid w:val="001E7139"/>
    <w:rsid w:val="001E79DF"/>
    <w:rsid w:val="001F10C1"/>
    <w:rsid w:val="001F66DC"/>
    <w:rsid w:val="001F750F"/>
    <w:rsid w:val="0020166E"/>
    <w:rsid w:val="00207F8C"/>
    <w:rsid w:val="00223596"/>
    <w:rsid w:val="002271C4"/>
    <w:rsid w:val="00230D9A"/>
    <w:rsid w:val="002404E5"/>
    <w:rsid w:val="002410C4"/>
    <w:rsid w:val="002431A6"/>
    <w:rsid w:val="00244F4C"/>
    <w:rsid w:val="00251D49"/>
    <w:rsid w:val="00252198"/>
    <w:rsid w:val="002547FE"/>
    <w:rsid w:val="00265DE0"/>
    <w:rsid w:val="0027495C"/>
    <w:rsid w:val="002771A0"/>
    <w:rsid w:val="00281A21"/>
    <w:rsid w:val="0028593A"/>
    <w:rsid w:val="002959ED"/>
    <w:rsid w:val="002A01D2"/>
    <w:rsid w:val="002A2FEA"/>
    <w:rsid w:val="002A3B89"/>
    <w:rsid w:val="002B454B"/>
    <w:rsid w:val="002B6F38"/>
    <w:rsid w:val="002D1ED7"/>
    <w:rsid w:val="002E0DDE"/>
    <w:rsid w:val="002E64C2"/>
    <w:rsid w:val="002F03B3"/>
    <w:rsid w:val="002F2BFA"/>
    <w:rsid w:val="002F492C"/>
    <w:rsid w:val="00311552"/>
    <w:rsid w:val="00311BF4"/>
    <w:rsid w:val="00334F07"/>
    <w:rsid w:val="003559CF"/>
    <w:rsid w:val="00375A6D"/>
    <w:rsid w:val="003813A3"/>
    <w:rsid w:val="00393B01"/>
    <w:rsid w:val="00394F7A"/>
    <w:rsid w:val="003979CA"/>
    <w:rsid w:val="003A0E9E"/>
    <w:rsid w:val="003A16CF"/>
    <w:rsid w:val="003B4B11"/>
    <w:rsid w:val="003C35CF"/>
    <w:rsid w:val="003C4585"/>
    <w:rsid w:val="003D3824"/>
    <w:rsid w:val="00402667"/>
    <w:rsid w:val="0040471C"/>
    <w:rsid w:val="004147F8"/>
    <w:rsid w:val="00415C56"/>
    <w:rsid w:val="00417834"/>
    <w:rsid w:val="004260D6"/>
    <w:rsid w:val="00432A6C"/>
    <w:rsid w:val="00440C96"/>
    <w:rsid w:val="0044338D"/>
    <w:rsid w:val="004501D7"/>
    <w:rsid w:val="0045386B"/>
    <w:rsid w:val="0045533C"/>
    <w:rsid w:val="004614FD"/>
    <w:rsid w:val="00463113"/>
    <w:rsid w:val="00464397"/>
    <w:rsid w:val="0047162F"/>
    <w:rsid w:val="004A6489"/>
    <w:rsid w:val="004B047D"/>
    <w:rsid w:val="004B26CD"/>
    <w:rsid w:val="004B39A3"/>
    <w:rsid w:val="004C1607"/>
    <w:rsid w:val="004C587E"/>
    <w:rsid w:val="004C64F3"/>
    <w:rsid w:val="004D003B"/>
    <w:rsid w:val="004E0793"/>
    <w:rsid w:val="004F168E"/>
    <w:rsid w:val="004F2D87"/>
    <w:rsid w:val="00502494"/>
    <w:rsid w:val="00507DA6"/>
    <w:rsid w:val="005247D0"/>
    <w:rsid w:val="00532CE4"/>
    <w:rsid w:val="005409A6"/>
    <w:rsid w:val="00545817"/>
    <w:rsid w:val="00584DC4"/>
    <w:rsid w:val="005A04CC"/>
    <w:rsid w:val="005A4B4A"/>
    <w:rsid w:val="005A4C4C"/>
    <w:rsid w:val="005A7AC8"/>
    <w:rsid w:val="005B24B1"/>
    <w:rsid w:val="005B3D4F"/>
    <w:rsid w:val="005C2782"/>
    <w:rsid w:val="005C595A"/>
    <w:rsid w:val="005D16AE"/>
    <w:rsid w:val="005D56CD"/>
    <w:rsid w:val="005D5CB3"/>
    <w:rsid w:val="005E15A9"/>
    <w:rsid w:val="005E54E1"/>
    <w:rsid w:val="005E5E8C"/>
    <w:rsid w:val="006056BD"/>
    <w:rsid w:val="0061031A"/>
    <w:rsid w:val="00616781"/>
    <w:rsid w:val="0061772E"/>
    <w:rsid w:val="00624BE1"/>
    <w:rsid w:val="00630AD0"/>
    <w:rsid w:val="006444FC"/>
    <w:rsid w:val="006621E9"/>
    <w:rsid w:val="00665096"/>
    <w:rsid w:val="00667882"/>
    <w:rsid w:val="00672235"/>
    <w:rsid w:val="00677B84"/>
    <w:rsid w:val="0068599B"/>
    <w:rsid w:val="006861DD"/>
    <w:rsid w:val="006A5AA0"/>
    <w:rsid w:val="006C1F14"/>
    <w:rsid w:val="006C6050"/>
    <w:rsid w:val="006C6D54"/>
    <w:rsid w:val="006D4520"/>
    <w:rsid w:val="006F4DD9"/>
    <w:rsid w:val="006F7CC7"/>
    <w:rsid w:val="007076F8"/>
    <w:rsid w:val="007213AF"/>
    <w:rsid w:val="007225C1"/>
    <w:rsid w:val="00730573"/>
    <w:rsid w:val="00741399"/>
    <w:rsid w:val="0074249F"/>
    <w:rsid w:val="007454C4"/>
    <w:rsid w:val="00746F0E"/>
    <w:rsid w:val="00752DC7"/>
    <w:rsid w:val="00757DDB"/>
    <w:rsid w:val="007610D6"/>
    <w:rsid w:val="00761DB5"/>
    <w:rsid w:val="00762057"/>
    <w:rsid w:val="00772164"/>
    <w:rsid w:val="00777505"/>
    <w:rsid w:val="00777DFC"/>
    <w:rsid w:val="00785F2B"/>
    <w:rsid w:val="00790FDB"/>
    <w:rsid w:val="00796D69"/>
    <w:rsid w:val="007A0379"/>
    <w:rsid w:val="007A7486"/>
    <w:rsid w:val="007B342D"/>
    <w:rsid w:val="007C63AF"/>
    <w:rsid w:val="007C7343"/>
    <w:rsid w:val="007D3178"/>
    <w:rsid w:val="007D5047"/>
    <w:rsid w:val="007D75EC"/>
    <w:rsid w:val="007F2535"/>
    <w:rsid w:val="007F3123"/>
    <w:rsid w:val="007F3A5E"/>
    <w:rsid w:val="007F54B2"/>
    <w:rsid w:val="0080011D"/>
    <w:rsid w:val="0080543B"/>
    <w:rsid w:val="00810C23"/>
    <w:rsid w:val="00810F73"/>
    <w:rsid w:val="00813D2E"/>
    <w:rsid w:val="00815059"/>
    <w:rsid w:val="00817E4C"/>
    <w:rsid w:val="00822A1E"/>
    <w:rsid w:val="00826793"/>
    <w:rsid w:val="00826F3D"/>
    <w:rsid w:val="00841AE0"/>
    <w:rsid w:val="00842588"/>
    <w:rsid w:val="008558CD"/>
    <w:rsid w:val="008579D9"/>
    <w:rsid w:val="00866A1B"/>
    <w:rsid w:val="008B12F2"/>
    <w:rsid w:val="008B5E7B"/>
    <w:rsid w:val="008C14D4"/>
    <w:rsid w:val="008C740A"/>
    <w:rsid w:val="008E0A09"/>
    <w:rsid w:val="008E452C"/>
    <w:rsid w:val="008F3F2F"/>
    <w:rsid w:val="008F68D8"/>
    <w:rsid w:val="00900F4B"/>
    <w:rsid w:val="00911051"/>
    <w:rsid w:val="00916033"/>
    <w:rsid w:val="00916C40"/>
    <w:rsid w:val="00920631"/>
    <w:rsid w:val="00931405"/>
    <w:rsid w:val="009403E5"/>
    <w:rsid w:val="00952A5B"/>
    <w:rsid w:val="00952B33"/>
    <w:rsid w:val="00960F52"/>
    <w:rsid w:val="00967C82"/>
    <w:rsid w:val="00977A87"/>
    <w:rsid w:val="009819C0"/>
    <w:rsid w:val="00982969"/>
    <w:rsid w:val="00987ACB"/>
    <w:rsid w:val="00991FA1"/>
    <w:rsid w:val="009A2F72"/>
    <w:rsid w:val="009A4BDE"/>
    <w:rsid w:val="009B5C2E"/>
    <w:rsid w:val="009B6EEC"/>
    <w:rsid w:val="009B6F2B"/>
    <w:rsid w:val="009D20EB"/>
    <w:rsid w:val="009E0C49"/>
    <w:rsid w:val="009E3692"/>
    <w:rsid w:val="009F39E4"/>
    <w:rsid w:val="009F684F"/>
    <w:rsid w:val="00A04C0C"/>
    <w:rsid w:val="00A11278"/>
    <w:rsid w:val="00A14BE9"/>
    <w:rsid w:val="00A23102"/>
    <w:rsid w:val="00A279B2"/>
    <w:rsid w:val="00A30B85"/>
    <w:rsid w:val="00A53BB2"/>
    <w:rsid w:val="00A603ED"/>
    <w:rsid w:val="00A607B2"/>
    <w:rsid w:val="00A71BF4"/>
    <w:rsid w:val="00A72C4D"/>
    <w:rsid w:val="00A73373"/>
    <w:rsid w:val="00A76A73"/>
    <w:rsid w:val="00A910FA"/>
    <w:rsid w:val="00A97AFA"/>
    <w:rsid w:val="00AA4393"/>
    <w:rsid w:val="00AA44B0"/>
    <w:rsid w:val="00AA58B4"/>
    <w:rsid w:val="00AA6840"/>
    <w:rsid w:val="00AC635D"/>
    <w:rsid w:val="00AD12A7"/>
    <w:rsid w:val="00AE12E7"/>
    <w:rsid w:val="00AE4B2D"/>
    <w:rsid w:val="00AE6CB5"/>
    <w:rsid w:val="00AF4AF2"/>
    <w:rsid w:val="00B1321E"/>
    <w:rsid w:val="00B15851"/>
    <w:rsid w:val="00B175E3"/>
    <w:rsid w:val="00B26B16"/>
    <w:rsid w:val="00B31BFF"/>
    <w:rsid w:val="00B3229B"/>
    <w:rsid w:val="00B47E2C"/>
    <w:rsid w:val="00B548F8"/>
    <w:rsid w:val="00B56273"/>
    <w:rsid w:val="00B81189"/>
    <w:rsid w:val="00B90CD2"/>
    <w:rsid w:val="00BA18E2"/>
    <w:rsid w:val="00BA5412"/>
    <w:rsid w:val="00BA6B05"/>
    <w:rsid w:val="00BB07C3"/>
    <w:rsid w:val="00BB7754"/>
    <w:rsid w:val="00BC0964"/>
    <w:rsid w:val="00BD1D5C"/>
    <w:rsid w:val="00BD5E79"/>
    <w:rsid w:val="00BE2502"/>
    <w:rsid w:val="00BE4396"/>
    <w:rsid w:val="00BF1C21"/>
    <w:rsid w:val="00BF2C07"/>
    <w:rsid w:val="00C10892"/>
    <w:rsid w:val="00C2524B"/>
    <w:rsid w:val="00C27C6D"/>
    <w:rsid w:val="00C32EAC"/>
    <w:rsid w:val="00C33767"/>
    <w:rsid w:val="00C46506"/>
    <w:rsid w:val="00C513E3"/>
    <w:rsid w:val="00C52946"/>
    <w:rsid w:val="00C53616"/>
    <w:rsid w:val="00C55E3F"/>
    <w:rsid w:val="00C6652D"/>
    <w:rsid w:val="00C76B0C"/>
    <w:rsid w:val="00C77824"/>
    <w:rsid w:val="00C85F26"/>
    <w:rsid w:val="00CA1C32"/>
    <w:rsid w:val="00CA2C1F"/>
    <w:rsid w:val="00CA6867"/>
    <w:rsid w:val="00CB1C88"/>
    <w:rsid w:val="00CC19DE"/>
    <w:rsid w:val="00CC4FDF"/>
    <w:rsid w:val="00CC7666"/>
    <w:rsid w:val="00CE4126"/>
    <w:rsid w:val="00CE43C3"/>
    <w:rsid w:val="00D03DDB"/>
    <w:rsid w:val="00D059F4"/>
    <w:rsid w:val="00D06E6E"/>
    <w:rsid w:val="00D1734D"/>
    <w:rsid w:val="00D22F53"/>
    <w:rsid w:val="00D236CC"/>
    <w:rsid w:val="00D276BE"/>
    <w:rsid w:val="00D438B7"/>
    <w:rsid w:val="00D44840"/>
    <w:rsid w:val="00D454D6"/>
    <w:rsid w:val="00D51E46"/>
    <w:rsid w:val="00D60A12"/>
    <w:rsid w:val="00D61FAD"/>
    <w:rsid w:val="00D81A8C"/>
    <w:rsid w:val="00D836DC"/>
    <w:rsid w:val="00D83BF3"/>
    <w:rsid w:val="00D854F7"/>
    <w:rsid w:val="00D9672C"/>
    <w:rsid w:val="00DA1EBE"/>
    <w:rsid w:val="00DB0D05"/>
    <w:rsid w:val="00DC29AB"/>
    <w:rsid w:val="00DE6434"/>
    <w:rsid w:val="00DF6012"/>
    <w:rsid w:val="00E024CC"/>
    <w:rsid w:val="00E05622"/>
    <w:rsid w:val="00E15B69"/>
    <w:rsid w:val="00E17B23"/>
    <w:rsid w:val="00E20584"/>
    <w:rsid w:val="00E20AF5"/>
    <w:rsid w:val="00E26EE7"/>
    <w:rsid w:val="00E30C20"/>
    <w:rsid w:val="00E37575"/>
    <w:rsid w:val="00E37FCA"/>
    <w:rsid w:val="00E713DA"/>
    <w:rsid w:val="00E725C0"/>
    <w:rsid w:val="00E72D84"/>
    <w:rsid w:val="00E72E13"/>
    <w:rsid w:val="00E7334C"/>
    <w:rsid w:val="00E80A87"/>
    <w:rsid w:val="00E81B74"/>
    <w:rsid w:val="00E8576B"/>
    <w:rsid w:val="00E904EB"/>
    <w:rsid w:val="00E9172D"/>
    <w:rsid w:val="00EA4020"/>
    <w:rsid w:val="00EA5A2B"/>
    <w:rsid w:val="00EA645E"/>
    <w:rsid w:val="00EA6930"/>
    <w:rsid w:val="00EB29A2"/>
    <w:rsid w:val="00EB4508"/>
    <w:rsid w:val="00EB5226"/>
    <w:rsid w:val="00ED1E76"/>
    <w:rsid w:val="00EF1683"/>
    <w:rsid w:val="00F01CD0"/>
    <w:rsid w:val="00F34D9D"/>
    <w:rsid w:val="00F37E83"/>
    <w:rsid w:val="00F53B14"/>
    <w:rsid w:val="00F53B4A"/>
    <w:rsid w:val="00F5500E"/>
    <w:rsid w:val="00F553A4"/>
    <w:rsid w:val="00F572F7"/>
    <w:rsid w:val="00F62E3C"/>
    <w:rsid w:val="00F647A7"/>
    <w:rsid w:val="00F664CD"/>
    <w:rsid w:val="00F70721"/>
    <w:rsid w:val="00F70A48"/>
    <w:rsid w:val="00F7688D"/>
    <w:rsid w:val="00F83481"/>
    <w:rsid w:val="00F836BA"/>
    <w:rsid w:val="00F848E6"/>
    <w:rsid w:val="00F93ECA"/>
    <w:rsid w:val="00F970E9"/>
    <w:rsid w:val="00FC10EB"/>
    <w:rsid w:val="00FC1DF2"/>
    <w:rsid w:val="00FC1F01"/>
    <w:rsid w:val="00FC54CF"/>
    <w:rsid w:val="00FC58D1"/>
    <w:rsid w:val="00FD4C5E"/>
    <w:rsid w:val="00FD65CF"/>
    <w:rsid w:val="00FE1135"/>
    <w:rsid w:val="00FE155A"/>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 w:type="paragraph" w:customStyle="1" w:styleId="Default">
    <w:name w:val="Default"/>
    <w:rsid w:val="00311552"/>
    <w:pPr>
      <w:autoSpaceDE w:val="0"/>
      <w:autoSpaceDN w:val="0"/>
      <w:adjustRightInd w:val="0"/>
      <w:spacing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9950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2" ma:contentTypeDescription="Create a new document." ma:contentTypeScope="" ma:versionID="9cac01fff653336af59b5189627da947">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a590057c4d0b260b656afb208a86339c"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67540-6851-446B-8198-F192AD238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B62C0-856F-4317-8693-4A4F827CC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BE93E-84F5-40D5-B57C-3166153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Tonilee Lutz</cp:lastModifiedBy>
  <cp:revision>7</cp:revision>
  <cp:lastPrinted>2020-11-30T09:56:00Z</cp:lastPrinted>
  <dcterms:created xsi:type="dcterms:W3CDTF">2021-07-08T07:12:00Z</dcterms:created>
  <dcterms:modified xsi:type="dcterms:W3CDTF">2021-07-08T07:18:00Z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