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4E6" w:rsidRPr="00DA74E6" w:rsidRDefault="00DA74E6" w:rsidP="00DA74E6">
      <w:pPr>
        <w:spacing w:after="0"/>
        <w:rPr>
          <w:rFonts w:ascii="Arial" w:eastAsia="Times New Roman" w:hAnsi="Arial" w:cs="Arial"/>
          <w:sz w:val="20"/>
          <w:szCs w:val="20"/>
        </w:rPr>
      </w:pPr>
      <w:bookmarkStart w:id="0" w:name="_GoBack"/>
      <w:r w:rsidRPr="00DA74E6">
        <w:rPr>
          <w:rFonts w:ascii="Arial" w:eastAsia="Times New Roman" w:hAnsi="Arial" w:cs="Arial"/>
          <w:b/>
          <w:bCs/>
          <w:sz w:val="20"/>
          <w:szCs w:val="20"/>
        </w:rPr>
        <w:t>AkzoNobel share buyback (May 6, 2019 - May 10, 2019)</w:t>
      </w:r>
      <w:r w:rsidRPr="00DA74E6">
        <w:rPr>
          <w:rFonts w:ascii="Arial" w:eastAsia="Times New Roman" w:hAnsi="Arial" w:cs="Arial"/>
          <w:sz w:val="20"/>
          <w:szCs w:val="20"/>
        </w:rPr>
        <w:t xml:space="preserve"> </w:t>
      </w:r>
    </w:p>
    <w:bookmarkEnd w:id="0"/>
    <w:p w:rsidR="00DA74E6" w:rsidRPr="00DA74E6" w:rsidRDefault="00DA74E6" w:rsidP="00DA74E6">
      <w:pPr>
        <w:spacing w:after="0"/>
        <w:rPr>
          <w:rFonts w:eastAsia="Times New Roman"/>
          <w:sz w:val="20"/>
          <w:szCs w:val="20"/>
        </w:rPr>
      </w:pPr>
    </w:p>
    <w:p w:rsidR="00DA74E6" w:rsidRPr="00DA74E6" w:rsidRDefault="00DA74E6" w:rsidP="00DA74E6">
      <w:pPr>
        <w:pStyle w:val="hs9"/>
        <w:rPr>
          <w:rFonts w:ascii="Arial" w:hAnsi="Arial" w:cs="Arial"/>
        </w:rPr>
      </w:pPr>
      <w:r w:rsidRPr="00DA74E6">
        <w:rPr>
          <w:rFonts w:ascii="Arial" w:hAnsi="Arial" w:cs="Arial"/>
        </w:rPr>
        <w:t>May 13</w:t>
      </w:r>
      <w:r w:rsidRPr="00DA74E6">
        <w:rPr>
          <w:rStyle w:val="hs21"/>
          <w:rFonts w:ascii="Arial" w:hAnsi="Arial" w:cs="Arial"/>
        </w:rPr>
        <w:t>, 2019</w:t>
      </w:r>
      <w:r w:rsidRPr="00DA74E6">
        <w:rPr>
          <w:rStyle w:val="hs21"/>
          <w:rFonts w:ascii="Arial" w:hAnsi="Arial" w:cs="Arial"/>
          <w:b/>
          <w:bCs/>
        </w:rPr>
        <w:t xml:space="preserve"> </w:t>
      </w:r>
    </w:p>
    <w:p w:rsidR="00DA74E6" w:rsidRPr="00DA74E6" w:rsidRDefault="00DA74E6" w:rsidP="00DA74E6">
      <w:pPr>
        <w:pStyle w:val="hs9"/>
        <w:rPr>
          <w:rFonts w:ascii="Arial" w:hAnsi="Arial" w:cs="Arial"/>
        </w:rPr>
      </w:pPr>
      <w:r w:rsidRPr="00DA74E6">
        <w:rPr>
          <w:rFonts w:ascii="Arial" w:hAnsi="Arial" w:cs="Arial"/>
        </w:rPr>
        <w:t> </w:t>
      </w:r>
    </w:p>
    <w:p w:rsidR="00DA74E6" w:rsidRPr="00DA74E6" w:rsidRDefault="00DA74E6" w:rsidP="00DA74E6">
      <w:pPr>
        <w:pStyle w:val="hs10"/>
        <w:rPr>
          <w:rFonts w:ascii="Arial" w:hAnsi="Arial" w:cs="Arial"/>
        </w:rPr>
      </w:pPr>
      <w:r w:rsidRPr="00DA74E6">
        <w:rPr>
          <w:rStyle w:val="hs14"/>
          <w:rFonts w:ascii="Arial" w:hAnsi="Arial" w:cs="Arial"/>
        </w:rPr>
        <w:t>AkzoNobel (AKZA; AKZOY) has repurchased 2,534,989 of its own ordinary shares in the period from May 6, 2019 up to and including May 10, 2019, at an average price of €74.48 per share. The consideration of the repurchase was €188.80 million.</w:t>
      </w:r>
    </w:p>
    <w:p w:rsidR="00DA74E6" w:rsidRPr="00DA74E6" w:rsidRDefault="00DA74E6" w:rsidP="00DA74E6">
      <w:pPr>
        <w:pStyle w:val="hs10"/>
        <w:rPr>
          <w:rFonts w:ascii="Arial" w:hAnsi="Arial" w:cs="Arial"/>
        </w:rPr>
      </w:pPr>
      <w:r w:rsidRPr="00DA74E6">
        <w:rPr>
          <w:rFonts w:ascii="Arial" w:hAnsi="Arial" w:cs="Arial"/>
        </w:rPr>
        <w:t> </w:t>
      </w:r>
    </w:p>
    <w:p w:rsidR="00DA74E6" w:rsidRPr="00DA74E6" w:rsidRDefault="00DA74E6" w:rsidP="00DA74E6">
      <w:pPr>
        <w:pStyle w:val="hs10"/>
        <w:rPr>
          <w:rFonts w:ascii="Arial" w:hAnsi="Arial" w:cs="Arial"/>
        </w:rPr>
      </w:pPr>
      <w:r w:rsidRPr="00DA74E6">
        <w:rPr>
          <w:rFonts w:ascii="Arial" w:hAnsi="Arial" w:cs="Arial"/>
        </w:rPr>
        <w:t>This is part of a repurchase program announced on February 13, 2019. The total number of shares repurchased under this program to date is 11,453,034 ordinary shares for a total consideration of €890.50 million.</w:t>
      </w:r>
    </w:p>
    <w:p w:rsidR="00DA74E6" w:rsidRPr="00DA74E6" w:rsidRDefault="00DA74E6" w:rsidP="00DA74E6">
      <w:pPr>
        <w:pStyle w:val="hs10"/>
        <w:rPr>
          <w:rFonts w:ascii="Arial" w:hAnsi="Arial" w:cs="Arial"/>
        </w:rPr>
      </w:pPr>
      <w:r w:rsidRPr="00DA74E6">
        <w:rPr>
          <w:rStyle w:val="hs21"/>
          <w:rFonts w:ascii="Arial" w:hAnsi="Arial" w:cs="Arial"/>
        </w:rPr>
        <w:t> </w:t>
      </w:r>
    </w:p>
    <w:p w:rsidR="00DA74E6" w:rsidRPr="00DA74E6" w:rsidRDefault="00DA74E6" w:rsidP="00DA74E6">
      <w:pPr>
        <w:pStyle w:val="hs9"/>
        <w:rPr>
          <w:rFonts w:ascii="Arial" w:hAnsi="Arial" w:cs="Arial"/>
        </w:rPr>
      </w:pPr>
      <w:r w:rsidRPr="00DA74E6">
        <w:rPr>
          <w:rFonts w:ascii="Arial" w:hAnsi="Arial" w:cs="Arial"/>
        </w:rPr>
        <w:t>AkzoNobel intends to repurchase common shares up to a value of €2.5 billion as part of a total €6.5 billion being distributed to shareholders following the sale of the Specialty Chemicals business. The share buyback is due to be completed by the end of 2019.</w:t>
      </w:r>
    </w:p>
    <w:p w:rsidR="00DA74E6" w:rsidRPr="00DA74E6" w:rsidRDefault="00DA74E6" w:rsidP="00DA74E6">
      <w:pPr>
        <w:pStyle w:val="hs9"/>
        <w:rPr>
          <w:rFonts w:ascii="Arial" w:hAnsi="Arial" w:cs="Arial"/>
        </w:rPr>
      </w:pPr>
      <w:r w:rsidRPr="00DA74E6">
        <w:rPr>
          <w:rStyle w:val="hs21"/>
          <w:rFonts w:ascii="Arial" w:hAnsi="Arial" w:cs="Arial"/>
        </w:rPr>
        <w:t> </w:t>
      </w:r>
    </w:p>
    <w:p w:rsidR="00DA74E6" w:rsidRPr="00DA74E6" w:rsidRDefault="00DA74E6" w:rsidP="00DA74E6">
      <w:pPr>
        <w:pStyle w:val="hs9"/>
        <w:rPr>
          <w:rFonts w:ascii="Arial" w:hAnsi="Arial" w:cs="Arial"/>
        </w:rPr>
      </w:pPr>
      <w:r w:rsidRPr="00DA74E6">
        <w:rPr>
          <w:rFonts w:ascii="Arial" w:hAnsi="Arial" w:cs="Arial"/>
        </w:rPr>
        <w:t xml:space="preserve">In accordance with regulations, AkzoNobel will inform the market about the progress made in the execution of this program through weekly updates and at </w:t>
      </w:r>
      <w:hyperlink r:id="rId4" w:tgtFrame="_blank" w:history="1">
        <w:r w:rsidRPr="00DA74E6">
          <w:rPr>
            <w:rStyle w:val="Hyperlink"/>
            <w:rFonts w:ascii="Arial" w:hAnsi="Arial" w:cs="Arial"/>
            <w:u w:val="single"/>
            <w:lang w:val="nl-NL"/>
          </w:rPr>
          <w:t>https://www.akzonobel.com/for-investors/shares/share-buyback-overview</w:t>
        </w:r>
      </w:hyperlink>
    </w:p>
    <w:p w:rsidR="00DA74E6" w:rsidRPr="00DA74E6" w:rsidRDefault="00DA74E6" w:rsidP="00DA74E6">
      <w:pPr>
        <w:pStyle w:val="hs13"/>
        <w:rPr>
          <w:rFonts w:ascii="Arial" w:hAnsi="Arial" w:cs="Arial"/>
          <w:sz w:val="20"/>
          <w:szCs w:val="20"/>
        </w:rPr>
      </w:pPr>
      <w:r w:rsidRPr="00DA74E6">
        <w:rPr>
          <w:rFonts w:ascii="Arial" w:hAnsi="Arial" w:cs="Arial"/>
          <w:sz w:val="20"/>
          <w:szCs w:val="20"/>
        </w:rPr>
        <w:t> </w:t>
      </w:r>
    </w:p>
    <w:p w:rsidR="00DA74E6" w:rsidRPr="00DA74E6" w:rsidRDefault="00DA74E6" w:rsidP="00DA74E6">
      <w:pPr>
        <w:pStyle w:val="hs13"/>
        <w:rPr>
          <w:rFonts w:ascii="Arial" w:hAnsi="Arial" w:cs="Arial"/>
          <w:sz w:val="20"/>
          <w:szCs w:val="20"/>
        </w:rPr>
      </w:pPr>
      <w:r w:rsidRPr="00DA74E6">
        <w:rPr>
          <w:rFonts w:ascii="Arial" w:hAnsi="Arial" w:cs="Arial"/>
          <w:b/>
          <w:bCs/>
          <w:sz w:val="20"/>
          <w:szCs w:val="20"/>
          <w:u w:val="single"/>
        </w:rPr>
        <w:br/>
        <w:t xml:space="preserve">About AkzoNobel </w:t>
      </w:r>
    </w:p>
    <w:p w:rsidR="00DA74E6" w:rsidRPr="00DA74E6" w:rsidRDefault="00DA74E6" w:rsidP="00DA74E6">
      <w:pPr>
        <w:pStyle w:val="hs11"/>
        <w:rPr>
          <w:rFonts w:ascii="Arial" w:hAnsi="Arial" w:cs="Arial"/>
          <w:sz w:val="20"/>
          <w:szCs w:val="20"/>
        </w:rPr>
      </w:pPr>
      <w:r w:rsidRPr="00DA74E6">
        <w:rPr>
          <w:rFonts w:ascii="Arial" w:hAnsi="Arial" w:cs="Arial"/>
          <w:sz w:val="20"/>
          <w:szCs w:val="20"/>
        </w:rPr>
        <w:t xml:space="preserve">AkzoNobel has a passion for paint. We're experts in the proud craft of making paints and coatings, setting the standard in color and protection since 1792. Our world class portfolio of brands - including </w:t>
      </w:r>
      <w:proofErr w:type="spellStart"/>
      <w:r w:rsidRPr="00DA74E6">
        <w:rPr>
          <w:rFonts w:ascii="Arial" w:hAnsi="Arial" w:cs="Arial"/>
          <w:sz w:val="20"/>
          <w:szCs w:val="20"/>
        </w:rPr>
        <w:t>Dulux</w:t>
      </w:r>
      <w:proofErr w:type="spellEnd"/>
      <w:r w:rsidRPr="00DA74E6">
        <w:rPr>
          <w:rFonts w:ascii="Arial" w:hAnsi="Arial" w:cs="Arial"/>
          <w:sz w:val="20"/>
          <w:szCs w:val="20"/>
        </w:rPr>
        <w:t xml:space="preserve">, International, </w:t>
      </w:r>
      <w:proofErr w:type="spellStart"/>
      <w:r w:rsidRPr="00DA74E6">
        <w:rPr>
          <w:rFonts w:ascii="Arial" w:hAnsi="Arial" w:cs="Arial"/>
          <w:sz w:val="20"/>
          <w:szCs w:val="20"/>
        </w:rPr>
        <w:t>Sikkens</w:t>
      </w:r>
      <w:proofErr w:type="spellEnd"/>
      <w:r w:rsidRPr="00DA74E6">
        <w:rPr>
          <w:rFonts w:ascii="Arial" w:hAnsi="Arial" w:cs="Arial"/>
          <w:sz w:val="20"/>
          <w:szCs w:val="20"/>
        </w:rPr>
        <w:t xml:space="preserve"> and </w:t>
      </w:r>
      <w:proofErr w:type="spellStart"/>
      <w:r w:rsidRPr="00DA74E6">
        <w:rPr>
          <w:rFonts w:ascii="Arial" w:hAnsi="Arial" w:cs="Arial"/>
          <w:sz w:val="20"/>
          <w:szCs w:val="20"/>
        </w:rPr>
        <w:t>Interpon</w:t>
      </w:r>
      <w:proofErr w:type="spellEnd"/>
      <w:r w:rsidRPr="00DA74E6">
        <w:rPr>
          <w:rFonts w:ascii="Arial" w:hAnsi="Arial" w:cs="Arial"/>
          <w:sz w:val="20"/>
          <w:szCs w:val="20"/>
        </w:rPr>
        <w:t xml:space="preserve"> - is trusted by customers around the globe. Headquartered in the Netherlands, we are active in over 150 countries and employ around 34,500 talented people who are passionate about delivering the high-performance products and services our customers expect.</w:t>
      </w:r>
    </w:p>
    <w:p w:rsidR="00DA74E6" w:rsidRPr="00DA74E6" w:rsidRDefault="00DA74E6" w:rsidP="00DA74E6">
      <w:pPr>
        <w:pStyle w:val="hs8"/>
        <w:spacing w:after="0"/>
        <w:rPr>
          <w:rFonts w:ascii="Arial" w:hAnsi="Arial" w:cs="Arial"/>
        </w:rPr>
      </w:pPr>
      <w:r w:rsidRPr="00DA74E6">
        <w:rPr>
          <w:rFonts w:ascii="Arial" w:hAnsi="Arial" w:cs="Arial"/>
          <w:b/>
          <w:bCs/>
          <w:color w:val="000000"/>
          <w:spacing w:val="2"/>
        </w:rPr>
        <w:t> </w:t>
      </w:r>
    </w:p>
    <w:p w:rsidR="00DA74E6" w:rsidRPr="00DA74E6" w:rsidRDefault="00DA74E6" w:rsidP="00DA74E6">
      <w:pPr>
        <w:pStyle w:val="hs8"/>
        <w:spacing w:before="90" w:after="0"/>
        <w:rPr>
          <w:rFonts w:ascii="Arial" w:hAnsi="Arial" w:cs="Arial"/>
        </w:rPr>
      </w:pPr>
      <w:r w:rsidRPr="00DA74E6">
        <w:rPr>
          <w:rStyle w:val="hs42"/>
          <w:rFonts w:ascii="Arial" w:hAnsi="Arial" w:cs="Arial"/>
          <w:b/>
          <w:bCs/>
          <w:sz w:val="20"/>
          <w:szCs w:val="20"/>
          <w:u w:val="single"/>
        </w:rPr>
        <w:t>Not for publication - for more information</w:t>
      </w:r>
    </w:p>
    <w:p w:rsidR="00DA74E6" w:rsidRPr="00DA74E6" w:rsidRDefault="00DA74E6" w:rsidP="00DA74E6">
      <w:pPr>
        <w:pStyle w:val="hs9"/>
        <w:spacing w:after="0"/>
        <w:rPr>
          <w:rFonts w:ascii="Arial" w:hAnsi="Arial" w:cs="Arial"/>
        </w:rPr>
      </w:pPr>
      <w:r w:rsidRPr="00DA74E6">
        <w:rPr>
          <w:rFonts w:ascii="Arial" w:hAnsi="Arial" w:cs="Arial"/>
        </w:rPr>
        <w:t> </w:t>
      </w:r>
    </w:p>
    <w:tbl>
      <w:tblPr>
        <w:tblW w:w="0" w:type="auto"/>
        <w:tblCellMar>
          <w:left w:w="0" w:type="dxa"/>
          <w:right w:w="0" w:type="dxa"/>
        </w:tblCellMar>
        <w:tblLook w:val="04A0" w:firstRow="1" w:lastRow="0" w:firstColumn="1" w:lastColumn="0" w:noHBand="0" w:noVBand="1"/>
      </w:tblPr>
      <w:tblGrid>
        <w:gridCol w:w="4502"/>
        <w:gridCol w:w="4503"/>
      </w:tblGrid>
      <w:tr w:rsidR="00DA74E6" w:rsidRPr="00DA74E6" w:rsidTr="00DA74E6">
        <w:tc>
          <w:tcPr>
            <w:tcW w:w="4502" w:type="dxa"/>
            <w:tcMar>
              <w:top w:w="0" w:type="dxa"/>
              <w:left w:w="108" w:type="dxa"/>
              <w:bottom w:w="0" w:type="dxa"/>
              <w:right w:w="108" w:type="dxa"/>
            </w:tcMar>
            <w:hideMark/>
          </w:tcPr>
          <w:p w:rsidR="00DA74E6" w:rsidRPr="00DA74E6" w:rsidRDefault="00DA74E6">
            <w:pPr>
              <w:pStyle w:val="hs9"/>
              <w:spacing w:after="0"/>
              <w:rPr>
                <w:rFonts w:ascii="Arial" w:hAnsi="Arial" w:cs="Arial"/>
              </w:rPr>
            </w:pPr>
            <w:r w:rsidRPr="00DA74E6">
              <w:rPr>
                <w:rStyle w:val="hs31"/>
                <w:rFonts w:ascii="Arial" w:hAnsi="Arial" w:cs="Arial"/>
                <w:sz w:val="20"/>
                <w:szCs w:val="20"/>
              </w:rPr>
              <w:t>Media Relations</w:t>
            </w:r>
          </w:p>
        </w:tc>
        <w:tc>
          <w:tcPr>
            <w:tcW w:w="4503" w:type="dxa"/>
            <w:tcMar>
              <w:top w:w="0" w:type="dxa"/>
              <w:left w:w="108" w:type="dxa"/>
              <w:bottom w:w="0" w:type="dxa"/>
              <w:right w:w="108" w:type="dxa"/>
            </w:tcMar>
            <w:hideMark/>
          </w:tcPr>
          <w:p w:rsidR="00DA74E6" w:rsidRPr="00DA74E6" w:rsidRDefault="00DA74E6">
            <w:pPr>
              <w:pStyle w:val="hs9"/>
              <w:spacing w:after="0"/>
              <w:rPr>
                <w:rFonts w:ascii="Arial" w:hAnsi="Arial" w:cs="Arial"/>
              </w:rPr>
            </w:pPr>
            <w:r w:rsidRPr="00DA74E6">
              <w:rPr>
                <w:rStyle w:val="hs31"/>
                <w:rFonts w:ascii="Arial" w:hAnsi="Arial" w:cs="Arial"/>
                <w:sz w:val="20"/>
                <w:szCs w:val="20"/>
              </w:rPr>
              <w:t>Investor Relations</w:t>
            </w:r>
          </w:p>
        </w:tc>
      </w:tr>
      <w:tr w:rsidR="00DA74E6" w:rsidRPr="00DA74E6" w:rsidTr="00DA74E6">
        <w:tc>
          <w:tcPr>
            <w:tcW w:w="4502" w:type="dxa"/>
            <w:tcMar>
              <w:top w:w="0" w:type="dxa"/>
              <w:left w:w="108" w:type="dxa"/>
              <w:bottom w:w="0" w:type="dxa"/>
              <w:right w:w="108" w:type="dxa"/>
            </w:tcMar>
            <w:hideMark/>
          </w:tcPr>
          <w:p w:rsidR="00DA74E6" w:rsidRPr="00DA74E6" w:rsidRDefault="00DA74E6">
            <w:pPr>
              <w:pStyle w:val="hs9"/>
              <w:spacing w:after="0"/>
              <w:rPr>
                <w:rFonts w:ascii="Arial" w:hAnsi="Arial" w:cs="Arial"/>
              </w:rPr>
            </w:pPr>
            <w:r w:rsidRPr="00DA74E6">
              <w:rPr>
                <w:rStyle w:val="hs31"/>
                <w:rFonts w:ascii="Arial" w:hAnsi="Arial" w:cs="Arial"/>
                <w:sz w:val="20"/>
                <w:szCs w:val="20"/>
              </w:rPr>
              <w:t>T +31 (0)88 - 969 7833</w:t>
            </w:r>
          </w:p>
        </w:tc>
        <w:tc>
          <w:tcPr>
            <w:tcW w:w="4503" w:type="dxa"/>
            <w:tcMar>
              <w:top w:w="0" w:type="dxa"/>
              <w:left w:w="108" w:type="dxa"/>
              <w:bottom w:w="0" w:type="dxa"/>
              <w:right w:w="108" w:type="dxa"/>
            </w:tcMar>
            <w:hideMark/>
          </w:tcPr>
          <w:p w:rsidR="00DA74E6" w:rsidRPr="00DA74E6" w:rsidRDefault="00DA74E6">
            <w:pPr>
              <w:pStyle w:val="hs9"/>
              <w:spacing w:after="0"/>
              <w:rPr>
                <w:rFonts w:ascii="Arial" w:hAnsi="Arial" w:cs="Arial"/>
              </w:rPr>
            </w:pPr>
            <w:r w:rsidRPr="00DA74E6">
              <w:rPr>
                <w:rStyle w:val="hs31"/>
                <w:rFonts w:ascii="Arial" w:hAnsi="Arial" w:cs="Arial"/>
                <w:sz w:val="20"/>
                <w:szCs w:val="20"/>
              </w:rPr>
              <w:t xml:space="preserve">T +31 (0)88 - 969 7856 </w:t>
            </w:r>
          </w:p>
        </w:tc>
      </w:tr>
      <w:tr w:rsidR="00DA74E6" w:rsidRPr="00DA74E6" w:rsidTr="00DA74E6">
        <w:tc>
          <w:tcPr>
            <w:tcW w:w="4502" w:type="dxa"/>
            <w:tcMar>
              <w:top w:w="0" w:type="dxa"/>
              <w:left w:w="108" w:type="dxa"/>
              <w:bottom w:w="0" w:type="dxa"/>
              <w:right w:w="108" w:type="dxa"/>
            </w:tcMar>
            <w:hideMark/>
          </w:tcPr>
          <w:p w:rsidR="00DA74E6" w:rsidRPr="00DA74E6" w:rsidRDefault="00DA74E6">
            <w:pPr>
              <w:pStyle w:val="hs9"/>
              <w:spacing w:after="0"/>
              <w:rPr>
                <w:rFonts w:ascii="Arial" w:hAnsi="Arial" w:cs="Arial"/>
              </w:rPr>
            </w:pPr>
            <w:r w:rsidRPr="00DA74E6">
              <w:rPr>
                <w:rStyle w:val="hs31"/>
                <w:rFonts w:ascii="Arial" w:hAnsi="Arial" w:cs="Arial"/>
                <w:sz w:val="20"/>
                <w:szCs w:val="20"/>
              </w:rPr>
              <w:t xml:space="preserve">Contact: Joost </w:t>
            </w:r>
            <w:proofErr w:type="spellStart"/>
            <w:r w:rsidRPr="00DA74E6">
              <w:rPr>
                <w:rStyle w:val="hs31"/>
                <w:rFonts w:ascii="Arial" w:hAnsi="Arial" w:cs="Arial"/>
                <w:sz w:val="20"/>
                <w:szCs w:val="20"/>
              </w:rPr>
              <w:t>Ruempol</w:t>
            </w:r>
            <w:proofErr w:type="spellEnd"/>
          </w:p>
          <w:p w:rsidR="00DA74E6" w:rsidRPr="00DA74E6" w:rsidRDefault="00DA74E6">
            <w:pPr>
              <w:pStyle w:val="hs9"/>
              <w:spacing w:after="0"/>
              <w:rPr>
                <w:rFonts w:ascii="Arial" w:hAnsi="Arial" w:cs="Arial"/>
              </w:rPr>
            </w:pPr>
            <w:hyperlink r:id="rId5" w:tgtFrame="_blank" w:history="1">
              <w:r w:rsidRPr="00DA74E6">
                <w:rPr>
                  <w:rStyle w:val="Hyperlink"/>
                  <w:rFonts w:ascii="Arial" w:hAnsi="Arial" w:cs="Arial"/>
                  <w:u w:val="single"/>
                  <w:lang w:val="nl-NL"/>
                </w:rPr>
                <w:t>Media.relations@akzonobel.com</w:t>
              </w:r>
            </w:hyperlink>
            <w:r w:rsidRPr="00DA74E6">
              <w:rPr>
                <w:rStyle w:val="hs31"/>
                <w:rFonts w:ascii="Arial" w:hAnsi="Arial" w:cs="Arial"/>
                <w:sz w:val="20"/>
                <w:szCs w:val="20"/>
                <w:lang w:val="nl-NL"/>
              </w:rPr>
              <w:t xml:space="preserve"> </w:t>
            </w:r>
          </w:p>
        </w:tc>
        <w:tc>
          <w:tcPr>
            <w:tcW w:w="4503" w:type="dxa"/>
            <w:tcMar>
              <w:top w:w="0" w:type="dxa"/>
              <w:left w:w="108" w:type="dxa"/>
              <w:bottom w:w="0" w:type="dxa"/>
              <w:right w:w="108" w:type="dxa"/>
            </w:tcMar>
            <w:hideMark/>
          </w:tcPr>
          <w:p w:rsidR="00DA74E6" w:rsidRPr="00DA74E6" w:rsidRDefault="00DA74E6">
            <w:pPr>
              <w:pStyle w:val="hs9"/>
              <w:spacing w:after="0"/>
              <w:rPr>
                <w:rFonts w:ascii="Arial" w:hAnsi="Arial" w:cs="Arial"/>
              </w:rPr>
            </w:pPr>
            <w:r w:rsidRPr="00DA74E6">
              <w:rPr>
                <w:rStyle w:val="hs31"/>
                <w:rFonts w:ascii="Arial" w:hAnsi="Arial" w:cs="Arial"/>
                <w:sz w:val="20"/>
                <w:szCs w:val="20"/>
              </w:rPr>
              <w:t>Contact: Lloyd Midwinter</w:t>
            </w:r>
          </w:p>
          <w:p w:rsidR="00DA74E6" w:rsidRPr="00DA74E6" w:rsidRDefault="00DA74E6">
            <w:pPr>
              <w:pStyle w:val="hs9"/>
              <w:spacing w:after="0"/>
              <w:rPr>
                <w:rFonts w:ascii="Arial" w:hAnsi="Arial" w:cs="Arial"/>
              </w:rPr>
            </w:pPr>
            <w:hyperlink r:id="rId6" w:tgtFrame="_blank" w:history="1">
              <w:r w:rsidRPr="00DA74E6">
                <w:rPr>
                  <w:rStyle w:val="Hyperlink"/>
                  <w:rFonts w:ascii="Arial" w:hAnsi="Arial" w:cs="Arial"/>
                  <w:u w:val="single"/>
                  <w:lang w:val="nl-NL"/>
                </w:rPr>
                <w:t>Investor.relations@akzonobel.com</w:t>
              </w:r>
            </w:hyperlink>
          </w:p>
          <w:p w:rsidR="00DA74E6" w:rsidRPr="00DA74E6" w:rsidRDefault="00DA74E6">
            <w:pPr>
              <w:pStyle w:val="hs9"/>
              <w:spacing w:after="0"/>
              <w:rPr>
                <w:rFonts w:ascii="Arial" w:hAnsi="Arial" w:cs="Arial"/>
              </w:rPr>
            </w:pPr>
            <w:r w:rsidRPr="00DA74E6">
              <w:rPr>
                <w:rStyle w:val="hs31"/>
                <w:rFonts w:ascii="Arial" w:hAnsi="Arial" w:cs="Arial"/>
                <w:sz w:val="20"/>
                <w:szCs w:val="20"/>
              </w:rPr>
              <w:t> </w:t>
            </w:r>
          </w:p>
        </w:tc>
      </w:tr>
    </w:tbl>
    <w:p w:rsidR="00DA74E6" w:rsidRPr="00DA74E6" w:rsidRDefault="00DA74E6" w:rsidP="00DA74E6">
      <w:pPr>
        <w:pStyle w:val="hs8"/>
        <w:spacing w:after="0"/>
        <w:rPr>
          <w:rFonts w:ascii="Arial" w:hAnsi="Arial" w:cs="Arial"/>
        </w:rPr>
      </w:pPr>
      <w:r w:rsidRPr="00DA74E6">
        <w:rPr>
          <w:rFonts w:ascii="Arial" w:hAnsi="Arial" w:cs="Arial"/>
          <w:b/>
          <w:bCs/>
          <w:color w:val="000000"/>
          <w:spacing w:val="-1"/>
        </w:rPr>
        <w:t>Safe Harbor Statement</w:t>
      </w:r>
    </w:p>
    <w:p w:rsidR="00DA74E6" w:rsidRPr="00DA74E6" w:rsidRDefault="00DA74E6" w:rsidP="00DA74E6">
      <w:pPr>
        <w:pStyle w:val="hs8"/>
        <w:spacing w:after="0"/>
        <w:rPr>
          <w:rFonts w:ascii="Arial" w:hAnsi="Arial" w:cs="Arial"/>
        </w:rPr>
      </w:pPr>
      <w:r w:rsidRPr="00DA74E6">
        <w:rPr>
          <w:rStyle w:val="hs71"/>
          <w:rFonts w:ascii="Arial" w:hAnsi="Arial" w:cs="Arial"/>
          <w:sz w:val="20"/>
          <w:szCs w:val="20"/>
        </w:rPr>
        <w:t xml:space="preserve">This press release contains statements which address such key issues such as AkzoNobel's growth strategy, future financial results, market positions, product development, products in the pipeline and product approvals. Such statements should be carefully considered, and </w:t>
      </w:r>
      <w:proofErr w:type="gramStart"/>
      <w:r w:rsidRPr="00DA74E6">
        <w:rPr>
          <w:rStyle w:val="hs71"/>
          <w:rFonts w:ascii="Arial" w:hAnsi="Arial" w:cs="Arial"/>
          <w:sz w:val="20"/>
          <w:szCs w:val="20"/>
        </w:rPr>
        <w:t>it should be understood that many</w:t>
      </w:r>
      <w:proofErr w:type="gramEnd"/>
      <w:r w:rsidRPr="00DA74E6">
        <w:rPr>
          <w:rStyle w:val="hs71"/>
          <w:rFonts w:ascii="Arial" w:hAnsi="Arial" w:cs="Arial"/>
          <w:sz w:val="20"/>
          <w:szCs w:val="20"/>
        </w:rPr>
        <w:t xml:space="preserve"> factors could cause forecasted and actual results to differ from these statements. These factors include, but are not limited to, price fluctuations, currency fluctuations, developments in raw material and personnel costs, pensions, physical and environmental risks, legal issues, and legislative, fiscal, and other regulatory measures, as well as the sale of Specialty Chemicals. Stated competitive positions are based on management estimates supported by information provided by specialized external agencies. For a more comprehensive discussion of the risk factors affecting our business please see our </w:t>
      </w:r>
      <w:r w:rsidRPr="00DA74E6">
        <w:rPr>
          <w:rStyle w:val="hs71"/>
          <w:rFonts w:ascii="Arial" w:hAnsi="Arial" w:cs="Arial"/>
          <w:i/>
          <w:iCs/>
          <w:sz w:val="20"/>
          <w:szCs w:val="20"/>
        </w:rPr>
        <w:t>latest</w:t>
      </w:r>
      <w:r w:rsidRPr="00DA74E6">
        <w:rPr>
          <w:rStyle w:val="hs71"/>
          <w:rFonts w:ascii="Arial" w:hAnsi="Arial" w:cs="Arial"/>
          <w:sz w:val="20"/>
          <w:szCs w:val="20"/>
        </w:rPr>
        <w:t xml:space="preserve"> annual report, a copy of which can be found on our website: </w:t>
      </w:r>
      <w:hyperlink r:id="rId7" w:tgtFrame="_blank" w:history="1">
        <w:r w:rsidRPr="00DA74E6">
          <w:rPr>
            <w:rStyle w:val="Hyperlink"/>
            <w:rFonts w:ascii="Arial" w:hAnsi="Arial" w:cs="Arial"/>
            <w:u w:val="single"/>
            <w:lang w:val="nl-NL"/>
          </w:rPr>
          <w:t>www.akzonobel.com</w:t>
        </w:r>
      </w:hyperlink>
      <w:r w:rsidRPr="00DA74E6">
        <w:rPr>
          <w:rStyle w:val="hs71"/>
          <w:rFonts w:ascii="Arial" w:hAnsi="Arial" w:cs="Arial"/>
          <w:sz w:val="20"/>
          <w:szCs w:val="20"/>
        </w:rPr>
        <w:t>.</w:t>
      </w:r>
    </w:p>
    <w:p w:rsidR="00DA74E6" w:rsidRPr="00DA74E6" w:rsidRDefault="00DA74E6" w:rsidP="00DA74E6">
      <w:pPr>
        <w:spacing w:after="240"/>
        <w:rPr>
          <w:rFonts w:eastAsia="Times New Roman"/>
          <w:sz w:val="20"/>
          <w:szCs w:val="20"/>
        </w:rPr>
      </w:pPr>
    </w:p>
    <w:p w:rsidR="00DA74E6" w:rsidRPr="00DA74E6" w:rsidRDefault="00DA74E6" w:rsidP="00DA74E6">
      <w:pPr>
        <w:pStyle w:val="NormalWeb"/>
        <w:rPr>
          <w:rFonts w:ascii="Arial" w:hAnsi="Arial" w:cs="Arial"/>
          <w:sz w:val="20"/>
          <w:szCs w:val="20"/>
        </w:rPr>
      </w:pPr>
      <w:hyperlink r:id="rId8" w:history="1">
        <w:r w:rsidRPr="00DA74E6">
          <w:rPr>
            <w:rStyle w:val="Hyperlink"/>
            <w:rFonts w:ascii="Arial" w:hAnsi="Arial" w:cs="Arial"/>
            <w:sz w:val="20"/>
            <w:szCs w:val="20"/>
            <w:u w:val="single"/>
          </w:rPr>
          <w:t>Media release PDF</w:t>
        </w:r>
      </w:hyperlink>
      <w:r w:rsidRPr="00DA74E6">
        <w:rPr>
          <w:rFonts w:ascii="Arial" w:hAnsi="Arial" w:cs="Arial"/>
          <w:sz w:val="20"/>
          <w:szCs w:val="20"/>
        </w:rPr>
        <w:br/>
      </w:r>
      <w:hyperlink r:id="rId9" w:history="1">
        <w:r w:rsidRPr="00DA74E6">
          <w:rPr>
            <w:rStyle w:val="Hyperlink"/>
            <w:rFonts w:ascii="Arial" w:hAnsi="Arial" w:cs="Arial"/>
            <w:sz w:val="20"/>
            <w:szCs w:val="20"/>
            <w:u w:val="single"/>
          </w:rPr>
          <w:t>AkzoNobel Weekly Fills_20190513</w:t>
        </w:r>
      </w:hyperlink>
    </w:p>
    <w:p w:rsidR="00BB735A" w:rsidRPr="00DA74E6" w:rsidRDefault="00DA74E6">
      <w:pPr>
        <w:rPr>
          <w:sz w:val="20"/>
          <w:szCs w:val="20"/>
        </w:rPr>
      </w:pPr>
    </w:p>
    <w:sectPr w:rsidR="00BB735A" w:rsidRPr="00DA7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E6"/>
    <w:rsid w:val="004570F4"/>
    <w:rsid w:val="00463875"/>
    <w:rsid w:val="00CE3A73"/>
    <w:rsid w:val="00DA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F281A-C036-4FFF-8972-A16FE7DD5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4E6"/>
    <w:pPr>
      <w:spacing w:after="2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74E6"/>
    <w:rPr>
      <w:color w:val="0000FF"/>
    </w:rPr>
  </w:style>
  <w:style w:type="paragraph" w:styleId="NormalWeb">
    <w:name w:val="Normal (Web)"/>
    <w:basedOn w:val="Normal"/>
    <w:uiPriority w:val="99"/>
    <w:semiHidden/>
    <w:unhideWhenUsed/>
    <w:rsid w:val="00DA74E6"/>
    <w:pPr>
      <w:spacing w:before="100" w:beforeAutospacing="1" w:after="100" w:afterAutospacing="1"/>
    </w:pPr>
  </w:style>
  <w:style w:type="paragraph" w:customStyle="1" w:styleId="hs11">
    <w:name w:val="hs11"/>
    <w:basedOn w:val="Normal"/>
    <w:uiPriority w:val="99"/>
    <w:semiHidden/>
    <w:rsid w:val="00DA74E6"/>
    <w:pPr>
      <w:snapToGrid w:val="0"/>
      <w:spacing w:after="0"/>
      <w:jc w:val="both"/>
    </w:pPr>
    <w:rPr>
      <w:color w:val="000000"/>
      <w:sz w:val="14"/>
      <w:szCs w:val="14"/>
    </w:rPr>
  </w:style>
  <w:style w:type="paragraph" w:customStyle="1" w:styleId="hs8">
    <w:name w:val="hs8"/>
    <w:basedOn w:val="Normal"/>
    <w:uiPriority w:val="99"/>
    <w:semiHidden/>
    <w:rsid w:val="00DA74E6"/>
    <w:pPr>
      <w:jc w:val="both"/>
    </w:pPr>
    <w:rPr>
      <w:sz w:val="20"/>
      <w:szCs w:val="20"/>
    </w:rPr>
  </w:style>
  <w:style w:type="paragraph" w:customStyle="1" w:styleId="hs9">
    <w:name w:val="hs9"/>
    <w:basedOn w:val="Normal"/>
    <w:uiPriority w:val="99"/>
    <w:semiHidden/>
    <w:rsid w:val="00DA74E6"/>
    <w:rPr>
      <w:sz w:val="20"/>
      <w:szCs w:val="20"/>
    </w:rPr>
  </w:style>
  <w:style w:type="paragraph" w:customStyle="1" w:styleId="hs10">
    <w:name w:val="hs10"/>
    <w:basedOn w:val="Normal"/>
    <w:uiPriority w:val="99"/>
    <w:semiHidden/>
    <w:rsid w:val="00DA74E6"/>
    <w:pPr>
      <w:autoSpaceDE w:val="0"/>
      <w:autoSpaceDN w:val="0"/>
    </w:pPr>
    <w:rPr>
      <w:sz w:val="20"/>
      <w:szCs w:val="20"/>
    </w:rPr>
  </w:style>
  <w:style w:type="paragraph" w:customStyle="1" w:styleId="hs13">
    <w:name w:val="hs13"/>
    <w:basedOn w:val="Normal"/>
    <w:uiPriority w:val="99"/>
    <w:semiHidden/>
    <w:rsid w:val="00DA74E6"/>
    <w:pPr>
      <w:spacing w:after="0"/>
    </w:pPr>
    <w:rPr>
      <w:sz w:val="14"/>
      <w:szCs w:val="14"/>
    </w:rPr>
  </w:style>
  <w:style w:type="character" w:customStyle="1" w:styleId="hs21">
    <w:name w:val="hs21"/>
    <w:basedOn w:val="DefaultParagraphFont"/>
    <w:rsid w:val="00DA74E6"/>
    <w:rPr>
      <w:color w:val="000000"/>
    </w:rPr>
  </w:style>
  <w:style w:type="character" w:customStyle="1" w:styleId="hs14">
    <w:name w:val="hs14"/>
    <w:basedOn w:val="DefaultParagraphFont"/>
    <w:rsid w:val="00DA74E6"/>
    <w:rPr>
      <w:sz w:val="20"/>
      <w:szCs w:val="20"/>
    </w:rPr>
  </w:style>
  <w:style w:type="character" w:customStyle="1" w:styleId="hs42">
    <w:name w:val="hs42"/>
    <w:basedOn w:val="DefaultParagraphFont"/>
    <w:rsid w:val="00DA74E6"/>
    <w:rPr>
      <w:color w:val="000000"/>
      <w:spacing w:val="2"/>
      <w:sz w:val="14"/>
      <w:szCs w:val="14"/>
    </w:rPr>
  </w:style>
  <w:style w:type="character" w:customStyle="1" w:styleId="hs31">
    <w:name w:val="hs31"/>
    <w:basedOn w:val="DefaultParagraphFont"/>
    <w:rsid w:val="00DA74E6"/>
    <w:rPr>
      <w:sz w:val="14"/>
      <w:szCs w:val="14"/>
    </w:rPr>
  </w:style>
  <w:style w:type="character" w:customStyle="1" w:styleId="hs71">
    <w:name w:val="hs71"/>
    <w:basedOn w:val="DefaultParagraphFont"/>
    <w:rsid w:val="00DA74E6"/>
    <w:rPr>
      <w:color w:val="000000"/>
      <w:spacing w:val="-1"/>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80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gin.info/130660/R/2244184/886136.pdf" TargetMode="External"/><Relationship Id="rId3" Type="http://schemas.openxmlformats.org/officeDocument/2006/relationships/webSettings" Target="webSettings.xml"/><Relationship Id="rId7" Type="http://schemas.openxmlformats.org/officeDocument/2006/relationships/hyperlink" Target="http://www.akzonobe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vestor.relations@akzonobel.com" TargetMode="External"/><Relationship Id="rId11" Type="http://schemas.openxmlformats.org/officeDocument/2006/relationships/theme" Target="theme/theme1.xml"/><Relationship Id="rId5" Type="http://schemas.openxmlformats.org/officeDocument/2006/relationships/hyperlink" Target="mailto:Media.relations@akzonobel.com" TargetMode="External"/><Relationship Id="rId10" Type="http://schemas.openxmlformats.org/officeDocument/2006/relationships/fontTable" Target="fontTable.xml"/><Relationship Id="rId4" Type="http://schemas.openxmlformats.org/officeDocument/2006/relationships/hyperlink" Target="https://www.akzonobel.com/for-investors/shares/share-buyback-overview" TargetMode="External"/><Relationship Id="rId9" Type="http://schemas.openxmlformats.org/officeDocument/2006/relationships/hyperlink" Target="http://hugin.info/130660/R/2244184/886137.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Dziuzaite, Sandra</dc:creator>
  <cp:keywords/>
  <dc:description/>
  <cp:lastModifiedBy>Dziuzaite, Sandra</cp:lastModifiedBy>
  <cp:revision>1</cp:revision>
  <dcterms:created xsi:type="dcterms:W3CDTF">2019-05-13T06:03:00Z</dcterms:created>
  <dcterms:modified xsi:type="dcterms:W3CDTF">2019-05-13T06:03:00Z</dcterms:modified>
</cp:coreProperties>
</file>