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46" w:rsidRPr="00736546" w:rsidRDefault="00736546" w:rsidP="00736546">
      <w:pPr>
        <w:spacing w:after="0" w:line="240" w:lineRule="auto"/>
        <w:rPr>
          <w:rFonts w:ascii="Segoe UI" w:eastAsia="Times New Roman" w:hAnsi="Segoe UI" w:cs="Segoe UI"/>
          <w:color w:val="616161"/>
          <w:sz w:val="20"/>
          <w:szCs w:val="20"/>
        </w:rPr>
      </w:pPr>
      <w:r w:rsidRPr="00736546">
        <w:rPr>
          <w:rFonts w:ascii="Segoe UI" w:eastAsia="Times New Roman" w:hAnsi="Segoe UI" w:cs="Segoe UI"/>
          <w:color w:val="616161"/>
          <w:sz w:val="20"/>
          <w:szCs w:val="20"/>
        </w:rPr>
        <w:t>Ahold Delhaize share buyback update</w:t>
      </w:r>
    </w:p>
    <w:p w:rsidR="00736546" w:rsidRPr="00736546" w:rsidRDefault="00736546" w:rsidP="007365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6546">
        <w:rPr>
          <w:rFonts w:ascii="Arial" w:eastAsia="Times New Roman" w:hAnsi="Arial" w:cs="Arial"/>
          <w:i/>
          <w:iCs/>
          <w:sz w:val="20"/>
          <w:szCs w:val="20"/>
        </w:rPr>
        <w:t>Zaandam, the Netherlands, April 17, 2018</w:t>
      </w:r>
      <w:r w:rsidRPr="00736546">
        <w:rPr>
          <w:rFonts w:ascii="Arial" w:eastAsia="Times New Roman" w:hAnsi="Arial" w:cs="Arial"/>
          <w:sz w:val="20"/>
          <w:szCs w:val="20"/>
        </w:rPr>
        <w:t xml:space="preserve"> - Ahold Delhaize has repurchased 774,934 of Ahold Delhaize common shares in the period from April 9, 2018 up to and including April 13, 2018. The shares </w:t>
      </w:r>
      <w:proofErr w:type="gramStart"/>
      <w:r w:rsidRPr="00736546">
        <w:rPr>
          <w:rFonts w:ascii="Arial" w:eastAsia="Times New Roman" w:hAnsi="Arial" w:cs="Arial"/>
          <w:sz w:val="20"/>
          <w:szCs w:val="20"/>
        </w:rPr>
        <w:t>were repurchased</w:t>
      </w:r>
      <w:proofErr w:type="gramEnd"/>
      <w:r w:rsidRPr="00736546">
        <w:rPr>
          <w:rFonts w:ascii="Arial" w:eastAsia="Times New Roman" w:hAnsi="Arial" w:cs="Arial"/>
          <w:sz w:val="20"/>
          <w:szCs w:val="20"/>
        </w:rPr>
        <w:t xml:space="preserve"> at an average price of €19.17 per share for a total consideration of €14.9 million. These repurchases </w:t>
      </w:r>
      <w:proofErr w:type="gramStart"/>
      <w:r w:rsidRPr="00736546">
        <w:rPr>
          <w:rFonts w:ascii="Arial" w:eastAsia="Times New Roman" w:hAnsi="Arial" w:cs="Arial"/>
          <w:sz w:val="20"/>
          <w:szCs w:val="20"/>
        </w:rPr>
        <w:t>were made</w:t>
      </w:r>
      <w:proofErr w:type="gramEnd"/>
      <w:r w:rsidRPr="00736546">
        <w:rPr>
          <w:rFonts w:ascii="Arial" w:eastAsia="Times New Roman" w:hAnsi="Arial" w:cs="Arial"/>
          <w:sz w:val="20"/>
          <w:szCs w:val="20"/>
        </w:rPr>
        <w:t xml:space="preserve"> as part of the €2 billion share buyback program announced on November 8, 2017.</w:t>
      </w:r>
    </w:p>
    <w:p w:rsidR="00736546" w:rsidRPr="00736546" w:rsidRDefault="00736546" w:rsidP="007365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6546" w:rsidRPr="00736546" w:rsidRDefault="00736546" w:rsidP="007365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6546">
        <w:rPr>
          <w:rFonts w:ascii="Arial" w:eastAsia="Times New Roman" w:hAnsi="Arial" w:cs="Arial"/>
          <w:sz w:val="20"/>
          <w:szCs w:val="20"/>
        </w:rPr>
        <w:t>The total number of shares repurchased under this program to date is 28,423,578 common shares for a total consideration of €516.6 million.</w:t>
      </w:r>
    </w:p>
    <w:p w:rsidR="00736546" w:rsidRPr="00736546" w:rsidRDefault="00736546" w:rsidP="007365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6546" w:rsidRPr="00736546" w:rsidRDefault="00736546" w:rsidP="007365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6546">
        <w:rPr>
          <w:rFonts w:ascii="Arial" w:eastAsia="Times New Roman" w:hAnsi="Arial" w:cs="Arial"/>
          <w:sz w:val="20"/>
          <w:szCs w:val="20"/>
        </w:rPr>
        <w:t xml:space="preserve">Download the share buyback transactions excel sheet for detailed individual transaction information from </w:t>
      </w:r>
      <w:hyperlink r:id="rId4" w:tgtFrame="_blank" w:history="1">
        <w:r w:rsidRPr="0073654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www.aholddelhaize.com/en/investors/share-information/share-buy-back-programs/</w:t>
        </w:r>
      </w:hyperlink>
    </w:p>
    <w:p w:rsidR="00736546" w:rsidRPr="00736546" w:rsidRDefault="00736546" w:rsidP="007365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6546" w:rsidRPr="00736546" w:rsidRDefault="00736546" w:rsidP="007365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6546">
        <w:rPr>
          <w:rFonts w:ascii="Arial" w:eastAsia="Times New Roman" w:hAnsi="Arial" w:cs="Arial"/>
          <w:sz w:val="20"/>
          <w:szCs w:val="20"/>
        </w:rPr>
        <w:t xml:space="preserve">This press release </w:t>
      </w:r>
      <w:proofErr w:type="gramStart"/>
      <w:r w:rsidRPr="00736546">
        <w:rPr>
          <w:rFonts w:ascii="Arial" w:eastAsia="Times New Roman" w:hAnsi="Arial" w:cs="Arial"/>
          <w:sz w:val="20"/>
          <w:szCs w:val="20"/>
        </w:rPr>
        <w:t>is issued</w:t>
      </w:r>
      <w:proofErr w:type="gramEnd"/>
      <w:r w:rsidRPr="00736546">
        <w:rPr>
          <w:rFonts w:ascii="Arial" w:eastAsia="Times New Roman" w:hAnsi="Arial" w:cs="Arial"/>
          <w:sz w:val="20"/>
          <w:szCs w:val="20"/>
        </w:rPr>
        <w:t xml:space="preserve"> in connection with the disclosure and reporting obligation set out in Article 2(2) of the EU Regulation that contains technical standards for buyback programs.</w:t>
      </w:r>
    </w:p>
    <w:p w:rsidR="00DA1DF1" w:rsidRPr="00736546" w:rsidRDefault="00736546" w:rsidP="00736546">
      <w:bookmarkStart w:id="0" w:name="_GoBack"/>
      <w:bookmarkEnd w:id="0"/>
    </w:p>
    <w:sectPr w:rsidR="00DA1DF1" w:rsidRPr="0073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46"/>
    <w:rsid w:val="00736546"/>
    <w:rsid w:val="00817A8E"/>
    <w:rsid w:val="00914060"/>
    <w:rsid w:val="00B0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DDE96"/>
  <w15:chartTrackingRefBased/>
  <w15:docId w15:val="{094D977B-696C-4F55-B976-46CE14E1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65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65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6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80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2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1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7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07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holddelhaize.com/en/investors/share-information/share-buy-back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Maklajauskaite</dc:creator>
  <cp:keywords/>
  <dc:description/>
  <cp:lastModifiedBy>Ona Maklajauskaite</cp:lastModifiedBy>
  <cp:revision>1</cp:revision>
  <dcterms:created xsi:type="dcterms:W3CDTF">2018-04-17T06:02:00Z</dcterms:created>
  <dcterms:modified xsi:type="dcterms:W3CDTF">2018-04-17T06:11:00Z</dcterms:modified>
</cp:coreProperties>
</file>