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Current Report No. </w:t>
      </w:r>
      <w:r w:rsidR="00A06B04">
        <w:rPr>
          <w:rFonts w:ascii="Times New Roman" w:hAnsi="Times New Roman" w:cs="Times New Roman"/>
          <w:sz w:val="24"/>
          <w:szCs w:val="24"/>
        </w:rPr>
        <w:t>08</w:t>
      </w:r>
      <w:r w:rsidRPr="00306EF0">
        <w:rPr>
          <w:rFonts w:ascii="Times New Roman" w:hAnsi="Times New Roman" w:cs="Times New Roman"/>
          <w:sz w:val="24"/>
          <w:szCs w:val="24"/>
        </w:rPr>
        <w:t xml:space="preserve"> / 201</w:t>
      </w:r>
      <w:r w:rsidR="003B025E" w:rsidRPr="00306EF0">
        <w:rPr>
          <w:rFonts w:ascii="Times New Roman" w:hAnsi="Times New Roman" w:cs="Times New Roman"/>
          <w:sz w:val="24"/>
          <w:szCs w:val="24"/>
        </w:rPr>
        <w:t>8</w:t>
      </w:r>
      <w:r w:rsidRPr="0030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3B025E" w:rsidRPr="00306EF0">
        <w:rPr>
          <w:rFonts w:ascii="Times New Roman" w:hAnsi="Times New Roman" w:cs="Times New Roman"/>
          <w:sz w:val="24"/>
          <w:szCs w:val="24"/>
        </w:rPr>
        <w:t>5th April</w:t>
      </w:r>
      <w:r w:rsidRPr="00306EF0">
        <w:rPr>
          <w:rFonts w:ascii="Times New Roman" w:hAnsi="Times New Roman" w:cs="Times New Roman"/>
          <w:sz w:val="24"/>
          <w:szCs w:val="24"/>
        </w:rPr>
        <w:t xml:space="preserve"> 201</w:t>
      </w:r>
      <w:r w:rsidR="003B025E" w:rsidRPr="00306EF0">
        <w:rPr>
          <w:rFonts w:ascii="Times New Roman" w:hAnsi="Times New Roman" w:cs="Times New Roman"/>
          <w:sz w:val="24"/>
          <w:szCs w:val="24"/>
        </w:rPr>
        <w:t>8</w:t>
      </w:r>
      <w:r w:rsidRPr="0030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Abbreviated name of the issuer: Ronson </w:t>
      </w:r>
      <w:r w:rsidRPr="00F27020">
        <w:rPr>
          <w:rFonts w:ascii="Times New Roman" w:hAnsi="Times New Roman" w:cs="Times New Roman"/>
          <w:sz w:val="24"/>
          <w:szCs w:val="24"/>
        </w:rPr>
        <w:t>Europe N.V.</w:t>
      </w:r>
      <w:r w:rsidRPr="00306E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Subject: Shareholders holding at least 5% of the voting rights at the Extraordinary General Meeting of S</w:t>
      </w:r>
      <w:bookmarkStart w:id="0" w:name="_GoBack"/>
      <w:bookmarkEnd w:id="0"/>
      <w:r w:rsidRPr="00306EF0">
        <w:rPr>
          <w:rFonts w:ascii="Times New Roman" w:hAnsi="Times New Roman" w:cs="Times New Roman"/>
          <w:sz w:val="24"/>
          <w:szCs w:val="24"/>
        </w:rPr>
        <w:t xml:space="preserve">hareholders of Ronson Europe N.V. </w:t>
      </w:r>
    </w:p>
    <w:p w:rsidR="00C86571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The Board of Managing Directors of Ronson Europe N.V. with its registered seat in Rotterdam (the “Company”), hereby informs that the following shareholders held at least 5% of voting rights at the Extraordinary General Meeting of Shareholders of Ronson Europe N.V. (the“EGM“) held on</w:t>
      </w:r>
      <w:r w:rsidR="00586A17">
        <w:rPr>
          <w:rFonts w:ascii="Times New Roman" w:hAnsi="Times New Roman" w:cs="Times New Roman"/>
          <w:sz w:val="24"/>
          <w:szCs w:val="24"/>
        </w:rPr>
        <w:t xml:space="preserve"> 5th</w:t>
      </w:r>
      <w:r w:rsidRPr="00306EF0">
        <w:rPr>
          <w:rFonts w:ascii="Times New Roman" w:hAnsi="Times New Roman" w:cs="Times New Roman"/>
          <w:sz w:val="24"/>
          <w:szCs w:val="24"/>
        </w:rPr>
        <w:t xml:space="preserve"> </w:t>
      </w:r>
      <w:r w:rsidR="00306EF0">
        <w:rPr>
          <w:rFonts w:ascii="Times New Roman" w:hAnsi="Times New Roman" w:cs="Times New Roman"/>
          <w:sz w:val="24"/>
          <w:szCs w:val="24"/>
        </w:rPr>
        <w:t>April</w:t>
      </w:r>
      <w:r w:rsidRPr="00306EF0">
        <w:rPr>
          <w:rFonts w:ascii="Times New Roman" w:hAnsi="Times New Roman" w:cs="Times New Roman"/>
          <w:sz w:val="24"/>
          <w:szCs w:val="24"/>
        </w:rPr>
        <w:t>, 201</w:t>
      </w:r>
      <w:r w:rsidR="00306EF0">
        <w:rPr>
          <w:rFonts w:ascii="Times New Roman" w:hAnsi="Times New Roman" w:cs="Times New Roman"/>
          <w:sz w:val="24"/>
          <w:szCs w:val="24"/>
        </w:rPr>
        <w:t>8</w:t>
      </w:r>
      <w:r w:rsidRPr="00306EF0">
        <w:rPr>
          <w:rFonts w:ascii="Times New Roman" w:hAnsi="Times New Roman" w:cs="Times New Roman"/>
          <w:sz w:val="24"/>
          <w:szCs w:val="24"/>
        </w:rPr>
        <w:t xml:space="preserve"> in Rotterdam, in the Company’s office: </w:t>
      </w:r>
    </w:p>
    <w:p w:rsidR="00BA0C10" w:rsidRPr="00306EF0" w:rsidRDefault="00BA0C10" w:rsidP="00306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D14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Shareholder: I.T.R. DORI B.V. </w:t>
      </w:r>
    </w:p>
    <w:p w:rsidR="00941739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Number of shares held: 87 449</w:t>
      </w:r>
      <w:r w:rsidR="00941739">
        <w:rPr>
          <w:rFonts w:ascii="Times New Roman" w:hAnsi="Times New Roman" w:cs="Times New Roman"/>
          <w:sz w:val="24"/>
          <w:szCs w:val="24"/>
        </w:rPr>
        <w:t> </w:t>
      </w:r>
      <w:r w:rsidRPr="00306EF0">
        <w:rPr>
          <w:rFonts w:ascii="Times New Roman" w:hAnsi="Times New Roman" w:cs="Times New Roman"/>
          <w:sz w:val="24"/>
          <w:szCs w:val="24"/>
        </w:rPr>
        <w:t>187</w:t>
      </w:r>
    </w:p>
    <w:p w:rsidR="00941739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Number of voting rights: 87 449</w:t>
      </w:r>
      <w:r w:rsidR="00941739">
        <w:rPr>
          <w:rFonts w:ascii="Times New Roman" w:hAnsi="Times New Roman" w:cs="Times New Roman"/>
          <w:sz w:val="24"/>
          <w:szCs w:val="24"/>
        </w:rPr>
        <w:t> </w:t>
      </w:r>
      <w:r w:rsidRPr="00306EF0">
        <w:rPr>
          <w:rFonts w:ascii="Times New Roman" w:hAnsi="Times New Roman" w:cs="Times New Roman"/>
          <w:sz w:val="24"/>
          <w:szCs w:val="24"/>
        </w:rPr>
        <w:t xml:space="preserve">187 </w:t>
      </w:r>
    </w:p>
    <w:p w:rsidR="00BA0C1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Percentage of the total number of voting rights in the Company: 53,3% </w:t>
      </w: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Percentage of votes exercised at the EGM: 6</w:t>
      </w:r>
      <w:r w:rsidR="00BA0C10">
        <w:rPr>
          <w:rFonts w:ascii="Times New Roman" w:hAnsi="Times New Roman" w:cs="Times New Roman"/>
          <w:sz w:val="24"/>
          <w:szCs w:val="24"/>
        </w:rPr>
        <w:t>5</w:t>
      </w:r>
      <w:r w:rsidRPr="00306EF0">
        <w:rPr>
          <w:rFonts w:ascii="Times New Roman" w:hAnsi="Times New Roman" w:cs="Times New Roman"/>
          <w:sz w:val="24"/>
          <w:szCs w:val="24"/>
        </w:rPr>
        <w:t>,</w:t>
      </w:r>
      <w:r w:rsidR="00BA0C10">
        <w:rPr>
          <w:rFonts w:ascii="Times New Roman" w:hAnsi="Times New Roman" w:cs="Times New Roman"/>
          <w:sz w:val="24"/>
          <w:szCs w:val="24"/>
        </w:rPr>
        <w:t>2</w:t>
      </w:r>
      <w:r w:rsidRPr="00306EF0">
        <w:rPr>
          <w:rFonts w:ascii="Times New Roman" w:hAnsi="Times New Roman" w:cs="Times New Roman"/>
          <w:sz w:val="24"/>
          <w:szCs w:val="24"/>
        </w:rPr>
        <w:t xml:space="preserve">7% </w:t>
      </w: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14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Shareholder: RN Residential B.V.</w:t>
      </w:r>
    </w:p>
    <w:p w:rsidR="00BA0C1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Number of shares held: 20 900</w:t>
      </w:r>
      <w:r w:rsidR="00BA0C10">
        <w:rPr>
          <w:rFonts w:ascii="Times New Roman" w:hAnsi="Times New Roman" w:cs="Times New Roman"/>
          <w:sz w:val="24"/>
          <w:szCs w:val="24"/>
        </w:rPr>
        <w:t> </w:t>
      </w:r>
      <w:r w:rsidRPr="00306EF0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BA0C1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Number of voting rights: 20 900</w:t>
      </w:r>
      <w:r w:rsidR="00BA0C10">
        <w:rPr>
          <w:rFonts w:ascii="Times New Roman" w:hAnsi="Times New Roman" w:cs="Times New Roman"/>
          <w:sz w:val="24"/>
          <w:szCs w:val="24"/>
        </w:rPr>
        <w:t> </w:t>
      </w:r>
      <w:r w:rsidRPr="00306EF0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BA0C1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Percentage of the total number of voting rights in the Company: 12,7% </w:t>
      </w: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Percentage of votes exercised at the EGM: 1</w:t>
      </w:r>
      <w:r w:rsidR="00BA0C10">
        <w:rPr>
          <w:rFonts w:ascii="Times New Roman" w:hAnsi="Times New Roman" w:cs="Times New Roman"/>
          <w:sz w:val="24"/>
          <w:szCs w:val="24"/>
        </w:rPr>
        <w:t>5</w:t>
      </w:r>
      <w:r w:rsidRPr="00306EF0">
        <w:rPr>
          <w:rFonts w:ascii="Times New Roman" w:hAnsi="Times New Roman" w:cs="Times New Roman"/>
          <w:sz w:val="24"/>
          <w:szCs w:val="24"/>
        </w:rPr>
        <w:t>,</w:t>
      </w:r>
      <w:r w:rsidR="00BA0C10">
        <w:rPr>
          <w:rFonts w:ascii="Times New Roman" w:hAnsi="Times New Roman" w:cs="Times New Roman"/>
          <w:sz w:val="24"/>
          <w:szCs w:val="24"/>
        </w:rPr>
        <w:t>60</w:t>
      </w:r>
      <w:r w:rsidRPr="00306EF0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14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Shareholder: Nationale-Nederlanden Otwarty Fundusz Emerytalny </w:t>
      </w:r>
    </w:p>
    <w:p w:rsidR="00BA0C1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Number of shares held: 23 000</w:t>
      </w:r>
      <w:r w:rsidR="00BA0C10">
        <w:rPr>
          <w:rFonts w:ascii="Times New Roman" w:hAnsi="Times New Roman" w:cs="Times New Roman"/>
          <w:sz w:val="24"/>
          <w:szCs w:val="24"/>
        </w:rPr>
        <w:t> </w:t>
      </w:r>
      <w:r w:rsidRPr="00306EF0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BA0C1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Number of voting rights: 23 000</w:t>
      </w:r>
      <w:r w:rsidR="00BA0C10">
        <w:rPr>
          <w:rFonts w:ascii="Times New Roman" w:hAnsi="Times New Roman" w:cs="Times New Roman"/>
          <w:sz w:val="24"/>
          <w:szCs w:val="24"/>
        </w:rPr>
        <w:t> </w:t>
      </w:r>
      <w:r w:rsidRPr="00306EF0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BA0C1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Percentage of the total number of voting rights in the Company: 14,0% </w:t>
      </w:r>
    </w:p>
    <w:p w:rsidR="00C86571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Percentage of votes exercised at the EGM: 1</w:t>
      </w:r>
      <w:r w:rsidR="00BA0C10">
        <w:rPr>
          <w:rFonts w:ascii="Times New Roman" w:hAnsi="Times New Roman" w:cs="Times New Roman"/>
          <w:sz w:val="24"/>
          <w:szCs w:val="24"/>
        </w:rPr>
        <w:t>7</w:t>
      </w:r>
      <w:r w:rsidRPr="00306EF0">
        <w:rPr>
          <w:rFonts w:ascii="Times New Roman" w:hAnsi="Times New Roman" w:cs="Times New Roman"/>
          <w:sz w:val="24"/>
          <w:szCs w:val="24"/>
        </w:rPr>
        <w:t>,</w:t>
      </w:r>
      <w:r w:rsidR="00BA0C10">
        <w:rPr>
          <w:rFonts w:ascii="Times New Roman" w:hAnsi="Times New Roman" w:cs="Times New Roman"/>
          <w:sz w:val="24"/>
          <w:szCs w:val="24"/>
        </w:rPr>
        <w:t>17</w:t>
      </w:r>
      <w:r w:rsidRPr="00306EF0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2E2963" w:rsidRPr="00306EF0" w:rsidRDefault="002E2963" w:rsidP="00306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 *the companies ITR Dori B.V. and RN Residential B.V. are indirectly controlled by A. Luzon Development and Energy Group Ltd. </w:t>
      </w:r>
    </w:p>
    <w:p w:rsidR="00C86571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4B" w:rsidRPr="00306EF0" w:rsidRDefault="00C86571" w:rsidP="00306EF0">
      <w:pPr>
        <w:jc w:val="both"/>
        <w:rPr>
          <w:rFonts w:ascii="Times New Roman" w:hAnsi="Times New Roman" w:cs="Times New Roman"/>
          <w:sz w:val="24"/>
          <w:szCs w:val="24"/>
        </w:rPr>
      </w:pPr>
      <w:r w:rsidRPr="00306EF0">
        <w:rPr>
          <w:rFonts w:ascii="Times New Roman" w:hAnsi="Times New Roman" w:cs="Times New Roman"/>
          <w:sz w:val="24"/>
          <w:szCs w:val="24"/>
        </w:rPr>
        <w:t>Legal grounds: Art. 70.3 of the Act on Public Offerings and Conditions Governing the Introduction of Financial Instrument to Organized Trading System and Public Companies.</w:t>
      </w:r>
    </w:p>
    <w:sectPr w:rsidR="00A5324B" w:rsidRPr="0030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71"/>
    <w:rsid w:val="0008214A"/>
    <w:rsid w:val="002E2963"/>
    <w:rsid w:val="00306EF0"/>
    <w:rsid w:val="003B025E"/>
    <w:rsid w:val="0052597A"/>
    <w:rsid w:val="00586A17"/>
    <w:rsid w:val="00670D14"/>
    <w:rsid w:val="007F6BC2"/>
    <w:rsid w:val="00941739"/>
    <w:rsid w:val="00A06B04"/>
    <w:rsid w:val="00A4113A"/>
    <w:rsid w:val="00B42765"/>
    <w:rsid w:val="00BA0C10"/>
    <w:rsid w:val="00C86571"/>
    <w:rsid w:val="00F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gpagacz</dc:creator>
  <cp:lastModifiedBy>Jelena Gomes</cp:lastModifiedBy>
  <cp:revision>2</cp:revision>
  <dcterms:created xsi:type="dcterms:W3CDTF">2018-04-06T07:47:00Z</dcterms:created>
  <dcterms:modified xsi:type="dcterms:W3CDTF">2018-04-06T07:47:00Z</dcterms:modified>
</cp:coreProperties>
</file>