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81C04" w14:textId="77777777" w:rsidR="002E4887" w:rsidRDefault="002E4887" w:rsidP="00CB6CF5">
      <w:pPr>
        <w:rPr>
          <w:b/>
        </w:rPr>
      </w:pPr>
      <w:r>
        <w:rPr>
          <w:b/>
          <w:noProof/>
          <w:sz w:val="24"/>
          <w:szCs w:val="24"/>
          <w:lang w:bidi="ar-SA"/>
        </w:rPr>
        <w:drawing>
          <wp:inline distT="0" distB="0" distL="0" distR="0" wp14:anchorId="5E92D6ED" wp14:editId="424C2A66">
            <wp:extent cx="2078990" cy="586740"/>
            <wp:effectExtent l="0" t="0" r="0" b="3810"/>
            <wp:docPr id="1" name="Afbeelding 1" descr="C:\Users\101415\AppData\Local\Microsoft\Windows\Temporary Internet Files\Content.IE5\73BBE3G5\TenneT Bounding box_FC\Medium-TenneT Bounding box_Basic_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415\AppData\Local\Microsoft\Windows\Temporary Internet Files\Content.IE5\73BBE3G5\TenneT Bounding box_FC\Medium-TenneT Bounding box_Basic_F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8990" cy="586740"/>
                    </a:xfrm>
                    <a:prstGeom prst="rect">
                      <a:avLst/>
                    </a:prstGeom>
                    <a:noFill/>
                    <a:ln>
                      <a:noFill/>
                    </a:ln>
                  </pic:spPr>
                </pic:pic>
              </a:graphicData>
            </a:graphic>
          </wp:inline>
        </w:drawing>
      </w:r>
    </w:p>
    <w:p w14:paraId="33D7C43C" w14:textId="77777777" w:rsidR="002E4887" w:rsidRDefault="002E4887" w:rsidP="00CB6CF5">
      <w:pPr>
        <w:rPr>
          <w:b/>
          <w:sz w:val="24"/>
          <w:szCs w:val="24"/>
        </w:rPr>
      </w:pPr>
    </w:p>
    <w:p w14:paraId="778FF228" w14:textId="0C034BA0" w:rsidR="00067E41" w:rsidRDefault="00E93852" w:rsidP="00CB6CF5">
      <w:pPr>
        <w:rPr>
          <w:b/>
          <w:sz w:val="24"/>
          <w:szCs w:val="24"/>
        </w:rPr>
      </w:pPr>
      <w:r>
        <w:rPr>
          <w:b/>
          <w:sz w:val="24"/>
          <w:szCs w:val="24"/>
        </w:rPr>
        <w:t>TenneT intensiveert investeringen voor energietransitie</w:t>
      </w:r>
    </w:p>
    <w:p w14:paraId="769D642D" w14:textId="77777777" w:rsidR="00067E41" w:rsidRDefault="00067E41" w:rsidP="00CB6CF5">
      <w:pPr>
        <w:rPr>
          <w:b/>
          <w:sz w:val="24"/>
          <w:szCs w:val="24"/>
        </w:rPr>
      </w:pPr>
    </w:p>
    <w:p w14:paraId="0F190896" w14:textId="09303B8B" w:rsidR="002758C9" w:rsidRDefault="0041670F" w:rsidP="00481E8D">
      <w:pPr>
        <w:pStyle w:val="Lijstalinea"/>
        <w:numPr>
          <w:ilvl w:val="0"/>
          <w:numId w:val="1"/>
        </w:numPr>
      </w:pPr>
      <w:r>
        <w:t xml:space="preserve">TenneT </w:t>
      </w:r>
      <w:r w:rsidR="00536271">
        <w:t xml:space="preserve">versnelt de realisatie van </w:t>
      </w:r>
      <w:r>
        <w:t xml:space="preserve"> grootschalige, duurzame </w:t>
      </w:r>
      <w:r w:rsidR="00536271">
        <w:t>hoogspannings</w:t>
      </w:r>
      <w:r>
        <w:t>projecten op Nederlandse Noordzee en Duitse vasteland.</w:t>
      </w:r>
    </w:p>
    <w:p w14:paraId="4E6B2E3E" w14:textId="2A2D0B6F" w:rsidR="004E098F" w:rsidRPr="006609F6" w:rsidRDefault="00533071" w:rsidP="00CB6CF5">
      <w:pPr>
        <w:pStyle w:val="Lijstalinea"/>
        <w:numPr>
          <w:ilvl w:val="0"/>
          <w:numId w:val="1"/>
        </w:numPr>
      </w:pPr>
      <w:r>
        <w:t>E</w:t>
      </w:r>
      <w:r w:rsidR="00227582">
        <w:t xml:space="preserve">erste helft van 2018 is EUR </w:t>
      </w:r>
      <w:r w:rsidR="005C2CCB">
        <w:t>904</w:t>
      </w:r>
      <w:r w:rsidR="00227582">
        <w:t xml:space="preserve"> miljoen (eerste halfjaar</w:t>
      </w:r>
      <w:r w:rsidR="00315524">
        <w:t xml:space="preserve"> 2017: EUR 750 miljoen) </w:t>
      </w:r>
      <w:r w:rsidR="00227582">
        <w:t xml:space="preserve">geïnvesteerd </w:t>
      </w:r>
      <w:r w:rsidR="00315524">
        <w:t>in Nederlandse en Duitse hoogspanningsnetten.</w:t>
      </w:r>
    </w:p>
    <w:p w14:paraId="00D9F2DE" w14:textId="297511D3" w:rsidR="00315524" w:rsidRPr="006609F6" w:rsidRDefault="00521E56" w:rsidP="00CB6CF5">
      <w:pPr>
        <w:pStyle w:val="Lijstalinea"/>
        <w:numPr>
          <w:ilvl w:val="0"/>
          <w:numId w:val="1"/>
        </w:numPr>
      </w:pPr>
      <w:r>
        <w:t>Onderliggend bedrijfsresultaat (EBIT)</w:t>
      </w:r>
      <w:r w:rsidR="00227582">
        <w:t xml:space="preserve"> gedaald van EUR 478 miljoen (eerste halfjaar</w:t>
      </w:r>
      <w:r>
        <w:t xml:space="preserve"> 2017) naar EUR </w:t>
      </w:r>
      <w:r w:rsidR="005C2CCB">
        <w:t>362</w:t>
      </w:r>
      <w:r>
        <w:t> miljoen</w:t>
      </w:r>
      <w:r w:rsidR="00227582">
        <w:t xml:space="preserve"> in </w:t>
      </w:r>
      <w:r w:rsidR="00536271">
        <w:t xml:space="preserve">het </w:t>
      </w:r>
      <w:r w:rsidR="00227582">
        <w:t xml:space="preserve">eerste halfjaar </w:t>
      </w:r>
      <w:r w:rsidR="00536271">
        <w:t xml:space="preserve">van </w:t>
      </w:r>
      <w:r w:rsidR="00227582">
        <w:t>2018</w:t>
      </w:r>
      <w:r>
        <w:t>.</w:t>
      </w:r>
    </w:p>
    <w:p w14:paraId="4446E92B" w14:textId="5D3E7206" w:rsidR="009B00AE" w:rsidRPr="006609F6" w:rsidRDefault="002C4C7B" w:rsidP="00CB6CF5">
      <w:pPr>
        <w:pStyle w:val="Lijstalinea"/>
        <w:numPr>
          <w:ilvl w:val="0"/>
          <w:numId w:val="1"/>
        </w:numPr>
      </w:pPr>
      <w:r>
        <w:t xml:space="preserve">Uitgifte van EUR 1,25 miljard (2017: EUR 2 miljard) aan </w:t>
      </w:r>
      <w:r w:rsidR="00A652DE">
        <w:t>‘</w:t>
      </w:r>
      <w:r>
        <w:t>groene</w:t>
      </w:r>
      <w:r w:rsidR="00A652DE">
        <w:t>’</w:t>
      </w:r>
      <w:r>
        <w:t xml:space="preserve"> obligaties.</w:t>
      </w:r>
    </w:p>
    <w:p w14:paraId="6F6BEB24" w14:textId="77777777" w:rsidR="00521E56" w:rsidRPr="00521E56" w:rsidRDefault="00521E56" w:rsidP="00CB6CF5"/>
    <w:p w14:paraId="1A28A530" w14:textId="4EE9D56D" w:rsidR="0041670F" w:rsidRDefault="00481E8D" w:rsidP="00CB6CF5">
      <w:r>
        <w:t xml:space="preserve">TenneT heeft in het eerste halfjaar van 2018 opnieuw belangrijke stappen gezet in het mogelijk maken van de energietransitie in Nederland en Duitsland. Zo </w:t>
      </w:r>
      <w:r w:rsidR="00227582">
        <w:t xml:space="preserve">ontwikkelt TenneT </w:t>
      </w:r>
      <w:r>
        <w:t xml:space="preserve">in Nederland </w:t>
      </w:r>
      <w:r w:rsidR="00533071">
        <w:t>in hoog</w:t>
      </w:r>
      <w:r w:rsidR="00227582">
        <w:t xml:space="preserve"> tempo een net op zee, waarmee </w:t>
      </w:r>
      <w:r w:rsidR="00533071">
        <w:t xml:space="preserve">naar verwachting </w:t>
      </w:r>
      <w:r w:rsidR="00227582">
        <w:t>in 2030 in totaal 11,5 </w:t>
      </w:r>
      <w:r>
        <w:t>gigawatt (GW)</w:t>
      </w:r>
      <w:r w:rsidR="00421E1C" w:rsidRPr="00421E1C">
        <w:rPr>
          <w:vertAlign w:val="superscript"/>
        </w:rPr>
        <w:footnoteReference w:id="1"/>
      </w:r>
      <w:r>
        <w:t xml:space="preserve"> aan offshore windenergie wordt aangesloten op TenneT</w:t>
      </w:r>
      <w:r w:rsidR="009F5BA0">
        <w:t>'</w:t>
      </w:r>
      <w:r>
        <w:t xml:space="preserve">s hoogspanningsnet aan land. </w:t>
      </w:r>
      <w:r w:rsidR="00536271" w:rsidRPr="00536271">
        <w:t xml:space="preserve">Daarnaast is TenneT bezig met </w:t>
      </w:r>
      <w:r w:rsidR="00536271">
        <w:t xml:space="preserve">het realiseren </w:t>
      </w:r>
      <w:r w:rsidR="00536271" w:rsidRPr="00536271">
        <w:t>van onshore-projecten om het transport van duurzame opgewekte elektriciteit te waarborgen.</w:t>
      </w:r>
      <w:r w:rsidR="00536271">
        <w:t xml:space="preserve"> </w:t>
      </w:r>
      <w:r>
        <w:t xml:space="preserve">In Duitsland </w:t>
      </w:r>
      <w:r w:rsidR="00536271">
        <w:t xml:space="preserve">bereidt </w:t>
      </w:r>
      <w:r>
        <w:t xml:space="preserve"> TenneT aanbestedingsprocedure</w:t>
      </w:r>
      <w:r w:rsidR="00536271">
        <w:t xml:space="preserve">s voor </w:t>
      </w:r>
      <w:r w:rsidR="00227582">
        <w:t xml:space="preserve"> de projecten </w:t>
      </w:r>
      <w:proofErr w:type="spellStart"/>
      <w:r w:rsidR="00227582">
        <w:t>SuedLink</w:t>
      </w:r>
      <w:proofErr w:type="spellEnd"/>
      <w:r w:rsidR="00227582">
        <w:t xml:space="preserve"> (</w:t>
      </w:r>
      <w:r w:rsidR="00536271">
        <w:t>7</w:t>
      </w:r>
      <w:r w:rsidR="00227582">
        <w:t>00 </w:t>
      </w:r>
      <w:r>
        <w:t xml:space="preserve">km) en </w:t>
      </w:r>
      <w:proofErr w:type="spellStart"/>
      <w:r>
        <w:t>SuedOstLink</w:t>
      </w:r>
      <w:proofErr w:type="spellEnd"/>
      <w:r w:rsidR="00962F7E">
        <w:rPr>
          <w:rStyle w:val="Voetnootmarkering"/>
        </w:rPr>
        <w:footnoteReference w:id="2"/>
      </w:r>
      <w:r w:rsidR="00227582">
        <w:t xml:space="preserve"> (580 </w:t>
      </w:r>
      <w:r>
        <w:t>km)</w:t>
      </w:r>
      <w:r w:rsidR="00536271">
        <w:t xml:space="preserve"> voor</w:t>
      </w:r>
      <w:r>
        <w:t xml:space="preserve">. Deze ondergronds aan te leggen gelijkstroomsnelwegen </w:t>
      </w:r>
      <w:r w:rsidR="00533071">
        <w:t xml:space="preserve">zullen </w:t>
      </w:r>
      <w:r>
        <w:t xml:space="preserve">een gezamenlijke capaciteit van 6 GW </w:t>
      </w:r>
      <w:r w:rsidR="00D831A9">
        <w:t>krijgen,</w:t>
      </w:r>
      <w:r w:rsidR="0016791C">
        <w:t xml:space="preserve"> </w:t>
      </w:r>
      <w:r>
        <w:t>vergelijkbaar met zes kerncentrale</w:t>
      </w:r>
      <w:r w:rsidR="00D831A9">
        <w:t>s.</w:t>
      </w:r>
      <w:r>
        <w:t xml:space="preserve"> </w:t>
      </w:r>
      <w:r w:rsidR="00D831A9">
        <w:t>V</w:t>
      </w:r>
      <w:r>
        <w:t xml:space="preserve">anaf circa 2025 </w:t>
      </w:r>
      <w:r w:rsidR="00D831A9">
        <w:t xml:space="preserve">zullen deze kabelverbindingen </w:t>
      </w:r>
      <w:r>
        <w:t xml:space="preserve">grote hoeveelheden duurzame windenergie </w:t>
      </w:r>
      <w:r w:rsidR="00D831A9">
        <w:t xml:space="preserve">vanuit het noorden </w:t>
      </w:r>
      <w:r>
        <w:t>gaan transporteren naar de grote verbruikscentra</w:t>
      </w:r>
      <w:r w:rsidR="00D831A9">
        <w:t xml:space="preserve"> in het zuiden van het land</w:t>
      </w:r>
    </w:p>
    <w:p w14:paraId="2455E580" w14:textId="77777777" w:rsidR="0041670F" w:rsidRDefault="0041670F" w:rsidP="00CB6CF5"/>
    <w:p w14:paraId="0E5228C9" w14:textId="5956D718" w:rsidR="007C0FCE" w:rsidRDefault="00CB6CF5" w:rsidP="00CB6CF5">
      <w:r>
        <w:t xml:space="preserve">Mel Kroon, CEO van TenneT: </w:t>
      </w:r>
      <w:r w:rsidR="00A652DE">
        <w:t>“</w:t>
      </w:r>
      <w:r>
        <w:t xml:space="preserve">De energietransitie bevindt zich, </w:t>
      </w:r>
      <w:r w:rsidR="00D831A9">
        <w:t>nu ook</w:t>
      </w:r>
      <w:r>
        <w:t xml:space="preserve"> in Nederland, in een stroomversnelling. De achterstand van </w:t>
      </w:r>
      <w:r w:rsidR="00E93852">
        <w:t xml:space="preserve">Nederland </w:t>
      </w:r>
      <w:r>
        <w:t xml:space="preserve">ten opzichte van Duitsland zal naar verwachting snel worden ingelopen. Er ontstaat daarmee een nieuwe situatie waarin </w:t>
      </w:r>
      <w:r w:rsidR="00D831A9">
        <w:t>TenneT</w:t>
      </w:r>
      <w:r>
        <w:t xml:space="preserve">, marktpartijen en </w:t>
      </w:r>
      <w:r w:rsidR="00D831A9">
        <w:t>eindgebruikers van elektriciteit</w:t>
      </w:r>
      <w:r>
        <w:t xml:space="preserve"> om zullen moeten gaan met grotere, weersafhankelijke productie van wind- en zonne-energie. Dit betekent niet alleen het bouwen van nieuwe infrastructuur, zoals aansluitingen voor vele windparken op zee en grote verbindingen </w:t>
      </w:r>
      <w:r w:rsidR="001677E0">
        <w:t>op</w:t>
      </w:r>
      <w:r>
        <w:t xml:space="preserve"> land, maar ook het ontwikkelen van innovatieve </w:t>
      </w:r>
      <w:r w:rsidR="00D831A9">
        <w:t>hard- en software</w:t>
      </w:r>
      <w:r>
        <w:t xml:space="preserve">systemen die het variabele aanbod van groene stroom direct afstemmen op de vraag. </w:t>
      </w:r>
      <w:r w:rsidR="00843D44">
        <w:t>M</w:t>
      </w:r>
      <w:r w:rsidR="001677E0" w:rsidRPr="001677E0">
        <w:t xml:space="preserve">et haar centrale positie in de energietransitie </w:t>
      </w:r>
      <w:r w:rsidR="00D875B8">
        <w:t>é</w:t>
      </w:r>
      <w:r w:rsidR="001677E0" w:rsidRPr="001677E0">
        <w:t xml:space="preserve">n </w:t>
      </w:r>
      <w:r w:rsidR="001677E0">
        <w:t xml:space="preserve">in </w:t>
      </w:r>
      <w:r w:rsidR="001677E0" w:rsidRPr="001677E0">
        <w:t>samen</w:t>
      </w:r>
      <w:r w:rsidR="001677E0">
        <w:t>werking</w:t>
      </w:r>
      <w:r w:rsidR="001677E0" w:rsidRPr="001677E0">
        <w:t xml:space="preserve"> </w:t>
      </w:r>
      <w:r>
        <w:t xml:space="preserve">met al haar belanghebbenden </w:t>
      </w:r>
      <w:r w:rsidR="00843D44">
        <w:t xml:space="preserve">staat TenneT </w:t>
      </w:r>
      <w:r>
        <w:t>voor een fantastische uitdaging.</w:t>
      </w:r>
      <w:r w:rsidR="00A652DE">
        <w:t>”</w:t>
      </w:r>
    </w:p>
    <w:p w14:paraId="00F34CDD" w14:textId="77777777" w:rsidR="00617AF3" w:rsidRDefault="00617AF3" w:rsidP="00CB6CF5"/>
    <w:p w14:paraId="26B201F7" w14:textId="77777777" w:rsidR="00843D44" w:rsidRPr="001677E0" w:rsidRDefault="00843D44" w:rsidP="00843D44">
      <w:pPr>
        <w:rPr>
          <w:b/>
        </w:rPr>
      </w:pPr>
      <w:r w:rsidRPr="001677E0">
        <w:rPr>
          <w:b/>
        </w:rPr>
        <w:t>Onderliggend bedrijfsresultaat</w:t>
      </w:r>
    </w:p>
    <w:p w14:paraId="16021CE7" w14:textId="134E01AE" w:rsidR="00843D44" w:rsidRPr="001677E0" w:rsidRDefault="00843D44" w:rsidP="00843D44">
      <w:r w:rsidRPr="001677E0">
        <w:t xml:space="preserve">De onderliggende omzet is in het eerste half jaar van 2018 met EUR 1.966 gelijk gebleven aan de omzet in het eerste half jaar van 2017. </w:t>
      </w:r>
      <w:r>
        <w:t xml:space="preserve">Hogere compensatie voor </w:t>
      </w:r>
      <w:r w:rsidRPr="001677E0">
        <w:t xml:space="preserve"> feed-in management </w:t>
      </w:r>
      <w:r>
        <w:t>kosten</w:t>
      </w:r>
      <w:r w:rsidRPr="001677E0">
        <w:t xml:space="preserve"> </w:t>
      </w:r>
      <w:r>
        <w:t xml:space="preserve">(kosten die worden gemaakt om overaanbod van elektriciteit op het net te voorkomen) werden gedeeltelijk gecompenseerd door lagere </w:t>
      </w:r>
      <w:r w:rsidR="00BF18CF">
        <w:t xml:space="preserve">vergoedingen voor </w:t>
      </w:r>
      <w:r w:rsidRPr="00843D44">
        <w:t>de offshore exploitatiekosten in Duitsland</w:t>
      </w:r>
      <w:r w:rsidR="00BF18CF">
        <w:t>.</w:t>
      </w:r>
    </w:p>
    <w:p w14:paraId="6C33BBA6" w14:textId="24E554DC" w:rsidR="00BF18CF" w:rsidRDefault="00843D44" w:rsidP="00843D44">
      <w:r w:rsidRPr="001677E0">
        <w:lastRenderedPageBreak/>
        <w:t xml:space="preserve">De afgenomen EBITA in 2018 (EUR 699 miljoen) ten opzichte van 2017 (EUR 796 miljoen) is voornamelijk veroorzaakt door gewijzigde regulering in Nederland. Met het oog op </w:t>
      </w:r>
      <w:r w:rsidR="00BF18CF">
        <w:t>het handhaven van de balans</w:t>
      </w:r>
      <w:r w:rsidRPr="001677E0">
        <w:t xml:space="preserve"> binnen het transportsysteem sluit TenneT contracten af met elektriciteitsleveranciers om in reservevermogen te voorzien. De methode voor de gereguleerde vergoeding van deze zogeheten ‘systeemdiensten’ is in 2017 veranderd van een doorbelastingssysteem naar een systeem op budgetbasis. </w:t>
      </w:r>
    </w:p>
    <w:p w14:paraId="3DB08F5D" w14:textId="221476A4" w:rsidR="00BF18CF" w:rsidRDefault="00BF18CF" w:rsidP="00843D44">
      <w:r w:rsidRPr="00BF18CF">
        <w:t xml:space="preserve">Door een toename van de </w:t>
      </w:r>
      <w:r>
        <w:t xml:space="preserve">benodigde </w:t>
      </w:r>
      <w:r w:rsidRPr="00BF18CF">
        <w:t xml:space="preserve">volumes en hogere prijzen overschreden de werkelijke kosten het bedrag dat TenneT in de eerste helft van 2018 via de tarieven (en dus inkomsten) mocht </w:t>
      </w:r>
      <w:r w:rsidR="009732F4">
        <w:t>doorberekenen</w:t>
      </w:r>
      <w:r w:rsidRPr="00BF18CF">
        <w:t>. Gebaseerd op de praktijk in het verleden</w:t>
      </w:r>
      <w:r w:rsidR="009732F4">
        <w:t xml:space="preserve"> zal </w:t>
      </w:r>
      <w:r w:rsidR="00946631">
        <w:t xml:space="preserve">het </w:t>
      </w:r>
      <w:bookmarkStart w:id="0" w:name="_GoBack"/>
      <w:bookmarkEnd w:id="0"/>
      <w:r w:rsidR="009732F4">
        <w:t xml:space="preserve">gereguleerde budget </w:t>
      </w:r>
      <w:r w:rsidRPr="00BF18CF">
        <w:t>voor 2020 voor dit soort uitgaven worden gebaseerd op de werkelijke kosten die in 2018 zijn gemaakt.</w:t>
      </w:r>
    </w:p>
    <w:p w14:paraId="611337B2" w14:textId="1CF0868B" w:rsidR="004B4000" w:rsidRDefault="004B4000" w:rsidP="00843D44">
      <w:r w:rsidRPr="004B4000">
        <w:t xml:space="preserve">TenneT heeft met succes hoger beroep aangetekend tegen de wijziging in </w:t>
      </w:r>
      <w:r>
        <w:t xml:space="preserve">de methode voor de gereguleerde vergoeding van systeemdiensten vanaf 2017. Het </w:t>
      </w:r>
      <w:r w:rsidRPr="004B4000">
        <w:t>College v</w:t>
      </w:r>
      <w:r>
        <w:t>an Beroep voor het Bedrijfsleven (</w:t>
      </w:r>
      <w:proofErr w:type="spellStart"/>
      <w:r>
        <w:t>CB</w:t>
      </w:r>
      <w:r w:rsidRPr="004B4000">
        <w:t>b</w:t>
      </w:r>
      <w:proofErr w:type="spellEnd"/>
      <w:r w:rsidRPr="004B4000">
        <w:t>) heeft op 24 juli een besl</w:t>
      </w:r>
      <w:r>
        <w:t xml:space="preserve">uit </w:t>
      </w:r>
      <w:r w:rsidRPr="004B4000">
        <w:t xml:space="preserve">gepubliceerd met betrekking tot het beroep van TenneT. Op een </w:t>
      </w:r>
      <w:r>
        <w:t xml:space="preserve">groot </w:t>
      </w:r>
      <w:r w:rsidRPr="004B4000">
        <w:t xml:space="preserve">aantal </w:t>
      </w:r>
      <w:r>
        <w:t xml:space="preserve">belangrijke punten oordeelde het </w:t>
      </w:r>
      <w:proofErr w:type="spellStart"/>
      <w:r>
        <w:t>CB</w:t>
      </w:r>
      <w:r w:rsidRPr="004B4000">
        <w:t>b</w:t>
      </w:r>
      <w:proofErr w:type="spellEnd"/>
      <w:r w:rsidRPr="004B4000">
        <w:t xml:space="preserve"> in het voorde</w:t>
      </w:r>
      <w:r>
        <w:t>el van TenneT, wat betekent dat</w:t>
      </w:r>
      <w:r w:rsidRPr="004B4000">
        <w:t xml:space="preserve"> de Ned</w:t>
      </w:r>
      <w:r>
        <w:t xml:space="preserve">erlandse toezichthouder ACM </w:t>
      </w:r>
      <w:r w:rsidRPr="004B4000">
        <w:t xml:space="preserve">de gevolgen van deze uitspraak </w:t>
      </w:r>
      <w:r>
        <w:t xml:space="preserve">zal </w:t>
      </w:r>
      <w:r w:rsidRPr="004B4000">
        <w:t xml:space="preserve">moeten vertalen in de huidige </w:t>
      </w:r>
      <w:r>
        <w:t>systematiek voor vergoedingen.</w:t>
      </w:r>
    </w:p>
    <w:p w14:paraId="01EB524F" w14:textId="77777777" w:rsidR="00843D44" w:rsidRPr="001677E0" w:rsidRDefault="00843D44" w:rsidP="00843D44"/>
    <w:p w14:paraId="3BC151B4" w14:textId="77777777" w:rsidR="00843D44" w:rsidRPr="001677E0" w:rsidRDefault="00843D44" w:rsidP="00843D44">
      <w:pPr>
        <w:rPr>
          <w:b/>
        </w:rPr>
      </w:pPr>
      <w:r w:rsidRPr="001677E0">
        <w:rPr>
          <w:b/>
        </w:rPr>
        <w:t>Belangrijkste onderliggende</w:t>
      </w:r>
      <w:r w:rsidRPr="001677E0">
        <w:rPr>
          <w:b/>
          <w:vertAlign w:val="superscript"/>
          <w:lang w:val="en-GB"/>
        </w:rPr>
        <w:footnoteReference w:id="3"/>
      </w:r>
      <w:r w:rsidRPr="001677E0">
        <w:rPr>
          <w:b/>
        </w:rPr>
        <w:t xml:space="preserve"> resultaten</w:t>
      </w:r>
    </w:p>
    <w:tbl>
      <w:tblPr>
        <w:tblpPr w:leftFromText="141" w:rightFromText="141" w:vertAnchor="text" w:tblpY="1"/>
        <w:tblOverlap w:val="never"/>
        <w:tblW w:w="8190" w:type="dxa"/>
        <w:tblLayout w:type="fixed"/>
        <w:tblCellMar>
          <w:left w:w="70" w:type="dxa"/>
          <w:right w:w="70" w:type="dxa"/>
        </w:tblCellMar>
        <w:tblLook w:val="04A0" w:firstRow="1" w:lastRow="0" w:firstColumn="1" w:lastColumn="0" w:noHBand="0" w:noVBand="1"/>
      </w:tblPr>
      <w:tblGrid>
        <w:gridCol w:w="3544"/>
        <w:gridCol w:w="233"/>
        <w:gridCol w:w="1115"/>
        <w:gridCol w:w="920"/>
        <w:gridCol w:w="173"/>
        <w:gridCol w:w="115"/>
        <w:gridCol w:w="173"/>
        <w:gridCol w:w="1807"/>
        <w:gridCol w:w="110"/>
      </w:tblGrid>
      <w:tr w:rsidR="00843D44" w:rsidRPr="001677E0" w14:paraId="4C1AC808" w14:textId="77777777" w:rsidTr="00026E25">
        <w:trPr>
          <w:trHeight w:val="267"/>
        </w:trPr>
        <w:tc>
          <w:tcPr>
            <w:tcW w:w="3544" w:type="dxa"/>
            <w:tcBorders>
              <w:top w:val="nil"/>
              <w:left w:val="nil"/>
              <w:bottom w:val="single" w:sz="4" w:space="0" w:color="auto"/>
              <w:right w:val="nil"/>
            </w:tcBorders>
            <w:shd w:val="clear" w:color="auto" w:fill="FFFFFF"/>
            <w:noWrap/>
            <w:vAlign w:val="bottom"/>
          </w:tcPr>
          <w:p w14:paraId="0268384B" w14:textId="77777777" w:rsidR="00843D44" w:rsidRPr="001677E0" w:rsidRDefault="00843D44" w:rsidP="00026E25">
            <w:pPr>
              <w:rPr>
                <w:lang w:val="en-GB"/>
              </w:rPr>
            </w:pPr>
          </w:p>
        </w:tc>
        <w:tc>
          <w:tcPr>
            <w:tcW w:w="233" w:type="dxa"/>
            <w:tcBorders>
              <w:top w:val="nil"/>
              <w:left w:val="nil"/>
              <w:bottom w:val="single" w:sz="4" w:space="0" w:color="auto"/>
              <w:right w:val="nil"/>
            </w:tcBorders>
            <w:shd w:val="clear" w:color="auto" w:fill="FFFFFF"/>
            <w:noWrap/>
            <w:vAlign w:val="bottom"/>
          </w:tcPr>
          <w:p w14:paraId="73444DD0" w14:textId="77777777" w:rsidR="00843D44" w:rsidRPr="001677E0" w:rsidRDefault="00843D44" w:rsidP="00026E25">
            <w:pPr>
              <w:rPr>
                <w:lang w:val="en-GB"/>
              </w:rPr>
            </w:pPr>
          </w:p>
        </w:tc>
        <w:tc>
          <w:tcPr>
            <w:tcW w:w="1115" w:type="dxa"/>
            <w:tcBorders>
              <w:top w:val="nil"/>
              <w:left w:val="nil"/>
              <w:bottom w:val="single" w:sz="4" w:space="0" w:color="auto"/>
              <w:right w:val="nil"/>
            </w:tcBorders>
            <w:shd w:val="clear" w:color="auto" w:fill="FFFFFF"/>
            <w:noWrap/>
            <w:vAlign w:val="bottom"/>
          </w:tcPr>
          <w:p w14:paraId="1E6A2A17" w14:textId="77777777" w:rsidR="00843D44" w:rsidRPr="001677E0" w:rsidRDefault="00843D44" w:rsidP="00026E25">
            <w:pPr>
              <w:rPr>
                <w:i/>
                <w:lang w:val="en-GB"/>
              </w:rPr>
            </w:pPr>
          </w:p>
        </w:tc>
        <w:tc>
          <w:tcPr>
            <w:tcW w:w="1093" w:type="dxa"/>
            <w:gridSpan w:val="2"/>
            <w:tcBorders>
              <w:top w:val="nil"/>
              <w:left w:val="nil"/>
              <w:bottom w:val="single" w:sz="4" w:space="0" w:color="auto"/>
              <w:right w:val="nil"/>
            </w:tcBorders>
            <w:shd w:val="clear" w:color="auto" w:fill="FFFFFF"/>
            <w:noWrap/>
            <w:vAlign w:val="bottom"/>
          </w:tcPr>
          <w:p w14:paraId="69DD729E" w14:textId="77777777" w:rsidR="00843D44" w:rsidRPr="001677E0" w:rsidRDefault="00843D44" w:rsidP="00026E25">
            <w:pPr>
              <w:rPr>
                <w:lang w:val="en-GB"/>
              </w:rPr>
            </w:pPr>
          </w:p>
        </w:tc>
        <w:tc>
          <w:tcPr>
            <w:tcW w:w="288" w:type="dxa"/>
            <w:gridSpan w:val="2"/>
            <w:tcBorders>
              <w:top w:val="nil"/>
              <w:left w:val="nil"/>
              <w:bottom w:val="single" w:sz="4" w:space="0" w:color="auto"/>
              <w:right w:val="nil"/>
            </w:tcBorders>
            <w:shd w:val="clear" w:color="auto" w:fill="FFFFFF"/>
            <w:noWrap/>
            <w:vAlign w:val="bottom"/>
          </w:tcPr>
          <w:p w14:paraId="6F83156D" w14:textId="77777777" w:rsidR="00843D44" w:rsidRPr="001677E0" w:rsidRDefault="00843D44" w:rsidP="00026E25">
            <w:pPr>
              <w:rPr>
                <w:lang w:val="en-GB"/>
              </w:rPr>
            </w:pPr>
          </w:p>
        </w:tc>
        <w:tc>
          <w:tcPr>
            <w:tcW w:w="1917" w:type="dxa"/>
            <w:gridSpan w:val="2"/>
            <w:tcBorders>
              <w:top w:val="nil"/>
              <w:left w:val="nil"/>
              <w:bottom w:val="single" w:sz="4" w:space="0" w:color="auto"/>
              <w:right w:val="nil"/>
            </w:tcBorders>
            <w:shd w:val="clear" w:color="auto" w:fill="FFFFFF"/>
            <w:noWrap/>
            <w:vAlign w:val="bottom"/>
          </w:tcPr>
          <w:p w14:paraId="12D9E45F" w14:textId="77777777" w:rsidR="00843D44" w:rsidRPr="001677E0" w:rsidRDefault="00843D44" w:rsidP="00026E25">
            <w:pPr>
              <w:rPr>
                <w:i/>
                <w:lang w:val="en-GB"/>
              </w:rPr>
            </w:pPr>
          </w:p>
        </w:tc>
      </w:tr>
      <w:tr w:rsidR="00843D44" w:rsidRPr="001677E0" w14:paraId="3E7F444B" w14:textId="77777777" w:rsidTr="00026E25">
        <w:trPr>
          <w:trHeight w:val="267"/>
        </w:trPr>
        <w:tc>
          <w:tcPr>
            <w:tcW w:w="3544" w:type="dxa"/>
            <w:tcBorders>
              <w:top w:val="nil"/>
              <w:left w:val="nil"/>
              <w:bottom w:val="single" w:sz="4" w:space="0" w:color="auto"/>
              <w:right w:val="nil"/>
            </w:tcBorders>
            <w:shd w:val="clear" w:color="auto" w:fill="FFFFFF"/>
            <w:noWrap/>
            <w:vAlign w:val="bottom"/>
          </w:tcPr>
          <w:p w14:paraId="3A78CB99" w14:textId="77777777" w:rsidR="00843D44" w:rsidRPr="001677E0" w:rsidRDefault="00843D44" w:rsidP="00026E25">
            <w:pPr>
              <w:rPr>
                <w:b/>
              </w:rPr>
            </w:pPr>
            <w:r w:rsidRPr="001677E0">
              <w:rPr>
                <w:b/>
              </w:rPr>
              <w:t>Bedragen in miljoenen euro’s</w:t>
            </w:r>
          </w:p>
        </w:tc>
        <w:tc>
          <w:tcPr>
            <w:tcW w:w="233" w:type="dxa"/>
            <w:tcBorders>
              <w:top w:val="nil"/>
              <w:left w:val="nil"/>
              <w:bottom w:val="single" w:sz="4" w:space="0" w:color="auto"/>
              <w:right w:val="nil"/>
            </w:tcBorders>
            <w:shd w:val="clear" w:color="auto" w:fill="FFFFFF"/>
            <w:noWrap/>
            <w:vAlign w:val="bottom"/>
          </w:tcPr>
          <w:p w14:paraId="47278D9D" w14:textId="77777777" w:rsidR="00843D44" w:rsidRPr="001677E0" w:rsidRDefault="00843D44" w:rsidP="00026E25">
            <w:pPr>
              <w:rPr>
                <w:lang w:val="en-GB"/>
              </w:rPr>
            </w:pPr>
          </w:p>
        </w:tc>
        <w:tc>
          <w:tcPr>
            <w:tcW w:w="2208" w:type="dxa"/>
            <w:gridSpan w:val="3"/>
            <w:tcBorders>
              <w:top w:val="nil"/>
              <w:left w:val="nil"/>
              <w:bottom w:val="single" w:sz="4" w:space="0" w:color="auto"/>
              <w:right w:val="nil"/>
            </w:tcBorders>
            <w:shd w:val="clear" w:color="auto" w:fill="FFFFFF"/>
            <w:noWrap/>
            <w:vAlign w:val="bottom"/>
            <w:hideMark/>
          </w:tcPr>
          <w:p w14:paraId="5370A27D" w14:textId="77777777" w:rsidR="00843D44" w:rsidRPr="001677E0" w:rsidRDefault="00843D44" w:rsidP="00026E25">
            <w:pPr>
              <w:rPr>
                <w:b/>
              </w:rPr>
            </w:pPr>
            <w:r w:rsidRPr="001677E0">
              <w:rPr>
                <w:b/>
              </w:rPr>
              <w:t>30 juni 2018</w:t>
            </w:r>
          </w:p>
        </w:tc>
        <w:tc>
          <w:tcPr>
            <w:tcW w:w="288" w:type="dxa"/>
            <w:gridSpan w:val="2"/>
            <w:tcBorders>
              <w:top w:val="nil"/>
              <w:left w:val="nil"/>
              <w:bottom w:val="single" w:sz="4" w:space="0" w:color="auto"/>
              <w:right w:val="nil"/>
            </w:tcBorders>
            <w:shd w:val="clear" w:color="auto" w:fill="FFFFFF"/>
            <w:noWrap/>
            <w:vAlign w:val="bottom"/>
          </w:tcPr>
          <w:p w14:paraId="2316892D" w14:textId="77777777" w:rsidR="00843D44" w:rsidRPr="001677E0" w:rsidRDefault="00843D44" w:rsidP="00026E25">
            <w:pPr>
              <w:rPr>
                <w:b/>
                <w:lang w:val="en-GB"/>
              </w:rPr>
            </w:pPr>
          </w:p>
        </w:tc>
        <w:tc>
          <w:tcPr>
            <w:tcW w:w="1917" w:type="dxa"/>
            <w:gridSpan w:val="2"/>
            <w:tcBorders>
              <w:top w:val="nil"/>
              <w:left w:val="nil"/>
              <w:bottom w:val="single" w:sz="4" w:space="0" w:color="auto"/>
              <w:right w:val="nil"/>
            </w:tcBorders>
            <w:shd w:val="clear" w:color="auto" w:fill="FFFFFF"/>
            <w:noWrap/>
            <w:vAlign w:val="bottom"/>
            <w:hideMark/>
          </w:tcPr>
          <w:p w14:paraId="32994F2D" w14:textId="77777777" w:rsidR="00843D44" w:rsidRPr="001677E0" w:rsidRDefault="00843D44" w:rsidP="00026E25">
            <w:pPr>
              <w:rPr>
                <w:b/>
              </w:rPr>
            </w:pPr>
            <w:r w:rsidRPr="001677E0">
              <w:rPr>
                <w:b/>
              </w:rPr>
              <w:t>30 juni 2017</w:t>
            </w:r>
          </w:p>
        </w:tc>
      </w:tr>
      <w:tr w:rsidR="00843D44" w:rsidRPr="001677E0" w14:paraId="47D351B9" w14:textId="77777777" w:rsidTr="00026E25">
        <w:trPr>
          <w:trHeight w:val="267"/>
        </w:trPr>
        <w:tc>
          <w:tcPr>
            <w:tcW w:w="3544" w:type="dxa"/>
            <w:tcBorders>
              <w:top w:val="nil"/>
              <w:left w:val="nil"/>
              <w:bottom w:val="single" w:sz="4" w:space="0" w:color="auto"/>
              <w:right w:val="nil"/>
            </w:tcBorders>
            <w:shd w:val="clear" w:color="auto" w:fill="FFFFFF"/>
            <w:noWrap/>
            <w:vAlign w:val="bottom"/>
            <w:hideMark/>
          </w:tcPr>
          <w:p w14:paraId="336BCE02" w14:textId="77777777" w:rsidR="00843D44" w:rsidRPr="001677E0" w:rsidRDefault="00843D44" w:rsidP="00026E25">
            <w:r w:rsidRPr="001677E0">
              <w:t>Omzet</w:t>
            </w:r>
          </w:p>
        </w:tc>
        <w:tc>
          <w:tcPr>
            <w:tcW w:w="233" w:type="dxa"/>
            <w:tcBorders>
              <w:top w:val="nil"/>
              <w:left w:val="nil"/>
              <w:bottom w:val="single" w:sz="4" w:space="0" w:color="auto"/>
              <w:right w:val="nil"/>
            </w:tcBorders>
            <w:shd w:val="clear" w:color="auto" w:fill="FFFFFF"/>
            <w:noWrap/>
            <w:vAlign w:val="bottom"/>
            <w:hideMark/>
          </w:tcPr>
          <w:p w14:paraId="49CAF79F" w14:textId="77777777" w:rsidR="00843D44" w:rsidRPr="001677E0" w:rsidRDefault="00843D44" w:rsidP="00026E25">
            <w:pPr>
              <w:rPr>
                <w:lang w:val="en-GB"/>
              </w:rPr>
            </w:pPr>
          </w:p>
        </w:tc>
        <w:tc>
          <w:tcPr>
            <w:tcW w:w="2208" w:type="dxa"/>
            <w:gridSpan w:val="3"/>
            <w:tcBorders>
              <w:top w:val="nil"/>
              <w:left w:val="nil"/>
              <w:bottom w:val="single" w:sz="4" w:space="0" w:color="auto"/>
              <w:right w:val="nil"/>
            </w:tcBorders>
            <w:shd w:val="clear" w:color="auto" w:fill="FFFFFF"/>
            <w:noWrap/>
            <w:vAlign w:val="bottom"/>
          </w:tcPr>
          <w:p w14:paraId="0A8A60E3" w14:textId="77777777" w:rsidR="00843D44" w:rsidRPr="001677E0" w:rsidRDefault="00843D44" w:rsidP="00026E25">
            <w:pPr>
              <w:rPr>
                <w:lang w:val="en-GB"/>
              </w:rPr>
            </w:pPr>
            <w:r w:rsidRPr="001677E0">
              <w:rPr>
                <w:lang w:val="en-GB"/>
              </w:rPr>
              <w:t>1.996</w:t>
            </w:r>
          </w:p>
        </w:tc>
        <w:tc>
          <w:tcPr>
            <w:tcW w:w="288" w:type="dxa"/>
            <w:gridSpan w:val="2"/>
            <w:tcBorders>
              <w:top w:val="nil"/>
              <w:left w:val="nil"/>
              <w:bottom w:val="single" w:sz="4" w:space="0" w:color="auto"/>
              <w:right w:val="nil"/>
            </w:tcBorders>
            <w:shd w:val="clear" w:color="auto" w:fill="FFFFFF"/>
            <w:noWrap/>
            <w:vAlign w:val="bottom"/>
          </w:tcPr>
          <w:p w14:paraId="79B39AEF" w14:textId="77777777" w:rsidR="00843D44" w:rsidRPr="001677E0" w:rsidRDefault="00843D44" w:rsidP="00026E25">
            <w:pPr>
              <w:rPr>
                <w:lang w:val="en-GB"/>
              </w:rPr>
            </w:pPr>
          </w:p>
        </w:tc>
        <w:tc>
          <w:tcPr>
            <w:tcW w:w="1917" w:type="dxa"/>
            <w:gridSpan w:val="2"/>
            <w:tcBorders>
              <w:top w:val="nil"/>
              <w:left w:val="nil"/>
              <w:bottom w:val="single" w:sz="4" w:space="0" w:color="auto"/>
              <w:right w:val="nil"/>
            </w:tcBorders>
            <w:shd w:val="clear" w:color="auto" w:fill="FFFFFF"/>
            <w:noWrap/>
            <w:vAlign w:val="bottom"/>
            <w:hideMark/>
          </w:tcPr>
          <w:p w14:paraId="7A4BC50C" w14:textId="77777777" w:rsidR="00843D44" w:rsidRPr="001677E0" w:rsidRDefault="00843D44" w:rsidP="00026E25">
            <w:r w:rsidRPr="001677E0">
              <w:t>1.966</w:t>
            </w:r>
          </w:p>
        </w:tc>
      </w:tr>
      <w:tr w:rsidR="00843D44" w:rsidRPr="001677E0" w14:paraId="18E3D5D0" w14:textId="77777777" w:rsidTr="00026E25">
        <w:trPr>
          <w:trHeight w:val="267"/>
        </w:trPr>
        <w:tc>
          <w:tcPr>
            <w:tcW w:w="3544" w:type="dxa"/>
            <w:tcBorders>
              <w:top w:val="nil"/>
              <w:left w:val="nil"/>
              <w:bottom w:val="single" w:sz="4" w:space="0" w:color="auto"/>
              <w:right w:val="nil"/>
            </w:tcBorders>
            <w:shd w:val="clear" w:color="auto" w:fill="FFFFFF"/>
            <w:noWrap/>
            <w:vAlign w:val="bottom"/>
          </w:tcPr>
          <w:p w14:paraId="10F3037F" w14:textId="77777777" w:rsidR="00843D44" w:rsidRPr="001677E0" w:rsidRDefault="00843D44" w:rsidP="00026E25">
            <w:r w:rsidRPr="001677E0">
              <w:t>EBITDA</w:t>
            </w:r>
          </w:p>
        </w:tc>
        <w:tc>
          <w:tcPr>
            <w:tcW w:w="233" w:type="dxa"/>
            <w:tcBorders>
              <w:top w:val="nil"/>
              <w:left w:val="nil"/>
              <w:bottom w:val="single" w:sz="4" w:space="0" w:color="auto"/>
              <w:right w:val="nil"/>
            </w:tcBorders>
            <w:shd w:val="clear" w:color="auto" w:fill="FFFFFF"/>
            <w:noWrap/>
            <w:vAlign w:val="bottom"/>
          </w:tcPr>
          <w:p w14:paraId="55D9D815" w14:textId="77777777" w:rsidR="00843D44" w:rsidRPr="001677E0" w:rsidRDefault="00843D44" w:rsidP="00026E25">
            <w:pPr>
              <w:rPr>
                <w:lang w:val="en-GB"/>
              </w:rPr>
            </w:pPr>
          </w:p>
        </w:tc>
        <w:tc>
          <w:tcPr>
            <w:tcW w:w="2208" w:type="dxa"/>
            <w:gridSpan w:val="3"/>
            <w:tcBorders>
              <w:top w:val="nil"/>
              <w:left w:val="nil"/>
              <w:bottom w:val="single" w:sz="4" w:space="0" w:color="auto"/>
              <w:right w:val="nil"/>
            </w:tcBorders>
            <w:shd w:val="clear" w:color="auto" w:fill="FFFFFF"/>
            <w:noWrap/>
            <w:vAlign w:val="bottom"/>
          </w:tcPr>
          <w:p w14:paraId="21437945" w14:textId="77777777" w:rsidR="00843D44" w:rsidRPr="001677E0" w:rsidRDefault="00843D44" w:rsidP="00026E25">
            <w:pPr>
              <w:rPr>
                <w:lang w:val="en-GB"/>
              </w:rPr>
            </w:pPr>
            <w:r w:rsidRPr="001677E0">
              <w:rPr>
                <w:lang w:val="en-GB"/>
              </w:rPr>
              <w:t>699</w:t>
            </w:r>
          </w:p>
        </w:tc>
        <w:tc>
          <w:tcPr>
            <w:tcW w:w="288" w:type="dxa"/>
            <w:gridSpan w:val="2"/>
            <w:tcBorders>
              <w:top w:val="nil"/>
              <w:left w:val="nil"/>
              <w:bottom w:val="single" w:sz="4" w:space="0" w:color="auto"/>
              <w:right w:val="nil"/>
            </w:tcBorders>
            <w:shd w:val="clear" w:color="auto" w:fill="FFFFFF"/>
            <w:noWrap/>
            <w:vAlign w:val="bottom"/>
          </w:tcPr>
          <w:p w14:paraId="3490052A" w14:textId="77777777" w:rsidR="00843D44" w:rsidRPr="001677E0" w:rsidRDefault="00843D44" w:rsidP="00026E25">
            <w:pPr>
              <w:rPr>
                <w:lang w:val="en-GB"/>
              </w:rPr>
            </w:pPr>
          </w:p>
        </w:tc>
        <w:tc>
          <w:tcPr>
            <w:tcW w:w="1917" w:type="dxa"/>
            <w:gridSpan w:val="2"/>
            <w:tcBorders>
              <w:top w:val="nil"/>
              <w:left w:val="nil"/>
              <w:bottom w:val="single" w:sz="4" w:space="0" w:color="auto"/>
              <w:right w:val="nil"/>
            </w:tcBorders>
            <w:shd w:val="clear" w:color="auto" w:fill="FFFFFF"/>
            <w:noWrap/>
            <w:vAlign w:val="bottom"/>
          </w:tcPr>
          <w:p w14:paraId="1422DF79" w14:textId="77777777" w:rsidR="00843D44" w:rsidRPr="001677E0" w:rsidRDefault="00843D44" w:rsidP="00026E25">
            <w:r w:rsidRPr="001677E0">
              <w:t>796</w:t>
            </w:r>
          </w:p>
        </w:tc>
      </w:tr>
      <w:tr w:rsidR="00843D44" w:rsidRPr="001677E0" w14:paraId="4BC215AE" w14:textId="77777777" w:rsidTr="00026E25">
        <w:trPr>
          <w:trHeight w:val="267"/>
        </w:trPr>
        <w:tc>
          <w:tcPr>
            <w:tcW w:w="3544" w:type="dxa"/>
            <w:tcBorders>
              <w:top w:val="nil"/>
              <w:left w:val="nil"/>
              <w:bottom w:val="single" w:sz="4" w:space="0" w:color="auto"/>
              <w:right w:val="nil"/>
            </w:tcBorders>
            <w:shd w:val="clear" w:color="auto" w:fill="FFFFFF"/>
            <w:noWrap/>
            <w:vAlign w:val="bottom"/>
            <w:hideMark/>
          </w:tcPr>
          <w:p w14:paraId="778E5085" w14:textId="77777777" w:rsidR="00843D44" w:rsidRPr="001677E0" w:rsidRDefault="00843D44" w:rsidP="00026E25">
            <w:r w:rsidRPr="001677E0">
              <w:t>EBIT</w:t>
            </w:r>
          </w:p>
        </w:tc>
        <w:tc>
          <w:tcPr>
            <w:tcW w:w="233" w:type="dxa"/>
            <w:tcBorders>
              <w:top w:val="nil"/>
              <w:left w:val="nil"/>
              <w:bottom w:val="single" w:sz="4" w:space="0" w:color="auto"/>
              <w:right w:val="nil"/>
            </w:tcBorders>
            <w:shd w:val="clear" w:color="auto" w:fill="FFFFFF"/>
            <w:noWrap/>
            <w:vAlign w:val="bottom"/>
            <w:hideMark/>
          </w:tcPr>
          <w:p w14:paraId="29B3F4DB" w14:textId="77777777" w:rsidR="00843D44" w:rsidRPr="001677E0" w:rsidRDefault="00843D44" w:rsidP="00026E25">
            <w:pPr>
              <w:rPr>
                <w:lang w:val="en-GB"/>
              </w:rPr>
            </w:pPr>
          </w:p>
        </w:tc>
        <w:tc>
          <w:tcPr>
            <w:tcW w:w="2208" w:type="dxa"/>
            <w:gridSpan w:val="3"/>
            <w:tcBorders>
              <w:top w:val="nil"/>
              <w:left w:val="nil"/>
              <w:bottom w:val="single" w:sz="4" w:space="0" w:color="auto"/>
              <w:right w:val="nil"/>
            </w:tcBorders>
            <w:shd w:val="clear" w:color="auto" w:fill="FFFFFF"/>
            <w:noWrap/>
            <w:vAlign w:val="bottom"/>
          </w:tcPr>
          <w:p w14:paraId="77C536AB" w14:textId="77777777" w:rsidR="00843D44" w:rsidRPr="001677E0" w:rsidRDefault="00843D44" w:rsidP="00026E25">
            <w:pPr>
              <w:rPr>
                <w:lang w:val="en-GB"/>
              </w:rPr>
            </w:pPr>
            <w:r w:rsidRPr="001677E0">
              <w:rPr>
                <w:lang w:val="en-GB"/>
              </w:rPr>
              <w:t>362</w:t>
            </w:r>
          </w:p>
        </w:tc>
        <w:tc>
          <w:tcPr>
            <w:tcW w:w="288" w:type="dxa"/>
            <w:gridSpan w:val="2"/>
            <w:tcBorders>
              <w:top w:val="nil"/>
              <w:left w:val="nil"/>
              <w:bottom w:val="single" w:sz="4" w:space="0" w:color="auto"/>
              <w:right w:val="nil"/>
            </w:tcBorders>
            <w:shd w:val="clear" w:color="auto" w:fill="FFFFFF"/>
            <w:noWrap/>
            <w:vAlign w:val="bottom"/>
          </w:tcPr>
          <w:p w14:paraId="63CF3867" w14:textId="77777777" w:rsidR="00843D44" w:rsidRPr="001677E0" w:rsidRDefault="00843D44" w:rsidP="00026E25">
            <w:pPr>
              <w:rPr>
                <w:lang w:val="en-GB"/>
              </w:rPr>
            </w:pPr>
          </w:p>
        </w:tc>
        <w:tc>
          <w:tcPr>
            <w:tcW w:w="1917" w:type="dxa"/>
            <w:gridSpan w:val="2"/>
            <w:tcBorders>
              <w:top w:val="nil"/>
              <w:left w:val="nil"/>
              <w:bottom w:val="single" w:sz="4" w:space="0" w:color="auto"/>
              <w:right w:val="nil"/>
            </w:tcBorders>
            <w:shd w:val="clear" w:color="auto" w:fill="FFFFFF"/>
            <w:noWrap/>
            <w:vAlign w:val="bottom"/>
            <w:hideMark/>
          </w:tcPr>
          <w:p w14:paraId="1FB3B20B" w14:textId="77777777" w:rsidR="00843D44" w:rsidRPr="001677E0" w:rsidRDefault="00843D44" w:rsidP="00026E25">
            <w:r w:rsidRPr="001677E0">
              <w:t>478</w:t>
            </w:r>
          </w:p>
        </w:tc>
      </w:tr>
      <w:tr w:rsidR="00843D44" w:rsidRPr="001677E0" w14:paraId="4D4DF1A5" w14:textId="77777777" w:rsidTr="00026E25">
        <w:trPr>
          <w:trHeight w:val="267"/>
        </w:trPr>
        <w:tc>
          <w:tcPr>
            <w:tcW w:w="3544" w:type="dxa"/>
            <w:tcBorders>
              <w:top w:val="nil"/>
              <w:left w:val="nil"/>
              <w:bottom w:val="single" w:sz="4" w:space="0" w:color="auto"/>
              <w:right w:val="nil"/>
            </w:tcBorders>
            <w:shd w:val="clear" w:color="auto" w:fill="FFFFFF"/>
            <w:noWrap/>
            <w:vAlign w:val="bottom"/>
            <w:hideMark/>
          </w:tcPr>
          <w:p w14:paraId="6FC68B33" w14:textId="77777777" w:rsidR="00843D44" w:rsidRPr="001677E0" w:rsidRDefault="00843D44" w:rsidP="00026E25">
            <w:r w:rsidRPr="001677E0">
              <w:t>Investeringen in materiële vaste activa</w:t>
            </w:r>
          </w:p>
        </w:tc>
        <w:tc>
          <w:tcPr>
            <w:tcW w:w="233" w:type="dxa"/>
            <w:tcBorders>
              <w:top w:val="nil"/>
              <w:left w:val="nil"/>
              <w:bottom w:val="single" w:sz="4" w:space="0" w:color="auto"/>
              <w:right w:val="nil"/>
            </w:tcBorders>
            <w:shd w:val="clear" w:color="auto" w:fill="FFFFFF"/>
            <w:noWrap/>
            <w:vAlign w:val="bottom"/>
            <w:hideMark/>
          </w:tcPr>
          <w:p w14:paraId="2ED71F4F" w14:textId="77777777" w:rsidR="00843D44" w:rsidRPr="001677E0" w:rsidRDefault="00843D44" w:rsidP="00026E25"/>
        </w:tc>
        <w:tc>
          <w:tcPr>
            <w:tcW w:w="1115" w:type="dxa"/>
            <w:tcBorders>
              <w:top w:val="nil"/>
              <w:left w:val="nil"/>
              <w:bottom w:val="single" w:sz="4" w:space="0" w:color="auto"/>
              <w:right w:val="nil"/>
            </w:tcBorders>
            <w:shd w:val="clear" w:color="auto" w:fill="FFFFFF"/>
            <w:noWrap/>
            <w:vAlign w:val="bottom"/>
          </w:tcPr>
          <w:p w14:paraId="0DD8F63D" w14:textId="77777777" w:rsidR="00843D44" w:rsidRPr="001677E0" w:rsidRDefault="00843D44" w:rsidP="00026E25">
            <w:r w:rsidRPr="001677E0">
              <w:t>904</w:t>
            </w:r>
          </w:p>
        </w:tc>
        <w:tc>
          <w:tcPr>
            <w:tcW w:w="1093" w:type="dxa"/>
            <w:gridSpan w:val="2"/>
            <w:tcBorders>
              <w:top w:val="nil"/>
              <w:left w:val="nil"/>
              <w:bottom w:val="single" w:sz="4" w:space="0" w:color="auto"/>
              <w:right w:val="nil"/>
            </w:tcBorders>
            <w:shd w:val="clear" w:color="auto" w:fill="FFFFFF"/>
            <w:noWrap/>
            <w:vAlign w:val="bottom"/>
          </w:tcPr>
          <w:p w14:paraId="576B4226" w14:textId="77777777" w:rsidR="00843D44" w:rsidRPr="001677E0" w:rsidRDefault="00843D44" w:rsidP="00026E25"/>
        </w:tc>
        <w:tc>
          <w:tcPr>
            <w:tcW w:w="288" w:type="dxa"/>
            <w:gridSpan w:val="2"/>
            <w:tcBorders>
              <w:top w:val="nil"/>
              <w:left w:val="nil"/>
              <w:bottom w:val="single" w:sz="4" w:space="0" w:color="auto"/>
              <w:right w:val="nil"/>
            </w:tcBorders>
            <w:shd w:val="clear" w:color="auto" w:fill="FFFFFF"/>
            <w:noWrap/>
            <w:vAlign w:val="bottom"/>
            <w:hideMark/>
          </w:tcPr>
          <w:p w14:paraId="48D58A4A" w14:textId="77777777" w:rsidR="00843D44" w:rsidRPr="001677E0" w:rsidRDefault="00843D44" w:rsidP="00026E25"/>
        </w:tc>
        <w:tc>
          <w:tcPr>
            <w:tcW w:w="1917" w:type="dxa"/>
            <w:gridSpan w:val="2"/>
            <w:tcBorders>
              <w:top w:val="nil"/>
              <w:left w:val="nil"/>
              <w:bottom w:val="single" w:sz="4" w:space="0" w:color="auto"/>
              <w:right w:val="nil"/>
            </w:tcBorders>
            <w:shd w:val="clear" w:color="auto" w:fill="FFFFFF"/>
            <w:noWrap/>
            <w:vAlign w:val="bottom"/>
            <w:hideMark/>
          </w:tcPr>
          <w:p w14:paraId="43271498" w14:textId="77777777" w:rsidR="00843D44" w:rsidRPr="001677E0" w:rsidRDefault="00843D44" w:rsidP="00026E25">
            <w:r w:rsidRPr="001677E0">
              <w:t>750</w:t>
            </w:r>
          </w:p>
        </w:tc>
      </w:tr>
      <w:tr w:rsidR="00843D44" w:rsidRPr="001677E0" w14:paraId="6BCD13B7" w14:textId="77777777" w:rsidTr="00026E25">
        <w:trPr>
          <w:gridAfter w:val="1"/>
          <w:wAfter w:w="110" w:type="dxa"/>
          <w:trHeight w:val="267"/>
        </w:trPr>
        <w:tc>
          <w:tcPr>
            <w:tcW w:w="3544" w:type="dxa"/>
            <w:tcBorders>
              <w:top w:val="single" w:sz="4" w:space="0" w:color="auto"/>
              <w:left w:val="nil"/>
              <w:bottom w:val="single" w:sz="4" w:space="0" w:color="auto"/>
              <w:right w:val="nil"/>
            </w:tcBorders>
            <w:shd w:val="clear" w:color="auto" w:fill="FFFFFF"/>
            <w:noWrap/>
          </w:tcPr>
          <w:p w14:paraId="423C2C65" w14:textId="77777777" w:rsidR="00843D44" w:rsidRPr="001677E0" w:rsidRDefault="00843D44" w:rsidP="00026E25">
            <w:pPr>
              <w:rPr>
                <w:b/>
                <w:lang w:val="en-GB"/>
              </w:rPr>
            </w:pPr>
          </w:p>
          <w:p w14:paraId="197FF649" w14:textId="77777777" w:rsidR="00843D44" w:rsidRPr="001677E0" w:rsidRDefault="00843D44" w:rsidP="00026E25">
            <w:pPr>
              <w:rPr>
                <w:b/>
              </w:rPr>
            </w:pPr>
            <w:r w:rsidRPr="001677E0">
              <w:rPr>
                <w:b/>
              </w:rPr>
              <w:t>Bedragen in miljoenen euro’s</w:t>
            </w:r>
          </w:p>
        </w:tc>
        <w:tc>
          <w:tcPr>
            <w:tcW w:w="233" w:type="dxa"/>
            <w:tcBorders>
              <w:top w:val="single" w:sz="4" w:space="0" w:color="auto"/>
              <w:left w:val="nil"/>
              <w:bottom w:val="single" w:sz="4" w:space="0" w:color="auto"/>
              <w:right w:val="nil"/>
            </w:tcBorders>
            <w:shd w:val="clear" w:color="auto" w:fill="FFFFFF"/>
            <w:noWrap/>
            <w:vAlign w:val="bottom"/>
          </w:tcPr>
          <w:p w14:paraId="5D180EF5" w14:textId="77777777" w:rsidR="00843D44" w:rsidRPr="001677E0" w:rsidRDefault="00843D44" w:rsidP="00026E25">
            <w:pPr>
              <w:rPr>
                <w:lang w:val="en-GB"/>
              </w:rPr>
            </w:pPr>
          </w:p>
        </w:tc>
        <w:tc>
          <w:tcPr>
            <w:tcW w:w="2035" w:type="dxa"/>
            <w:gridSpan w:val="2"/>
            <w:tcBorders>
              <w:top w:val="single" w:sz="4" w:space="0" w:color="auto"/>
              <w:left w:val="nil"/>
              <w:bottom w:val="single" w:sz="4" w:space="0" w:color="auto"/>
              <w:right w:val="nil"/>
            </w:tcBorders>
            <w:shd w:val="clear" w:color="auto" w:fill="FFFFFF"/>
            <w:noWrap/>
            <w:vAlign w:val="bottom"/>
            <w:hideMark/>
          </w:tcPr>
          <w:p w14:paraId="7F02AEEF" w14:textId="77777777" w:rsidR="00843D44" w:rsidRPr="001677E0" w:rsidRDefault="00843D44" w:rsidP="00026E25">
            <w:pPr>
              <w:rPr>
                <w:b/>
              </w:rPr>
            </w:pPr>
            <w:r w:rsidRPr="001677E0">
              <w:rPr>
                <w:b/>
              </w:rPr>
              <w:t>30 juni 2018</w:t>
            </w:r>
          </w:p>
        </w:tc>
        <w:tc>
          <w:tcPr>
            <w:tcW w:w="288" w:type="dxa"/>
            <w:gridSpan w:val="2"/>
            <w:tcBorders>
              <w:top w:val="single" w:sz="4" w:space="0" w:color="auto"/>
              <w:left w:val="nil"/>
              <w:bottom w:val="single" w:sz="4" w:space="0" w:color="auto"/>
              <w:right w:val="nil"/>
            </w:tcBorders>
            <w:shd w:val="clear" w:color="auto" w:fill="FFFFFF"/>
            <w:noWrap/>
            <w:vAlign w:val="bottom"/>
            <w:hideMark/>
          </w:tcPr>
          <w:p w14:paraId="24FDF02D" w14:textId="77777777" w:rsidR="00843D44" w:rsidRPr="001677E0" w:rsidRDefault="00843D44" w:rsidP="00026E25">
            <w:pPr>
              <w:rPr>
                <w:lang w:val="en-GB"/>
              </w:rPr>
            </w:pPr>
          </w:p>
        </w:tc>
        <w:tc>
          <w:tcPr>
            <w:tcW w:w="1980" w:type="dxa"/>
            <w:gridSpan w:val="2"/>
            <w:tcBorders>
              <w:top w:val="single" w:sz="4" w:space="0" w:color="auto"/>
              <w:left w:val="nil"/>
              <w:bottom w:val="single" w:sz="4" w:space="0" w:color="auto"/>
              <w:right w:val="nil"/>
            </w:tcBorders>
            <w:shd w:val="clear" w:color="auto" w:fill="FFFFFF"/>
            <w:noWrap/>
            <w:vAlign w:val="bottom"/>
            <w:hideMark/>
          </w:tcPr>
          <w:p w14:paraId="3CF3B0A9" w14:textId="77777777" w:rsidR="00843D44" w:rsidRPr="001677E0" w:rsidRDefault="00843D44" w:rsidP="00026E25">
            <w:r w:rsidRPr="001677E0">
              <w:rPr>
                <w:b/>
              </w:rPr>
              <w:t>31 december 2017</w:t>
            </w:r>
          </w:p>
        </w:tc>
      </w:tr>
      <w:tr w:rsidR="00843D44" w:rsidRPr="001677E0" w14:paraId="522006BA" w14:textId="77777777" w:rsidTr="00026E25">
        <w:trPr>
          <w:trHeight w:val="395"/>
        </w:trPr>
        <w:tc>
          <w:tcPr>
            <w:tcW w:w="3544" w:type="dxa"/>
            <w:tcBorders>
              <w:top w:val="nil"/>
              <w:left w:val="nil"/>
              <w:bottom w:val="single" w:sz="4" w:space="0" w:color="auto"/>
              <w:right w:val="nil"/>
            </w:tcBorders>
            <w:shd w:val="clear" w:color="auto" w:fill="FFFFFF"/>
            <w:noWrap/>
            <w:vAlign w:val="bottom"/>
            <w:hideMark/>
          </w:tcPr>
          <w:p w14:paraId="357A48E5" w14:textId="77777777" w:rsidR="00843D44" w:rsidRPr="001677E0" w:rsidRDefault="00843D44" w:rsidP="00026E25">
            <w:r w:rsidRPr="001677E0">
              <w:t>Netto rentedragende schulden (gecorrigeerd)</w:t>
            </w:r>
          </w:p>
        </w:tc>
        <w:tc>
          <w:tcPr>
            <w:tcW w:w="233" w:type="dxa"/>
            <w:tcBorders>
              <w:top w:val="nil"/>
              <w:left w:val="nil"/>
              <w:bottom w:val="single" w:sz="4" w:space="0" w:color="auto"/>
              <w:right w:val="nil"/>
            </w:tcBorders>
            <w:shd w:val="clear" w:color="auto" w:fill="FFFFFF"/>
            <w:noWrap/>
            <w:vAlign w:val="bottom"/>
            <w:hideMark/>
          </w:tcPr>
          <w:p w14:paraId="2F4B44F2" w14:textId="77777777" w:rsidR="00843D44" w:rsidRPr="001677E0" w:rsidRDefault="00843D44" w:rsidP="00026E25">
            <w:pPr>
              <w:rPr>
                <w:lang w:val="en-GB"/>
              </w:rPr>
            </w:pPr>
          </w:p>
        </w:tc>
        <w:tc>
          <w:tcPr>
            <w:tcW w:w="2208" w:type="dxa"/>
            <w:gridSpan w:val="3"/>
            <w:tcBorders>
              <w:top w:val="nil"/>
              <w:left w:val="nil"/>
              <w:bottom w:val="single" w:sz="4" w:space="0" w:color="auto"/>
              <w:right w:val="nil"/>
            </w:tcBorders>
            <w:shd w:val="clear" w:color="auto" w:fill="FFFFFF"/>
            <w:noWrap/>
            <w:vAlign w:val="bottom"/>
          </w:tcPr>
          <w:p w14:paraId="75A0C3E3" w14:textId="77777777" w:rsidR="00843D44" w:rsidRPr="001677E0" w:rsidRDefault="00843D44" w:rsidP="00026E25">
            <w:pPr>
              <w:rPr>
                <w:lang w:val="en-GB"/>
              </w:rPr>
            </w:pPr>
            <w:r w:rsidRPr="001677E0">
              <w:rPr>
                <w:lang w:val="en-GB"/>
              </w:rPr>
              <w:t>8.156</w:t>
            </w:r>
          </w:p>
        </w:tc>
        <w:tc>
          <w:tcPr>
            <w:tcW w:w="288" w:type="dxa"/>
            <w:gridSpan w:val="2"/>
            <w:tcBorders>
              <w:top w:val="nil"/>
              <w:left w:val="nil"/>
              <w:bottom w:val="single" w:sz="4" w:space="0" w:color="auto"/>
              <w:right w:val="nil"/>
            </w:tcBorders>
            <w:shd w:val="clear" w:color="auto" w:fill="FFFFFF"/>
            <w:noWrap/>
            <w:vAlign w:val="bottom"/>
          </w:tcPr>
          <w:p w14:paraId="3387E2B6" w14:textId="77777777" w:rsidR="00843D44" w:rsidRPr="001677E0" w:rsidRDefault="00843D44" w:rsidP="00026E25">
            <w:pPr>
              <w:rPr>
                <w:lang w:val="en-GB"/>
              </w:rPr>
            </w:pPr>
          </w:p>
        </w:tc>
        <w:tc>
          <w:tcPr>
            <w:tcW w:w="1917" w:type="dxa"/>
            <w:gridSpan w:val="2"/>
            <w:tcBorders>
              <w:top w:val="nil"/>
              <w:left w:val="nil"/>
              <w:bottom w:val="single" w:sz="4" w:space="0" w:color="auto"/>
              <w:right w:val="nil"/>
            </w:tcBorders>
            <w:shd w:val="clear" w:color="auto" w:fill="FFFFFF"/>
            <w:noWrap/>
            <w:vAlign w:val="bottom"/>
            <w:hideMark/>
          </w:tcPr>
          <w:p w14:paraId="7F1134B5" w14:textId="77777777" w:rsidR="00843D44" w:rsidRPr="001677E0" w:rsidRDefault="00843D44" w:rsidP="00026E25">
            <w:r w:rsidRPr="001677E0">
              <w:t>7.687</w:t>
            </w:r>
          </w:p>
        </w:tc>
      </w:tr>
      <w:tr w:rsidR="00843D44" w:rsidRPr="001677E0" w14:paraId="487340F6" w14:textId="77777777" w:rsidTr="00026E25">
        <w:trPr>
          <w:trHeight w:val="267"/>
        </w:trPr>
        <w:tc>
          <w:tcPr>
            <w:tcW w:w="3544" w:type="dxa"/>
            <w:tcBorders>
              <w:top w:val="nil"/>
              <w:left w:val="nil"/>
              <w:bottom w:val="single" w:sz="4" w:space="0" w:color="auto"/>
              <w:right w:val="nil"/>
            </w:tcBorders>
            <w:shd w:val="clear" w:color="auto" w:fill="FFFFFF"/>
            <w:noWrap/>
            <w:vAlign w:val="bottom"/>
            <w:hideMark/>
          </w:tcPr>
          <w:p w14:paraId="31AEFAE4" w14:textId="77777777" w:rsidR="00843D44" w:rsidRPr="001677E0" w:rsidRDefault="00843D44" w:rsidP="00026E25">
            <w:r w:rsidRPr="001677E0">
              <w:t>Eigen vermogen</w:t>
            </w:r>
          </w:p>
        </w:tc>
        <w:tc>
          <w:tcPr>
            <w:tcW w:w="233" w:type="dxa"/>
            <w:tcBorders>
              <w:top w:val="nil"/>
              <w:left w:val="nil"/>
              <w:bottom w:val="single" w:sz="4" w:space="0" w:color="auto"/>
              <w:right w:val="nil"/>
            </w:tcBorders>
            <w:shd w:val="clear" w:color="auto" w:fill="FFFFFF"/>
            <w:noWrap/>
            <w:vAlign w:val="bottom"/>
          </w:tcPr>
          <w:p w14:paraId="20DBD732" w14:textId="77777777" w:rsidR="00843D44" w:rsidRPr="001677E0" w:rsidRDefault="00843D44" w:rsidP="00026E25">
            <w:pPr>
              <w:rPr>
                <w:lang w:val="en-GB"/>
              </w:rPr>
            </w:pPr>
          </w:p>
        </w:tc>
        <w:tc>
          <w:tcPr>
            <w:tcW w:w="2208" w:type="dxa"/>
            <w:gridSpan w:val="3"/>
            <w:tcBorders>
              <w:top w:val="nil"/>
              <w:left w:val="nil"/>
              <w:bottom w:val="single" w:sz="4" w:space="0" w:color="auto"/>
              <w:right w:val="nil"/>
            </w:tcBorders>
            <w:shd w:val="clear" w:color="auto" w:fill="FFFFFF"/>
            <w:noWrap/>
            <w:vAlign w:val="bottom"/>
          </w:tcPr>
          <w:p w14:paraId="2CDB4EE4" w14:textId="77777777" w:rsidR="00843D44" w:rsidRPr="001677E0" w:rsidRDefault="00843D44" w:rsidP="00026E25">
            <w:pPr>
              <w:rPr>
                <w:lang w:val="en-GB"/>
              </w:rPr>
            </w:pPr>
            <w:r w:rsidRPr="001677E0">
              <w:rPr>
                <w:lang w:val="en-GB"/>
              </w:rPr>
              <w:t>5.366</w:t>
            </w:r>
          </w:p>
        </w:tc>
        <w:tc>
          <w:tcPr>
            <w:tcW w:w="288" w:type="dxa"/>
            <w:gridSpan w:val="2"/>
            <w:tcBorders>
              <w:top w:val="nil"/>
              <w:left w:val="nil"/>
              <w:bottom w:val="single" w:sz="4" w:space="0" w:color="auto"/>
              <w:right w:val="nil"/>
            </w:tcBorders>
            <w:shd w:val="clear" w:color="auto" w:fill="FFFFFF"/>
            <w:noWrap/>
            <w:vAlign w:val="bottom"/>
          </w:tcPr>
          <w:p w14:paraId="746E3D5E" w14:textId="77777777" w:rsidR="00843D44" w:rsidRPr="001677E0" w:rsidRDefault="00843D44" w:rsidP="00026E25">
            <w:pPr>
              <w:rPr>
                <w:lang w:val="en-GB"/>
              </w:rPr>
            </w:pPr>
          </w:p>
        </w:tc>
        <w:tc>
          <w:tcPr>
            <w:tcW w:w="1917" w:type="dxa"/>
            <w:gridSpan w:val="2"/>
            <w:tcBorders>
              <w:top w:val="nil"/>
              <w:left w:val="nil"/>
              <w:bottom w:val="single" w:sz="4" w:space="0" w:color="auto"/>
              <w:right w:val="nil"/>
            </w:tcBorders>
            <w:shd w:val="clear" w:color="auto" w:fill="FFFFFF"/>
            <w:noWrap/>
            <w:vAlign w:val="bottom"/>
            <w:hideMark/>
          </w:tcPr>
          <w:p w14:paraId="4435365C" w14:textId="77777777" w:rsidR="00843D44" w:rsidRPr="001677E0" w:rsidRDefault="00843D44" w:rsidP="00026E25">
            <w:r w:rsidRPr="001677E0">
              <w:t>5.469</w:t>
            </w:r>
          </w:p>
        </w:tc>
      </w:tr>
      <w:tr w:rsidR="00843D44" w:rsidRPr="001677E0" w14:paraId="4396D72C" w14:textId="77777777" w:rsidTr="00026E25">
        <w:trPr>
          <w:trHeight w:val="267"/>
        </w:trPr>
        <w:tc>
          <w:tcPr>
            <w:tcW w:w="3544" w:type="dxa"/>
            <w:tcBorders>
              <w:top w:val="nil"/>
              <w:left w:val="nil"/>
              <w:bottom w:val="single" w:sz="4" w:space="0" w:color="auto"/>
              <w:right w:val="nil"/>
            </w:tcBorders>
            <w:shd w:val="clear" w:color="auto" w:fill="FFFFFF"/>
            <w:noWrap/>
            <w:vAlign w:val="bottom"/>
            <w:hideMark/>
          </w:tcPr>
          <w:p w14:paraId="088FF988" w14:textId="77777777" w:rsidR="00843D44" w:rsidRPr="001677E0" w:rsidRDefault="00843D44" w:rsidP="00026E25">
            <w:r w:rsidRPr="001677E0">
              <w:t xml:space="preserve">Totale activa </w:t>
            </w:r>
          </w:p>
        </w:tc>
        <w:tc>
          <w:tcPr>
            <w:tcW w:w="233" w:type="dxa"/>
            <w:tcBorders>
              <w:top w:val="nil"/>
              <w:left w:val="nil"/>
              <w:bottom w:val="single" w:sz="4" w:space="0" w:color="auto"/>
              <w:right w:val="nil"/>
            </w:tcBorders>
            <w:shd w:val="clear" w:color="auto" w:fill="FFFFFF"/>
            <w:noWrap/>
            <w:vAlign w:val="bottom"/>
            <w:hideMark/>
          </w:tcPr>
          <w:p w14:paraId="166499EB" w14:textId="77777777" w:rsidR="00843D44" w:rsidRPr="001677E0" w:rsidRDefault="00843D44" w:rsidP="00026E25">
            <w:pPr>
              <w:rPr>
                <w:lang w:val="en-GB"/>
              </w:rPr>
            </w:pPr>
          </w:p>
        </w:tc>
        <w:tc>
          <w:tcPr>
            <w:tcW w:w="2208" w:type="dxa"/>
            <w:gridSpan w:val="3"/>
            <w:tcBorders>
              <w:top w:val="nil"/>
              <w:left w:val="nil"/>
              <w:bottom w:val="single" w:sz="4" w:space="0" w:color="auto"/>
              <w:right w:val="nil"/>
            </w:tcBorders>
            <w:shd w:val="clear" w:color="auto" w:fill="FFFFFF"/>
            <w:noWrap/>
            <w:vAlign w:val="bottom"/>
          </w:tcPr>
          <w:p w14:paraId="2C719919" w14:textId="77777777" w:rsidR="00843D44" w:rsidRPr="001677E0" w:rsidRDefault="00843D44" w:rsidP="00026E25">
            <w:pPr>
              <w:rPr>
                <w:lang w:val="en-GB"/>
              </w:rPr>
            </w:pPr>
            <w:r w:rsidRPr="001677E0">
              <w:rPr>
                <w:lang w:val="en-GB"/>
              </w:rPr>
              <w:t>21.020</w:t>
            </w:r>
          </w:p>
        </w:tc>
        <w:tc>
          <w:tcPr>
            <w:tcW w:w="288" w:type="dxa"/>
            <w:gridSpan w:val="2"/>
            <w:tcBorders>
              <w:top w:val="nil"/>
              <w:left w:val="nil"/>
              <w:bottom w:val="single" w:sz="4" w:space="0" w:color="auto"/>
              <w:right w:val="nil"/>
            </w:tcBorders>
            <w:shd w:val="clear" w:color="auto" w:fill="FFFFFF"/>
            <w:noWrap/>
            <w:vAlign w:val="bottom"/>
          </w:tcPr>
          <w:p w14:paraId="1D0B2DEC" w14:textId="77777777" w:rsidR="00843D44" w:rsidRPr="001677E0" w:rsidRDefault="00843D44" w:rsidP="00026E25">
            <w:pPr>
              <w:rPr>
                <w:lang w:val="en-GB"/>
              </w:rPr>
            </w:pPr>
          </w:p>
        </w:tc>
        <w:tc>
          <w:tcPr>
            <w:tcW w:w="1917" w:type="dxa"/>
            <w:gridSpan w:val="2"/>
            <w:tcBorders>
              <w:top w:val="nil"/>
              <w:left w:val="nil"/>
              <w:bottom w:val="single" w:sz="4" w:space="0" w:color="auto"/>
              <w:right w:val="nil"/>
            </w:tcBorders>
            <w:shd w:val="clear" w:color="auto" w:fill="FFFFFF"/>
            <w:noWrap/>
            <w:vAlign w:val="bottom"/>
            <w:hideMark/>
          </w:tcPr>
          <w:p w14:paraId="50ED8868" w14:textId="77777777" w:rsidR="00843D44" w:rsidRPr="001677E0" w:rsidRDefault="00843D44" w:rsidP="00026E25">
            <w:r w:rsidRPr="001677E0">
              <w:t>20.412</w:t>
            </w:r>
          </w:p>
        </w:tc>
      </w:tr>
    </w:tbl>
    <w:p w14:paraId="0CC98137" w14:textId="77777777" w:rsidR="00843D44" w:rsidRPr="001677E0" w:rsidRDefault="00843D44" w:rsidP="00843D44">
      <w:pPr>
        <w:rPr>
          <w:b/>
        </w:rPr>
      </w:pPr>
      <w:r w:rsidRPr="001677E0">
        <w:br/>
      </w:r>
    </w:p>
    <w:p w14:paraId="296EC05F" w14:textId="77777777" w:rsidR="00843D44" w:rsidRPr="001677E0" w:rsidRDefault="00843D44" w:rsidP="00843D44">
      <w:pPr>
        <w:rPr>
          <w:b/>
          <w:lang w:val="en-GB"/>
        </w:rPr>
      </w:pPr>
    </w:p>
    <w:p w14:paraId="18D6C87E" w14:textId="77777777" w:rsidR="00843D44" w:rsidRPr="001677E0" w:rsidRDefault="00843D44" w:rsidP="00843D44">
      <w:pPr>
        <w:rPr>
          <w:b/>
          <w:lang w:val="en-GB"/>
        </w:rPr>
      </w:pPr>
    </w:p>
    <w:p w14:paraId="02D6444C" w14:textId="77777777" w:rsidR="00843D44" w:rsidRPr="001677E0" w:rsidRDefault="00843D44" w:rsidP="00843D44">
      <w:pPr>
        <w:rPr>
          <w:b/>
          <w:lang w:val="en-GB"/>
        </w:rPr>
      </w:pPr>
    </w:p>
    <w:p w14:paraId="7106C5C3" w14:textId="77777777" w:rsidR="00843D44" w:rsidRPr="001677E0" w:rsidRDefault="00843D44" w:rsidP="00843D44">
      <w:pPr>
        <w:rPr>
          <w:b/>
          <w:lang w:val="en-GB"/>
        </w:rPr>
      </w:pPr>
    </w:p>
    <w:p w14:paraId="150DB8B6" w14:textId="77777777" w:rsidR="00843D44" w:rsidRPr="001677E0" w:rsidRDefault="00843D44" w:rsidP="00843D44">
      <w:pPr>
        <w:rPr>
          <w:b/>
        </w:rPr>
      </w:pPr>
    </w:p>
    <w:p w14:paraId="4A73E706" w14:textId="77777777" w:rsidR="00843D44" w:rsidRDefault="00843D44" w:rsidP="00843D44">
      <w:pPr>
        <w:rPr>
          <w:b/>
        </w:rPr>
      </w:pPr>
    </w:p>
    <w:p w14:paraId="300A00AF" w14:textId="77777777" w:rsidR="009732F4" w:rsidRDefault="009732F4" w:rsidP="00843D44">
      <w:pPr>
        <w:rPr>
          <w:b/>
        </w:rPr>
      </w:pPr>
    </w:p>
    <w:p w14:paraId="0AC9142B" w14:textId="77777777" w:rsidR="009732F4" w:rsidRDefault="009732F4" w:rsidP="00843D44">
      <w:pPr>
        <w:rPr>
          <w:b/>
        </w:rPr>
      </w:pPr>
    </w:p>
    <w:p w14:paraId="5F1759E3" w14:textId="77777777" w:rsidR="009732F4" w:rsidRDefault="009732F4" w:rsidP="00843D44">
      <w:pPr>
        <w:rPr>
          <w:b/>
        </w:rPr>
      </w:pPr>
    </w:p>
    <w:p w14:paraId="1DE03002" w14:textId="77777777" w:rsidR="009732F4" w:rsidRDefault="009732F4" w:rsidP="00843D44">
      <w:pPr>
        <w:rPr>
          <w:b/>
        </w:rPr>
      </w:pPr>
    </w:p>
    <w:p w14:paraId="3C9E8EB3" w14:textId="77777777" w:rsidR="009732F4" w:rsidRDefault="009732F4" w:rsidP="00843D44">
      <w:pPr>
        <w:rPr>
          <w:b/>
        </w:rPr>
      </w:pPr>
    </w:p>
    <w:p w14:paraId="29D537EE" w14:textId="77777777" w:rsidR="009732F4" w:rsidRDefault="009732F4" w:rsidP="00843D44">
      <w:pPr>
        <w:rPr>
          <w:b/>
        </w:rPr>
      </w:pPr>
    </w:p>
    <w:p w14:paraId="5B72A0E7" w14:textId="77777777" w:rsidR="00843D44" w:rsidRPr="008F575C" w:rsidRDefault="00843D44" w:rsidP="00843D44">
      <w:pPr>
        <w:rPr>
          <w:b/>
        </w:rPr>
      </w:pPr>
      <w:r>
        <w:rPr>
          <w:b/>
        </w:rPr>
        <w:t>Financiering</w:t>
      </w:r>
    </w:p>
    <w:p w14:paraId="5793A1F2" w14:textId="77777777" w:rsidR="00843D44" w:rsidRDefault="00843D44" w:rsidP="00843D44">
      <w:r>
        <w:t xml:space="preserve">TenneT gaf in maart opnieuw een groene obligatielening in twee tranches uit van in totaal EUR 1,25 miljard. Deze obligatielening zal worden gebruikt voor investeringen in het transport van duurzame elektriciteit van windparken op zee naar het elektriciteitsnet aan land. Voor het eerst zijn ook twee Nederlandse offshore-projecten (Borssele </w:t>
      </w:r>
      <w:proofErr w:type="spellStart"/>
      <w:r>
        <w:t>Alpha</w:t>
      </w:r>
      <w:proofErr w:type="spellEnd"/>
      <w:r>
        <w:t xml:space="preserve"> en Borssele </w:t>
      </w:r>
      <w:proofErr w:type="spellStart"/>
      <w:r>
        <w:t>Beta</w:t>
      </w:r>
      <w:proofErr w:type="spellEnd"/>
      <w:r>
        <w:t xml:space="preserve">) toegevoegd aan het met groene obligaties gefinancierde portfolio, dat tot nu toe ook negen offshore-projecten in Duitsland omvat. De pagina </w:t>
      </w:r>
      <w:hyperlink r:id="rId10" w:history="1">
        <w:r>
          <w:rPr>
            <w:rStyle w:val="Hyperlink"/>
          </w:rPr>
          <w:t>‘Groene financieringsinstrumenten’</w:t>
        </w:r>
      </w:hyperlink>
      <w:r>
        <w:t xml:space="preserve"> op de TenneT-website biedt een overzicht van de elf offshore-projecten die met de opbrengsten worden gefinancierd. TenneT heeft tot nu toe EUR 6,25 miljard aan groene obligaties uitgegeven.</w:t>
      </w:r>
    </w:p>
    <w:p w14:paraId="55B8AD8F" w14:textId="77777777" w:rsidR="00843D44" w:rsidRDefault="00843D44" w:rsidP="00843D44"/>
    <w:p w14:paraId="28E72F53" w14:textId="6A7FBAA3" w:rsidR="00843D44" w:rsidRDefault="00843D44" w:rsidP="00843D44">
      <w:r>
        <w:t xml:space="preserve">De toegenomen uitgifte van groene obligaties en leningen past bij </w:t>
      </w:r>
      <w:proofErr w:type="spellStart"/>
      <w:r>
        <w:t>TenneT's</w:t>
      </w:r>
      <w:proofErr w:type="spellEnd"/>
      <w:r>
        <w:t xml:space="preserve"> omvangrijke investeringsportfolio van circa EUR 28 miljard in de komende tien jaar. TenneT-CFO Otto Jager: “De energietransitie bepaalt grotendeels het tempo en de omvang van onze investeringen, die wij vanuit onze maatschappelijke verantwoordelijkheid graag ook met groene financieringsinstrumenten invullen. Los van het aantrekken van vreemd vermogen zal, vanwege het grote investeringsportfolio, ook behoefte zijn aan aanvullend eigen vermogen. Hierover zijn wij in </w:t>
      </w:r>
      <w:r w:rsidR="001E20A7">
        <w:t xml:space="preserve">continue </w:t>
      </w:r>
      <w:r>
        <w:t>gesprek met onze aandeelhouder, de Nederlandse Staat.”</w:t>
      </w:r>
    </w:p>
    <w:p w14:paraId="73CF6333" w14:textId="77777777" w:rsidR="009732F4" w:rsidRDefault="009732F4" w:rsidP="00843D44"/>
    <w:p w14:paraId="480F5DF7" w14:textId="46DE2F66" w:rsidR="00843D44" w:rsidRPr="00987583" w:rsidRDefault="00843D44" w:rsidP="00843D44">
      <w:r>
        <w:t xml:space="preserve">TenneT keerde onlangs EUR 147 miljoen aan dividend uit aan de aandeelhouder. Het totaal aan uitgekeerd dividend </w:t>
      </w:r>
      <w:r w:rsidR="00EA7E24">
        <w:t xml:space="preserve">vanaf 1998 </w:t>
      </w:r>
      <w:r>
        <w:t>komt daarmee op EUR 1.052 miljoen.</w:t>
      </w:r>
    </w:p>
    <w:p w14:paraId="1094AC44" w14:textId="77777777" w:rsidR="00843D44" w:rsidRDefault="00843D44" w:rsidP="00843D44"/>
    <w:p w14:paraId="32A176E2" w14:textId="77777777" w:rsidR="00843D44" w:rsidRPr="001677E0" w:rsidRDefault="00843D44" w:rsidP="00843D44">
      <w:proofErr w:type="spellStart"/>
      <w:r w:rsidRPr="001677E0">
        <w:t>TenneT's</w:t>
      </w:r>
      <w:proofErr w:type="spellEnd"/>
      <w:r w:rsidRPr="001677E0">
        <w:t xml:space="preserve"> kredietwaardigheidsscores zijn gelijk gebleven, te weten een A-beoordeling / stabiele vooruitzichten van Standard &amp; </w:t>
      </w:r>
      <w:proofErr w:type="spellStart"/>
      <w:r w:rsidRPr="001677E0">
        <w:t>Poor’s</w:t>
      </w:r>
      <w:proofErr w:type="spellEnd"/>
      <w:r w:rsidRPr="001677E0">
        <w:t xml:space="preserve">, en een A3-beoordeling / stabiele vooruitzichten van </w:t>
      </w:r>
      <w:proofErr w:type="spellStart"/>
      <w:r w:rsidRPr="001677E0">
        <w:t>Moody’s</w:t>
      </w:r>
      <w:proofErr w:type="spellEnd"/>
      <w:r w:rsidRPr="001677E0">
        <w:t xml:space="preserve"> Investor Service.</w:t>
      </w:r>
    </w:p>
    <w:p w14:paraId="4AA6FA88" w14:textId="77777777" w:rsidR="00843D44" w:rsidRDefault="00843D44" w:rsidP="00CB6CF5"/>
    <w:p w14:paraId="7191E062" w14:textId="77777777" w:rsidR="00843D44" w:rsidRDefault="00843D44" w:rsidP="00CB6CF5"/>
    <w:p w14:paraId="02E61D49" w14:textId="28E53F0F" w:rsidR="00843D44" w:rsidRPr="00D349C2" w:rsidRDefault="00843D44" w:rsidP="00CB6CF5">
      <w:pPr>
        <w:rPr>
          <w:b/>
          <w:u w:val="single"/>
        </w:rPr>
      </w:pPr>
      <w:r w:rsidRPr="00D349C2">
        <w:rPr>
          <w:b/>
          <w:u w:val="single"/>
        </w:rPr>
        <w:t>Achtergrond informatie</w:t>
      </w:r>
    </w:p>
    <w:p w14:paraId="3BB4F9F0" w14:textId="77777777" w:rsidR="00843D44" w:rsidRDefault="00843D44" w:rsidP="00CB6CF5"/>
    <w:p w14:paraId="10D86359" w14:textId="77777777" w:rsidR="008A071B" w:rsidRDefault="00FB1A5D" w:rsidP="00CB6CF5">
      <w:r>
        <w:rPr>
          <w:b/>
        </w:rPr>
        <w:t>Sterke groei windenergie op zee</w:t>
      </w:r>
    </w:p>
    <w:p w14:paraId="5868157D" w14:textId="1A5969F7" w:rsidR="00234194" w:rsidRDefault="00714D22" w:rsidP="00CB6CF5">
      <w:r>
        <w:t xml:space="preserve">In maart 2018 heeft de Nederlandse overheid haar ambities voor de ontwikkeling van windparken op zee van 2024 tot 2030 bekend gemaakt in de </w:t>
      </w:r>
      <w:r w:rsidRPr="00227582">
        <w:t>Routekaart Windenergie op Zee 2030.</w:t>
      </w:r>
      <w:r>
        <w:t xml:space="preserve"> Tenn</w:t>
      </w:r>
      <w:r w:rsidR="00227582">
        <w:t>eT sluit tot en met 2023 al 3,5 </w:t>
      </w:r>
      <w:r>
        <w:t xml:space="preserve">GW aan offshore windvermogen aan. Dit zal aan de hand van de Routekaart </w:t>
      </w:r>
      <w:r w:rsidR="001677E0">
        <w:t xml:space="preserve">naar verwachting </w:t>
      </w:r>
      <w:r>
        <w:t>toenemen naar 11,5 GW</w:t>
      </w:r>
      <w:r w:rsidR="00533071">
        <w:t xml:space="preserve"> in 2030</w:t>
      </w:r>
      <w:r>
        <w:t>. Hierbij zal in eerste instantie gebruik worden gemaakt van TenneT</w:t>
      </w:r>
      <w:r w:rsidR="009F5BA0">
        <w:t>'</w:t>
      </w:r>
      <w:r>
        <w:t xml:space="preserve">s gestandaardiseerde 700 MW-wisselstroomconcept (Alternating </w:t>
      </w:r>
      <w:r w:rsidR="00533071">
        <w:t>Current, AC). V</w:t>
      </w:r>
      <w:r>
        <w:t>anwege de grotere afstand tot e</w:t>
      </w:r>
      <w:r w:rsidR="00507DB2">
        <w:t xml:space="preserve">en windgebied als IJmuiden Ver zal later </w:t>
      </w:r>
      <w:r>
        <w:t>gelijkstroom in beeld komen, al dan niet in combinatie met een eiland dat converterstations kan huisvesten én via Engelse windparken verbonden kan worden met de Britse elektriciteitsmarkt. Op die manier kunnen de kabels voor transport van windenergie ook worden gebruikt voor elektriciteitshandel tussen Neder</w:t>
      </w:r>
      <w:r w:rsidR="00507DB2">
        <w:t xml:space="preserve">land en het Verenigd Koninkrijk. Dit zal sterk bijdragen aan </w:t>
      </w:r>
      <w:r>
        <w:t xml:space="preserve">de efficiëntie van </w:t>
      </w:r>
      <w:r w:rsidR="009F5BA0">
        <w:t>een dergelijke</w:t>
      </w:r>
      <w:r>
        <w:t xml:space="preserve"> verbinding</w:t>
      </w:r>
      <w:r w:rsidR="00D349C2">
        <w:t>en</w:t>
      </w:r>
      <w:r w:rsidR="00507DB2">
        <w:t xml:space="preserve">. </w:t>
      </w:r>
      <w:r>
        <w:t>TenneT doet op dit moment samen met het Europese energiebedrijf Vattenfall onderzoek naar de haalbaarheid.</w:t>
      </w:r>
    </w:p>
    <w:p w14:paraId="2C0D3EAE" w14:textId="5BF55D98" w:rsidR="007640EA" w:rsidRDefault="007640EA" w:rsidP="001C0F24">
      <w:r>
        <w:t xml:space="preserve">Voor de langere termijn bekijkt TenneT met het energiebedrijf innogy – ook actief op de Europese energiemarkt – de ontwerpmogelijkheden, financiële modellen en wettelijke vereisten voor de aansluiting van offshore-windenergie op interconnectoren in een </w:t>
      </w:r>
      <w:hyperlink r:id="rId11" w:history="1">
        <w:r>
          <w:rPr>
            <w:rStyle w:val="Hyperlink"/>
          </w:rPr>
          <w:t>North Sea Wind Power Hub</w:t>
        </w:r>
      </w:hyperlink>
      <w:r>
        <w:t>-systeem.</w:t>
      </w:r>
      <w:r w:rsidR="00A652DE">
        <w:t xml:space="preserve"> </w:t>
      </w:r>
    </w:p>
    <w:p w14:paraId="132A6857" w14:textId="77777777" w:rsidR="000E43CE" w:rsidRDefault="000E43CE" w:rsidP="00CB6CF5"/>
    <w:p w14:paraId="3197AE82" w14:textId="689F8868" w:rsidR="0052292C" w:rsidRPr="00541D3D" w:rsidRDefault="0052292C" w:rsidP="00CB6CF5">
      <w:pPr>
        <w:rPr>
          <w:color w:val="00B0F0"/>
        </w:rPr>
      </w:pPr>
      <w:r w:rsidRPr="00DE205B">
        <w:t xml:space="preserve">In de Duitse Noordzee heeft TenneT tien offshore-netaansluitingssystemen met een totale capaciteit van 5.332 megawatt (MW) voor het transport van windenergie van zee naar land. Hiermee heeft TenneT nu meer dan 82% bereikt van doelstelling van de Duitse federale regering om 6.500 megawatt offshore windvermogen te realiseren in 2020. Tegen het einde van 2023 zal TenneT nog eens drie extra netaansluitingssystemen gereed hebben, waarmee de totale aansluitcapaciteit voor offshore windparken op 8.032 MW zal komen. </w:t>
      </w:r>
      <w:r w:rsidR="00DE205B" w:rsidRPr="00DE205B">
        <w:t xml:space="preserve">Eind 2027 zal de transmissiecapaciteit in de Duitse Noordzee naar verwachting toenemen tot bijna 11.000 MW, aangezien TenneT tegen 2025 nog twee verbindingen voorbereidt en - volgens de ontwerpversie </w:t>
      </w:r>
      <w:r w:rsidR="00DE205B" w:rsidRPr="00DE205B">
        <w:lastRenderedPageBreak/>
        <w:t xml:space="preserve">van het landontwikkelingsplan van het Duitse Federale Maritieme en Hydrografische Agentschap (BSH) – daarna nog een derde verwacht te ontwikkelen. </w:t>
      </w:r>
    </w:p>
    <w:p w14:paraId="3324F289" w14:textId="77777777" w:rsidR="0052292C" w:rsidRDefault="0052292C" w:rsidP="00CB6CF5"/>
    <w:p w14:paraId="1BE432AC" w14:textId="1C78B57F" w:rsidR="00E75687" w:rsidRPr="0016791C" w:rsidRDefault="00E75687" w:rsidP="00CB6CF5">
      <w:pPr>
        <w:rPr>
          <w:b/>
        </w:rPr>
      </w:pPr>
      <w:r>
        <w:rPr>
          <w:b/>
        </w:rPr>
        <w:t>Grensoverschrijdende integratie van hoogspanningsnetten</w:t>
      </w:r>
    </w:p>
    <w:p w14:paraId="7148BA5E" w14:textId="7A32739A" w:rsidR="004E0116" w:rsidRPr="00234194" w:rsidRDefault="00E75687" w:rsidP="00CB6CF5">
      <w:r>
        <w:t xml:space="preserve">TenneT pleit voor grensoverschrijdende integratie van elektriciteitsnetten voor verdere kostenreductie voor de maatschappij. Zo zou het volgens TenneT goed </w:t>
      </w:r>
      <w:proofErr w:type="spellStart"/>
      <w:r>
        <w:t>zijn</w:t>
      </w:r>
      <w:r w:rsidR="004E0116" w:rsidRPr="004E0116">
        <w:t>om</w:t>
      </w:r>
      <w:proofErr w:type="spellEnd"/>
      <w:r w:rsidR="004E0116" w:rsidRPr="004E0116">
        <w:t xml:space="preserve"> Duitse </w:t>
      </w:r>
      <w:r w:rsidR="004E0116">
        <w:t xml:space="preserve">windparken in het westelijke deel van de Duitse Noordzee </w:t>
      </w:r>
      <w:r w:rsidR="004E0116" w:rsidRPr="004E0116">
        <w:t xml:space="preserve">in de toekomst te koppelen aan het Nederlandse elektriciteitsnet. Een dergelijke kosteneffectieve oplossing zou een verbinding met Eemshaven kunnen zijn. Omdat dit netaansluitpunt direct aan de kust ligt, zou het mogelijk zijn om 100 kilometer ondergrondse kabels in Duitsland en dus ongeveer </w:t>
      </w:r>
      <w:r w:rsidR="004E0116">
        <w:t xml:space="preserve">EUR </w:t>
      </w:r>
      <w:r w:rsidR="004E0116" w:rsidRPr="004E0116">
        <w:t>200 miljoen te besparen, terwijl tegelijkertijd knelpunten in het Duitse elektriciteitsnet op het land worden omzeild. De nodige rechtszekerheid kan worden bereikt door een Duits-Nederlands verdrag, dat bepaalt dat Duitse windparken onder de Duitse aansprakelijkheidsregeling</w:t>
      </w:r>
      <w:r w:rsidR="004E0116">
        <w:t>en</w:t>
      </w:r>
      <w:r w:rsidR="004E0116" w:rsidRPr="004E0116">
        <w:t xml:space="preserve"> blijven vallen.</w:t>
      </w:r>
    </w:p>
    <w:p w14:paraId="377754B8" w14:textId="77777777" w:rsidR="003468E0" w:rsidRDefault="003468E0" w:rsidP="00CB6CF5">
      <w:pPr>
        <w:rPr>
          <w:b/>
        </w:rPr>
      </w:pPr>
    </w:p>
    <w:p w14:paraId="329B682A" w14:textId="77777777" w:rsidR="00BE70F8" w:rsidRPr="00A611DF" w:rsidRDefault="00A611DF" w:rsidP="00CB6CF5">
      <w:pPr>
        <w:rPr>
          <w:b/>
        </w:rPr>
      </w:pPr>
      <w:r>
        <w:rPr>
          <w:b/>
        </w:rPr>
        <w:t>Energietransitie vergt nieuw energiesysteem</w:t>
      </w:r>
    </w:p>
    <w:p w14:paraId="0EF7E4A2" w14:textId="3A3C4350" w:rsidR="00A611DF" w:rsidRDefault="00AE78B0" w:rsidP="00CB6CF5">
      <w:r>
        <w:t xml:space="preserve">De sterke groei van zonne- en windenergie vraagt, naast investeringen in elektriciteitsverbindingen aan land en op zee, om een ander energiesysteem op basis van vergaande elektrificatie van de industrie en groene waterstof uit elektrolyse. Dit systeem moet ervoor zorgen dat de grote hoeveelheden groene stroom efficiënt benut worden en </w:t>
      </w:r>
      <w:r w:rsidR="00D6091C">
        <w:t>dat ook andere,</w:t>
      </w:r>
      <w:r>
        <w:t xml:space="preserve"> moeilijker te verduurzamen sectoren kunnen worden vergroend. </w:t>
      </w:r>
    </w:p>
    <w:p w14:paraId="570AD85E" w14:textId="77777777" w:rsidR="00DC6E9F" w:rsidRDefault="00DC6E9F" w:rsidP="002B5137"/>
    <w:p w14:paraId="561B6CDB" w14:textId="11920F36" w:rsidR="00DC6E9F" w:rsidRDefault="00E827FC" w:rsidP="002B5137">
      <w:r>
        <w:t xml:space="preserve">De industrie, grootverbruiker van aardgas, kan op grote schaal elektrificeren. Dit creëert extra vraag naar elektriciteit, die wordt ingevuld door de vele te bouwen windparken op zee. Inzet van groene waterstof, gemaakt uit duurzame elektriciteit in plaats van aardgas, gaat ook de vraag naar elektriciteit stimuleren. </w:t>
      </w:r>
      <w:r w:rsidR="00D875B8">
        <w:t>Omdat het kan worden opgeslagen, levert g</w:t>
      </w:r>
      <w:r>
        <w:t xml:space="preserve">roene waterstof  bovendien flexibiliteit en draagt </w:t>
      </w:r>
      <w:r w:rsidR="00D875B8">
        <w:t xml:space="preserve">het </w:t>
      </w:r>
      <w:r>
        <w:t xml:space="preserve">op die manier bij aan de leveringszekerheid. </w:t>
      </w:r>
    </w:p>
    <w:p w14:paraId="2B5E4B82" w14:textId="77777777" w:rsidR="00D875B8" w:rsidRDefault="00D875B8" w:rsidP="002B5137"/>
    <w:p w14:paraId="752BFE2C" w14:textId="1A5279AD" w:rsidR="00E827FC" w:rsidRPr="002B5137" w:rsidRDefault="005E504C" w:rsidP="002B5137">
      <w:r>
        <w:t>Met groene waterstof krijgen ook sectoren als transport aan land en op zee de mogelijkheid om hun CO</w:t>
      </w:r>
      <w:r>
        <w:rPr>
          <w:vertAlign w:val="subscript"/>
        </w:rPr>
        <w:t>2</w:t>
      </w:r>
      <w:r>
        <w:t>-uitstoot drastisch te verminderen. Volgens een analyse van TenneT kan de productiecapaciteit voor groene waterstof met een factor tien per vijf jaar groeien en kunnen de investeringskosten met 40 procent per vijf jaar dalen.</w:t>
      </w:r>
      <w:r>
        <w:rPr>
          <w:rFonts w:ascii="TimesNewRomanPSMT" w:hAnsiTheme="minorHAnsi"/>
          <w:sz w:val="24"/>
          <w:szCs w:val="24"/>
        </w:rPr>
        <w:t xml:space="preserve"> </w:t>
      </w:r>
      <w:r w:rsidR="00D349C2">
        <w:t xml:space="preserve">Deze kostenreducties zijn nodig om het gebruik van groene waterstof mogelijk te maken. </w:t>
      </w:r>
      <w:r>
        <w:t xml:space="preserve">Mel Kroon: </w:t>
      </w:r>
      <w:r w:rsidR="00A652DE">
        <w:t>“</w:t>
      </w:r>
      <w:r>
        <w:t>Na de succesvolle ontwikkeling van windenergie op zee is het belangrijk om nu de productie van groene waterstof te stimuleren om zo opslag voor langere perioden te creëren en industrie en transport sterk te vergroenen. Een tendersysteem</w:t>
      </w:r>
      <w:r w:rsidR="004D6C48">
        <w:t>,</w:t>
      </w:r>
      <w:r>
        <w:t xml:space="preserve"> zoals bij windenergie op zee succesvol wordt toegepast, kan model staan voor de ontwikkeling van groene waterstof.</w:t>
      </w:r>
      <w:r w:rsidR="00A652DE">
        <w:t>”</w:t>
      </w:r>
    </w:p>
    <w:p w14:paraId="33C2DE6A" w14:textId="77777777" w:rsidR="00A611DF" w:rsidRDefault="00A611DF" w:rsidP="00CB6CF5">
      <w:pPr>
        <w:rPr>
          <w:b/>
        </w:rPr>
      </w:pPr>
    </w:p>
    <w:p w14:paraId="55DB48DF" w14:textId="77777777" w:rsidR="00D350FB" w:rsidRPr="00CE4F0C" w:rsidRDefault="00D350FB" w:rsidP="00CB6CF5">
      <w:pPr>
        <w:rPr>
          <w:b/>
          <w:color w:val="FF0000"/>
        </w:rPr>
      </w:pPr>
    </w:p>
    <w:p w14:paraId="58876DF9" w14:textId="77777777" w:rsidR="00813596" w:rsidRPr="00813596" w:rsidRDefault="00813596" w:rsidP="00CB6CF5">
      <w:r>
        <w:t xml:space="preserve">Meer weten over TenneT nu en in de toekomst? Klik </w:t>
      </w:r>
      <w:hyperlink r:id="rId12" w:history="1">
        <w:r>
          <w:rPr>
            <w:rStyle w:val="Hyperlink"/>
          </w:rPr>
          <w:t>hier</w:t>
        </w:r>
      </w:hyperlink>
      <w:r>
        <w:t>.</w:t>
      </w:r>
    </w:p>
    <w:sectPr w:rsidR="00813596" w:rsidRPr="00813596" w:rsidSect="002D0F76">
      <w:pgSz w:w="11906" w:h="16838"/>
      <w:pgMar w:top="1701" w:right="1582" w:bottom="1559" w:left="1582"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4433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094FE" w14:textId="77777777" w:rsidR="009C4539" w:rsidRDefault="009C4539" w:rsidP="00DD677B">
      <w:pPr>
        <w:spacing w:line="240" w:lineRule="auto"/>
      </w:pPr>
      <w:r>
        <w:separator/>
      </w:r>
    </w:p>
  </w:endnote>
  <w:endnote w:type="continuationSeparator" w:id="0">
    <w:p w14:paraId="55C65D09" w14:textId="77777777" w:rsidR="009C4539" w:rsidRDefault="009C4539" w:rsidP="00DD67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5BE92" w14:textId="77777777" w:rsidR="009C4539" w:rsidRDefault="009C4539" w:rsidP="00DD677B">
      <w:pPr>
        <w:spacing w:line="240" w:lineRule="auto"/>
      </w:pPr>
      <w:r>
        <w:separator/>
      </w:r>
    </w:p>
  </w:footnote>
  <w:footnote w:type="continuationSeparator" w:id="0">
    <w:p w14:paraId="011B56EC" w14:textId="77777777" w:rsidR="009C4539" w:rsidRDefault="009C4539" w:rsidP="00DD677B">
      <w:pPr>
        <w:spacing w:line="240" w:lineRule="auto"/>
      </w:pPr>
      <w:r>
        <w:continuationSeparator/>
      </w:r>
    </w:p>
  </w:footnote>
  <w:footnote w:id="1">
    <w:p w14:paraId="44A6420F" w14:textId="67093C68" w:rsidR="00421E1C" w:rsidRPr="00DC6E9F" w:rsidRDefault="00421E1C" w:rsidP="00421E1C">
      <w:pPr>
        <w:pStyle w:val="Voetnoottekst"/>
        <w:rPr>
          <w:sz w:val="16"/>
          <w:szCs w:val="16"/>
        </w:rPr>
      </w:pPr>
      <w:r>
        <w:rPr>
          <w:rStyle w:val="Voetnootmarkering"/>
          <w:sz w:val="16"/>
          <w:szCs w:val="16"/>
        </w:rPr>
        <w:footnoteRef/>
      </w:r>
      <w:r>
        <w:rPr>
          <w:sz w:val="16"/>
          <w:szCs w:val="16"/>
        </w:rPr>
        <w:t xml:space="preserve"> 3,5 GW volgend uit het Energieakkoord voor Duurzame Groei (2013) en 7 GW volgend uit de Routekaart Wind op Zee 2024-2030</w:t>
      </w:r>
      <w:r w:rsidR="009732F4">
        <w:rPr>
          <w:sz w:val="16"/>
          <w:szCs w:val="16"/>
        </w:rPr>
        <w:t xml:space="preserve"> </w:t>
      </w:r>
      <w:r>
        <w:rPr>
          <w:sz w:val="16"/>
          <w:szCs w:val="16"/>
        </w:rPr>
        <w:t xml:space="preserve">(2018). </w:t>
      </w:r>
    </w:p>
  </w:footnote>
  <w:footnote w:id="2">
    <w:p w14:paraId="394104FA" w14:textId="77777777" w:rsidR="00962F7E" w:rsidRPr="00962F7E" w:rsidRDefault="00962F7E">
      <w:pPr>
        <w:pStyle w:val="Voetnoottekst"/>
        <w:rPr>
          <w:sz w:val="16"/>
          <w:szCs w:val="16"/>
        </w:rPr>
      </w:pPr>
      <w:r>
        <w:rPr>
          <w:rStyle w:val="Voetnootmarkering"/>
          <w:sz w:val="16"/>
          <w:szCs w:val="16"/>
        </w:rPr>
        <w:footnoteRef/>
      </w:r>
      <w:r>
        <w:rPr>
          <w:sz w:val="16"/>
          <w:szCs w:val="16"/>
        </w:rPr>
        <w:t xml:space="preserve"> SuedLink wordt ontwikkeld door TenneT en TransnetBW, SuedOstLink door TenneT en 50Hertz.</w:t>
      </w:r>
    </w:p>
  </w:footnote>
  <w:footnote w:id="3">
    <w:p w14:paraId="775A8F32" w14:textId="77777777" w:rsidR="00843D44" w:rsidRPr="00962F7E" w:rsidRDefault="00843D44" w:rsidP="00843D44">
      <w:pPr>
        <w:pStyle w:val="Voetnoottekst"/>
        <w:rPr>
          <w:sz w:val="16"/>
        </w:rPr>
      </w:pPr>
      <w:r>
        <w:rPr>
          <w:rStyle w:val="Voetnootmarkering"/>
        </w:rPr>
        <w:footnoteRef/>
      </w:r>
      <w:r>
        <w:rPr>
          <w:sz w:val="16"/>
        </w:rPr>
        <w:t xml:space="preserve"> In tegenstelling tot de verslaggeving op basis van de huidige IFRS-regelgeving weerspiegelen ‘onderliggende’ (‘</w:t>
      </w:r>
      <w:proofErr w:type="spellStart"/>
      <w:r>
        <w:rPr>
          <w:sz w:val="16"/>
        </w:rPr>
        <w:t>underlying</w:t>
      </w:r>
      <w:proofErr w:type="spellEnd"/>
      <w:r>
        <w:rPr>
          <w:sz w:val="16"/>
        </w:rPr>
        <w:t xml:space="preserve">’) cijfers de zogenoemde gereguleerde activa en verplichtingen die voortvloeien uit </w:t>
      </w:r>
      <w:proofErr w:type="spellStart"/>
      <w:r>
        <w:rPr>
          <w:sz w:val="16"/>
        </w:rPr>
        <w:t>TenneT's</w:t>
      </w:r>
      <w:proofErr w:type="spellEnd"/>
      <w:r>
        <w:rPr>
          <w:sz w:val="16"/>
        </w:rPr>
        <w:t xml:space="preserve"> gereguleerde activiteiten. Dit betekent dat bedragen die voortvloeien uit gebeurtenissen in het verleden en die in toekomstige tarieven mogen of moeten worden verrekend, worden verantwoord onder de activa of verplichtingen.</w:t>
      </w:r>
    </w:p>
    <w:p w14:paraId="68345BDC" w14:textId="77777777" w:rsidR="00843D44" w:rsidRPr="005C2CCB" w:rsidRDefault="00843D44" w:rsidP="00843D44">
      <w:pPr>
        <w:pStyle w:val="Voetnoottekst"/>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1DDB"/>
    <w:multiLevelType w:val="hybridMultilevel"/>
    <w:tmpl w:val="4828740E"/>
    <w:lvl w:ilvl="0" w:tplc="E98401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9C90878"/>
    <w:multiLevelType w:val="hybridMultilevel"/>
    <w:tmpl w:val="D018AD02"/>
    <w:lvl w:ilvl="0" w:tplc="DF1CC832">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nsid w:val="5036725D"/>
    <w:multiLevelType w:val="hybridMultilevel"/>
    <w:tmpl w:val="6E8EA1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o van Riet (DBF Communicatie)">
    <w15:presenceInfo w15:providerId="None" w15:userId="Ivo van Riet (DBF Communicat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E56"/>
    <w:rsid w:val="00003174"/>
    <w:rsid w:val="00021B38"/>
    <w:rsid w:val="00026641"/>
    <w:rsid w:val="00061551"/>
    <w:rsid w:val="00067E41"/>
    <w:rsid w:val="0007717B"/>
    <w:rsid w:val="000949B5"/>
    <w:rsid w:val="000A504D"/>
    <w:rsid w:val="000B770D"/>
    <w:rsid w:val="000C345B"/>
    <w:rsid w:val="000D247F"/>
    <w:rsid w:val="000E385D"/>
    <w:rsid w:val="000E43CE"/>
    <w:rsid w:val="000F15BD"/>
    <w:rsid w:val="000F1BF8"/>
    <w:rsid w:val="000F22CA"/>
    <w:rsid w:val="00114A66"/>
    <w:rsid w:val="00125881"/>
    <w:rsid w:val="00130912"/>
    <w:rsid w:val="00131072"/>
    <w:rsid w:val="00154EF8"/>
    <w:rsid w:val="001656AB"/>
    <w:rsid w:val="001677E0"/>
    <w:rsid w:val="0016791C"/>
    <w:rsid w:val="001B0AB5"/>
    <w:rsid w:val="001B1E94"/>
    <w:rsid w:val="001B6E36"/>
    <w:rsid w:val="001B74D8"/>
    <w:rsid w:val="001B7BD5"/>
    <w:rsid w:val="001C0F24"/>
    <w:rsid w:val="001D0889"/>
    <w:rsid w:val="001D1616"/>
    <w:rsid w:val="001E20A7"/>
    <w:rsid w:val="001F3610"/>
    <w:rsid w:val="001F4B1D"/>
    <w:rsid w:val="00203834"/>
    <w:rsid w:val="00227582"/>
    <w:rsid w:val="0023124A"/>
    <w:rsid w:val="00234194"/>
    <w:rsid w:val="0025332A"/>
    <w:rsid w:val="00253E67"/>
    <w:rsid w:val="00254C9C"/>
    <w:rsid w:val="002758C9"/>
    <w:rsid w:val="00294508"/>
    <w:rsid w:val="002975FD"/>
    <w:rsid w:val="002A4BA4"/>
    <w:rsid w:val="002B0A9C"/>
    <w:rsid w:val="002B26AB"/>
    <w:rsid w:val="002B5137"/>
    <w:rsid w:val="002C017D"/>
    <w:rsid w:val="002C4C7B"/>
    <w:rsid w:val="002D0F76"/>
    <w:rsid w:val="002E4887"/>
    <w:rsid w:val="002E6648"/>
    <w:rsid w:val="003100E7"/>
    <w:rsid w:val="003143EC"/>
    <w:rsid w:val="00315524"/>
    <w:rsid w:val="0031788C"/>
    <w:rsid w:val="00327487"/>
    <w:rsid w:val="00334389"/>
    <w:rsid w:val="00334B70"/>
    <w:rsid w:val="00342E95"/>
    <w:rsid w:val="00343DC7"/>
    <w:rsid w:val="00344BEB"/>
    <w:rsid w:val="003468E0"/>
    <w:rsid w:val="003476CC"/>
    <w:rsid w:val="003513C6"/>
    <w:rsid w:val="00354859"/>
    <w:rsid w:val="00362C5B"/>
    <w:rsid w:val="00372A3E"/>
    <w:rsid w:val="00373414"/>
    <w:rsid w:val="00376E10"/>
    <w:rsid w:val="003805C7"/>
    <w:rsid w:val="0038078F"/>
    <w:rsid w:val="00390C5C"/>
    <w:rsid w:val="003B37F2"/>
    <w:rsid w:val="003C7E3A"/>
    <w:rsid w:val="003D417C"/>
    <w:rsid w:val="003E3AEE"/>
    <w:rsid w:val="00404F94"/>
    <w:rsid w:val="00411078"/>
    <w:rsid w:val="004123AA"/>
    <w:rsid w:val="0041670F"/>
    <w:rsid w:val="004175AD"/>
    <w:rsid w:val="00421972"/>
    <w:rsid w:val="00421E1C"/>
    <w:rsid w:val="004511BC"/>
    <w:rsid w:val="0046562B"/>
    <w:rsid w:val="0047598C"/>
    <w:rsid w:val="00480756"/>
    <w:rsid w:val="00481E8D"/>
    <w:rsid w:val="00491319"/>
    <w:rsid w:val="004A0720"/>
    <w:rsid w:val="004A09F6"/>
    <w:rsid w:val="004A2E59"/>
    <w:rsid w:val="004A4894"/>
    <w:rsid w:val="004B1303"/>
    <w:rsid w:val="004B4000"/>
    <w:rsid w:val="004D6C48"/>
    <w:rsid w:val="004E0116"/>
    <w:rsid w:val="004E098F"/>
    <w:rsid w:val="004E393A"/>
    <w:rsid w:val="004E4EF5"/>
    <w:rsid w:val="004E6D92"/>
    <w:rsid w:val="00507DB2"/>
    <w:rsid w:val="00511C1F"/>
    <w:rsid w:val="005128C3"/>
    <w:rsid w:val="00521E56"/>
    <w:rsid w:val="0052292C"/>
    <w:rsid w:val="0053132E"/>
    <w:rsid w:val="00533064"/>
    <w:rsid w:val="00533071"/>
    <w:rsid w:val="00536271"/>
    <w:rsid w:val="00541D3D"/>
    <w:rsid w:val="0054426C"/>
    <w:rsid w:val="005605F1"/>
    <w:rsid w:val="00560A6E"/>
    <w:rsid w:val="00560C8B"/>
    <w:rsid w:val="0056232A"/>
    <w:rsid w:val="00562D72"/>
    <w:rsid w:val="0056538B"/>
    <w:rsid w:val="00581063"/>
    <w:rsid w:val="00581C00"/>
    <w:rsid w:val="00595A53"/>
    <w:rsid w:val="005A1418"/>
    <w:rsid w:val="005A2DAE"/>
    <w:rsid w:val="005C2CCB"/>
    <w:rsid w:val="005C4D72"/>
    <w:rsid w:val="005C6DF9"/>
    <w:rsid w:val="005D247D"/>
    <w:rsid w:val="005E504C"/>
    <w:rsid w:val="005E641C"/>
    <w:rsid w:val="005F22A2"/>
    <w:rsid w:val="005F4891"/>
    <w:rsid w:val="00612ECD"/>
    <w:rsid w:val="00617511"/>
    <w:rsid w:val="00617AF3"/>
    <w:rsid w:val="00620C9B"/>
    <w:rsid w:val="0063648B"/>
    <w:rsid w:val="0063723F"/>
    <w:rsid w:val="0063745F"/>
    <w:rsid w:val="006401C8"/>
    <w:rsid w:val="00651CA1"/>
    <w:rsid w:val="006609F6"/>
    <w:rsid w:val="00662AC7"/>
    <w:rsid w:val="006B2D4A"/>
    <w:rsid w:val="006D24DC"/>
    <w:rsid w:val="006D60FB"/>
    <w:rsid w:val="006F6A00"/>
    <w:rsid w:val="00714D22"/>
    <w:rsid w:val="00740658"/>
    <w:rsid w:val="007451B7"/>
    <w:rsid w:val="00745EB2"/>
    <w:rsid w:val="00763708"/>
    <w:rsid w:val="007640EA"/>
    <w:rsid w:val="007977DB"/>
    <w:rsid w:val="007A53A4"/>
    <w:rsid w:val="007B3EF4"/>
    <w:rsid w:val="007C0FCE"/>
    <w:rsid w:val="007C26A7"/>
    <w:rsid w:val="007E0854"/>
    <w:rsid w:val="007E499E"/>
    <w:rsid w:val="008000BA"/>
    <w:rsid w:val="00813596"/>
    <w:rsid w:val="00814BB0"/>
    <w:rsid w:val="00814E12"/>
    <w:rsid w:val="00833032"/>
    <w:rsid w:val="00843D44"/>
    <w:rsid w:val="00847AE5"/>
    <w:rsid w:val="00850ADC"/>
    <w:rsid w:val="00853011"/>
    <w:rsid w:val="008557DE"/>
    <w:rsid w:val="00857B4A"/>
    <w:rsid w:val="00862CF8"/>
    <w:rsid w:val="00871FE2"/>
    <w:rsid w:val="00876275"/>
    <w:rsid w:val="00877AEF"/>
    <w:rsid w:val="00895651"/>
    <w:rsid w:val="008A071B"/>
    <w:rsid w:val="008A6E5F"/>
    <w:rsid w:val="008B1703"/>
    <w:rsid w:val="008B22BE"/>
    <w:rsid w:val="008C0ECB"/>
    <w:rsid w:val="008D2E11"/>
    <w:rsid w:val="008F197A"/>
    <w:rsid w:val="008F36F6"/>
    <w:rsid w:val="008F5244"/>
    <w:rsid w:val="008F575C"/>
    <w:rsid w:val="0090682B"/>
    <w:rsid w:val="00906F36"/>
    <w:rsid w:val="00911021"/>
    <w:rsid w:val="00915219"/>
    <w:rsid w:val="009345B7"/>
    <w:rsid w:val="00946631"/>
    <w:rsid w:val="00947E74"/>
    <w:rsid w:val="00962F7E"/>
    <w:rsid w:val="00965AE7"/>
    <w:rsid w:val="009732F4"/>
    <w:rsid w:val="00982A32"/>
    <w:rsid w:val="00987583"/>
    <w:rsid w:val="0099320F"/>
    <w:rsid w:val="00997050"/>
    <w:rsid w:val="00997416"/>
    <w:rsid w:val="009B00AE"/>
    <w:rsid w:val="009C4539"/>
    <w:rsid w:val="009E3BE5"/>
    <w:rsid w:val="009F1AC6"/>
    <w:rsid w:val="009F2990"/>
    <w:rsid w:val="009F5BA0"/>
    <w:rsid w:val="00A05CAB"/>
    <w:rsid w:val="00A21D4B"/>
    <w:rsid w:val="00A35AAA"/>
    <w:rsid w:val="00A47061"/>
    <w:rsid w:val="00A520DB"/>
    <w:rsid w:val="00A611DF"/>
    <w:rsid w:val="00A638D5"/>
    <w:rsid w:val="00A652DE"/>
    <w:rsid w:val="00A722EF"/>
    <w:rsid w:val="00A75419"/>
    <w:rsid w:val="00A83D21"/>
    <w:rsid w:val="00A852EB"/>
    <w:rsid w:val="00A91C04"/>
    <w:rsid w:val="00A93446"/>
    <w:rsid w:val="00AA4A19"/>
    <w:rsid w:val="00AB11D2"/>
    <w:rsid w:val="00AC060B"/>
    <w:rsid w:val="00AE78B0"/>
    <w:rsid w:val="00AF10D4"/>
    <w:rsid w:val="00AF601B"/>
    <w:rsid w:val="00B16A28"/>
    <w:rsid w:val="00B25E6A"/>
    <w:rsid w:val="00B44423"/>
    <w:rsid w:val="00B45DA4"/>
    <w:rsid w:val="00B467F5"/>
    <w:rsid w:val="00B504E4"/>
    <w:rsid w:val="00B52F0E"/>
    <w:rsid w:val="00B6782D"/>
    <w:rsid w:val="00B731B8"/>
    <w:rsid w:val="00B73218"/>
    <w:rsid w:val="00BA18E7"/>
    <w:rsid w:val="00BA1ADB"/>
    <w:rsid w:val="00BA3301"/>
    <w:rsid w:val="00BC06D5"/>
    <w:rsid w:val="00BE70F8"/>
    <w:rsid w:val="00BF1671"/>
    <w:rsid w:val="00BF18CF"/>
    <w:rsid w:val="00BF60EC"/>
    <w:rsid w:val="00BF7572"/>
    <w:rsid w:val="00C06D0D"/>
    <w:rsid w:val="00C36EFD"/>
    <w:rsid w:val="00C565DE"/>
    <w:rsid w:val="00C568C9"/>
    <w:rsid w:val="00C574A5"/>
    <w:rsid w:val="00C66D8A"/>
    <w:rsid w:val="00C67C97"/>
    <w:rsid w:val="00C77025"/>
    <w:rsid w:val="00C82488"/>
    <w:rsid w:val="00C86A53"/>
    <w:rsid w:val="00C91815"/>
    <w:rsid w:val="00CA3A4F"/>
    <w:rsid w:val="00CB6CF5"/>
    <w:rsid w:val="00CC093A"/>
    <w:rsid w:val="00CC2C46"/>
    <w:rsid w:val="00CC6590"/>
    <w:rsid w:val="00CD3071"/>
    <w:rsid w:val="00CE4F0C"/>
    <w:rsid w:val="00D12390"/>
    <w:rsid w:val="00D31855"/>
    <w:rsid w:val="00D349C2"/>
    <w:rsid w:val="00D350FB"/>
    <w:rsid w:val="00D438BD"/>
    <w:rsid w:val="00D568CC"/>
    <w:rsid w:val="00D6091C"/>
    <w:rsid w:val="00D831A9"/>
    <w:rsid w:val="00D86EF6"/>
    <w:rsid w:val="00D875B8"/>
    <w:rsid w:val="00D93B72"/>
    <w:rsid w:val="00D93DD2"/>
    <w:rsid w:val="00D97F2F"/>
    <w:rsid w:val="00DA1755"/>
    <w:rsid w:val="00DA24BC"/>
    <w:rsid w:val="00DC6E9F"/>
    <w:rsid w:val="00DD4ED5"/>
    <w:rsid w:val="00DD677B"/>
    <w:rsid w:val="00DD6C17"/>
    <w:rsid w:val="00DD7F96"/>
    <w:rsid w:val="00DE205B"/>
    <w:rsid w:val="00DE6879"/>
    <w:rsid w:val="00DF0DFA"/>
    <w:rsid w:val="00DF18BE"/>
    <w:rsid w:val="00DF65F5"/>
    <w:rsid w:val="00E053C8"/>
    <w:rsid w:val="00E1319B"/>
    <w:rsid w:val="00E1606A"/>
    <w:rsid w:val="00E17C01"/>
    <w:rsid w:val="00E22DC6"/>
    <w:rsid w:val="00E23A03"/>
    <w:rsid w:val="00E2401D"/>
    <w:rsid w:val="00E409CE"/>
    <w:rsid w:val="00E5227A"/>
    <w:rsid w:val="00E60131"/>
    <w:rsid w:val="00E608B4"/>
    <w:rsid w:val="00E60DFF"/>
    <w:rsid w:val="00E66760"/>
    <w:rsid w:val="00E75687"/>
    <w:rsid w:val="00E76818"/>
    <w:rsid w:val="00E827FC"/>
    <w:rsid w:val="00E93852"/>
    <w:rsid w:val="00E94A57"/>
    <w:rsid w:val="00E951A3"/>
    <w:rsid w:val="00E969F3"/>
    <w:rsid w:val="00EA342F"/>
    <w:rsid w:val="00EA7E24"/>
    <w:rsid w:val="00EB72C8"/>
    <w:rsid w:val="00ED21DB"/>
    <w:rsid w:val="00EF5CC5"/>
    <w:rsid w:val="00F224DD"/>
    <w:rsid w:val="00F2468D"/>
    <w:rsid w:val="00F262C4"/>
    <w:rsid w:val="00F2718C"/>
    <w:rsid w:val="00F32424"/>
    <w:rsid w:val="00F52248"/>
    <w:rsid w:val="00F54D50"/>
    <w:rsid w:val="00F724D4"/>
    <w:rsid w:val="00FA7637"/>
    <w:rsid w:val="00FB0445"/>
    <w:rsid w:val="00FB09D5"/>
    <w:rsid w:val="00FB1A5D"/>
    <w:rsid w:val="00FC459B"/>
    <w:rsid w:val="00FC4743"/>
    <w:rsid w:val="00FE59CB"/>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nl-NL"/>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1815"/>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1E56"/>
    <w:pPr>
      <w:ind w:left="720"/>
      <w:contextualSpacing/>
    </w:pPr>
  </w:style>
  <w:style w:type="character" w:styleId="Verwijzingopmerking">
    <w:name w:val="annotation reference"/>
    <w:basedOn w:val="Standaardalinea-lettertype"/>
    <w:uiPriority w:val="99"/>
    <w:semiHidden/>
    <w:unhideWhenUsed/>
    <w:rsid w:val="0054426C"/>
    <w:rPr>
      <w:sz w:val="16"/>
      <w:szCs w:val="16"/>
    </w:rPr>
  </w:style>
  <w:style w:type="paragraph" w:styleId="Tekstopmerking">
    <w:name w:val="annotation text"/>
    <w:basedOn w:val="Standaard"/>
    <w:link w:val="TekstopmerkingChar"/>
    <w:uiPriority w:val="99"/>
    <w:semiHidden/>
    <w:unhideWhenUsed/>
    <w:rsid w:val="0054426C"/>
    <w:pPr>
      <w:spacing w:line="240" w:lineRule="auto"/>
    </w:pPr>
  </w:style>
  <w:style w:type="character" w:customStyle="1" w:styleId="TekstopmerkingChar">
    <w:name w:val="Tekst opmerking Char"/>
    <w:basedOn w:val="Standaardalinea-lettertype"/>
    <w:link w:val="Tekstopmerking"/>
    <w:uiPriority w:val="99"/>
    <w:semiHidden/>
    <w:rsid w:val="0054426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54426C"/>
    <w:rPr>
      <w:b/>
      <w:bCs/>
    </w:rPr>
  </w:style>
  <w:style w:type="character" w:customStyle="1" w:styleId="OnderwerpvanopmerkingChar">
    <w:name w:val="Onderwerp van opmerking Char"/>
    <w:basedOn w:val="TekstopmerkingChar"/>
    <w:link w:val="Onderwerpvanopmerking"/>
    <w:uiPriority w:val="99"/>
    <w:semiHidden/>
    <w:rsid w:val="0054426C"/>
    <w:rPr>
      <w:rFonts w:ascii="Arial" w:hAnsi="Arial" w:cs="Arial"/>
      <w:b/>
      <w:bCs/>
      <w:sz w:val="20"/>
      <w:szCs w:val="20"/>
    </w:rPr>
  </w:style>
  <w:style w:type="paragraph" w:styleId="Ballontekst">
    <w:name w:val="Balloon Text"/>
    <w:basedOn w:val="Standaard"/>
    <w:link w:val="BallontekstChar"/>
    <w:uiPriority w:val="99"/>
    <w:semiHidden/>
    <w:unhideWhenUsed/>
    <w:rsid w:val="0054426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426C"/>
    <w:rPr>
      <w:rFonts w:ascii="Tahoma" w:hAnsi="Tahoma" w:cs="Tahoma"/>
      <w:sz w:val="16"/>
      <w:szCs w:val="16"/>
    </w:rPr>
  </w:style>
  <w:style w:type="character" w:styleId="Voetnootmarkering">
    <w:name w:val="footnote reference"/>
    <w:basedOn w:val="Standaardalinea-lettertype"/>
    <w:rsid w:val="00DD677B"/>
    <w:rPr>
      <w:vertAlign w:val="superscript"/>
    </w:rPr>
  </w:style>
  <w:style w:type="paragraph" w:styleId="Voetnoottekst">
    <w:name w:val="footnote text"/>
    <w:basedOn w:val="Standaard"/>
    <w:link w:val="VoetnoottekstChar"/>
    <w:uiPriority w:val="99"/>
    <w:semiHidden/>
    <w:unhideWhenUsed/>
    <w:rsid w:val="00DD677B"/>
    <w:pPr>
      <w:spacing w:line="240" w:lineRule="auto"/>
    </w:pPr>
  </w:style>
  <w:style w:type="character" w:customStyle="1" w:styleId="VoetnoottekstChar">
    <w:name w:val="Voetnoottekst Char"/>
    <w:basedOn w:val="Standaardalinea-lettertype"/>
    <w:link w:val="Voetnoottekst"/>
    <w:uiPriority w:val="99"/>
    <w:semiHidden/>
    <w:rsid w:val="00DD677B"/>
    <w:rPr>
      <w:rFonts w:ascii="Arial" w:hAnsi="Arial" w:cs="Arial"/>
      <w:sz w:val="20"/>
      <w:szCs w:val="20"/>
      <w:lang w:val="nl-NL" w:eastAsia="nl-NL" w:bidi="nl-NL"/>
    </w:rPr>
  </w:style>
  <w:style w:type="table" w:styleId="Tabelraster">
    <w:name w:val="Table Grid"/>
    <w:basedOn w:val="Standaardtabel"/>
    <w:uiPriority w:val="59"/>
    <w:rsid w:val="00DD67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ardalinea-lettertype"/>
    <w:uiPriority w:val="99"/>
    <w:rsid w:val="00C06D0D"/>
    <w:rPr>
      <w:rFonts w:cs="Times New Roman"/>
    </w:rPr>
  </w:style>
  <w:style w:type="paragraph" w:customStyle="1" w:styleId="tiintro1">
    <w:name w:val="tiintro1"/>
    <w:basedOn w:val="Standaard"/>
    <w:rsid w:val="00E22DC6"/>
    <w:pPr>
      <w:spacing w:before="100" w:beforeAutospacing="1" w:after="375" w:line="270" w:lineRule="atLeast"/>
    </w:pPr>
    <w:rPr>
      <w:rFonts w:ascii="Helvetica" w:eastAsia="Times New Roman" w:hAnsi="Helvetica" w:cs="Times New Roman"/>
      <w:b/>
      <w:bCs/>
      <w:color w:val="808285"/>
      <w:sz w:val="18"/>
      <w:szCs w:val="18"/>
      <w:lang w:bidi="ar-SA"/>
    </w:rPr>
  </w:style>
  <w:style w:type="paragraph" w:customStyle="1" w:styleId="Pa11">
    <w:name w:val="Pa11"/>
    <w:basedOn w:val="Standaard"/>
    <w:next w:val="Standaard"/>
    <w:uiPriority w:val="99"/>
    <w:rsid w:val="008F5244"/>
    <w:pPr>
      <w:autoSpaceDE w:val="0"/>
      <w:autoSpaceDN w:val="0"/>
      <w:adjustRightInd w:val="0"/>
      <w:spacing w:line="181" w:lineRule="atLeast"/>
    </w:pPr>
    <w:rPr>
      <w:rFonts w:ascii="HelveticaNeueLT Std Lt" w:hAnsi="HelveticaNeueLT Std Lt" w:cstheme="minorBidi"/>
      <w:sz w:val="24"/>
      <w:szCs w:val="24"/>
      <w:lang w:bidi="ar-SA"/>
    </w:rPr>
  </w:style>
  <w:style w:type="paragraph" w:styleId="Geenafstand">
    <w:name w:val="No Spacing"/>
    <w:uiPriority w:val="1"/>
    <w:qFormat/>
    <w:rsid w:val="00327487"/>
    <w:pPr>
      <w:spacing w:line="240" w:lineRule="auto"/>
    </w:pPr>
    <w:rPr>
      <w:rFonts w:ascii="Verdana" w:hAnsi="Verdana"/>
      <w:sz w:val="18"/>
      <w:lang w:eastAsia="en-US" w:bidi="ar-SA"/>
    </w:rPr>
  </w:style>
  <w:style w:type="paragraph" w:styleId="HTML-voorafopgemaakt">
    <w:name w:val="HTML Preformatted"/>
    <w:basedOn w:val="Standaard"/>
    <w:link w:val="HTML-voorafopgemaaktChar"/>
    <w:uiPriority w:val="99"/>
    <w:semiHidden/>
    <w:unhideWhenUsed/>
    <w:rsid w:val="00CC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bidi="ar-SA"/>
    </w:rPr>
  </w:style>
  <w:style w:type="character" w:customStyle="1" w:styleId="HTML-voorafopgemaaktChar">
    <w:name w:val="HTML - vooraf opgemaakt Char"/>
    <w:basedOn w:val="Standaardalinea-lettertype"/>
    <w:link w:val="HTML-voorafopgemaakt"/>
    <w:uiPriority w:val="99"/>
    <w:semiHidden/>
    <w:rsid w:val="00CC6590"/>
    <w:rPr>
      <w:rFonts w:ascii="Courier New" w:eastAsia="Times New Roman" w:hAnsi="Courier New" w:cs="Courier New"/>
      <w:sz w:val="20"/>
      <w:szCs w:val="20"/>
      <w:lang w:bidi="ar-SA"/>
    </w:rPr>
  </w:style>
  <w:style w:type="character" w:styleId="Hyperlink">
    <w:name w:val="Hyperlink"/>
    <w:basedOn w:val="Standaardalinea-lettertype"/>
    <w:uiPriority w:val="99"/>
    <w:unhideWhenUsed/>
    <w:rsid w:val="003513C6"/>
    <w:rPr>
      <w:color w:val="0000FF" w:themeColor="hyperlink"/>
      <w:u w:val="single"/>
    </w:rPr>
  </w:style>
  <w:style w:type="character" w:styleId="GevolgdeHyperlink">
    <w:name w:val="FollowedHyperlink"/>
    <w:basedOn w:val="Standaardalinea-lettertype"/>
    <w:uiPriority w:val="99"/>
    <w:semiHidden/>
    <w:unhideWhenUsed/>
    <w:rsid w:val="003513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nl-NL"/>
      </w:rPr>
    </w:rPrDefault>
    <w:pPrDefault>
      <w:pPr>
        <w:spacing w:line="30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1815"/>
    <w:rPr>
      <w:rFonts w:ascii="Arial" w:hAnsi="Arial" w:cs="Arial"/>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21E56"/>
    <w:pPr>
      <w:ind w:left="720"/>
      <w:contextualSpacing/>
    </w:pPr>
  </w:style>
  <w:style w:type="character" w:styleId="Verwijzingopmerking">
    <w:name w:val="annotation reference"/>
    <w:basedOn w:val="Standaardalinea-lettertype"/>
    <w:uiPriority w:val="99"/>
    <w:semiHidden/>
    <w:unhideWhenUsed/>
    <w:rsid w:val="0054426C"/>
    <w:rPr>
      <w:sz w:val="16"/>
      <w:szCs w:val="16"/>
    </w:rPr>
  </w:style>
  <w:style w:type="paragraph" w:styleId="Tekstopmerking">
    <w:name w:val="annotation text"/>
    <w:basedOn w:val="Standaard"/>
    <w:link w:val="TekstopmerkingChar"/>
    <w:uiPriority w:val="99"/>
    <w:semiHidden/>
    <w:unhideWhenUsed/>
    <w:rsid w:val="0054426C"/>
    <w:pPr>
      <w:spacing w:line="240" w:lineRule="auto"/>
    </w:pPr>
  </w:style>
  <w:style w:type="character" w:customStyle="1" w:styleId="TekstopmerkingChar">
    <w:name w:val="Tekst opmerking Char"/>
    <w:basedOn w:val="Standaardalinea-lettertype"/>
    <w:link w:val="Tekstopmerking"/>
    <w:uiPriority w:val="99"/>
    <w:semiHidden/>
    <w:rsid w:val="0054426C"/>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54426C"/>
    <w:rPr>
      <w:b/>
      <w:bCs/>
    </w:rPr>
  </w:style>
  <w:style w:type="character" w:customStyle="1" w:styleId="OnderwerpvanopmerkingChar">
    <w:name w:val="Onderwerp van opmerking Char"/>
    <w:basedOn w:val="TekstopmerkingChar"/>
    <w:link w:val="Onderwerpvanopmerking"/>
    <w:uiPriority w:val="99"/>
    <w:semiHidden/>
    <w:rsid w:val="0054426C"/>
    <w:rPr>
      <w:rFonts w:ascii="Arial" w:hAnsi="Arial" w:cs="Arial"/>
      <w:b/>
      <w:bCs/>
      <w:sz w:val="20"/>
      <w:szCs w:val="20"/>
    </w:rPr>
  </w:style>
  <w:style w:type="paragraph" w:styleId="Ballontekst">
    <w:name w:val="Balloon Text"/>
    <w:basedOn w:val="Standaard"/>
    <w:link w:val="BallontekstChar"/>
    <w:uiPriority w:val="99"/>
    <w:semiHidden/>
    <w:unhideWhenUsed/>
    <w:rsid w:val="0054426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4426C"/>
    <w:rPr>
      <w:rFonts w:ascii="Tahoma" w:hAnsi="Tahoma" w:cs="Tahoma"/>
      <w:sz w:val="16"/>
      <w:szCs w:val="16"/>
    </w:rPr>
  </w:style>
  <w:style w:type="character" w:styleId="Voetnootmarkering">
    <w:name w:val="footnote reference"/>
    <w:basedOn w:val="Standaardalinea-lettertype"/>
    <w:rsid w:val="00DD677B"/>
    <w:rPr>
      <w:vertAlign w:val="superscript"/>
    </w:rPr>
  </w:style>
  <w:style w:type="paragraph" w:styleId="Voetnoottekst">
    <w:name w:val="footnote text"/>
    <w:basedOn w:val="Standaard"/>
    <w:link w:val="VoetnoottekstChar"/>
    <w:uiPriority w:val="99"/>
    <w:semiHidden/>
    <w:unhideWhenUsed/>
    <w:rsid w:val="00DD677B"/>
    <w:pPr>
      <w:spacing w:line="240" w:lineRule="auto"/>
    </w:pPr>
  </w:style>
  <w:style w:type="character" w:customStyle="1" w:styleId="VoetnoottekstChar">
    <w:name w:val="Voetnoottekst Char"/>
    <w:basedOn w:val="Standaardalinea-lettertype"/>
    <w:link w:val="Voetnoottekst"/>
    <w:uiPriority w:val="99"/>
    <w:semiHidden/>
    <w:rsid w:val="00DD677B"/>
    <w:rPr>
      <w:rFonts w:ascii="Arial" w:hAnsi="Arial" w:cs="Arial"/>
      <w:sz w:val="20"/>
      <w:szCs w:val="20"/>
      <w:lang w:val="nl-NL" w:eastAsia="nl-NL" w:bidi="nl-NL"/>
    </w:rPr>
  </w:style>
  <w:style w:type="table" w:styleId="Tabelraster">
    <w:name w:val="Table Grid"/>
    <w:basedOn w:val="Standaardtabel"/>
    <w:uiPriority w:val="59"/>
    <w:rsid w:val="00DD67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ardalinea-lettertype"/>
    <w:uiPriority w:val="99"/>
    <w:rsid w:val="00C06D0D"/>
    <w:rPr>
      <w:rFonts w:cs="Times New Roman"/>
    </w:rPr>
  </w:style>
  <w:style w:type="paragraph" w:customStyle="1" w:styleId="tiintro1">
    <w:name w:val="tiintro1"/>
    <w:basedOn w:val="Standaard"/>
    <w:rsid w:val="00E22DC6"/>
    <w:pPr>
      <w:spacing w:before="100" w:beforeAutospacing="1" w:after="375" w:line="270" w:lineRule="atLeast"/>
    </w:pPr>
    <w:rPr>
      <w:rFonts w:ascii="Helvetica" w:eastAsia="Times New Roman" w:hAnsi="Helvetica" w:cs="Times New Roman"/>
      <w:b/>
      <w:bCs/>
      <w:color w:val="808285"/>
      <w:sz w:val="18"/>
      <w:szCs w:val="18"/>
      <w:lang w:bidi="ar-SA"/>
    </w:rPr>
  </w:style>
  <w:style w:type="paragraph" w:customStyle="1" w:styleId="Pa11">
    <w:name w:val="Pa11"/>
    <w:basedOn w:val="Standaard"/>
    <w:next w:val="Standaard"/>
    <w:uiPriority w:val="99"/>
    <w:rsid w:val="008F5244"/>
    <w:pPr>
      <w:autoSpaceDE w:val="0"/>
      <w:autoSpaceDN w:val="0"/>
      <w:adjustRightInd w:val="0"/>
      <w:spacing w:line="181" w:lineRule="atLeast"/>
    </w:pPr>
    <w:rPr>
      <w:rFonts w:ascii="HelveticaNeueLT Std Lt" w:hAnsi="HelveticaNeueLT Std Lt" w:cstheme="minorBidi"/>
      <w:sz w:val="24"/>
      <w:szCs w:val="24"/>
      <w:lang w:bidi="ar-SA"/>
    </w:rPr>
  </w:style>
  <w:style w:type="paragraph" w:styleId="Geenafstand">
    <w:name w:val="No Spacing"/>
    <w:uiPriority w:val="1"/>
    <w:qFormat/>
    <w:rsid w:val="00327487"/>
    <w:pPr>
      <w:spacing w:line="240" w:lineRule="auto"/>
    </w:pPr>
    <w:rPr>
      <w:rFonts w:ascii="Verdana" w:hAnsi="Verdana"/>
      <w:sz w:val="18"/>
      <w:lang w:eastAsia="en-US" w:bidi="ar-SA"/>
    </w:rPr>
  </w:style>
  <w:style w:type="paragraph" w:styleId="HTML-voorafopgemaakt">
    <w:name w:val="HTML Preformatted"/>
    <w:basedOn w:val="Standaard"/>
    <w:link w:val="HTML-voorafopgemaaktChar"/>
    <w:uiPriority w:val="99"/>
    <w:semiHidden/>
    <w:unhideWhenUsed/>
    <w:rsid w:val="00CC6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bidi="ar-SA"/>
    </w:rPr>
  </w:style>
  <w:style w:type="character" w:customStyle="1" w:styleId="HTML-voorafopgemaaktChar">
    <w:name w:val="HTML - vooraf opgemaakt Char"/>
    <w:basedOn w:val="Standaardalinea-lettertype"/>
    <w:link w:val="HTML-voorafopgemaakt"/>
    <w:uiPriority w:val="99"/>
    <w:semiHidden/>
    <w:rsid w:val="00CC6590"/>
    <w:rPr>
      <w:rFonts w:ascii="Courier New" w:eastAsia="Times New Roman" w:hAnsi="Courier New" w:cs="Courier New"/>
      <w:sz w:val="20"/>
      <w:szCs w:val="20"/>
      <w:lang w:bidi="ar-SA"/>
    </w:rPr>
  </w:style>
  <w:style w:type="character" w:styleId="Hyperlink">
    <w:name w:val="Hyperlink"/>
    <w:basedOn w:val="Standaardalinea-lettertype"/>
    <w:uiPriority w:val="99"/>
    <w:unhideWhenUsed/>
    <w:rsid w:val="003513C6"/>
    <w:rPr>
      <w:color w:val="0000FF" w:themeColor="hyperlink"/>
      <w:u w:val="single"/>
    </w:rPr>
  </w:style>
  <w:style w:type="character" w:styleId="GevolgdeHyperlink">
    <w:name w:val="FollowedHyperlink"/>
    <w:basedOn w:val="Standaardalinea-lettertype"/>
    <w:uiPriority w:val="99"/>
    <w:semiHidden/>
    <w:unhideWhenUsed/>
    <w:rsid w:val="003513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25095">
      <w:bodyDiv w:val="1"/>
      <w:marLeft w:val="0"/>
      <w:marRight w:val="0"/>
      <w:marTop w:val="0"/>
      <w:marBottom w:val="0"/>
      <w:divBdr>
        <w:top w:val="none" w:sz="0" w:space="0" w:color="auto"/>
        <w:left w:val="none" w:sz="0" w:space="0" w:color="auto"/>
        <w:bottom w:val="none" w:sz="0" w:space="0" w:color="auto"/>
        <w:right w:val="none" w:sz="0" w:space="0" w:color="auto"/>
      </w:divBdr>
      <w:divsChild>
        <w:div w:id="1564831445">
          <w:marLeft w:val="0"/>
          <w:marRight w:val="0"/>
          <w:marTop w:val="0"/>
          <w:marBottom w:val="0"/>
          <w:divBdr>
            <w:top w:val="none" w:sz="0" w:space="0" w:color="auto"/>
            <w:left w:val="none" w:sz="0" w:space="0" w:color="auto"/>
            <w:bottom w:val="none" w:sz="0" w:space="0" w:color="auto"/>
            <w:right w:val="none" w:sz="0" w:space="0" w:color="auto"/>
          </w:divBdr>
          <w:divsChild>
            <w:div w:id="1617787141">
              <w:marLeft w:val="0"/>
              <w:marRight w:val="0"/>
              <w:marTop w:val="0"/>
              <w:marBottom w:val="0"/>
              <w:divBdr>
                <w:top w:val="none" w:sz="0" w:space="0" w:color="auto"/>
                <w:left w:val="none" w:sz="0" w:space="0" w:color="auto"/>
                <w:bottom w:val="none" w:sz="0" w:space="0" w:color="auto"/>
                <w:right w:val="none" w:sz="0" w:space="0" w:color="auto"/>
              </w:divBdr>
              <w:divsChild>
                <w:div w:id="749546665">
                  <w:marLeft w:val="0"/>
                  <w:marRight w:val="0"/>
                  <w:marTop w:val="0"/>
                  <w:marBottom w:val="0"/>
                  <w:divBdr>
                    <w:top w:val="none" w:sz="0" w:space="0" w:color="auto"/>
                    <w:left w:val="none" w:sz="0" w:space="0" w:color="auto"/>
                    <w:bottom w:val="none" w:sz="0" w:space="0" w:color="auto"/>
                    <w:right w:val="none" w:sz="0" w:space="0" w:color="auto"/>
                  </w:divBdr>
                  <w:divsChild>
                    <w:div w:id="462117171">
                      <w:marLeft w:val="0"/>
                      <w:marRight w:val="0"/>
                      <w:marTop w:val="45"/>
                      <w:marBottom w:val="0"/>
                      <w:divBdr>
                        <w:top w:val="none" w:sz="0" w:space="0" w:color="auto"/>
                        <w:left w:val="none" w:sz="0" w:space="0" w:color="auto"/>
                        <w:bottom w:val="none" w:sz="0" w:space="0" w:color="auto"/>
                        <w:right w:val="none" w:sz="0" w:space="0" w:color="auto"/>
                      </w:divBdr>
                      <w:divsChild>
                        <w:div w:id="379478667">
                          <w:marLeft w:val="0"/>
                          <w:marRight w:val="0"/>
                          <w:marTop w:val="0"/>
                          <w:marBottom w:val="0"/>
                          <w:divBdr>
                            <w:top w:val="none" w:sz="0" w:space="0" w:color="auto"/>
                            <w:left w:val="none" w:sz="0" w:space="0" w:color="auto"/>
                            <w:bottom w:val="none" w:sz="0" w:space="0" w:color="auto"/>
                            <w:right w:val="none" w:sz="0" w:space="0" w:color="auto"/>
                          </w:divBdr>
                          <w:divsChild>
                            <w:div w:id="106851446">
                              <w:marLeft w:val="2070"/>
                              <w:marRight w:val="3810"/>
                              <w:marTop w:val="0"/>
                              <w:marBottom w:val="0"/>
                              <w:divBdr>
                                <w:top w:val="none" w:sz="0" w:space="0" w:color="auto"/>
                                <w:left w:val="none" w:sz="0" w:space="0" w:color="auto"/>
                                <w:bottom w:val="none" w:sz="0" w:space="0" w:color="auto"/>
                                <w:right w:val="none" w:sz="0" w:space="0" w:color="auto"/>
                              </w:divBdr>
                              <w:divsChild>
                                <w:div w:id="336812465">
                                  <w:marLeft w:val="0"/>
                                  <w:marRight w:val="0"/>
                                  <w:marTop w:val="0"/>
                                  <w:marBottom w:val="0"/>
                                  <w:divBdr>
                                    <w:top w:val="none" w:sz="0" w:space="0" w:color="auto"/>
                                    <w:left w:val="none" w:sz="0" w:space="0" w:color="auto"/>
                                    <w:bottom w:val="none" w:sz="0" w:space="0" w:color="auto"/>
                                    <w:right w:val="none" w:sz="0" w:space="0" w:color="auto"/>
                                  </w:divBdr>
                                  <w:divsChild>
                                    <w:div w:id="347680051">
                                      <w:marLeft w:val="0"/>
                                      <w:marRight w:val="0"/>
                                      <w:marTop w:val="0"/>
                                      <w:marBottom w:val="0"/>
                                      <w:divBdr>
                                        <w:top w:val="none" w:sz="0" w:space="0" w:color="auto"/>
                                        <w:left w:val="none" w:sz="0" w:space="0" w:color="auto"/>
                                        <w:bottom w:val="none" w:sz="0" w:space="0" w:color="auto"/>
                                        <w:right w:val="none" w:sz="0" w:space="0" w:color="auto"/>
                                      </w:divBdr>
                                      <w:divsChild>
                                        <w:div w:id="161434103">
                                          <w:marLeft w:val="0"/>
                                          <w:marRight w:val="0"/>
                                          <w:marTop w:val="0"/>
                                          <w:marBottom w:val="0"/>
                                          <w:divBdr>
                                            <w:top w:val="none" w:sz="0" w:space="0" w:color="auto"/>
                                            <w:left w:val="none" w:sz="0" w:space="0" w:color="auto"/>
                                            <w:bottom w:val="none" w:sz="0" w:space="0" w:color="auto"/>
                                            <w:right w:val="none" w:sz="0" w:space="0" w:color="auto"/>
                                          </w:divBdr>
                                          <w:divsChild>
                                            <w:div w:id="2003897018">
                                              <w:marLeft w:val="0"/>
                                              <w:marRight w:val="0"/>
                                              <w:marTop w:val="0"/>
                                              <w:marBottom w:val="0"/>
                                              <w:divBdr>
                                                <w:top w:val="none" w:sz="0" w:space="0" w:color="auto"/>
                                                <w:left w:val="none" w:sz="0" w:space="0" w:color="auto"/>
                                                <w:bottom w:val="none" w:sz="0" w:space="0" w:color="auto"/>
                                                <w:right w:val="none" w:sz="0" w:space="0" w:color="auto"/>
                                              </w:divBdr>
                                              <w:divsChild>
                                                <w:div w:id="1732925539">
                                                  <w:marLeft w:val="0"/>
                                                  <w:marRight w:val="0"/>
                                                  <w:marTop w:val="0"/>
                                                  <w:marBottom w:val="0"/>
                                                  <w:divBdr>
                                                    <w:top w:val="none" w:sz="0" w:space="0" w:color="auto"/>
                                                    <w:left w:val="none" w:sz="0" w:space="0" w:color="auto"/>
                                                    <w:bottom w:val="none" w:sz="0" w:space="0" w:color="auto"/>
                                                    <w:right w:val="none" w:sz="0" w:space="0" w:color="auto"/>
                                                  </w:divBdr>
                                                  <w:divsChild>
                                                    <w:div w:id="681204598">
                                                      <w:marLeft w:val="0"/>
                                                      <w:marRight w:val="0"/>
                                                      <w:marTop w:val="0"/>
                                                      <w:marBottom w:val="345"/>
                                                      <w:divBdr>
                                                        <w:top w:val="none" w:sz="0" w:space="0" w:color="auto"/>
                                                        <w:left w:val="none" w:sz="0" w:space="0" w:color="auto"/>
                                                        <w:bottom w:val="none" w:sz="0" w:space="0" w:color="auto"/>
                                                        <w:right w:val="none" w:sz="0" w:space="0" w:color="auto"/>
                                                      </w:divBdr>
                                                      <w:divsChild>
                                                        <w:div w:id="960502360">
                                                          <w:marLeft w:val="0"/>
                                                          <w:marRight w:val="0"/>
                                                          <w:marTop w:val="0"/>
                                                          <w:marBottom w:val="0"/>
                                                          <w:divBdr>
                                                            <w:top w:val="none" w:sz="0" w:space="0" w:color="auto"/>
                                                            <w:left w:val="none" w:sz="0" w:space="0" w:color="auto"/>
                                                            <w:bottom w:val="none" w:sz="0" w:space="0" w:color="auto"/>
                                                            <w:right w:val="none" w:sz="0" w:space="0" w:color="auto"/>
                                                          </w:divBdr>
                                                          <w:divsChild>
                                                            <w:div w:id="147868302">
                                                              <w:marLeft w:val="0"/>
                                                              <w:marRight w:val="0"/>
                                                              <w:marTop w:val="0"/>
                                                              <w:marBottom w:val="0"/>
                                                              <w:divBdr>
                                                                <w:top w:val="none" w:sz="0" w:space="0" w:color="auto"/>
                                                                <w:left w:val="none" w:sz="0" w:space="0" w:color="auto"/>
                                                                <w:bottom w:val="none" w:sz="0" w:space="0" w:color="auto"/>
                                                                <w:right w:val="none" w:sz="0" w:space="0" w:color="auto"/>
                                                              </w:divBdr>
                                                              <w:divsChild>
                                                                <w:div w:id="234317958">
                                                                  <w:marLeft w:val="0"/>
                                                                  <w:marRight w:val="0"/>
                                                                  <w:marTop w:val="0"/>
                                                                  <w:marBottom w:val="0"/>
                                                                  <w:divBdr>
                                                                    <w:top w:val="none" w:sz="0" w:space="0" w:color="auto"/>
                                                                    <w:left w:val="none" w:sz="0" w:space="0" w:color="auto"/>
                                                                    <w:bottom w:val="none" w:sz="0" w:space="0" w:color="auto"/>
                                                                    <w:right w:val="none" w:sz="0" w:space="0" w:color="auto"/>
                                                                  </w:divBdr>
                                                                  <w:divsChild>
                                                                    <w:div w:id="217475907">
                                                                      <w:marLeft w:val="0"/>
                                                                      <w:marRight w:val="0"/>
                                                                      <w:marTop w:val="0"/>
                                                                      <w:marBottom w:val="0"/>
                                                                      <w:divBdr>
                                                                        <w:top w:val="none" w:sz="0" w:space="0" w:color="auto"/>
                                                                        <w:left w:val="none" w:sz="0" w:space="0" w:color="auto"/>
                                                                        <w:bottom w:val="none" w:sz="0" w:space="0" w:color="auto"/>
                                                                        <w:right w:val="none" w:sz="0" w:space="0" w:color="auto"/>
                                                                      </w:divBdr>
                                                                      <w:divsChild>
                                                                        <w:div w:id="952975164">
                                                                          <w:marLeft w:val="0"/>
                                                                          <w:marRight w:val="0"/>
                                                                          <w:marTop w:val="0"/>
                                                                          <w:marBottom w:val="0"/>
                                                                          <w:divBdr>
                                                                            <w:top w:val="none" w:sz="0" w:space="0" w:color="auto"/>
                                                                            <w:left w:val="none" w:sz="0" w:space="0" w:color="auto"/>
                                                                            <w:bottom w:val="none" w:sz="0" w:space="0" w:color="auto"/>
                                                                            <w:right w:val="none" w:sz="0" w:space="0" w:color="auto"/>
                                                                          </w:divBdr>
                                                                          <w:divsChild>
                                                                            <w:div w:id="2004619030">
                                                                              <w:marLeft w:val="0"/>
                                                                              <w:marRight w:val="0"/>
                                                                              <w:marTop w:val="0"/>
                                                                              <w:marBottom w:val="0"/>
                                                                              <w:divBdr>
                                                                                <w:top w:val="none" w:sz="0" w:space="0" w:color="auto"/>
                                                                                <w:left w:val="none" w:sz="0" w:space="0" w:color="auto"/>
                                                                                <w:bottom w:val="none" w:sz="0" w:space="0" w:color="auto"/>
                                                                                <w:right w:val="none" w:sz="0" w:space="0" w:color="auto"/>
                                                                              </w:divBdr>
                                                                              <w:divsChild>
                                                                                <w:div w:id="1259412555">
                                                                                  <w:marLeft w:val="0"/>
                                                                                  <w:marRight w:val="0"/>
                                                                                  <w:marTop w:val="0"/>
                                                                                  <w:marBottom w:val="0"/>
                                                                                  <w:divBdr>
                                                                                    <w:top w:val="none" w:sz="0" w:space="0" w:color="auto"/>
                                                                                    <w:left w:val="none" w:sz="0" w:space="0" w:color="auto"/>
                                                                                    <w:bottom w:val="none" w:sz="0" w:space="0" w:color="auto"/>
                                                                                    <w:right w:val="none" w:sz="0" w:space="0" w:color="auto"/>
                                                                                  </w:divBdr>
                                                                                  <w:divsChild>
                                                                                    <w:div w:id="5720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151628">
      <w:bodyDiv w:val="1"/>
      <w:marLeft w:val="0"/>
      <w:marRight w:val="0"/>
      <w:marTop w:val="0"/>
      <w:marBottom w:val="0"/>
      <w:divBdr>
        <w:top w:val="none" w:sz="0" w:space="0" w:color="auto"/>
        <w:left w:val="none" w:sz="0" w:space="0" w:color="auto"/>
        <w:bottom w:val="none" w:sz="0" w:space="0" w:color="auto"/>
        <w:right w:val="none" w:sz="0" w:space="0" w:color="auto"/>
      </w:divBdr>
    </w:div>
    <w:div w:id="563374570">
      <w:bodyDiv w:val="1"/>
      <w:marLeft w:val="0"/>
      <w:marRight w:val="0"/>
      <w:marTop w:val="0"/>
      <w:marBottom w:val="0"/>
      <w:divBdr>
        <w:top w:val="none" w:sz="0" w:space="0" w:color="auto"/>
        <w:left w:val="none" w:sz="0" w:space="0" w:color="auto"/>
        <w:bottom w:val="none" w:sz="0" w:space="0" w:color="auto"/>
        <w:right w:val="none" w:sz="0" w:space="0" w:color="auto"/>
      </w:divBdr>
    </w:div>
    <w:div w:id="582492307">
      <w:bodyDiv w:val="1"/>
      <w:marLeft w:val="0"/>
      <w:marRight w:val="0"/>
      <w:marTop w:val="0"/>
      <w:marBottom w:val="0"/>
      <w:divBdr>
        <w:top w:val="none" w:sz="0" w:space="0" w:color="auto"/>
        <w:left w:val="none" w:sz="0" w:space="0" w:color="auto"/>
        <w:bottom w:val="none" w:sz="0" w:space="0" w:color="auto"/>
        <w:right w:val="none" w:sz="0" w:space="0" w:color="auto"/>
      </w:divBdr>
    </w:div>
    <w:div w:id="639304315">
      <w:bodyDiv w:val="1"/>
      <w:marLeft w:val="0"/>
      <w:marRight w:val="0"/>
      <w:marTop w:val="0"/>
      <w:marBottom w:val="0"/>
      <w:divBdr>
        <w:top w:val="none" w:sz="0" w:space="0" w:color="auto"/>
        <w:left w:val="none" w:sz="0" w:space="0" w:color="auto"/>
        <w:bottom w:val="none" w:sz="0" w:space="0" w:color="auto"/>
        <w:right w:val="none" w:sz="0" w:space="0" w:color="auto"/>
      </w:divBdr>
      <w:divsChild>
        <w:div w:id="1934967723">
          <w:marLeft w:val="0"/>
          <w:marRight w:val="0"/>
          <w:marTop w:val="0"/>
          <w:marBottom w:val="0"/>
          <w:divBdr>
            <w:top w:val="none" w:sz="0" w:space="0" w:color="auto"/>
            <w:left w:val="none" w:sz="0" w:space="0" w:color="auto"/>
            <w:bottom w:val="none" w:sz="0" w:space="0" w:color="auto"/>
            <w:right w:val="none" w:sz="0" w:space="0" w:color="auto"/>
          </w:divBdr>
          <w:divsChild>
            <w:div w:id="1422723312">
              <w:marLeft w:val="0"/>
              <w:marRight w:val="0"/>
              <w:marTop w:val="0"/>
              <w:marBottom w:val="0"/>
              <w:divBdr>
                <w:top w:val="none" w:sz="0" w:space="0" w:color="auto"/>
                <w:left w:val="none" w:sz="0" w:space="0" w:color="auto"/>
                <w:bottom w:val="none" w:sz="0" w:space="0" w:color="auto"/>
                <w:right w:val="none" w:sz="0" w:space="0" w:color="auto"/>
              </w:divBdr>
              <w:divsChild>
                <w:div w:id="1010835884">
                  <w:marLeft w:val="0"/>
                  <w:marRight w:val="0"/>
                  <w:marTop w:val="0"/>
                  <w:marBottom w:val="0"/>
                  <w:divBdr>
                    <w:top w:val="none" w:sz="0" w:space="0" w:color="auto"/>
                    <w:left w:val="none" w:sz="0" w:space="0" w:color="auto"/>
                    <w:bottom w:val="none" w:sz="0" w:space="0" w:color="auto"/>
                    <w:right w:val="none" w:sz="0" w:space="0" w:color="auto"/>
                  </w:divBdr>
                  <w:divsChild>
                    <w:div w:id="220093268">
                      <w:marLeft w:val="450"/>
                      <w:marRight w:val="0"/>
                      <w:marTop w:val="0"/>
                      <w:marBottom w:val="0"/>
                      <w:divBdr>
                        <w:top w:val="none" w:sz="0" w:space="0" w:color="auto"/>
                        <w:left w:val="none" w:sz="0" w:space="0" w:color="auto"/>
                        <w:bottom w:val="none" w:sz="0" w:space="0" w:color="auto"/>
                        <w:right w:val="none" w:sz="0" w:space="0" w:color="auto"/>
                      </w:divBdr>
                      <w:divsChild>
                        <w:div w:id="523053736">
                          <w:marLeft w:val="0"/>
                          <w:marRight w:val="0"/>
                          <w:marTop w:val="0"/>
                          <w:marBottom w:val="0"/>
                          <w:divBdr>
                            <w:top w:val="none" w:sz="0" w:space="0" w:color="auto"/>
                            <w:left w:val="none" w:sz="0" w:space="0" w:color="auto"/>
                            <w:bottom w:val="none" w:sz="0" w:space="0" w:color="auto"/>
                            <w:right w:val="none" w:sz="0" w:space="0" w:color="auto"/>
                          </w:divBdr>
                          <w:divsChild>
                            <w:div w:id="996152265">
                              <w:marLeft w:val="0"/>
                              <w:marRight w:val="0"/>
                              <w:marTop w:val="0"/>
                              <w:marBottom w:val="0"/>
                              <w:divBdr>
                                <w:top w:val="none" w:sz="0" w:space="0" w:color="auto"/>
                                <w:left w:val="none" w:sz="0" w:space="0" w:color="auto"/>
                                <w:bottom w:val="none" w:sz="0" w:space="0" w:color="auto"/>
                                <w:right w:val="none" w:sz="0" w:space="0" w:color="auto"/>
                              </w:divBdr>
                              <w:divsChild>
                                <w:div w:id="12853100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978091">
      <w:bodyDiv w:val="1"/>
      <w:marLeft w:val="0"/>
      <w:marRight w:val="0"/>
      <w:marTop w:val="0"/>
      <w:marBottom w:val="0"/>
      <w:divBdr>
        <w:top w:val="none" w:sz="0" w:space="0" w:color="auto"/>
        <w:left w:val="none" w:sz="0" w:space="0" w:color="auto"/>
        <w:bottom w:val="none" w:sz="0" w:space="0" w:color="auto"/>
        <w:right w:val="none" w:sz="0" w:space="0" w:color="auto"/>
      </w:divBdr>
    </w:div>
    <w:div w:id="1124467145">
      <w:bodyDiv w:val="1"/>
      <w:marLeft w:val="0"/>
      <w:marRight w:val="0"/>
      <w:marTop w:val="0"/>
      <w:marBottom w:val="0"/>
      <w:divBdr>
        <w:top w:val="none" w:sz="0" w:space="0" w:color="auto"/>
        <w:left w:val="none" w:sz="0" w:space="0" w:color="auto"/>
        <w:bottom w:val="none" w:sz="0" w:space="0" w:color="auto"/>
        <w:right w:val="none" w:sz="0" w:space="0" w:color="auto"/>
      </w:divBdr>
    </w:div>
    <w:div w:id="1744179309">
      <w:bodyDiv w:val="1"/>
      <w:marLeft w:val="0"/>
      <w:marRight w:val="0"/>
      <w:marTop w:val="0"/>
      <w:marBottom w:val="0"/>
      <w:divBdr>
        <w:top w:val="none" w:sz="0" w:space="0" w:color="auto"/>
        <w:left w:val="none" w:sz="0" w:space="0" w:color="auto"/>
        <w:bottom w:val="none" w:sz="0" w:space="0" w:color="auto"/>
        <w:right w:val="none" w:sz="0" w:space="0" w:color="auto"/>
      </w:divBdr>
    </w:div>
    <w:div w:id="1842112955">
      <w:bodyDiv w:val="1"/>
      <w:marLeft w:val="0"/>
      <w:marRight w:val="0"/>
      <w:marTop w:val="0"/>
      <w:marBottom w:val="0"/>
      <w:divBdr>
        <w:top w:val="none" w:sz="0" w:space="0" w:color="auto"/>
        <w:left w:val="none" w:sz="0" w:space="0" w:color="auto"/>
        <w:bottom w:val="none" w:sz="0" w:space="0" w:color="auto"/>
        <w:right w:val="none" w:sz="0" w:space="0" w:color="auto"/>
      </w:divBdr>
    </w:div>
    <w:div w:id="1859075652">
      <w:bodyDiv w:val="1"/>
      <w:marLeft w:val="0"/>
      <w:marRight w:val="0"/>
      <w:marTop w:val="0"/>
      <w:marBottom w:val="0"/>
      <w:divBdr>
        <w:top w:val="none" w:sz="0" w:space="0" w:color="auto"/>
        <w:left w:val="none" w:sz="0" w:space="0" w:color="auto"/>
        <w:bottom w:val="none" w:sz="0" w:space="0" w:color="auto"/>
        <w:right w:val="none" w:sz="0" w:space="0" w:color="auto"/>
      </w:divBdr>
    </w:div>
    <w:div w:id="2073500377">
      <w:bodyDiv w:val="1"/>
      <w:marLeft w:val="0"/>
      <w:marRight w:val="0"/>
      <w:marTop w:val="0"/>
      <w:marBottom w:val="0"/>
      <w:divBdr>
        <w:top w:val="none" w:sz="0" w:space="0" w:color="auto"/>
        <w:left w:val="none" w:sz="0" w:space="0" w:color="auto"/>
        <w:bottom w:val="none" w:sz="0" w:space="0" w:color="auto"/>
        <w:right w:val="none" w:sz="0" w:space="0" w:color="auto"/>
      </w:divBdr>
      <w:divsChild>
        <w:div w:id="669261506">
          <w:marLeft w:val="0"/>
          <w:marRight w:val="0"/>
          <w:marTop w:val="0"/>
          <w:marBottom w:val="0"/>
          <w:divBdr>
            <w:top w:val="none" w:sz="0" w:space="0" w:color="auto"/>
            <w:left w:val="none" w:sz="0" w:space="0" w:color="auto"/>
            <w:bottom w:val="none" w:sz="0" w:space="0" w:color="auto"/>
            <w:right w:val="none" w:sz="0" w:space="0" w:color="auto"/>
          </w:divBdr>
          <w:divsChild>
            <w:div w:id="380522232">
              <w:marLeft w:val="0"/>
              <w:marRight w:val="0"/>
              <w:marTop w:val="0"/>
              <w:marBottom w:val="0"/>
              <w:divBdr>
                <w:top w:val="none" w:sz="0" w:space="0" w:color="auto"/>
                <w:left w:val="none" w:sz="0" w:space="0" w:color="auto"/>
                <w:bottom w:val="none" w:sz="0" w:space="0" w:color="auto"/>
                <w:right w:val="none" w:sz="0" w:space="0" w:color="auto"/>
              </w:divBdr>
              <w:divsChild>
                <w:div w:id="287859459">
                  <w:marLeft w:val="0"/>
                  <w:marRight w:val="0"/>
                  <w:marTop w:val="0"/>
                  <w:marBottom w:val="0"/>
                  <w:divBdr>
                    <w:top w:val="none" w:sz="0" w:space="0" w:color="auto"/>
                    <w:left w:val="none" w:sz="0" w:space="0" w:color="auto"/>
                    <w:bottom w:val="none" w:sz="0" w:space="0" w:color="auto"/>
                    <w:right w:val="none" w:sz="0" w:space="0" w:color="auto"/>
                  </w:divBdr>
                  <w:divsChild>
                    <w:div w:id="286469270">
                      <w:marLeft w:val="0"/>
                      <w:marRight w:val="0"/>
                      <w:marTop w:val="0"/>
                      <w:marBottom w:val="0"/>
                      <w:divBdr>
                        <w:top w:val="none" w:sz="0" w:space="0" w:color="auto"/>
                        <w:left w:val="none" w:sz="0" w:space="0" w:color="auto"/>
                        <w:bottom w:val="none" w:sz="0" w:space="0" w:color="auto"/>
                        <w:right w:val="none" w:sz="0" w:space="0" w:color="auto"/>
                      </w:divBdr>
                      <w:divsChild>
                        <w:div w:id="1922059430">
                          <w:marLeft w:val="0"/>
                          <w:marRight w:val="0"/>
                          <w:marTop w:val="0"/>
                          <w:marBottom w:val="0"/>
                          <w:divBdr>
                            <w:top w:val="none" w:sz="0" w:space="0" w:color="auto"/>
                            <w:left w:val="none" w:sz="0" w:space="0" w:color="auto"/>
                            <w:bottom w:val="none" w:sz="0" w:space="0" w:color="auto"/>
                            <w:right w:val="none" w:sz="0" w:space="0" w:color="auto"/>
                          </w:divBdr>
                          <w:divsChild>
                            <w:div w:id="280310497">
                              <w:marLeft w:val="0"/>
                              <w:marRight w:val="0"/>
                              <w:marTop w:val="0"/>
                              <w:marBottom w:val="0"/>
                              <w:divBdr>
                                <w:top w:val="none" w:sz="0" w:space="0" w:color="auto"/>
                                <w:left w:val="none" w:sz="0" w:space="0" w:color="auto"/>
                                <w:bottom w:val="none" w:sz="0" w:space="0" w:color="auto"/>
                                <w:right w:val="none" w:sz="0" w:space="0" w:color="auto"/>
                              </w:divBdr>
                              <w:divsChild>
                                <w:div w:id="735785411">
                                  <w:marLeft w:val="0"/>
                                  <w:marRight w:val="0"/>
                                  <w:marTop w:val="0"/>
                                  <w:marBottom w:val="0"/>
                                  <w:divBdr>
                                    <w:top w:val="none" w:sz="0" w:space="0" w:color="auto"/>
                                    <w:left w:val="none" w:sz="0" w:space="0" w:color="auto"/>
                                    <w:bottom w:val="none" w:sz="0" w:space="0" w:color="auto"/>
                                    <w:right w:val="none" w:sz="0" w:space="0" w:color="auto"/>
                                  </w:divBdr>
                                  <w:divsChild>
                                    <w:div w:id="940338628">
                                      <w:marLeft w:val="0"/>
                                      <w:marRight w:val="0"/>
                                      <w:marTop w:val="0"/>
                                      <w:marBottom w:val="0"/>
                                      <w:divBdr>
                                        <w:top w:val="none" w:sz="0" w:space="0" w:color="auto"/>
                                        <w:left w:val="none" w:sz="0" w:space="0" w:color="auto"/>
                                        <w:bottom w:val="none" w:sz="0" w:space="0" w:color="auto"/>
                                        <w:right w:val="none" w:sz="0" w:space="0" w:color="auto"/>
                                      </w:divBdr>
                                      <w:divsChild>
                                        <w:div w:id="2021271303">
                                          <w:marLeft w:val="0"/>
                                          <w:marRight w:val="0"/>
                                          <w:marTop w:val="0"/>
                                          <w:marBottom w:val="0"/>
                                          <w:divBdr>
                                            <w:top w:val="none" w:sz="0" w:space="0" w:color="auto"/>
                                            <w:left w:val="none" w:sz="0" w:space="0" w:color="auto"/>
                                            <w:bottom w:val="none" w:sz="0" w:space="0" w:color="auto"/>
                                            <w:right w:val="none" w:sz="0" w:space="0" w:color="auto"/>
                                          </w:divBdr>
                                          <w:divsChild>
                                            <w:div w:id="1879466598">
                                              <w:marLeft w:val="0"/>
                                              <w:marRight w:val="0"/>
                                              <w:marTop w:val="0"/>
                                              <w:marBottom w:val="0"/>
                                              <w:divBdr>
                                                <w:top w:val="none" w:sz="0" w:space="0" w:color="auto"/>
                                                <w:left w:val="none" w:sz="0" w:space="0" w:color="auto"/>
                                                <w:bottom w:val="none" w:sz="0" w:space="0" w:color="auto"/>
                                                <w:right w:val="none" w:sz="0" w:space="0" w:color="auto"/>
                                              </w:divBdr>
                                              <w:divsChild>
                                                <w:div w:id="977150614">
                                                  <w:marLeft w:val="0"/>
                                                  <w:marRight w:val="0"/>
                                                  <w:marTop w:val="0"/>
                                                  <w:marBottom w:val="375"/>
                                                  <w:divBdr>
                                                    <w:top w:val="none" w:sz="0" w:space="0" w:color="auto"/>
                                                    <w:left w:val="none" w:sz="0" w:space="0" w:color="auto"/>
                                                    <w:bottom w:val="single" w:sz="6" w:space="0" w:color="C8C8C8"/>
                                                    <w:right w:val="none" w:sz="0" w:space="0" w:color="auto"/>
                                                  </w:divBdr>
                                                  <w:divsChild>
                                                    <w:div w:id="1506936224">
                                                      <w:marLeft w:val="0"/>
                                                      <w:marRight w:val="0"/>
                                                      <w:marTop w:val="0"/>
                                                      <w:marBottom w:val="0"/>
                                                      <w:divBdr>
                                                        <w:top w:val="none" w:sz="0" w:space="0" w:color="auto"/>
                                                        <w:left w:val="none" w:sz="0" w:space="0" w:color="auto"/>
                                                        <w:bottom w:val="none" w:sz="0" w:space="0" w:color="auto"/>
                                                        <w:right w:val="none" w:sz="0" w:space="0" w:color="auto"/>
                                                      </w:divBdr>
                                                    </w:div>
                                                    <w:div w:id="1506358721">
                                                      <w:marLeft w:val="0"/>
                                                      <w:marRight w:val="0"/>
                                                      <w:marTop w:val="0"/>
                                                      <w:marBottom w:val="0"/>
                                                      <w:divBdr>
                                                        <w:top w:val="none" w:sz="0" w:space="0" w:color="auto"/>
                                                        <w:left w:val="none" w:sz="0" w:space="0" w:color="auto"/>
                                                        <w:bottom w:val="none" w:sz="0" w:space="0" w:color="auto"/>
                                                        <w:right w:val="none" w:sz="0" w:space="0" w:color="auto"/>
                                                      </w:divBdr>
                                                    </w:div>
                                                    <w:div w:id="610741886">
                                                      <w:marLeft w:val="0"/>
                                                      <w:marRight w:val="0"/>
                                                      <w:marTop w:val="0"/>
                                                      <w:marBottom w:val="0"/>
                                                      <w:divBdr>
                                                        <w:top w:val="none" w:sz="0" w:space="0" w:color="auto"/>
                                                        <w:left w:val="none" w:sz="0" w:space="0" w:color="auto"/>
                                                        <w:bottom w:val="none" w:sz="0" w:space="0" w:color="auto"/>
                                                        <w:right w:val="none" w:sz="0" w:space="0" w:color="auto"/>
                                                      </w:divBdr>
                                                      <w:divsChild>
                                                        <w:div w:id="8757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37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igitaalpubliceren.com/tennet/2018/nl/"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orthseawindpowerhub.eu" TargetMode="Externa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s://www.tennet.eu/nl/bedrijf/investor-relations/groene-financieringsinstrument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B5FEB-9BE6-4982-86B3-9E7A2CAE2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1749</Words>
  <Characters>9621</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TenneT TSO B.V.</Company>
  <LinksUpToDate>false</LinksUpToDate>
  <CharactersWithSpaces>11348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Jager, Otto</dc:creator>
  <dc:description>Translated by DBF Communicatie B.V.
+31 (0)172 469191
dbf@dbfcom.com / www.dbfcom.com</dc:description>
  <cp:lastModifiedBy>Brouwers, Jeroen</cp:lastModifiedBy>
  <cp:revision>2</cp:revision>
  <cp:lastPrinted>2017-07-11T11:03:00Z</cp:lastPrinted>
  <dcterms:created xsi:type="dcterms:W3CDTF">2018-07-25T06:15:00Z</dcterms:created>
  <dcterms:modified xsi:type="dcterms:W3CDTF">2018-07-25T06:15:00Z</dcterms:modified>
</cp:coreProperties>
</file>