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7DDB" w14:textId="6ABDED86" w:rsidR="008E3FB3" w:rsidRPr="00F20D12" w:rsidRDefault="00542FC7" w:rsidP="0049119A">
      <w:pPr>
        <w:pStyle w:val="AODocTxt"/>
        <w:keepNext/>
        <w:jc w:val="left"/>
        <w:rPr>
          <w:sz w:val="32"/>
          <w:lang w:val="nl-NL"/>
        </w:rPr>
      </w:pPr>
      <w:bookmarkStart w:id="0" w:name="_GoBack"/>
      <w:r w:rsidRPr="00F20D12">
        <w:rPr>
          <w:sz w:val="32"/>
          <w:lang w:val="nl-NL"/>
        </w:rPr>
        <w:t>TMG bevestigt ontvang</w:t>
      </w:r>
      <w:r>
        <w:rPr>
          <w:sz w:val="32"/>
          <w:lang w:val="nl-NL"/>
        </w:rPr>
        <w:t>s</w:t>
      </w:r>
      <w:r w:rsidRPr="00F20D12">
        <w:rPr>
          <w:sz w:val="32"/>
          <w:lang w:val="nl-NL"/>
        </w:rPr>
        <w:t>t v</w:t>
      </w:r>
      <w:r w:rsidR="00DE5C90">
        <w:rPr>
          <w:sz w:val="32"/>
          <w:lang w:val="nl-NL"/>
        </w:rPr>
        <w:t xml:space="preserve">an een ongevraagd </w:t>
      </w:r>
      <w:r w:rsidR="00645338">
        <w:rPr>
          <w:sz w:val="32"/>
          <w:lang w:val="nl-NL"/>
        </w:rPr>
        <w:t xml:space="preserve">voorwaardelijk </w:t>
      </w:r>
      <w:r w:rsidR="00DE5C90">
        <w:rPr>
          <w:sz w:val="32"/>
          <w:lang w:val="nl-NL"/>
        </w:rPr>
        <w:t xml:space="preserve">voorstel van </w:t>
      </w:r>
      <w:r w:rsidR="0049119A">
        <w:rPr>
          <w:sz w:val="32"/>
          <w:lang w:val="nl-NL"/>
        </w:rPr>
        <w:br/>
        <w:t>Talpa Holding N.V.</w:t>
      </w:r>
    </w:p>
    <w:bookmarkEnd w:id="0"/>
    <w:p w14:paraId="31050C88" w14:textId="32FC70A8" w:rsidR="008E3FB3" w:rsidRPr="00CA55C0" w:rsidRDefault="00542FC7" w:rsidP="008E3FB3">
      <w:pPr>
        <w:pStyle w:val="AODocTxt"/>
        <w:rPr>
          <w:lang w:val="nl-NL"/>
        </w:rPr>
      </w:pPr>
      <w:r w:rsidRPr="00CA55C0">
        <w:rPr>
          <w:lang w:val="nl-NL"/>
        </w:rPr>
        <w:t xml:space="preserve">In antwoord op </w:t>
      </w:r>
      <w:r>
        <w:rPr>
          <w:lang w:val="nl-NL"/>
        </w:rPr>
        <w:t>de o</w:t>
      </w:r>
      <w:r w:rsidR="00DE5C90">
        <w:rPr>
          <w:lang w:val="nl-NL"/>
        </w:rPr>
        <w:t xml:space="preserve">penbare aankondiging door </w:t>
      </w:r>
      <w:r w:rsidR="0049119A">
        <w:rPr>
          <w:lang w:val="nl-NL"/>
        </w:rPr>
        <w:t>Talpa Holding</w:t>
      </w:r>
      <w:r w:rsidR="00DE5C90">
        <w:rPr>
          <w:lang w:val="nl-NL"/>
        </w:rPr>
        <w:t xml:space="preserve"> </w:t>
      </w:r>
      <w:r w:rsidRPr="00CA55C0">
        <w:rPr>
          <w:lang w:val="nl-NL"/>
        </w:rPr>
        <w:t>bevestigt Telegraaf Media Groep N.V. (</w:t>
      </w:r>
      <w:r w:rsidRPr="00CA55C0">
        <w:rPr>
          <w:b/>
          <w:bCs/>
          <w:lang w:val="nl-NL"/>
        </w:rPr>
        <w:t>TMG</w:t>
      </w:r>
      <w:r w:rsidRPr="00CA55C0">
        <w:rPr>
          <w:lang w:val="nl-NL"/>
        </w:rPr>
        <w:t>) dat zij een ongevraagd</w:t>
      </w:r>
      <w:r>
        <w:rPr>
          <w:lang w:val="nl-NL"/>
        </w:rPr>
        <w:t>,</w:t>
      </w:r>
      <w:r w:rsidRPr="00CA55C0">
        <w:rPr>
          <w:lang w:val="nl-NL"/>
        </w:rPr>
        <w:t xml:space="preserve"> niet-bindend</w:t>
      </w:r>
      <w:r>
        <w:rPr>
          <w:lang w:val="nl-NL"/>
        </w:rPr>
        <w:t>,</w:t>
      </w:r>
      <w:r w:rsidRPr="00CA55C0">
        <w:rPr>
          <w:lang w:val="nl-NL"/>
        </w:rPr>
        <w:t xml:space="preserve"> voorwaardelijk voorstel heeft ontvangen van </w:t>
      </w:r>
      <w:r w:rsidR="0049119A">
        <w:rPr>
          <w:lang w:val="nl-NL"/>
        </w:rPr>
        <w:t>Talpa</w:t>
      </w:r>
      <w:r w:rsidR="00DE5C90">
        <w:rPr>
          <w:lang w:val="nl-NL"/>
        </w:rPr>
        <w:t xml:space="preserve"> </w:t>
      </w:r>
      <w:r>
        <w:rPr>
          <w:lang w:val="nl-NL"/>
        </w:rPr>
        <w:t xml:space="preserve">inhoudende </w:t>
      </w:r>
      <w:r w:rsidRPr="00CA55C0">
        <w:rPr>
          <w:lang w:val="nl-NL"/>
        </w:rPr>
        <w:t>de verwerving van alle uitgegeven en uitstaande certificaten van TMG voo</w:t>
      </w:r>
      <w:r>
        <w:rPr>
          <w:lang w:val="nl-NL"/>
        </w:rPr>
        <w:t>r een indicatieve prijs van EUR </w:t>
      </w:r>
      <w:r w:rsidR="0049119A">
        <w:rPr>
          <w:lang w:val="nl-NL"/>
        </w:rPr>
        <w:t xml:space="preserve">5,90 </w:t>
      </w:r>
      <w:r w:rsidRPr="00CA55C0">
        <w:rPr>
          <w:lang w:val="nl-NL"/>
        </w:rPr>
        <w:t>(cum dividend) in contanten per TMG-certificaat (</w:t>
      </w:r>
      <w:r w:rsidRPr="00D117D3">
        <w:rPr>
          <w:b/>
          <w:lang w:val="nl-NL"/>
        </w:rPr>
        <w:t xml:space="preserve">het </w:t>
      </w:r>
      <w:r w:rsidR="0049119A">
        <w:rPr>
          <w:b/>
          <w:lang w:val="nl-NL"/>
        </w:rPr>
        <w:t>Talpa</w:t>
      </w:r>
      <w:r w:rsidRPr="00CA55C0">
        <w:rPr>
          <w:b/>
          <w:lang w:val="nl-NL"/>
        </w:rPr>
        <w:t xml:space="preserve"> </w:t>
      </w:r>
      <w:r w:rsidRPr="00CA55C0">
        <w:rPr>
          <w:b/>
          <w:bCs/>
          <w:lang w:val="nl-NL"/>
        </w:rPr>
        <w:t>Voorstel</w:t>
      </w:r>
      <w:r w:rsidRPr="00CA55C0">
        <w:rPr>
          <w:lang w:val="nl-NL"/>
        </w:rPr>
        <w:t>).</w:t>
      </w:r>
    </w:p>
    <w:p w14:paraId="29BE8C4F" w14:textId="29080033" w:rsidR="008E3FB3" w:rsidRPr="00CA55C0" w:rsidRDefault="00542FC7" w:rsidP="008E3FB3">
      <w:pPr>
        <w:pStyle w:val="AODocTxt"/>
        <w:rPr>
          <w:lang w:val="nl-NL"/>
        </w:rPr>
      </w:pPr>
      <w:r w:rsidRPr="00CA55C0">
        <w:rPr>
          <w:lang w:val="nl-NL"/>
        </w:rPr>
        <w:t xml:space="preserve">De Raad van Commissarissen </w:t>
      </w:r>
      <w:r>
        <w:rPr>
          <w:lang w:val="nl-NL"/>
        </w:rPr>
        <w:t>(</w:t>
      </w:r>
      <w:r w:rsidRPr="00D56D5A">
        <w:rPr>
          <w:b/>
          <w:lang w:val="nl-NL"/>
        </w:rPr>
        <w:t>RvC</w:t>
      </w:r>
      <w:r>
        <w:rPr>
          <w:lang w:val="nl-NL"/>
        </w:rPr>
        <w:t xml:space="preserve">) </w:t>
      </w:r>
      <w:r w:rsidRPr="00CA55C0">
        <w:rPr>
          <w:lang w:val="nl-NL"/>
        </w:rPr>
        <w:t xml:space="preserve">en </w:t>
      </w:r>
      <w:r>
        <w:rPr>
          <w:lang w:val="nl-NL"/>
        </w:rPr>
        <w:t xml:space="preserve">de </w:t>
      </w:r>
      <w:r w:rsidRPr="00CA55C0">
        <w:rPr>
          <w:lang w:val="nl-NL"/>
        </w:rPr>
        <w:t xml:space="preserve">Raad van Bestuur </w:t>
      </w:r>
      <w:r>
        <w:rPr>
          <w:lang w:val="nl-NL"/>
        </w:rPr>
        <w:t>(</w:t>
      </w:r>
      <w:r w:rsidRPr="00D56D5A">
        <w:rPr>
          <w:b/>
          <w:lang w:val="nl-NL"/>
        </w:rPr>
        <w:t>RvB</w:t>
      </w:r>
      <w:r>
        <w:rPr>
          <w:lang w:val="nl-NL"/>
        </w:rPr>
        <w:t xml:space="preserve">) </w:t>
      </w:r>
      <w:r w:rsidRPr="00CA55C0">
        <w:rPr>
          <w:lang w:val="nl-NL"/>
        </w:rPr>
        <w:t xml:space="preserve">van </w:t>
      </w:r>
      <w:r>
        <w:rPr>
          <w:lang w:val="nl-NL"/>
        </w:rPr>
        <w:t>TMG zullen het</w:t>
      </w:r>
      <w:r w:rsidRPr="00CA55C0">
        <w:rPr>
          <w:lang w:val="nl-NL"/>
        </w:rPr>
        <w:t xml:space="preserve"> </w:t>
      </w:r>
      <w:r w:rsidR="0049119A">
        <w:rPr>
          <w:lang w:val="nl-NL"/>
        </w:rPr>
        <w:t xml:space="preserve">Talpa </w:t>
      </w:r>
      <w:r w:rsidRPr="00CA55C0">
        <w:rPr>
          <w:lang w:val="nl-NL"/>
        </w:rPr>
        <w:t xml:space="preserve">Voorstel </w:t>
      </w:r>
      <w:r>
        <w:rPr>
          <w:lang w:val="nl-NL"/>
        </w:rPr>
        <w:t>overwegen en zullen dit s</w:t>
      </w:r>
      <w:r w:rsidRPr="00CA55C0">
        <w:rPr>
          <w:lang w:val="nl-NL"/>
        </w:rPr>
        <w:t>amen met hun financiële</w:t>
      </w:r>
      <w:r w:rsidR="00DE5C90">
        <w:rPr>
          <w:lang w:val="nl-NL"/>
        </w:rPr>
        <w:t>-</w:t>
      </w:r>
      <w:r w:rsidRPr="00CA55C0">
        <w:rPr>
          <w:lang w:val="nl-NL"/>
        </w:rPr>
        <w:t xml:space="preserve"> en juridische adviseurs</w:t>
      </w:r>
      <w:r>
        <w:rPr>
          <w:lang w:val="nl-NL"/>
        </w:rPr>
        <w:t xml:space="preserve"> </w:t>
      </w:r>
      <w:r w:rsidRPr="00CA55C0">
        <w:rPr>
          <w:lang w:val="nl-NL"/>
        </w:rPr>
        <w:t>zorgvuldig beoordelen</w:t>
      </w:r>
      <w:r>
        <w:rPr>
          <w:lang w:val="nl-NL"/>
        </w:rPr>
        <w:t xml:space="preserve">. Het </w:t>
      </w:r>
      <w:r w:rsidR="0049119A">
        <w:rPr>
          <w:lang w:val="nl-NL"/>
        </w:rPr>
        <w:t>Talpa</w:t>
      </w:r>
      <w:r w:rsidR="00DE5C90">
        <w:rPr>
          <w:lang w:val="nl-NL"/>
        </w:rPr>
        <w:t xml:space="preserve"> Voorstel</w:t>
      </w:r>
      <w:r>
        <w:rPr>
          <w:lang w:val="nl-NL"/>
        </w:rPr>
        <w:t xml:space="preserve"> zal worden vergeleke</w:t>
      </w:r>
      <w:r w:rsidRPr="00CA55C0">
        <w:rPr>
          <w:lang w:val="nl-NL"/>
        </w:rPr>
        <w:t>n met de zelfstandige strategie</w:t>
      </w:r>
      <w:r>
        <w:rPr>
          <w:lang w:val="nl-NL"/>
        </w:rPr>
        <w:t xml:space="preserve"> van TMG </w:t>
      </w:r>
      <w:r w:rsidRPr="00CA55C0">
        <w:rPr>
          <w:lang w:val="nl-NL"/>
        </w:rPr>
        <w:t xml:space="preserve">en </w:t>
      </w:r>
      <w:r>
        <w:rPr>
          <w:lang w:val="nl-NL"/>
        </w:rPr>
        <w:t>andere</w:t>
      </w:r>
      <w:r w:rsidRPr="00CA55C0">
        <w:rPr>
          <w:lang w:val="nl-NL"/>
        </w:rPr>
        <w:t xml:space="preserve"> strategische alternatieven</w:t>
      </w:r>
      <w:r>
        <w:rPr>
          <w:lang w:val="nl-NL"/>
        </w:rPr>
        <w:t xml:space="preserve">, waaronder het voorstel dat ontvangen is van het Mediahuis en het VP Exploitatie consortium waarover TMG momenteel met </w:t>
      </w:r>
      <w:r w:rsidRPr="00B31E49">
        <w:rPr>
          <w:lang w:val="nl-NL"/>
        </w:rPr>
        <w:t xml:space="preserve">Mediahuis en het VP Exploitatie </w:t>
      </w:r>
      <w:r>
        <w:rPr>
          <w:lang w:val="nl-NL"/>
        </w:rPr>
        <w:t>in gesprek is</w:t>
      </w:r>
      <w:r w:rsidRPr="00CA55C0">
        <w:rPr>
          <w:lang w:val="nl-NL"/>
        </w:rPr>
        <w:t xml:space="preserve">. </w:t>
      </w:r>
      <w:r>
        <w:rPr>
          <w:lang w:val="nl-NL"/>
        </w:rPr>
        <w:t xml:space="preserve">Hierbij houden de RvC en RvB </w:t>
      </w:r>
      <w:r w:rsidRPr="00CA55C0">
        <w:rPr>
          <w:lang w:val="nl-NL"/>
        </w:rPr>
        <w:t xml:space="preserve">nadrukkelijk rekening met de belangen van alle stakeholders van TMG, </w:t>
      </w:r>
      <w:r>
        <w:rPr>
          <w:lang w:val="nl-NL"/>
        </w:rPr>
        <w:t>met inbegrip van</w:t>
      </w:r>
      <w:r w:rsidRPr="00CA55C0">
        <w:rPr>
          <w:lang w:val="nl-NL"/>
        </w:rPr>
        <w:t xml:space="preserve"> de aandeelhouders. </w:t>
      </w:r>
    </w:p>
    <w:p w14:paraId="0E197072" w14:textId="77777777" w:rsidR="008E3FB3" w:rsidRPr="00CA55C0" w:rsidRDefault="00542FC7" w:rsidP="008E3FB3">
      <w:pPr>
        <w:pStyle w:val="AODocTxt"/>
        <w:rPr>
          <w:lang w:val="nl-NL"/>
        </w:rPr>
      </w:pPr>
      <w:r w:rsidRPr="00CA55C0">
        <w:rPr>
          <w:lang w:val="nl-NL"/>
        </w:rPr>
        <w:t>Verdere mededelingen zullen worden gedaan indien van toepassing.</w:t>
      </w:r>
    </w:p>
    <w:p w14:paraId="00FB6C4E" w14:textId="77777777" w:rsidR="008E3FB3" w:rsidRDefault="00542FC7" w:rsidP="008E3FB3">
      <w:pPr>
        <w:pStyle w:val="AODocTxt"/>
        <w:rPr>
          <w:i/>
          <w:iCs/>
          <w:lang w:val="nl-NL"/>
        </w:rPr>
      </w:pPr>
      <w:r w:rsidRPr="00CA55C0">
        <w:rPr>
          <w:i/>
          <w:iCs/>
          <w:lang w:val="nl-NL"/>
        </w:rPr>
        <w:t xml:space="preserve">Dit is een openbare aankondiging van Telegraaf Media Groep N.V. ingevolge artikel 17, paragraaf 1 van de Europese Marktmisbruik Verordening (596/2014). Deze openbare aankondiging bevat geen </w:t>
      </w:r>
      <w:r>
        <w:rPr>
          <w:i/>
          <w:iCs/>
          <w:lang w:val="nl-NL"/>
        </w:rPr>
        <w:t>offerte, noch</w:t>
      </w:r>
      <w:r w:rsidRPr="00CA55C0">
        <w:rPr>
          <w:i/>
          <w:iCs/>
          <w:lang w:val="nl-NL"/>
        </w:rPr>
        <w:t xml:space="preserve"> een uitnodiging tot het doen van een bod, voor het kopen of aanbieden van effecten in Telegraaf Media Groep N.V.</w:t>
      </w:r>
    </w:p>
    <w:p w14:paraId="4876AA3A" w14:textId="77777777" w:rsidR="008E3FB3" w:rsidRPr="00CA55C0" w:rsidRDefault="008E3FB3" w:rsidP="008E3FB3">
      <w:pPr>
        <w:pStyle w:val="AODocTxt"/>
        <w:rPr>
          <w:lang w:val="nl-NL"/>
        </w:rPr>
      </w:pPr>
    </w:p>
    <w:p w14:paraId="0B6D4E43" w14:textId="77777777" w:rsidR="008E3FB3" w:rsidRDefault="00542FC7" w:rsidP="008E3FB3">
      <w:pPr>
        <w:pStyle w:val="AODocTxt"/>
        <w:keepNext/>
        <w:spacing w:before="0"/>
        <w:rPr>
          <w:b/>
          <w:bCs/>
          <w:i/>
          <w:iCs/>
          <w:sz w:val="16"/>
          <w:szCs w:val="16"/>
          <w:lang w:val="nl-NL"/>
        </w:rPr>
      </w:pPr>
      <w:r w:rsidRPr="00CA55C0">
        <w:rPr>
          <w:b/>
          <w:bCs/>
          <w:i/>
          <w:iCs/>
          <w:sz w:val="16"/>
          <w:szCs w:val="16"/>
          <w:lang w:val="nl-NL"/>
        </w:rPr>
        <w:t>Over Telegraaf Media Groep</w:t>
      </w:r>
    </w:p>
    <w:p w14:paraId="7B602173" w14:textId="77777777" w:rsidR="008E3FB3" w:rsidRPr="00CA55C0" w:rsidRDefault="00542FC7" w:rsidP="008E3FB3">
      <w:pPr>
        <w:pStyle w:val="AODocTxt"/>
        <w:spacing w:before="0"/>
        <w:rPr>
          <w:sz w:val="16"/>
          <w:szCs w:val="16"/>
          <w:lang w:val="nl-NL"/>
        </w:rPr>
      </w:pPr>
      <w:r w:rsidRPr="00CA55C0">
        <w:rPr>
          <w:sz w:val="16"/>
          <w:szCs w:val="16"/>
          <w:lang w:val="nl-NL"/>
        </w:rPr>
        <w:t xml:space="preserve">Telegraaf Media Groep N.V. (TMG) is </w:t>
      </w:r>
      <w:r>
        <w:rPr>
          <w:sz w:val="16"/>
          <w:szCs w:val="16"/>
          <w:lang w:val="nl-NL"/>
        </w:rPr>
        <w:t>het</w:t>
      </w:r>
      <w:r w:rsidRPr="00CA55C0">
        <w:rPr>
          <w:sz w:val="16"/>
          <w:szCs w:val="16"/>
          <w:lang w:val="nl-NL"/>
        </w:rPr>
        <w:t xml:space="preserve"> grootste mediabedrij</w:t>
      </w:r>
      <w:r>
        <w:rPr>
          <w:sz w:val="16"/>
          <w:szCs w:val="16"/>
          <w:lang w:val="nl-NL"/>
        </w:rPr>
        <w:t>f</w:t>
      </w:r>
      <w:r w:rsidRPr="00CA55C0">
        <w:rPr>
          <w:sz w:val="16"/>
          <w:szCs w:val="16"/>
          <w:lang w:val="nl-NL"/>
        </w:rPr>
        <w:t xml:space="preserve"> in Nederland, met sterke merken als De Telegraaf, DFT, Telesport, Metro, Autovisie, Privé en VROUW; regionale dagbladen zoals </w:t>
      </w:r>
      <w:r>
        <w:rPr>
          <w:sz w:val="16"/>
          <w:szCs w:val="16"/>
          <w:lang w:val="nl-NL"/>
        </w:rPr>
        <w:t xml:space="preserve">het </w:t>
      </w:r>
      <w:r w:rsidRPr="00CA55C0">
        <w:rPr>
          <w:sz w:val="16"/>
          <w:szCs w:val="16"/>
          <w:lang w:val="nl-NL"/>
        </w:rPr>
        <w:t xml:space="preserve">Noordhollands Dagblad en </w:t>
      </w:r>
      <w:r>
        <w:rPr>
          <w:sz w:val="16"/>
          <w:szCs w:val="16"/>
          <w:lang w:val="nl-NL"/>
        </w:rPr>
        <w:t xml:space="preserve">de </w:t>
      </w:r>
      <w:r w:rsidRPr="00CA55C0">
        <w:rPr>
          <w:sz w:val="16"/>
          <w:szCs w:val="16"/>
          <w:lang w:val="nl-NL"/>
        </w:rPr>
        <w:t>Gooi- en Eemlander; digitale merken zoals GeenStijl, Dumpert en Gaspedaal; Classic FM en – via een strategisch</w:t>
      </w:r>
      <w:r>
        <w:rPr>
          <w:sz w:val="16"/>
          <w:szCs w:val="16"/>
          <w:lang w:val="nl-NL"/>
        </w:rPr>
        <w:t>e</w:t>
      </w:r>
      <w:r w:rsidRPr="00CA55C0">
        <w:rPr>
          <w:sz w:val="16"/>
          <w:szCs w:val="16"/>
          <w:lang w:val="nl-NL"/>
        </w:rPr>
        <w:t xml:space="preserve"> partnership - de landelijke radiozenders Sky Radio, Radio Veronica, Radio 538 en Radio 10. Daarnaast hebben we tientallen andere merken en titels die zich richten op lokale nieuwsvoorziening, entertainment of e-commerce (o.a. GroupDeal). Via Keesing Media Group zijn we marktleider in Europa </w:t>
      </w:r>
      <w:r>
        <w:rPr>
          <w:sz w:val="16"/>
          <w:szCs w:val="16"/>
          <w:lang w:val="nl-NL"/>
        </w:rPr>
        <w:t>op het gebied van</w:t>
      </w:r>
      <w:r w:rsidRPr="00CA55C0">
        <w:rPr>
          <w:sz w:val="16"/>
          <w:szCs w:val="16"/>
          <w:lang w:val="nl-NL"/>
        </w:rPr>
        <w:t xml:space="preserve"> puzzelbladen en digitale puzzels. Onze missie is </w:t>
      </w:r>
      <w:r>
        <w:rPr>
          <w:sz w:val="16"/>
          <w:szCs w:val="16"/>
          <w:lang w:val="nl-NL"/>
        </w:rPr>
        <w:t xml:space="preserve">om </w:t>
      </w:r>
      <w:r w:rsidRPr="00CA55C0">
        <w:rPr>
          <w:sz w:val="16"/>
          <w:szCs w:val="16"/>
          <w:lang w:val="nl-NL"/>
        </w:rPr>
        <w:t xml:space="preserve">consumenten 24 uur per dag, 7 dagen per week te voorzien van hoogwaardige, gepersonaliseerde en relevante content op het gebied van nieuws, sport en entertainment, via alle denkbare distributievormen. Voor meer informatie over TMG ga naar: </w:t>
      </w:r>
      <w:hyperlink r:id="rId10" w:history="1">
        <w:r w:rsidRPr="00CA55C0">
          <w:rPr>
            <w:rStyle w:val="Hyperlink"/>
            <w:sz w:val="16"/>
            <w:szCs w:val="16"/>
            <w:lang w:val="nl-NL"/>
          </w:rPr>
          <w:t>www.tmg.nl</w:t>
        </w:r>
      </w:hyperlink>
      <w:r w:rsidRPr="00CA55C0">
        <w:rPr>
          <w:sz w:val="16"/>
          <w:szCs w:val="16"/>
          <w:lang w:val="nl-NL"/>
        </w:rPr>
        <w:t>.</w:t>
      </w:r>
    </w:p>
    <w:p w14:paraId="636D55FE" w14:textId="77777777" w:rsidR="0049119A" w:rsidRDefault="0049119A">
      <w:pPr>
        <w:spacing w:line="260" w:lineRule="atLeast"/>
        <w:rPr>
          <w:sz w:val="32"/>
          <w:lang w:val="en"/>
        </w:rPr>
      </w:pPr>
      <w:r>
        <w:rPr>
          <w:sz w:val="32"/>
          <w:lang w:val="en"/>
        </w:rPr>
        <w:br w:type="page"/>
      </w:r>
    </w:p>
    <w:p w14:paraId="72B0525D" w14:textId="6B6F0537" w:rsidR="0049119A" w:rsidRPr="00B600E6" w:rsidRDefault="0049119A" w:rsidP="0049119A">
      <w:pPr>
        <w:pStyle w:val="AODocTxt"/>
        <w:rPr>
          <w:sz w:val="32"/>
          <w:lang w:val="en"/>
        </w:rPr>
      </w:pPr>
      <w:r w:rsidRPr="00B600E6">
        <w:rPr>
          <w:sz w:val="32"/>
          <w:lang w:val="en"/>
        </w:rPr>
        <w:lastRenderedPageBreak/>
        <w:t xml:space="preserve">TMG </w:t>
      </w:r>
      <w:r>
        <w:rPr>
          <w:sz w:val="32"/>
          <w:lang w:val="en"/>
        </w:rPr>
        <w:t xml:space="preserve">confirms receipt </w:t>
      </w:r>
      <w:r w:rsidRPr="00B600E6">
        <w:rPr>
          <w:sz w:val="32"/>
          <w:lang w:val="en"/>
        </w:rPr>
        <w:t xml:space="preserve">unsolicited </w:t>
      </w:r>
      <w:r w:rsidR="00645338">
        <w:rPr>
          <w:sz w:val="32"/>
          <w:lang w:val="en"/>
        </w:rPr>
        <w:t xml:space="preserve">conditional </w:t>
      </w:r>
      <w:r w:rsidRPr="00B600E6">
        <w:rPr>
          <w:sz w:val="32"/>
          <w:lang w:val="en"/>
        </w:rPr>
        <w:t>proposal o</w:t>
      </w:r>
      <w:r>
        <w:rPr>
          <w:sz w:val="32"/>
          <w:lang w:val="en"/>
        </w:rPr>
        <w:t xml:space="preserve">f Talpa Holding N.V. </w:t>
      </w:r>
    </w:p>
    <w:p w14:paraId="7154C034" w14:textId="7583359E" w:rsidR="0049119A" w:rsidRPr="00B600E6" w:rsidRDefault="0049119A" w:rsidP="0049119A">
      <w:pPr>
        <w:pStyle w:val="AODocTxt"/>
        <w:rPr>
          <w:lang w:val="en"/>
        </w:rPr>
      </w:pPr>
      <w:r w:rsidRPr="00B600E6">
        <w:rPr>
          <w:lang w:val="en"/>
        </w:rPr>
        <w:t xml:space="preserve">In response to </w:t>
      </w:r>
      <w:r>
        <w:rPr>
          <w:lang w:val="en"/>
        </w:rPr>
        <w:t>the public announcement made by Talpa Holding N.V.,</w:t>
      </w:r>
      <w:r w:rsidRPr="00B600E6">
        <w:rPr>
          <w:lang w:val="en"/>
        </w:rPr>
        <w:t xml:space="preserve"> Telegraaf Media Groep N.V. (</w:t>
      </w:r>
      <w:r w:rsidRPr="00B600E6">
        <w:rPr>
          <w:b/>
          <w:bCs/>
          <w:lang w:val="en"/>
        </w:rPr>
        <w:t>TMG</w:t>
      </w:r>
      <w:r w:rsidRPr="00B600E6">
        <w:rPr>
          <w:lang w:val="en"/>
        </w:rPr>
        <w:t xml:space="preserve">) confirms that it has received an unsolicited non-binding, conditional proposal from </w:t>
      </w:r>
      <w:r>
        <w:rPr>
          <w:lang w:val="en"/>
        </w:rPr>
        <w:t>Talpa</w:t>
      </w:r>
      <w:r w:rsidRPr="00B600E6">
        <w:rPr>
          <w:lang w:val="en"/>
        </w:rPr>
        <w:t xml:space="preserve"> for the acquisition of all issued and outstanding depository receipts of TMG at an indicative offer price of EUR </w:t>
      </w:r>
      <w:r>
        <w:rPr>
          <w:lang w:val="en"/>
        </w:rPr>
        <w:t>5,90</w:t>
      </w:r>
      <w:r w:rsidRPr="00B600E6">
        <w:rPr>
          <w:lang w:val="en"/>
        </w:rPr>
        <w:t xml:space="preserve"> (cum dividend) in cash per depositary receipt in TMG (</w:t>
      </w:r>
      <w:r w:rsidRPr="00B600E6">
        <w:rPr>
          <w:b/>
          <w:bCs/>
          <w:lang w:val="en"/>
        </w:rPr>
        <w:t xml:space="preserve">the </w:t>
      </w:r>
      <w:r>
        <w:rPr>
          <w:b/>
          <w:bCs/>
          <w:lang w:val="en"/>
        </w:rPr>
        <w:t xml:space="preserve">Talpa </w:t>
      </w:r>
      <w:r w:rsidRPr="00B600E6">
        <w:rPr>
          <w:b/>
          <w:bCs/>
          <w:lang w:val="en"/>
        </w:rPr>
        <w:t>Proposal</w:t>
      </w:r>
      <w:r w:rsidRPr="00B600E6">
        <w:rPr>
          <w:lang w:val="en"/>
        </w:rPr>
        <w:t>).</w:t>
      </w:r>
      <w:r>
        <w:rPr>
          <w:lang w:val="en"/>
        </w:rPr>
        <w:t xml:space="preserve"> </w:t>
      </w:r>
    </w:p>
    <w:p w14:paraId="5B5E85FF" w14:textId="392DF35D" w:rsidR="0049119A" w:rsidRDefault="0049119A" w:rsidP="0049119A">
      <w:pPr>
        <w:pStyle w:val="AODocTxt"/>
        <w:rPr>
          <w:lang w:val="en"/>
        </w:rPr>
      </w:pPr>
      <w:r w:rsidRPr="00B600E6">
        <w:rPr>
          <w:lang w:val="en"/>
        </w:rPr>
        <w:t xml:space="preserve">The Supervisory Board </w:t>
      </w:r>
      <w:r>
        <w:rPr>
          <w:lang w:val="en"/>
        </w:rPr>
        <w:t>(</w:t>
      </w:r>
      <w:r>
        <w:rPr>
          <w:b/>
          <w:lang w:val="en"/>
        </w:rPr>
        <w:t xml:space="preserve">Supervisory </w:t>
      </w:r>
      <w:r w:rsidRPr="008C4288">
        <w:rPr>
          <w:b/>
          <w:lang w:val="en"/>
        </w:rPr>
        <w:t>Board</w:t>
      </w:r>
      <w:r>
        <w:rPr>
          <w:lang w:val="en"/>
        </w:rPr>
        <w:t xml:space="preserve">) </w:t>
      </w:r>
      <w:r w:rsidRPr="008C4288">
        <w:rPr>
          <w:lang w:val="en"/>
        </w:rPr>
        <w:t>and</w:t>
      </w:r>
      <w:r w:rsidRPr="00B600E6">
        <w:rPr>
          <w:lang w:val="en"/>
        </w:rPr>
        <w:t xml:space="preserve"> Executive Board </w:t>
      </w:r>
      <w:r>
        <w:rPr>
          <w:lang w:val="en"/>
        </w:rPr>
        <w:t>(</w:t>
      </w:r>
      <w:r w:rsidRPr="008C4288">
        <w:rPr>
          <w:b/>
          <w:lang w:val="en"/>
        </w:rPr>
        <w:t>Executive Board</w:t>
      </w:r>
      <w:r>
        <w:rPr>
          <w:lang w:val="en"/>
        </w:rPr>
        <w:t>)</w:t>
      </w:r>
      <w:r w:rsidRPr="00B600E6">
        <w:rPr>
          <w:lang w:val="en"/>
        </w:rPr>
        <w:t xml:space="preserve"> </w:t>
      </w:r>
      <w:r>
        <w:rPr>
          <w:lang w:val="en"/>
        </w:rPr>
        <w:t xml:space="preserve">of </w:t>
      </w:r>
      <w:r w:rsidRPr="00B600E6">
        <w:rPr>
          <w:lang w:val="en"/>
        </w:rPr>
        <w:t xml:space="preserve">TMG are carefully reviewing and considering the </w:t>
      </w:r>
      <w:r>
        <w:rPr>
          <w:lang w:val="en"/>
        </w:rPr>
        <w:t xml:space="preserve">Talpa </w:t>
      </w:r>
      <w:r w:rsidRPr="00B600E6">
        <w:rPr>
          <w:lang w:val="en"/>
        </w:rPr>
        <w:t xml:space="preserve">Proposal, together with their financial and legal advisors, in comparison to the stand alone strategy </w:t>
      </w:r>
      <w:r>
        <w:rPr>
          <w:lang w:val="en"/>
        </w:rPr>
        <w:t>and other strategic alternatives including the proposal received from the Mediahuis and VP Exploitatie consortium about which TMG is in ongoing discussions with</w:t>
      </w:r>
      <w:r w:rsidRPr="00344B6A">
        <w:t xml:space="preserve"> </w:t>
      </w:r>
      <w:r w:rsidRPr="00344B6A">
        <w:rPr>
          <w:lang w:val="en"/>
        </w:rPr>
        <w:t>Mediahuis and VP Exploitatie</w:t>
      </w:r>
      <w:r w:rsidRPr="00B600E6">
        <w:rPr>
          <w:lang w:val="en"/>
        </w:rPr>
        <w:t xml:space="preserve">. </w:t>
      </w:r>
      <w:r>
        <w:rPr>
          <w:lang w:val="en"/>
        </w:rPr>
        <w:t>The Supervisory Board and Executive Board</w:t>
      </w:r>
      <w:r w:rsidRPr="00B600E6">
        <w:rPr>
          <w:lang w:val="en"/>
        </w:rPr>
        <w:t xml:space="preserve"> will explicitly take into account the interests of all stakeholders of TMG, including the shareholders. </w:t>
      </w:r>
    </w:p>
    <w:p w14:paraId="54477242" w14:textId="77777777" w:rsidR="0049119A" w:rsidRPr="00B600E6" w:rsidRDefault="0049119A" w:rsidP="0049119A">
      <w:pPr>
        <w:pStyle w:val="AODocTxt"/>
        <w:rPr>
          <w:lang w:val="en"/>
        </w:rPr>
      </w:pPr>
      <w:r w:rsidRPr="00B600E6">
        <w:rPr>
          <w:lang w:val="en"/>
        </w:rPr>
        <w:t>Further announcements will be made if and when required.</w:t>
      </w:r>
    </w:p>
    <w:p w14:paraId="53F73A06" w14:textId="77777777" w:rsidR="0049119A" w:rsidRPr="00B600E6" w:rsidRDefault="0049119A" w:rsidP="0049119A">
      <w:pPr>
        <w:pStyle w:val="AODocTxt"/>
        <w:rPr>
          <w:lang w:val="en"/>
        </w:rPr>
      </w:pPr>
      <w:r w:rsidRPr="00B600E6">
        <w:rPr>
          <w:i/>
          <w:iCs/>
          <w:lang w:val="en"/>
        </w:rPr>
        <w:t>This is a public announcement by Telegraaf Media Groep N.V. pursuant to section 17 paragraph 1 of the European Market Abuse Regulation (596/2014). This public announcement does not constitute an offer, or any solicitation of any offer, to buy or subscribe for any securities in Telegraaf Media Groep N.V.</w:t>
      </w:r>
    </w:p>
    <w:p w14:paraId="4E79CF2C" w14:textId="77777777" w:rsidR="0049119A" w:rsidRDefault="0049119A" w:rsidP="0049119A">
      <w:pPr>
        <w:pStyle w:val="AODocTxt"/>
        <w:jc w:val="left"/>
        <w:rPr>
          <w:b/>
          <w:bCs/>
          <w:sz w:val="16"/>
          <w:lang w:val="en"/>
        </w:rPr>
      </w:pPr>
    </w:p>
    <w:p w14:paraId="320DA067" w14:textId="77777777" w:rsidR="0049119A" w:rsidRPr="001E22B9" w:rsidRDefault="0049119A" w:rsidP="0049119A">
      <w:pPr>
        <w:pStyle w:val="AODocTxt"/>
        <w:jc w:val="left"/>
        <w:rPr>
          <w:sz w:val="16"/>
          <w:lang w:val="en"/>
        </w:rPr>
      </w:pPr>
      <w:r w:rsidRPr="001E22B9">
        <w:rPr>
          <w:b/>
          <w:bCs/>
          <w:sz w:val="16"/>
          <w:lang w:val="en"/>
        </w:rPr>
        <w:t>About Telegraaf Media Groep</w:t>
      </w:r>
      <w:r w:rsidRPr="001E22B9">
        <w:rPr>
          <w:sz w:val="16"/>
          <w:lang w:val="en"/>
        </w:rPr>
        <w:br/>
        <w:t xml:space="preserve">Telegraaf Media Groep N.V. (TMG) is the largest Dutch media company in the Netherlands, with strong brands such as De Telegraaf, DFT, Telesport, Metro, Autovisie, Privé and VROUW; regional dailies such as Noordhollands Dagblad and de Gooi- en Eemlander; digital brands such as GeenStijl, Dumpert and Gaspedaal; Classic FM and – through a strategic collaboration – national radio stations Sky Radio, Radio Veronica, Radio 538 and Radio 10. We also have dozens of other brands and titles that focus on providing local news, entertainment or e-commerce (e.g., GroupDeal). Through Keesing Media Group, we are market leader in Europe in the field of puzzle magazines and digital puzzles. It is TMG’s mission to provide consumers with high-quality, personalised and relevant news, sport and entertainment 24 hours a day, 7 days a week, via any available form of distribution. For more information about TMG, go to </w:t>
      </w:r>
      <w:hyperlink r:id="rId11" w:history="1">
        <w:r w:rsidRPr="001E22B9">
          <w:rPr>
            <w:rStyle w:val="Hyperlink"/>
            <w:sz w:val="16"/>
            <w:lang w:val="en"/>
          </w:rPr>
          <w:t>www.tmg.nl</w:t>
        </w:r>
      </w:hyperlink>
      <w:r w:rsidRPr="001E22B9">
        <w:rPr>
          <w:sz w:val="16"/>
          <w:lang w:val="en"/>
        </w:rPr>
        <w:t>.</w:t>
      </w:r>
    </w:p>
    <w:p w14:paraId="31F03310" w14:textId="77777777" w:rsidR="008E3FB3" w:rsidRPr="00F20D12" w:rsidRDefault="008E3FB3" w:rsidP="008E3FB3">
      <w:pPr>
        <w:pStyle w:val="AODocTxt"/>
        <w:rPr>
          <w:lang w:val="nl-NL"/>
        </w:rPr>
      </w:pPr>
    </w:p>
    <w:sectPr w:rsidR="008E3FB3" w:rsidRPr="00F20D12" w:rsidSect="008E3FB3">
      <w:headerReference w:type="even" r:id="rId12"/>
      <w:headerReference w:type="default" r:id="rId13"/>
      <w:footerReference w:type="even" r:id="rId14"/>
      <w:footerReference w:type="default" r:id="rId15"/>
      <w:headerReference w:type="first" r:id="rId16"/>
      <w:footerReference w:type="first" r:id="rId17"/>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526C7" w14:textId="77777777" w:rsidR="00F466C5" w:rsidRDefault="00F466C5">
      <w:r>
        <w:separator/>
      </w:r>
    </w:p>
  </w:endnote>
  <w:endnote w:type="continuationSeparator" w:id="0">
    <w:p w14:paraId="43F5EC22" w14:textId="77777777" w:rsidR="00F466C5" w:rsidRDefault="00F4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F7D84" w14:textId="77777777" w:rsidR="00DE5C90" w:rsidRDefault="00DE5C9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73A7" w14:textId="77777777" w:rsidR="00DE5C90" w:rsidRPr="00542FC7" w:rsidRDefault="00DE5C90" w:rsidP="00542FC7">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3"/>
      <w:gridCol w:w="3286"/>
      <w:gridCol w:w="3286"/>
    </w:tblGrid>
    <w:tr w:rsidR="00DE5C90" w14:paraId="08AD262E" w14:textId="77777777" w:rsidTr="008E3FB3">
      <w:tc>
        <w:tcPr>
          <w:tcW w:w="5000" w:type="pct"/>
          <w:gridSpan w:val="3"/>
          <w:tcMar>
            <w:top w:w="170" w:type="dxa"/>
          </w:tcMar>
        </w:tcPr>
        <w:p w14:paraId="4B8000D7" w14:textId="77777777" w:rsidR="00DE5C90" w:rsidRDefault="00F466C5" w:rsidP="008E3FB3">
          <w:pPr>
            <w:pStyle w:val="AONormal8LBold"/>
          </w:pPr>
          <w:r>
            <w:fldChar w:fldCharType="begin"/>
          </w:r>
          <w:r>
            <w:instrText xml:space="preserve"> DOCPROPERTY  cpFooterText </w:instrText>
          </w:r>
          <w:r>
            <w:fldChar w:fldCharType="separate"/>
          </w:r>
          <w:r w:rsidR="00DE5C90">
            <w:t xml:space="preserve"> </w:t>
          </w:r>
          <w:r>
            <w:fldChar w:fldCharType="end"/>
          </w:r>
        </w:p>
      </w:tc>
    </w:tr>
    <w:tr w:rsidR="00DE5C90" w14:paraId="3CBE58C5" w14:textId="77777777" w:rsidTr="008E3FB3">
      <w:tc>
        <w:tcPr>
          <w:tcW w:w="1666" w:type="pct"/>
        </w:tcPr>
        <w:p w14:paraId="759E5FAA" w14:textId="77777777" w:rsidR="00DE5C90" w:rsidRDefault="00687FEA" w:rsidP="008E3FB3">
          <w:pPr>
            <w:pStyle w:val="AONormal8L"/>
          </w:pPr>
          <w:fldSimple w:instr=" DOCPROPERTY  cpCombinedRef ">
            <w:r w:rsidR="00DE5C90">
              <w:t>0088836-0000014 AMCO:8866605.1</w:t>
            </w:r>
          </w:fldSimple>
        </w:p>
      </w:tc>
      <w:tc>
        <w:tcPr>
          <w:tcW w:w="1667" w:type="pct"/>
        </w:tcPr>
        <w:p w14:paraId="57C8FC5C" w14:textId="77777777" w:rsidR="00DE5C90" w:rsidRDefault="00DE5C90" w:rsidP="008E3F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54863C26" w14:textId="77777777" w:rsidR="00DE5C90" w:rsidRDefault="00DE5C90" w:rsidP="008E3FB3">
          <w:pPr>
            <w:pStyle w:val="AONormal8R"/>
          </w:pPr>
        </w:p>
      </w:tc>
    </w:tr>
  </w:tbl>
  <w:p w14:paraId="6D6044AC" w14:textId="77777777" w:rsidR="00DE5C90" w:rsidRDefault="00DE5C9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F9AC" w14:textId="77777777" w:rsidR="00F466C5" w:rsidRDefault="00F466C5">
      <w:r>
        <w:separator/>
      </w:r>
    </w:p>
  </w:footnote>
  <w:footnote w:type="continuationSeparator" w:id="0">
    <w:p w14:paraId="1FDCC8F6" w14:textId="77777777" w:rsidR="00F466C5" w:rsidRDefault="00F46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15AE" w14:textId="77777777" w:rsidR="00DE5C90" w:rsidRDefault="00DE5C90">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855"/>
    </w:tblGrid>
    <w:tr w:rsidR="00DE5C90" w14:paraId="3A95031D" w14:textId="77777777" w:rsidTr="008E3FB3">
      <w:tc>
        <w:tcPr>
          <w:tcW w:w="5000" w:type="pct"/>
        </w:tcPr>
        <w:p w14:paraId="00042891" w14:textId="77777777" w:rsidR="00DE5C90" w:rsidRPr="00920631" w:rsidRDefault="00F466C5" w:rsidP="008E3FB3">
          <w:pPr>
            <w:pStyle w:val="AONormal8LBold"/>
          </w:pPr>
          <w:r>
            <w:fldChar w:fldCharType="begin"/>
          </w:r>
          <w:r>
            <w:instrText xml:space="preserve"> DOCPROPERTY  cpHeaderText </w:instrText>
          </w:r>
          <w:r>
            <w:fldChar w:fldCharType="separate"/>
          </w:r>
          <w:r w:rsidR="00DE5C90">
            <w:t xml:space="preserve"> </w:t>
          </w:r>
          <w:r>
            <w:fldChar w:fldCharType="end"/>
          </w:r>
        </w:p>
      </w:tc>
    </w:tr>
  </w:tbl>
  <w:p w14:paraId="01A55179" w14:textId="77777777" w:rsidR="00DE5C90" w:rsidRPr="00920631" w:rsidRDefault="00DE5C90" w:rsidP="008E3FB3">
    <w:pPr>
      <w:pStyle w:val="AONormal8L"/>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DE5C90" w14:paraId="20E05A02" w14:textId="77777777" w:rsidTr="008E3FB3">
      <w:tc>
        <w:tcPr>
          <w:tcW w:w="9854" w:type="dxa"/>
        </w:tcPr>
        <w:bookmarkStart w:id="1" w:name="bmkHeaderPrimaryDoc"/>
        <w:p w14:paraId="76B88C04" w14:textId="77777777" w:rsidR="00DE5C90" w:rsidRDefault="00DE5C90" w:rsidP="008E3FB3">
          <w:pPr>
            <w:pStyle w:val="AONormal8LBold"/>
          </w:pPr>
          <w:r>
            <w:fldChar w:fldCharType="begin"/>
          </w:r>
          <w:r>
            <w:instrText xml:space="preserve"> DOCPROPERTY  cpHeaderText </w:instrText>
          </w:r>
          <w:r>
            <w:fldChar w:fldCharType="separate"/>
          </w:r>
          <w:r>
            <w:t xml:space="preserve"> </w:t>
          </w:r>
          <w:r>
            <w:fldChar w:fldCharType="end"/>
          </w:r>
        </w:p>
      </w:tc>
    </w:tr>
    <w:bookmarkEnd w:id="1"/>
  </w:tbl>
  <w:p w14:paraId="59E9CF93" w14:textId="77777777" w:rsidR="00DE5C90" w:rsidRDefault="00DE5C90" w:rsidP="008E3FB3">
    <w:pPr>
      <w:pStyle w:val="AONormal8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9E7"/>
    <w:multiLevelType w:val="multilevel"/>
    <w:tmpl w:val="BCF46D80"/>
    <w:name w:val="AOApp"/>
    <w:lvl w:ilvl="0">
      <w:start w:val="1"/>
      <w:numFmt w:val="decimal"/>
      <w:pStyle w:val="AOAppHead"/>
      <w:suff w:val="nothing"/>
      <w:lvlText w:val="Aanhangsel %1"/>
      <w:lvlJc w:val="left"/>
      <w:pPr>
        <w:tabs>
          <w:tab w:val="num" w:pos="0"/>
        </w:tabs>
        <w:ind w:left="0" w:firstLine="0"/>
      </w:pPr>
      <w:rPr>
        <w:rFonts w:ascii="Times New Roman" w:hAnsi="Times New Roman"/>
        <w:b/>
        <w:caps/>
        <w:smallCaps w:val="0"/>
      </w:rPr>
    </w:lvl>
    <w:lvl w:ilvl="1">
      <w:start w:val="1"/>
      <w:numFmt w:val="decimal"/>
      <w:pStyle w:val="AOAppPartHead"/>
      <w:suff w:val="nothing"/>
      <w:lvlText w:val="Deel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nsid w:val="391D542D"/>
    <w:multiLevelType w:val="multilevel"/>
    <w:tmpl w:val="45F6657A"/>
    <w:name w:val="AOTOC67"/>
    <w:lvl w:ilvl="0">
      <w:start w:val="1"/>
      <w:numFmt w:val="decimal"/>
      <w:pStyle w:val="Inhopg6"/>
      <w:lvlText w:val="%1."/>
      <w:lvlJc w:val="left"/>
      <w:pPr>
        <w:tabs>
          <w:tab w:val="num" w:pos="720"/>
        </w:tabs>
        <w:ind w:left="720" w:hanging="720"/>
      </w:pPr>
      <w:rPr>
        <w:rFonts w:ascii="Times New Roman" w:hAnsi="Times New Roman" w:cs="Times New Roman"/>
      </w:rPr>
    </w:lvl>
    <w:lvl w:ilvl="1">
      <w:start w:val="1"/>
      <w:numFmt w:val="decimal"/>
      <w:pStyle w:val="Inhopg7"/>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nsid w:val="3D0E7D39"/>
    <w:multiLevelType w:val="multilevel"/>
    <w:tmpl w:val="4CE67578"/>
    <w:name w:val="AOSch"/>
    <w:lvl w:ilvl="0">
      <w:start w:val="1"/>
      <w:numFmt w:val="decimal"/>
      <w:pStyle w:val="AOSchHead"/>
      <w:suff w:val="nothing"/>
      <w:lvlText w:val="Bijlag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Deel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nsid w:val="49C66851"/>
    <w:multiLevelType w:val="multilevel"/>
    <w:tmpl w:val="D30AB49A"/>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Deel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511C70D7"/>
    <w:multiLevelType w:val="multilevel"/>
    <w:tmpl w:val="00C0204E"/>
    <w:name w:val="AOTOC34"/>
    <w:lvl w:ilvl="0">
      <w:start w:val="1"/>
      <w:numFmt w:val="decimal"/>
      <w:pStyle w:val="Inhopg3"/>
      <w:lvlText w:val="%1."/>
      <w:lvlJc w:val="left"/>
      <w:pPr>
        <w:tabs>
          <w:tab w:val="num" w:pos="720"/>
        </w:tabs>
        <w:ind w:left="720" w:hanging="720"/>
      </w:pPr>
      <w:rPr>
        <w:rFonts w:ascii="Times New Roman" w:hAnsi="Times New Roman" w:cs="Times New Roman"/>
      </w:rPr>
    </w:lvl>
    <w:lvl w:ilvl="1">
      <w:start w:val="1"/>
      <w:numFmt w:val="decimal"/>
      <w:pStyle w:val="Inhopg4"/>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nsid w:val="6AA227D0"/>
    <w:multiLevelType w:val="multilevel"/>
    <w:tmpl w:val="2F2E3EB0"/>
    <w:name w:val="AOTOC89"/>
    <w:lvl w:ilvl="0">
      <w:start w:val="1"/>
      <w:numFmt w:val="decimal"/>
      <w:pStyle w:val="Inhopg8"/>
      <w:lvlText w:val="%1."/>
      <w:lvlJc w:val="left"/>
      <w:pPr>
        <w:tabs>
          <w:tab w:val="num" w:pos="720"/>
        </w:tabs>
        <w:ind w:left="720" w:hanging="720"/>
      </w:pPr>
      <w:rPr>
        <w:rFonts w:ascii="Times New Roman" w:hAnsi="Times New Roman" w:cs="Times New Roman"/>
      </w:rPr>
    </w:lvl>
    <w:lvl w:ilvl="1">
      <w:start w:val="1"/>
      <w:numFmt w:val="decimal"/>
      <w:pStyle w:val="Inhopg9"/>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52"/>
    <w:rsid w:val="0049119A"/>
    <w:rsid w:val="00542FC7"/>
    <w:rsid w:val="00645338"/>
    <w:rsid w:val="00662CDA"/>
    <w:rsid w:val="00687FEA"/>
    <w:rsid w:val="008E3FB3"/>
    <w:rsid w:val="008F0652"/>
    <w:rsid w:val="00AA3685"/>
    <w:rsid w:val="00B946D1"/>
    <w:rsid w:val="00C85700"/>
    <w:rsid w:val="00DE5C90"/>
    <w:rsid w:val="00F466C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43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next w:val="AONormal"/>
    <w:qFormat/>
    <w:rsid w:val="00CA6867"/>
    <w:pPr>
      <w:spacing w:line="240" w:lineRule="auto"/>
    </w:pPr>
    <w:rPr>
      <w:rFonts w:cs="Times New Roman"/>
    </w:rPr>
  </w:style>
  <w:style w:type="paragraph" w:styleId="Kop1">
    <w:name w:val="heading 1"/>
    <w:basedOn w:val="AOHeadings"/>
    <w:next w:val="AODocTxt"/>
    <w:link w:val="Kop1Teken"/>
    <w:uiPriority w:val="9"/>
    <w:qFormat/>
    <w:rsid w:val="001E7139"/>
    <w:pPr>
      <w:keepNext/>
      <w:outlineLvl w:val="0"/>
    </w:pPr>
    <w:rPr>
      <w:rFonts w:eastAsia="Times New Roman"/>
      <w:b/>
      <w:bCs/>
      <w:caps/>
      <w:szCs w:val="28"/>
    </w:rPr>
  </w:style>
  <w:style w:type="paragraph" w:styleId="Kop2">
    <w:name w:val="heading 2"/>
    <w:basedOn w:val="AOHeadings"/>
    <w:next w:val="AODocTxt"/>
    <w:link w:val="Kop2Teken"/>
    <w:uiPriority w:val="9"/>
    <w:semiHidden/>
    <w:unhideWhenUsed/>
    <w:qFormat/>
    <w:rsid w:val="001E7139"/>
    <w:pPr>
      <w:keepNext/>
      <w:outlineLvl w:val="1"/>
    </w:pPr>
    <w:rPr>
      <w:rFonts w:eastAsia="Times New Roman"/>
      <w:b/>
      <w:bCs/>
      <w:szCs w:val="26"/>
    </w:rPr>
  </w:style>
  <w:style w:type="paragraph" w:styleId="Kop3">
    <w:name w:val="heading 3"/>
    <w:basedOn w:val="AOHeadings"/>
    <w:next w:val="AODocTxt"/>
    <w:link w:val="Kop3Teken"/>
    <w:uiPriority w:val="9"/>
    <w:semiHidden/>
    <w:unhideWhenUsed/>
    <w:qFormat/>
    <w:rsid w:val="001E7139"/>
    <w:pPr>
      <w:outlineLvl w:val="2"/>
    </w:pPr>
    <w:rPr>
      <w:rFonts w:eastAsia="Times New Roman"/>
      <w:bCs/>
    </w:rPr>
  </w:style>
  <w:style w:type="paragraph" w:styleId="Kop4">
    <w:name w:val="heading 4"/>
    <w:basedOn w:val="AOHeadings"/>
    <w:next w:val="AODocTxt"/>
    <w:link w:val="Kop4Teken"/>
    <w:uiPriority w:val="9"/>
    <w:semiHidden/>
    <w:unhideWhenUsed/>
    <w:qFormat/>
    <w:rsid w:val="001E7139"/>
    <w:pPr>
      <w:outlineLvl w:val="3"/>
    </w:pPr>
    <w:rPr>
      <w:rFonts w:eastAsia="Times New Roman"/>
      <w:bCs/>
      <w:iCs/>
    </w:rPr>
  </w:style>
  <w:style w:type="paragraph" w:styleId="Kop5">
    <w:name w:val="heading 5"/>
    <w:basedOn w:val="AOHeadings"/>
    <w:next w:val="AODocTxt"/>
    <w:link w:val="Kop5Teken"/>
    <w:uiPriority w:val="9"/>
    <w:semiHidden/>
    <w:unhideWhenUsed/>
    <w:qFormat/>
    <w:rsid w:val="001E7139"/>
    <w:pPr>
      <w:outlineLvl w:val="4"/>
    </w:pPr>
    <w:rPr>
      <w:rFonts w:eastAsia="Times New Roman"/>
    </w:rPr>
  </w:style>
  <w:style w:type="paragraph" w:styleId="Kop6">
    <w:name w:val="heading 6"/>
    <w:basedOn w:val="AOHeadings"/>
    <w:next w:val="AODocTxt"/>
    <w:link w:val="Kop6Teken"/>
    <w:uiPriority w:val="9"/>
    <w:semiHidden/>
    <w:unhideWhenUsed/>
    <w:qFormat/>
    <w:rsid w:val="001E7139"/>
    <w:pPr>
      <w:outlineLvl w:val="5"/>
    </w:pPr>
    <w:rPr>
      <w:rFonts w:eastAsia="Times New Roman"/>
      <w:iCs/>
    </w:rPr>
  </w:style>
  <w:style w:type="paragraph" w:styleId="Kop7">
    <w:name w:val="heading 7"/>
    <w:basedOn w:val="AOHeadings"/>
    <w:next w:val="AODocTxt"/>
    <w:link w:val="Kop7Teken"/>
    <w:uiPriority w:val="9"/>
    <w:semiHidden/>
    <w:unhideWhenUsed/>
    <w:qFormat/>
    <w:rsid w:val="001E7139"/>
    <w:pPr>
      <w:outlineLvl w:val="6"/>
    </w:pPr>
    <w:rPr>
      <w:rFonts w:eastAsia="Times New Roman"/>
      <w:iCs/>
    </w:rPr>
  </w:style>
  <w:style w:type="paragraph" w:styleId="Kop8">
    <w:name w:val="heading 8"/>
    <w:basedOn w:val="AOHeadings"/>
    <w:next w:val="AODocTxt"/>
    <w:link w:val="Kop8Teken"/>
    <w:uiPriority w:val="9"/>
    <w:semiHidden/>
    <w:unhideWhenUsed/>
    <w:qFormat/>
    <w:rsid w:val="001E7139"/>
    <w:pPr>
      <w:outlineLvl w:val="7"/>
    </w:pPr>
    <w:rPr>
      <w:rFonts w:eastAsia="Times New Roman"/>
      <w:szCs w:val="20"/>
    </w:rPr>
  </w:style>
  <w:style w:type="paragraph" w:styleId="Kop9">
    <w:name w:val="heading 9"/>
    <w:basedOn w:val="AOHeadings"/>
    <w:next w:val="AODocTxt"/>
    <w:link w:val="Kop9Teken"/>
    <w:uiPriority w:val="9"/>
    <w:semiHidden/>
    <w:unhideWhenUsed/>
    <w:qFormat/>
    <w:rsid w:val="001E7139"/>
    <w:pPr>
      <w:outlineLvl w:val="8"/>
    </w:pPr>
    <w:rPr>
      <w:rFonts w:eastAsia="Times New Roman"/>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tabs>
        <w:tab w:val="clear" w:pos="720"/>
        <w:tab w:val="num" w:pos="360"/>
      </w:tabs>
      <w:ind w:left="0" w:firstLine="0"/>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Koptekst">
    <w:name w:val="header"/>
    <w:basedOn w:val="Standaard"/>
    <w:link w:val="KoptekstTeken"/>
    <w:uiPriority w:val="99"/>
    <w:unhideWhenUsed/>
    <w:rsid w:val="001E7139"/>
    <w:pPr>
      <w:tabs>
        <w:tab w:val="center" w:pos="4150"/>
        <w:tab w:val="right" w:pos="8306"/>
      </w:tabs>
    </w:pPr>
  </w:style>
  <w:style w:type="character" w:customStyle="1" w:styleId="KoptekstTeken">
    <w:name w:val="Koptekst Teken"/>
    <w:basedOn w:val="Standaardalinea-lettertype"/>
    <w:link w:val="Koptekst"/>
    <w:uiPriority w:val="99"/>
    <w:rsid w:val="001E7139"/>
    <w:rPr>
      <w:rFonts w:cs="Times New Roman"/>
    </w:rPr>
  </w:style>
  <w:style w:type="paragraph" w:styleId="Voettekst">
    <w:name w:val="footer"/>
    <w:basedOn w:val="Standaard"/>
    <w:link w:val="VoettekstTeken"/>
    <w:uiPriority w:val="99"/>
    <w:unhideWhenUsed/>
    <w:rsid w:val="001E7139"/>
    <w:pPr>
      <w:tabs>
        <w:tab w:val="center" w:pos="4150"/>
        <w:tab w:val="right" w:pos="8306"/>
      </w:tabs>
    </w:pPr>
  </w:style>
  <w:style w:type="character" w:customStyle="1" w:styleId="VoettekstTeken">
    <w:name w:val="Voettekst Teken"/>
    <w:basedOn w:val="Standaardalinea-lettertype"/>
    <w:link w:val="Voettekst"/>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Inhopg1"/>
    <w:rsid w:val="001E7139"/>
    <w:pPr>
      <w:tabs>
        <w:tab w:val="right" w:leader="dot" w:pos="9638"/>
      </w:tabs>
      <w:jc w:val="both"/>
    </w:pPr>
  </w:style>
  <w:style w:type="paragraph" w:styleId="Inhopg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Inhopg2">
    <w:name w:val="toc 2"/>
    <w:basedOn w:val="AOTOCs"/>
    <w:next w:val="AONormal"/>
    <w:autoRedefine/>
    <w:uiPriority w:val="39"/>
    <w:semiHidden/>
    <w:unhideWhenUsed/>
    <w:rsid w:val="001E7139"/>
    <w:pPr>
      <w:tabs>
        <w:tab w:val="left" w:pos="1797"/>
      </w:tabs>
      <w:ind w:left="1797" w:right="720" w:hanging="1077"/>
    </w:pPr>
  </w:style>
  <w:style w:type="paragraph" w:styleId="Inhopg3">
    <w:name w:val="toc 3"/>
    <w:basedOn w:val="AOTOCs"/>
    <w:next w:val="AONormal"/>
    <w:autoRedefine/>
    <w:uiPriority w:val="39"/>
    <w:semiHidden/>
    <w:unhideWhenUsed/>
    <w:rsid w:val="001E7139"/>
    <w:pPr>
      <w:numPr>
        <w:numId w:val="15"/>
      </w:numPr>
      <w:ind w:right="720"/>
    </w:pPr>
  </w:style>
  <w:style w:type="paragraph" w:styleId="Inhopg4">
    <w:name w:val="toc 4"/>
    <w:basedOn w:val="AOTOCs"/>
    <w:next w:val="AONormal"/>
    <w:autoRedefine/>
    <w:uiPriority w:val="39"/>
    <w:semiHidden/>
    <w:unhideWhenUsed/>
    <w:rsid w:val="001E7139"/>
    <w:pPr>
      <w:numPr>
        <w:ilvl w:val="1"/>
        <w:numId w:val="15"/>
      </w:numPr>
      <w:tabs>
        <w:tab w:val="left" w:pos="1797"/>
      </w:tabs>
      <w:ind w:right="720"/>
    </w:pPr>
  </w:style>
  <w:style w:type="paragraph" w:styleId="Inhopg5">
    <w:name w:val="toc 5"/>
    <w:basedOn w:val="AOTOCs"/>
    <w:next w:val="AONormal"/>
    <w:autoRedefine/>
    <w:uiPriority w:val="39"/>
    <w:semiHidden/>
    <w:unhideWhenUsed/>
    <w:rsid w:val="001E7139"/>
    <w:pPr>
      <w:spacing w:before="240"/>
    </w:pPr>
  </w:style>
  <w:style w:type="paragraph" w:styleId="Inhopg6">
    <w:name w:val="toc 6"/>
    <w:basedOn w:val="AOTOCs"/>
    <w:next w:val="AONormal"/>
    <w:autoRedefine/>
    <w:uiPriority w:val="39"/>
    <w:semiHidden/>
    <w:unhideWhenUsed/>
    <w:rsid w:val="001E7139"/>
    <w:pPr>
      <w:numPr>
        <w:numId w:val="16"/>
      </w:numPr>
      <w:ind w:right="720"/>
    </w:pPr>
  </w:style>
  <w:style w:type="paragraph" w:styleId="Inhopg7">
    <w:name w:val="toc 7"/>
    <w:basedOn w:val="AOTOCs"/>
    <w:next w:val="AONormal"/>
    <w:autoRedefine/>
    <w:uiPriority w:val="39"/>
    <w:semiHidden/>
    <w:unhideWhenUsed/>
    <w:rsid w:val="001E7139"/>
    <w:pPr>
      <w:numPr>
        <w:ilvl w:val="1"/>
        <w:numId w:val="16"/>
      </w:numPr>
      <w:tabs>
        <w:tab w:val="left" w:pos="1797"/>
      </w:tabs>
      <w:ind w:right="720"/>
    </w:pPr>
  </w:style>
  <w:style w:type="paragraph" w:styleId="Inhopg8">
    <w:name w:val="toc 8"/>
    <w:basedOn w:val="AOTOCs"/>
    <w:next w:val="AONormal"/>
    <w:autoRedefine/>
    <w:uiPriority w:val="39"/>
    <w:semiHidden/>
    <w:unhideWhenUsed/>
    <w:rsid w:val="001E7139"/>
    <w:pPr>
      <w:numPr>
        <w:numId w:val="17"/>
      </w:numPr>
      <w:ind w:right="720"/>
    </w:pPr>
  </w:style>
  <w:style w:type="paragraph" w:styleId="Inhopg9">
    <w:name w:val="toc 9"/>
    <w:basedOn w:val="AOTOCs"/>
    <w:next w:val="AONormal"/>
    <w:autoRedefine/>
    <w:uiPriority w:val="39"/>
    <w:semiHidden/>
    <w:unhideWhenUsed/>
    <w:rsid w:val="001E7139"/>
    <w:pPr>
      <w:numPr>
        <w:ilvl w:val="1"/>
        <w:numId w:val="17"/>
      </w:numPr>
      <w:tabs>
        <w:tab w:val="left" w:pos="1797"/>
      </w:tabs>
      <w:ind w:right="720"/>
    </w:pPr>
  </w:style>
  <w:style w:type="paragraph" w:styleId="Voetnoottekst">
    <w:name w:val="footnote text"/>
    <w:basedOn w:val="AONormal"/>
    <w:link w:val="VoetnoottekstTeken"/>
    <w:uiPriority w:val="99"/>
    <w:semiHidden/>
    <w:unhideWhenUsed/>
    <w:rsid w:val="001E7139"/>
    <w:pPr>
      <w:spacing w:line="240" w:lineRule="auto"/>
      <w:ind w:left="720" w:hanging="720"/>
      <w:jc w:val="both"/>
    </w:pPr>
    <w:rPr>
      <w:sz w:val="16"/>
      <w:szCs w:val="20"/>
    </w:rPr>
  </w:style>
  <w:style w:type="character" w:customStyle="1" w:styleId="VoetnoottekstTeken">
    <w:name w:val="Voetnoottekst Teken"/>
    <w:basedOn w:val="Standaardalinea-lettertype"/>
    <w:link w:val="Voetnootteks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Tekstopmerking">
    <w:name w:val="annotation text"/>
    <w:basedOn w:val="AONormal"/>
    <w:link w:val="TekstopmerkingTeken"/>
    <w:uiPriority w:val="99"/>
    <w:semiHidden/>
    <w:unhideWhenUsed/>
    <w:rsid w:val="001E7139"/>
    <w:pPr>
      <w:spacing w:line="240" w:lineRule="auto"/>
    </w:pPr>
    <w:rPr>
      <w:sz w:val="16"/>
      <w:szCs w:val="20"/>
    </w:rPr>
  </w:style>
  <w:style w:type="character" w:customStyle="1" w:styleId="TekstopmerkingTeken">
    <w:name w:val="Tekst opmerking Teken"/>
    <w:basedOn w:val="Standaardalinea-lettertype"/>
    <w:link w:val="Tekstopmerking"/>
    <w:uiPriority w:val="99"/>
    <w:semiHidden/>
    <w:rsid w:val="001E7139"/>
    <w:rPr>
      <w:rFonts w:cs="Times New Roman"/>
      <w:sz w:val="16"/>
      <w:szCs w:val="20"/>
    </w:rPr>
  </w:style>
  <w:style w:type="paragraph" w:styleId="Eindnoottekst">
    <w:name w:val="endnote text"/>
    <w:basedOn w:val="AONormal"/>
    <w:link w:val="EindnoottekstTeken"/>
    <w:uiPriority w:val="99"/>
    <w:semiHidden/>
    <w:unhideWhenUsed/>
    <w:rsid w:val="001E7139"/>
    <w:pPr>
      <w:spacing w:line="240" w:lineRule="auto"/>
      <w:ind w:left="720" w:hanging="720"/>
      <w:jc w:val="both"/>
    </w:pPr>
    <w:rPr>
      <w:sz w:val="16"/>
      <w:szCs w:val="20"/>
    </w:rPr>
  </w:style>
  <w:style w:type="character" w:customStyle="1" w:styleId="EindnoottekstTeken">
    <w:name w:val="Eindnoottekst Teken"/>
    <w:basedOn w:val="Standaardalinea-lettertype"/>
    <w:link w:val="Eindnoottekst"/>
    <w:uiPriority w:val="99"/>
    <w:semiHidden/>
    <w:rsid w:val="001E7139"/>
    <w:rPr>
      <w:rFonts w:cs="Times New Roman"/>
      <w:sz w:val="16"/>
      <w:szCs w:val="20"/>
    </w:rPr>
  </w:style>
  <w:style w:type="character" w:customStyle="1" w:styleId="Kop1Teken">
    <w:name w:val="Kop 1 Teken"/>
    <w:basedOn w:val="Standaardalinea-lettertype"/>
    <w:link w:val="Kop1"/>
    <w:uiPriority w:val="9"/>
    <w:rsid w:val="001E7139"/>
    <w:rPr>
      <w:rFonts w:eastAsia="Times New Roman" w:cs="Times New Roman"/>
      <w:b/>
      <w:bCs/>
      <w:caps/>
      <w:szCs w:val="28"/>
    </w:rPr>
  </w:style>
  <w:style w:type="character" w:customStyle="1" w:styleId="Kop2Teken">
    <w:name w:val="Kop 2 Teken"/>
    <w:basedOn w:val="Standaardalinea-lettertype"/>
    <w:link w:val="Kop2"/>
    <w:uiPriority w:val="9"/>
    <w:semiHidden/>
    <w:rsid w:val="001E7139"/>
    <w:rPr>
      <w:rFonts w:eastAsia="Times New Roman" w:cs="Times New Roman"/>
      <w:b/>
      <w:bCs/>
      <w:szCs w:val="26"/>
    </w:rPr>
  </w:style>
  <w:style w:type="character" w:customStyle="1" w:styleId="Kop3Teken">
    <w:name w:val="Kop 3 Teken"/>
    <w:basedOn w:val="Standaardalinea-lettertype"/>
    <w:link w:val="Kop3"/>
    <w:uiPriority w:val="9"/>
    <w:semiHidden/>
    <w:rsid w:val="001E7139"/>
    <w:rPr>
      <w:rFonts w:eastAsia="Times New Roman" w:cs="Times New Roman"/>
      <w:bCs/>
    </w:rPr>
  </w:style>
  <w:style w:type="character" w:customStyle="1" w:styleId="Kop4Teken">
    <w:name w:val="Kop 4 Teken"/>
    <w:basedOn w:val="Standaardalinea-lettertype"/>
    <w:link w:val="Kop4"/>
    <w:uiPriority w:val="9"/>
    <w:semiHidden/>
    <w:rsid w:val="001E7139"/>
    <w:rPr>
      <w:rFonts w:eastAsia="Times New Roman" w:cs="Times New Roman"/>
      <w:bCs/>
      <w:iCs/>
    </w:rPr>
  </w:style>
  <w:style w:type="character" w:customStyle="1" w:styleId="Kop5Teken">
    <w:name w:val="Kop 5 Teken"/>
    <w:basedOn w:val="Standaardalinea-lettertype"/>
    <w:link w:val="Kop5"/>
    <w:uiPriority w:val="9"/>
    <w:semiHidden/>
    <w:rsid w:val="001E7139"/>
    <w:rPr>
      <w:rFonts w:eastAsia="Times New Roman" w:cs="Times New Roman"/>
    </w:rPr>
  </w:style>
  <w:style w:type="character" w:customStyle="1" w:styleId="Kop6Teken">
    <w:name w:val="Kop 6 Teken"/>
    <w:basedOn w:val="Standaardalinea-lettertype"/>
    <w:link w:val="Kop6"/>
    <w:uiPriority w:val="9"/>
    <w:semiHidden/>
    <w:rsid w:val="001E7139"/>
    <w:rPr>
      <w:rFonts w:eastAsia="Times New Roman" w:cs="Times New Roman"/>
      <w:iCs/>
    </w:rPr>
  </w:style>
  <w:style w:type="character" w:customStyle="1" w:styleId="Kop7Teken">
    <w:name w:val="Kop 7 Teken"/>
    <w:basedOn w:val="Standaardalinea-lettertype"/>
    <w:link w:val="Kop7"/>
    <w:uiPriority w:val="9"/>
    <w:semiHidden/>
    <w:rsid w:val="001E7139"/>
    <w:rPr>
      <w:rFonts w:eastAsia="Times New Roman" w:cs="Times New Roman"/>
      <w:iCs/>
    </w:rPr>
  </w:style>
  <w:style w:type="character" w:customStyle="1" w:styleId="Kop8Teken">
    <w:name w:val="Kop 8 Teken"/>
    <w:basedOn w:val="Standaardalinea-lettertype"/>
    <w:link w:val="Kop8"/>
    <w:uiPriority w:val="9"/>
    <w:semiHidden/>
    <w:rsid w:val="001E7139"/>
    <w:rPr>
      <w:rFonts w:eastAsia="Times New Roman" w:cs="Times New Roman"/>
      <w:szCs w:val="20"/>
    </w:rPr>
  </w:style>
  <w:style w:type="character" w:customStyle="1" w:styleId="Kop9Teken">
    <w:name w:val="Kop 9 Teken"/>
    <w:basedOn w:val="Standaardalinea-lettertype"/>
    <w:link w:val="Kop9"/>
    <w:uiPriority w:val="9"/>
    <w:semiHidden/>
    <w:rsid w:val="001E7139"/>
    <w:rPr>
      <w:rFonts w:eastAsia="Times New Roman" w:cs="Times New Roman"/>
      <w:iCs/>
      <w:szCs w:val="20"/>
    </w:rPr>
  </w:style>
  <w:style w:type="paragraph" w:styleId="Kopbronvermelding">
    <w:name w:val="toa heading"/>
    <w:basedOn w:val="AONormal"/>
    <w:next w:val="Bronvermelding"/>
    <w:uiPriority w:val="99"/>
    <w:semiHidden/>
    <w:unhideWhenUsed/>
    <w:rsid w:val="001E7139"/>
    <w:pPr>
      <w:tabs>
        <w:tab w:val="right" w:leader="dot" w:pos="9490"/>
      </w:tabs>
      <w:spacing w:before="240" w:after="120" w:line="240" w:lineRule="auto"/>
    </w:pPr>
    <w:rPr>
      <w:rFonts w:eastAsia="Times New Roman"/>
      <w:b/>
      <w:bCs/>
      <w:szCs w:val="24"/>
    </w:rPr>
  </w:style>
  <w:style w:type="paragraph" w:styleId="Bronvermelding">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Adresenvelop">
    <w:name w:val="envelope address"/>
    <w:basedOn w:val="Standaard"/>
    <w:uiPriority w:val="99"/>
    <w:semiHidden/>
    <w:rsid w:val="00CA6867"/>
    <w:pPr>
      <w:ind w:left="2880"/>
    </w:pPr>
    <w:rPr>
      <w:rFonts w:eastAsia="Times New Roman"/>
      <w:szCs w:val="24"/>
    </w:rPr>
  </w:style>
  <w:style w:type="paragraph" w:styleId="Afzender">
    <w:name w:val="envelope return"/>
    <w:basedOn w:val="Standaard"/>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Tekstvantijdelijkeaanduiding">
    <w:name w:val="Placeholder Text"/>
    <w:basedOn w:val="Standaardalinea-lettertype"/>
    <w:uiPriority w:val="99"/>
    <w:semiHidden/>
    <w:rsid w:val="001E7139"/>
    <w:rPr>
      <w:color w:val="808080"/>
    </w:rPr>
  </w:style>
  <w:style w:type="paragraph" w:styleId="Ballontekst">
    <w:name w:val="Balloon Text"/>
    <w:basedOn w:val="Standaard"/>
    <w:link w:val="BallontekstTeken"/>
    <w:uiPriority w:val="99"/>
    <w:semiHidden/>
    <w:unhideWhenUsed/>
    <w:rsid w:val="001E713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E7139"/>
    <w:rPr>
      <w:rFonts w:ascii="Tahoma" w:hAnsi="Tahoma" w:cs="Tahoma"/>
      <w:sz w:val="16"/>
      <w:szCs w:val="16"/>
    </w:rPr>
  </w:style>
  <w:style w:type="table" w:styleId="Tabelraster">
    <w:name w:val="Table Grid"/>
    <w:basedOn w:val="Standaardtabel"/>
    <w:uiPriority w:val="59"/>
    <w:rsid w:val="00455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60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mg.n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tmg.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1-13T16-5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A0FF83-7177-B641-BE11-AC92D897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(x86)\AllenOvery\OSAX\Published\2017-01-13T16-55-00\Templates\AODocument.dotm</Template>
  <TotalTime>0</TotalTime>
  <Pages>2</Pages>
  <Words>747</Words>
  <Characters>4112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AODocument</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Dagna Hoogkamer</cp:lastModifiedBy>
  <cp:revision>2</cp:revision>
  <cp:lastPrinted>2017-01-22T19:47:00Z</cp:lastPrinted>
  <dcterms:created xsi:type="dcterms:W3CDTF">2017-01-23T06:46:00Z</dcterms:created>
  <dcterms:modified xsi:type="dcterms:W3CDTF">2017-01-23T06:46:00Z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Maurice Dudink</vt:lpwstr>
  </property>
  <property fmtid="{D5CDD505-2E9C-101B-9397-08002B2CF9AE}" pid="3" name="AuthorDirectLine">
    <vt:lpwstr>+31 20 674 1152 </vt:lpwstr>
  </property>
  <property fmtid="{D5CDD505-2E9C-101B-9397-08002B2CF9AE}" pid="4" name="AuthorEmail">
    <vt:lpwstr>maurice.dudink@allenovery.com</vt:lpwstr>
  </property>
  <property fmtid="{D5CDD505-2E9C-101B-9397-08002B2CF9AE}" pid="5" name="AuthorInitials">
    <vt:lpwstr>M.G. </vt:lpwstr>
  </property>
  <property fmtid="{D5CDD505-2E9C-101B-9397-08002B2CF9AE}" pid="6" name="AuthorJobTitle">
    <vt:lpwstr>Advocaat </vt:lpwstr>
  </property>
  <property fmtid="{D5CDD505-2E9C-101B-9397-08002B2CF9AE}" pid="7" name="AuthorMobilePhone">
    <vt:lpwstr>+31 612 176 422</vt:lpwstr>
  </property>
  <property fmtid="{D5CDD505-2E9C-101B-9397-08002B2CF9AE}" pid="8" name="AuthorName">
    <vt:lpwstr>Maurice Dudink</vt:lpwstr>
  </property>
  <property fmtid="{D5CDD505-2E9C-101B-9397-08002B2CF9AE}" pid="9" name="AuthorPersonalFax">
    <vt:lpwstr/>
  </property>
  <property fmtid="{D5CDD505-2E9C-101B-9397-08002B2CF9AE}" pid="10" name="Client">
    <vt:lpwstr>0088836</vt:lpwstr>
  </property>
  <property fmtid="{D5CDD505-2E9C-101B-9397-08002B2CF9AE}" pid="11" name="cpClientMatter">
    <vt:lpwstr>0088836-0000014</vt:lpwstr>
  </property>
  <property fmtid="{D5CDD505-2E9C-101B-9397-08002B2CF9AE}" pid="12" name="cpCombinedRef">
    <vt:lpwstr>0088836-0000014 AMCO:8866605.1</vt:lpwstr>
  </property>
  <property fmtid="{D5CDD505-2E9C-101B-9397-08002B2CF9AE}" pid="13" name="cpDocRef">
    <vt:lpwstr>AMCO:8866605.1</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Dutch</vt:lpwstr>
  </property>
  <property fmtid="{D5CDD505-2E9C-101B-9397-08002B2CF9AE}" pid="20" name="Matter">
    <vt:lpwstr>0000014</vt:lpwstr>
  </property>
  <property fmtid="{D5CDD505-2E9C-101B-9397-08002B2CF9AE}" pid="21" name="OfficeID">
    <vt:lpwstr>Amsterdam</vt:lpwstr>
  </property>
  <property fmtid="{D5CDD505-2E9C-101B-9397-08002B2CF9AE}" pid="22" name="OurRef">
    <vt:lpwstr>M.G. </vt:lpwstr>
  </property>
  <property fmtid="{D5CDD505-2E9C-101B-9397-08002B2CF9AE}" pid="23" name="TemplateFileName">
    <vt:lpwstr>AODocument.dotm</vt:lpwstr>
  </property>
  <property fmtid="{D5CDD505-2E9C-101B-9397-08002B2CF9AE}" pid="24" name="TemplateName">
    <vt:lpwstr>AODocument.dotm</vt:lpwstr>
  </property>
</Properties>
</file>