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163" w:rsidRPr="00C01163" w:rsidRDefault="00C01163" w:rsidP="00C01163">
      <w:pPr>
        <w:pStyle w:val="KeinAbsatzformat"/>
        <w:spacing w:line="240" w:lineRule="auto"/>
        <w:ind w:left="425" w:right="-2"/>
        <w:jc w:val="both"/>
        <w:rPr>
          <w:b/>
          <w:szCs w:val="20"/>
        </w:rPr>
      </w:pPr>
      <w:r w:rsidRPr="00C01163">
        <w:rPr>
          <w:b/>
          <w:szCs w:val="20"/>
        </w:rPr>
        <w:t xml:space="preserve">Record sales of more than EUR 60 million and EBITDA of EUR 1.7 million </w:t>
      </w:r>
    </w:p>
    <w:p w:rsidR="00C01163" w:rsidRPr="00C01163" w:rsidRDefault="00C01163" w:rsidP="00C01163">
      <w:pPr>
        <w:pStyle w:val="KeinAbsatzformat"/>
        <w:spacing w:line="240" w:lineRule="auto"/>
        <w:ind w:left="425" w:right="-2"/>
        <w:jc w:val="both"/>
        <w:rPr>
          <w:szCs w:val="20"/>
        </w:rPr>
      </w:pPr>
    </w:p>
    <w:p w:rsidR="00C01163" w:rsidRPr="00C01163" w:rsidRDefault="00C01163" w:rsidP="00C01163">
      <w:pPr>
        <w:pStyle w:val="KeinAbsatzformat"/>
        <w:spacing w:line="240" w:lineRule="auto"/>
        <w:ind w:left="425" w:right="-2"/>
        <w:jc w:val="both"/>
        <w:rPr>
          <w:szCs w:val="20"/>
        </w:rPr>
      </w:pPr>
      <w:r w:rsidRPr="00C01163">
        <w:rPr>
          <w:b/>
          <w:szCs w:val="20"/>
        </w:rPr>
        <w:t>Nuremberg, Amsterdam, January 30, 2017</w:t>
      </w:r>
      <w:r w:rsidRPr="00C01163">
        <w:rPr>
          <w:szCs w:val="20"/>
        </w:rPr>
        <w:t xml:space="preserve"> – Based on its preliminary figures for the past financial year, </w:t>
      </w:r>
      <w:proofErr w:type="spellStart"/>
      <w:r w:rsidRPr="00C01163">
        <w:rPr>
          <w:szCs w:val="20"/>
        </w:rPr>
        <w:t>ad</w:t>
      </w:r>
      <w:proofErr w:type="spellEnd"/>
      <w:r w:rsidRPr="00C01163">
        <w:rPr>
          <w:szCs w:val="20"/>
        </w:rPr>
        <w:t xml:space="preserve"> pepper media International N.V. concluded the year with sales of EUR 61,164k (2015: EUR 56,009k). This corresponds to year-on-year growth of 9.2 percent and is also the highest figure in the company’s history. On a like-for-like basis, i.e. including activities sold or discontinued in 2015, sales even grew by 12.3 percent. Group-wide gross profit rose slightly to EUR 16,089k (2015: EUR 15,844k), with like-for-like growth of 9.5 percent in this key figure.</w:t>
      </w:r>
      <w:r>
        <w:rPr>
          <w:szCs w:val="20"/>
        </w:rPr>
        <w:t xml:space="preserve"> </w:t>
      </w:r>
    </w:p>
    <w:p w:rsidR="00C01163" w:rsidRDefault="00C01163" w:rsidP="00C01163">
      <w:pPr>
        <w:pStyle w:val="KeinAbsatzformat"/>
        <w:spacing w:line="240" w:lineRule="auto"/>
        <w:ind w:left="425" w:right="-2"/>
        <w:jc w:val="both"/>
        <w:rPr>
          <w:szCs w:val="20"/>
        </w:rPr>
      </w:pPr>
    </w:p>
    <w:p w:rsidR="00C01163" w:rsidRPr="00C01163" w:rsidRDefault="00C01163" w:rsidP="00C01163">
      <w:pPr>
        <w:pStyle w:val="KeinAbsatzformat"/>
        <w:spacing w:line="240" w:lineRule="auto"/>
        <w:ind w:left="425" w:right="-2"/>
        <w:jc w:val="both"/>
        <w:rPr>
          <w:szCs w:val="20"/>
        </w:rPr>
      </w:pPr>
      <w:r w:rsidRPr="00C01163">
        <w:rPr>
          <w:szCs w:val="20"/>
        </w:rPr>
        <w:t xml:space="preserve">The main growth driver was once again the Webgains segment, which increased its sales by 7.4 percent to EUR 43.894k (2015: EUR 40,882k). The prolonged weakness in the British pound seen since the Brexit referendum in particular recently placed a significant damper on growth. Excluding this currency effect, year-on-year sales growth would have amounted to 17.1 percent. The ad agents segment posted the highest sales growth in percentage terms. Sales here rose by EUR 2,862k, or 31.3 percent, to EUR 12,007k (2015: EUR 9,145k). This figure is also the highest achieved in the company’s history. The ad pepper media segment also performed very strongly. On a like-for-like basis, its sales growth came to EUR </w:t>
      </w:r>
      <w:proofErr w:type="gramStart"/>
      <w:r w:rsidRPr="00C01163">
        <w:rPr>
          <w:szCs w:val="20"/>
        </w:rPr>
        <w:t>793k,</w:t>
      </w:r>
      <w:proofErr w:type="gramEnd"/>
      <w:r w:rsidRPr="00C01163">
        <w:rPr>
          <w:szCs w:val="20"/>
        </w:rPr>
        <w:t xml:space="preserve"> or 17.8 percent (2015: EUR 4,465k). </w:t>
      </w:r>
    </w:p>
    <w:p w:rsidR="00C01163" w:rsidRDefault="00C01163" w:rsidP="00C01163">
      <w:pPr>
        <w:pStyle w:val="KeinAbsatzformat"/>
        <w:spacing w:line="240" w:lineRule="auto"/>
        <w:ind w:left="425" w:right="-2"/>
        <w:jc w:val="both"/>
        <w:rPr>
          <w:szCs w:val="20"/>
        </w:rPr>
      </w:pPr>
    </w:p>
    <w:p w:rsidR="00C01163" w:rsidRDefault="00C01163" w:rsidP="00C01163">
      <w:pPr>
        <w:pStyle w:val="KeinAbsatzformat"/>
        <w:spacing w:line="240" w:lineRule="auto"/>
        <w:ind w:left="425" w:right="-2"/>
        <w:jc w:val="both"/>
      </w:pPr>
      <w:r w:rsidRPr="00601549">
        <w:rPr>
          <w:szCs w:val="20"/>
        </w:rPr>
        <w:t xml:space="preserve">Operating expenses at the ad pepper media group showed a marked reduction of </w:t>
      </w:r>
      <w:r>
        <w:rPr>
          <w:szCs w:val="20"/>
        </w:rPr>
        <w:t>9.4</w:t>
      </w:r>
      <w:r w:rsidRPr="00601549">
        <w:rPr>
          <w:szCs w:val="20"/>
        </w:rPr>
        <w:t xml:space="preserve"> percent to EUR </w:t>
      </w:r>
      <w:r>
        <w:rPr>
          <w:szCs w:val="20"/>
        </w:rPr>
        <w:t>14,480</w:t>
      </w:r>
      <w:r w:rsidRPr="00601549">
        <w:rPr>
          <w:szCs w:val="20"/>
        </w:rPr>
        <w:t>k (2015: EUR 15,986k). Alongside the activities discontinued or sold in 2015, the aforementioned weakness in the British pound also led to a more favorable overall cost structure within the Webgains segment and th</w:t>
      </w:r>
      <w:r>
        <w:rPr>
          <w:szCs w:val="20"/>
        </w:rPr>
        <w:t>us at the g</w:t>
      </w:r>
      <w:r w:rsidRPr="00601549">
        <w:rPr>
          <w:szCs w:val="20"/>
        </w:rPr>
        <w:t xml:space="preserve">roup as a whole. </w:t>
      </w:r>
      <w:r w:rsidRPr="00CD798A">
        <w:rPr>
          <w:szCs w:val="20"/>
        </w:rPr>
        <w:t>Benefiting also from its positive sales performance, the ad pepper group significantly exceeded all of the previous year’s key profitability figures: EBITDA</w:t>
      </w:r>
      <w:r w:rsidRPr="00CB225C">
        <w:rPr>
          <w:szCs w:val="20"/>
          <w:lang w:val="en-GB"/>
        </w:rPr>
        <w:t xml:space="preserve"> for the 2016 financial year came to </w:t>
      </w:r>
      <w:r w:rsidRPr="00CB225C">
        <w:rPr>
          <w:lang w:val="en-GB"/>
        </w:rPr>
        <w:t xml:space="preserve">EUR 1,748k (2015: EUR 539k). </w:t>
      </w:r>
      <w:r>
        <w:t xml:space="preserve">Segment EBITDA amounted to </w:t>
      </w:r>
      <w:r w:rsidRPr="00601549">
        <w:t xml:space="preserve">EUR </w:t>
      </w:r>
      <w:r>
        <w:t>1,505k</w:t>
      </w:r>
      <w:r w:rsidRPr="00601549">
        <w:t xml:space="preserve"> </w:t>
      </w:r>
      <w:r>
        <w:t xml:space="preserve">at Webgains </w:t>
      </w:r>
      <w:r w:rsidRPr="00601549">
        <w:t xml:space="preserve">(2015: EUR </w:t>
      </w:r>
      <w:r>
        <w:t>1,352k</w:t>
      </w:r>
      <w:r w:rsidRPr="00601549">
        <w:t xml:space="preserve">), </w:t>
      </w:r>
      <w:r>
        <w:t xml:space="preserve">to </w:t>
      </w:r>
      <w:r w:rsidRPr="00601549">
        <w:t xml:space="preserve">EUR </w:t>
      </w:r>
      <w:r>
        <w:t>1,158k at ad agents</w:t>
      </w:r>
      <w:r w:rsidRPr="00601549">
        <w:t xml:space="preserve"> (2015: EUR </w:t>
      </w:r>
      <w:r>
        <w:t xml:space="preserve">268k), and to </w:t>
      </w:r>
      <w:r w:rsidRPr="00601549">
        <w:t xml:space="preserve">EUR </w:t>
      </w:r>
      <w:r>
        <w:t>472k at ad pepper media</w:t>
      </w:r>
      <w:r w:rsidRPr="00601549">
        <w:t xml:space="preserve"> (2015:</w:t>
      </w:r>
      <w:r>
        <w:t xml:space="preserve"> </w:t>
      </w:r>
      <w:r w:rsidRPr="00601549">
        <w:t xml:space="preserve">EUR </w:t>
      </w:r>
      <w:r>
        <w:t>-497k</w:t>
      </w:r>
      <w:r w:rsidRPr="00601549">
        <w:t xml:space="preserve">). </w:t>
      </w:r>
      <w:r>
        <w:t xml:space="preserve">Group EBIT came to </w:t>
      </w:r>
      <w:r w:rsidRPr="00601549">
        <w:t xml:space="preserve">EUR </w:t>
      </w:r>
      <w:r>
        <w:t>1,608k</w:t>
      </w:r>
      <w:r w:rsidRPr="00601549">
        <w:t xml:space="preserve"> (2015: EUR</w:t>
      </w:r>
      <w:r>
        <w:t> </w:t>
      </w:r>
      <w:r w:rsidRPr="00601549">
        <w:t>244</w:t>
      </w:r>
      <w:r>
        <w:t>k</w:t>
      </w:r>
      <w:r w:rsidRPr="00601549">
        <w:t xml:space="preserve">). </w:t>
      </w:r>
      <w:r>
        <w:t xml:space="preserve">EBT amounted to </w:t>
      </w:r>
      <w:r w:rsidRPr="00601549">
        <w:t xml:space="preserve">EUR </w:t>
      </w:r>
      <w:r>
        <w:t>1,691k</w:t>
      </w:r>
      <w:r w:rsidRPr="00601549">
        <w:t xml:space="preserve"> (2015: EUR</w:t>
      </w:r>
      <w:r>
        <w:t> </w:t>
      </w:r>
      <w:r w:rsidRPr="00601549">
        <w:t>443</w:t>
      </w:r>
      <w:r>
        <w:t>k</w:t>
      </w:r>
      <w:r>
        <w:t xml:space="preserve">). </w:t>
      </w:r>
    </w:p>
    <w:p w:rsidR="00C01163" w:rsidRPr="00C01163" w:rsidRDefault="00C01163" w:rsidP="00C01163">
      <w:pPr>
        <w:pStyle w:val="KeinAbsatzformat"/>
        <w:spacing w:line="240" w:lineRule="auto"/>
        <w:ind w:left="425" w:right="-2"/>
        <w:jc w:val="both"/>
      </w:pPr>
    </w:p>
    <w:p w:rsidR="00C01163" w:rsidRPr="00C01163" w:rsidRDefault="00C01163" w:rsidP="00C01163">
      <w:pPr>
        <w:pStyle w:val="KeinAbsatzformat"/>
        <w:spacing w:line="240" w:lineRule="auto"/>
        <w:ind w:left="425" w:right="-2"/>
        <w:jc w:val="both"/>
        <w:rPr>
          <w:szCs w:val="20"/>
        </w:rPr>
      </w:pPr>
      <w:r w:rsidRPr="00C01163">
        <w:rPr>
          <w:szCs w:val="20"/>
        </w:rPr>
        <w:t xml:space="preserve">Liquid funds (including securities measured at fair value) decreased to EUR 19,593k (December 31, 2015: EUR 22,437k). The company still has no liabilities to banks. </w:t>
      </w:r>
    </w:p>
    <w:p w:rsidR="00C01163" w:rsidRPr="00C01163" w:rsidRDefault="00C01163" w:rsidP="00C01163">
      <w:pPr>
        <w:pStyle w:val="KeinAbsatzformat"/>
        <w:spacing w:line="240" w:lineRule="auto"/>
        <w:ind w:left="425" w:right="-2"/>
        <w:jc w:val="both"/>
        <w:rPr>
          <w:szCs w:val="20"/>
        </w:rPr>
      </w:pPr>
    </w:p>
    <w:p w:rsidR="00C01163" w:rsidRDefault="00C01163" w:rsidP="00C01163">
      <w:pPr>
        <w:pStyle w:val="KeinAbsatzformat"/>
        <w:spacing w:line="240" w:lineRule="auto"/>
        <w:ind w:left="425" w:right="-2"/>
        <w:jc w:val="both"/>
        <w:rPr>
          <w:szCs w:val="20"/>
        </w:rPr>
      </w:pPr>
      <w:r w:rsidRPr="00C01163">
        <w:rPr>
          <w:szCs w:val="20"/>
        </w:rPr>
        <w:t>The 2016 Annual Report will be published on March 27, 2017</w:t>
      </w:r>
    </w:p>
    <w:p w:rsidR="00C01163" w:rsidRPr="00C01163" w:rsidRDefault="00C01163" w:rsidP="00C01163">
      <w:pPr>
        <w:pStyle w:val="KeinAbsatzformat"/>
        <w:spacing w:line="240" w:lineRule="auto"/>
        <w:ind w:left="425" w:right="-2"/>
        <w:jc w:val="both"/>
        <w:rPr>
          <w:szCs w:val="20"/>
        </w:rPr>
      </w:pPr>
    </w:p>
    <w:p w:rsidR="00C01163" w:rsidRDefault="00C01163" w:rsidP="00C01163">
      <w:pPr>
        <w:pStyle w:val="KeinAbsatzformat"/>
        <w:spacing w:line="240" w:lineRule="auto"/>
        <w:ind w:left="425" w:right="-2"/>
        <w:jc w:val="both"/>
        <w:rPr>
          <w:szCs w:val="20"/>
        </w:rPr>
      </w:pPr>
    </w:p>
    <w:p w:rsidR="00C01163" w:rsidRPr="00C01163" w:rsidRDefault="00C01163" w:rsidP="00C01163">
      <w:pPr>
        <w:pStyle w:val="KeinAbsatzformat"/>
        <w:spacing w:line="240" w:lineRule="auto"/>
        <w:ind w:left="425" w:right="-2"/>
        <w:jc w:val="both"/>
        <w:rPr>
          <w:szCs w:val="20"/>
        </w:rPr>
      </w:pPr>
      <w:r w:rsidRPr="00C01163">
        <w:rPr>
          <w:szCs w:val="20"/>
        </w:rPr>
        <w:t>Key figures (preliminary and unaudited) for 2016/2015:</w:t>
      </w:r>
      <w:bookmarkStart w:id="0" w:name="_GoBack"/>
      <w:bookmarkEnd w:id="0"/>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83"/>
        <w:gridCol w:w="1701"/>
        <w:gridCol w:w="1646"/>
        <w:gridCol w:w="1646"/>
        <w:gridCol w:w="1670"/>
      </w:tblGrid>
      <w:tr w:rsidR="00C01163" w:rsidRPr="00601549" w:rsidTr="007B6661">
        <w:trPr>
          <w:cantSplit/>
          <w:trHeight w:val="330"/>
        </w:trPr>
        <w:tc>
          <w:tcPr>
            <w:tcW w:w="2283" w:type="dxa"/>
            <w:shd w:val="clear" w:color="auto" w:fill="auto"/>
            <w:noWrap/>
            <w:vAlign w:val="bottom"/>
            <w:hideMark/>
          </w:tcPr>
          <w:p w:rsidR="00C01163" w:rsidRPr="00601549" w:rsidRDefault="00C01163" w:rsidP="007B6661">
            <w:pPr>
              <w:ind w:left="426"/>
              <w:jc w:val="both"/>
            </w:pPr>
            <w:r w:rsidRPr="00601549">
              <w:t> </w:t>
            </w:r>
          </w:p>
        </w:tc>
        <w:tc>
          <w:tcPr>
            <w:tcW w:w="1701" w:type="dxa"/>
            <w:shd w:val="clear" w:color="auto" w:fill="auto"/>
            <w:noWrap/>
            <w:vAlign w:val="bottom"/>
            <w:hideMark/>
          </w:tcPr>
          <w:p w:rsidR="00C01163" w:rsidRPr="00C01163" w:rsidRDefault="00C01163" w:rsidP="00C01163">
            <w:pPr>
              <w:pStyle w:val="KeinAbsatzformat"/>
              <w:spacing w:line="240" w:lineRule="auto"/>
              <w:ind w:left="425" w:right="-2"/>
              <w:jc w:val="both"/>
              <w:rPr>
                <w:szCs w:val="20"/>
              </w:rPr>
            </w:pPr>
            <w:r w:rsidRPr="00C01163">
              <w:rPr>
                <w:szCs w:val="20"/>
              </w:rPr>
              <w:t> </w:t>
            </w:r>
          </w:p>
        </w:tc>
        <w:tc>
          <w:tcPr>
            <w:tcW w:w="1646" w:type="dxa"/>
            <w:shd w:val="clear" w:color="auto" w:fill="auto"/>
            <w:vAlign w:val="bottom"/>
          </w:tcPr>
          <w:p w:rsidR="00C01163" w:rsidRPr="00C01163" w:rsidRDefault="00C01163" w:rsidP="00C01163">
            <w:pPr>
              <w:pStyle w:val="KeinAbsatzformat"/>
              <w:spacing w:line="240" w:lineRule="auto"/>
              <w:ind w:left="425" w:right="-2"/>
              <w:jc w:val="both"/>
              <w:rPr>
                <w:b/>
                <w:szCs w:val="20"/>
              </w:rPr>
            </w:pPr>
            <w:r w:rsidRPr="00C01163">
              <w:rPr>
                <w:b/>
                <w:szCs w:val="20"/>
              </w:rPr>
              <w:t>2016</w:t>
            </w:r>
          </w:p>
        </w:tc>
        <w:tc>
          <w:tcPr>
            <w:tcW w:w="1646" w:type="dxa"/>
            <w:vAlign w:val="bottom"/>
          </w:tcPr>
          <w:p w:rsidR="00C01163" w:rsidRPr="00C01163" w:rsidRDefault="00C01163" w:rsidP="00C01163">
            <w:pPr>
              <w:pStyle w:val="KeinAbsatzformat"/>
              <w:spacing w:line="240" w:lineRule="auto"/>
              <w:ind w:left="425" w:right="-2"/>
              <w:jc w:val="both"/>
              <w:rPr>
                <w:b/>
                <w:szCs w:val="20"/>
              </w:rPr>
            </w:pPr>
            <w:r w:rsidRPr="00C01163">
              <w:rPr>
                <w:b/>
                <w:szCs w:val="20"/>
              </w:rPr>
              <w:t>2015</w:t>
            </w:r>
          </w:p>
        </w:tc>
        <w:tc>
          <w:tcPr>
            <w:tcW w:w="1670" w:type="dxa"/>
            <w:shd w:val="clear" w:color="auto" w:fill="auto"/>
            <w:vAlign w:val="bottom"/>
            <w:hideMark/>
          </w:tcPr>
          <w:p w:rsidR="00C01163" w:rsidRPr="00C01163" w:rsidRDefault="00C01163" w:rsidP="00C01163">
            <w:pPr>
              <w:pStyle w:val="KeinAbsatzformat"/>
              <w:spacing w:line="240" w:lineRule="auto"/>
              <w:ind w:left="425" w:right="-2"/>
              <w:jc w:val="both"/>
              <w:rPr>
                <w:b/>
                <w:szCs w:val="20"/>
              </w:rPr>
            </w:pPr>
            <w:r w:rsidRPr="00C01163">
              <w:rPr>
                <w:b/>
                <w:szCs w:val="20"/>
              </w:rPr>
              <w:t>% change</w:t>
            </w:r>
          </w:p>
        </w:tc>
      </w:tr>
      <w:tr w:rsidR="00C01163" w:rsidRPr="00601549" w:rsidTr="007B6661">
        <w:trPr>
          <w:trHeight w:val="330"/>
        </w:trPr>
        <w:tc>
          <w:tcPr>
            <w:tcW w:w="2283" w:type="dxa"/>
            <w:shd w:val="clear" w:color="auto" w:fill="auto"/>
            <w:noWrap/>
            <w:vAlign w:val="bottom"/>
            <w:hideMark/>
          </w:tcPr>
          <w:p w:rsidR="00C01163" w:rsidRPr="00C01163" w:rsidRDefault="00C01163" w:rsidP="007B6661">
            <w:pPr>
              <w:ind w:left="426"/>
              <w:jc w:val="both"/>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Sales</w:t>
            </w:r>
          </w:p>
        </w:tc>
        <w:tc>
          <w:tcPr>
            <w:tcW w:w="1701" w:type="dxa"/>
            <w:shd w:val="clear" w:color="auto" w:fill="auto"/>
            <w:noWrap/>
            <w:vAlign w:val="bottom"/>
            <w:hideMark/>
          </w:tcPr>
          <w:p w:rsidR="00C01163" w:rsidRPr="00C01163" w:rsidRDefault="00C01163" w:rsidP="00C01163">
            <w:pPr>
              <w:pStyle w:val="KeinAbsatzformat"/>
              <w:spacing w:line="240" w:lineRule="auto"/>
              <w:ind w:left="425" w:right="-2"/>
              <w:jc w:val="both"/>
              <w:rPr>
                <w:szCs w:val="20"/>
              </w:rPr>
            </w:pPr>
            <w:r w:rsidRPr="00C01163">
              <w:rPr>
                <w:szCs w:val="20"/>
              </w:rPr>
              <w:t>EUR 000s</w:t>
            </w:r>
          </w:p>
        </w:tc>
        <w:tc>
          <w:tcPr>
            <w:tcW w:w="1646"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61,164</w:t>
            </w:r>
          </w:p>
        </w:tc>
        <w:tc>
          <w:tcPr>
            <w:tcW w:w="1646" w:type="dxa"/>
            <w:vAlign w:val="bottom"/>
          </w:tcPr>
          <w:p w:rsidR="00C01163" w:rsidRPr="00C01163" w:rsidRDefault="00C01163" w:rsidP="00C01163">
            <w:pPr>
              <w:pStyle w:val="KeinAbsatzformat"/>
              <w:spacing w:line="240" w:lineRule="auto"/>
              <w:ind w:left="425" w:right="-2"/>
              <w:jc w:val="both"/>
              <w:rPr>
                <w:szCs w:val="20"/>
              </w:rPr>
            </w:pPr>
            <w:r w:rsidRPr="00C01163">
              <w:rPr>
                <w:szCs w:val="20"/>
              </w:rPr>
              <w:t>56,009</w:t>
            </w:r>
          </w:p>
        </w:tc>
        <w:tc>
          <w:tcPr>
            <w:tcW w:w="1670"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9.2</w:t>
            </w:r>
          </w:p>
        </w:tc>
      </w:tr>
      <w:tr w:rsidR="00C01163" w:rsidRPr="00601549" w:rsidTr="007B6661">
        <w:trPr>
          <w:trHeight w:val="330"/>
        </w:trPr>
        <w:tc>
          <w:tcPr>
            <w:tcW w:w="2283" w:type="dxa"/>
            <w:shd w:val="clear" w:color="auto" w:fill="auto"/>
            <w:noWrap/>
            <w:vAlign w:val="bottom"/>
            <w:hideMark/>
          </w:tcPr>
          <w:p w:rsidR="00C01163" w:rsidRPr="00C01163" w:rsidRDefault="00C01163" w:rsidP="007B6661">
            <w:pPr>
              <w:ind w:left="426"/>
              <w:jc w:val="both"/>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Gross profit</w:t>
            </w:r>
          </w:p>
        </w:tc>
        <w:tc>
          <w:tcPr>
            <w:tcW w:w="1701" w:type="dxa"/>
            <w:shd w:val="clear" w:color="auto" w:fill="auto"/>
            <w:noWrap/>
            <w:vAlign w:val="bottom"/>
            <w:hideMark/>
          </w:tcPr>
          <w:p w:rsidR="00C01163" w:rsidRPr="00C01163" w:rsidRDefault="00C01163" w:rsidP="00C01163">
            <w:pPr>
              <w:pStyle w:val="KeinAbsatzformat"/>
              <w:spacing w:line="240" w:lineRule="auto"/>
              <w:ind w:left="425" w:right="-2"/>
              <w:jc w:val="both"/>
              <w:rPr>
                <w:szCs w:val="20"/>
              </w:rPr>
            </w:pPr>
            <w:r w:rsidRPr="00C01163">
              <w:rPr>
                <w:szCs w:val="20"/>
              </w:rPr>
              <w:t>EUR 000s</w:t>
            </w:r>
          </w:p>
        </w:tc>
        <w:tc>
          <w:tcPr>
            <w:tcW w:w="1646"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16,089</w:t>
            </w:r>
          </w:p>
        </w:tc>
        <w:tc>
          <w:tcPr>
            <w:tcW w:w="1646" w:type="dxa"/>
            <w:vAlign w:val="bottom"/>
          </w:tcPr>
          <w:p w:rsidR="00C01163" w:rsidRPr="00C01163" w:rsidRDefault="00C01163" w:rsidP="00C01163">
            <w:pPr>
              <w:pStyle w:val="KeinAbsatzformat"/>
              <w:spacing w:line="240" w:lineRule="auto"/>
              <w:ind w:left="425" w:right="-2"/>
              <w:jc w:val="both"/>
              <w:rPr>
                <w:szCs w:val="20"/>
              </w:rPr>
            </w:pPr>
            <w:r w:rsidRPr="00C01163">
              <w:rPr>
                <w:szCs w:val="20"/>
              </w:rPr>
              <w:t>15,844</w:t>
            </w:r>
          </w:p>
        </w:tc>
        <w:tc>
          <w:tcPr>
            <w:tcW w:w="1670"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1.5</w:t>
            </w:r>
          </w:p>
        </w:tc>
      </w:tr>
      <w:tr w:rsidR="00C01163" w:rsidRPr="00601549" w:rsidTr="007B6661">
        <w:trPr>
          <w:trHeight w:val="330"/>
        </w:trPr>
        <w:tc>
          <w:tcPr>
            <w:tcW w:w="2283" w:type="dxa"/>
            <w:shd w:val="clear" w:color="auto" w:fill="auto"/>
            <w:noWrap/>
            <w:vAlign w:val="bottom"/>
            <w:hideMark/>
          </w:tcPr>
          <w:p w:rsidR="00C01163" w:rsidRPr="00C01163" w:rsidRDefault="00C01163" w:rsidP="007B6661">
            <w:pPr>
              <w:ind w:left="426"/>
              <w:jc w:val="both"/>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EBITDA</w:t>
            </w:r>
          </w:p>
        </w:tc>
        <w:tc>
          <w:tcPr>
            <w:tcW w:w="1701" w:type="dxa"/>
            <w:shd w:val="clear" w:color="auto" w:fill="auto"/>
            <w:noWrap/>
            <w:vAlign w:val="bottom"/>
            <w:hideMark/>
          </w:tcPr>
          <w:p w:rsidR="00C01163" w:rsidRPr="00C01163" w:rsidRDefault="00C01163" w:rsidP="00C01163">
            <w:pPr>
              <w:pStyle w:val="KeinAbsatzformat"/>
              <w:spacing w:line="240" w:lineRule="auto"/>
              <w:ind w:left="425" w:right="-2"/>
              <w:jc w:val="both"/>
              <w:rPr>
                <w:szCs w:val="20"/>
              </w:rPr>
            </w:pPr>
            <w:r w:rsidRPr="00C01163">
              <w:rPr>
                <w:szCs w:val="20"/>
              </w:rPr>
              <w:t>EUR 000s</w:t>
            </w:r>
          </w:p>
        </w:tc>
        <w:tc>
          <w:tcPr>
            <w:tcW w:w="1646"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1,748</w:t>
            </w:r>
          </w:p>
        </w:tc>
        <w:tc>
          <w:tcPr>
            <w:tcW w:w="1646" w:type="dxa"/>
            <w:vAlign w:val="bottom"/>
          </w:tcPr>
          <w:p w:rsidR="00C01163" w:rsidRPr="00C01163" w:rsidRDefault="00C01163" w:rsidP="00C01163">
            <w:pPr>
              <w:pStyle w:val="KeinAbsatzformat"/>
              <w:spacing w:line="240" w:lineRule="auto"/>
              <w:ind w:left="425" w:right="-2"/>
              <w:jc w:val="both"/>
              <w:rPr>
                <w:szCs w:val="20"/>
              </w:rPr>
            </w:pPr>
            <w:r w:rsidRPr="00C01163">
              <w:rPr>
                <w:szCs w:val="20"/>
              </w:rPr>
              <w:t>539</w:t>
            </w:r>
          </w:p>
        </w:tc>
        <w:tc>
          <w:tcPr>
            <w:tcW w:w="1670"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&gt;100.0</w:t>
            </w:r>
          </w:p>
        </w:tc>
      </w:tr>
      <w:tr w:rsidR="00C01163" w:rsidRPr="00601549" w:rsidTr="007B6661">
        <w:trPr>
          <w:trHeight w:val="330"/>
        </w:trPr>
        <w:tc>
          <w:tcPr>
            <w:tcW w:w="2283" w:type="dxa"/>
            <w:shd w:val="clear" w:color="auto" w:fill="auto"/>
            <w:noWrap/>
            <w:vAlign w:val="bottom"/>
            <w:hideMark/>
          </w:tcPr>
          <w:p w:rsidR="00C01163" w:rsidRPr="00C01163" w:rsidRDefault="00C01163" w:rsidP="007B6661">
            <w:pPr>
              <w:ind w:left="426"/>
              <w:jc w:val="both"/>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EBIT</w:t>
            </w:r>
          </w:p>
        </w:tc>
        <w:tc>
          <w:tcPr>
            <w:tcW w:w="1701" w:type="dxa"/>
            <w:shd w:val="clear" w:color="auto" w:fill="auto"/>
            <w:noWrap/>
            <w:vAlign w:val="bottom"/>
            <w:hideMark/>
          </w:tcPr>
          <w:p w:rsidR="00C01163" w:rsidRPr="00C01163" w:rsidRDefault="00C01163" w:rsidP="00C01163">
            <w:pPr>
              <w:pStyle w:val="KeinAbsatzformat"/>
              <w:spacing w:line="240" w:lineRule="auto"/>
              <w:ind w:left="425" w:right="-2"/>
              <w:jc w:val="both"/>
              <w:rPr>
                <w:szCs w:val="20"/>
              </w:rPr>
            </w:pPr>
            <w:r w:rsidRPr="00C01163">
              <w:rPr>
                <w:szCs w:val="20"/>
              </w:rPr>
              <w:t>EUR 000s</w:t>
            </w:r>
          </w:p>
        </w:tc>
        <w:tc>
          <w:tcPr>
            <w:tcW w:w="1646"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1,608</w:t>
            </w:r>
          </w:p>
        </w:tc>
        <w:tc>
          <w:tcPr>
            <w:tcW w:w="1646" w:type="dxa"/>
            <w:vAlign w:val="bottom"/>
          </w:tcPr>
          <w:p w:rsidR="00C01163" w:rsidRPr="00C01163" w:rsidRDefault="00C01163" w:rsidP="00C01163">
            <w:pPr>
              <w:pStyle w:val="KeinAbsatzformat"/>
              <w:spacing w:line="240" w:lineRule="auto"/>
              <w:ind w:left="425" w:right="-2"/>
              <w:jc w:val="both"/>
              <w:rPr>
                <w:szCs w:val="20"/>
              </w:rPr>
            </w:pPr>
            <w:r w:rsidRPr="00C01163">
              <w:rPr>
                <w:szCs w:val="20"/>
              </w:rPr>
              <w:t>244</w:t>
            </w:r>
          </w:p>
        </w:tc>
        <w:tc>
          <w:tcPr>
            <w:tcW w:w="1670"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&gt;100.0</w:t>
            </w:r>
          </w:p>
        </w:tc>
      </w:tr>
      <w:tr w:rsidR="00C01163" w:rsidRPr="00601549" w:rsidTr="007B6661">
        <w:trPr>
          <w:trHeight w:val="330"/>
        </w:trPr>
        <w:tc>
          <w:tcPr>
            <w:tcW w:w="2283" w:type="dxa"/>
            <w:shd w:val="clear" w:color="auto" w:fill="auto"/>
            <w:noWrap/>
            <w:vAlign w:val="bottom"/>
            <w:hideMark/>
          </w:tcPr>
          <w:p w:rsidR="00C01163" w:rsidRPr="00C01163" w:rsidRDefault="00C01163" w:rsidP="007B6661">
            <w:pPr>
              <w:ind w:left="426"/>
              <w:jc w:val="both"/>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EBT</w:t>
            </w:r>
          </w:p>
        </w:tc>
        <w:tc>
          <w:tcPr>
            <w:tcW w:w="1701" w:type="dxa"/>
            <w:shd w:val="clear" w:color="auto" w:fill="auto"/>
            <w:noWrap/>
            <w:vAlign w:val="bottom"/>
            <w:hideMark/>
          </w:tcPr>
          <w:p w:rsidR="00C01163" w:rsidRPr="00C01163" w:rsidRDefault="00C01163" w:rsidP="00C01163">
            <w:pPr>
              <w:pStyle w:val="KeinAbsatzformat"/>
              <w:spacing w:line="240" w:lineRule="auto"/>
              <w:ind w:left="425" w:right="-2"/>
              <w:jc w:val="both"/>
              <w:rPr>
                <w:szCs w:val="20"/>
              </w:rPr>
            </w:pPr>
            <w:r w:rsidRPr="00C01163">
              <w:rPr>
                <w:szCs w:val="20"/>
              </w:rPr>
              <w:t>EUR 000s</w:t>
            </w:r>
          </w:p>
        </w:tc>
        <w:tc>
          <w:tcPr>
            <w:tcW w:w="1646"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1,691</w:t>
            </w:r>
          </w:p>
        </w:tc>
        <w:tc>
          <w:tcPr>
            <w:tcW w:w="1646" w:type="dxa"/>
            <w:vAlign w:val="bottom"/>
          </w:tcPr>
          <w:p w:rsidR="00C01163" w:rsidRPr="00C01163" w:rsidRDefault="00C01163" w:rsidP="00C01163">
            <w:pPr>
              <w:pStyle w:val="KeinAbsatzformat"/>
              <w:spacing w:line="240" w:lineRule="auto"/>
              <w:ind w:left="425" w:right="-2"/>
              <w:jc w:val="both"/>
              <w:rPr>
                <w:szCs w:val="20"/>
              </w:rPr>
            </w:pPr>
            <w:r w:rsidRPr="00C01163">
              <w:rPr>
                <w:szCs w:val="20"/>
              </w:rPr>
              <w:t>443</w:t>
            </w:r>
          </w:p>
        </w:tc>
        <w:tc>
          <w:tcPr>
            <w:tcW w:w="1670" w:type="dxa"/>
            <w:shd w:val="clear" w:color="auto" w:fill="auto"/>
            <w:noWrap/>
            <w:vAlign w:val="bottom"/>
          </w:tcPr>
          <w:p w:rsidR="00C01163" w:rsidRPr="00C01163" w:rsidRDefault="00C01163" w:rsidP="00C01163">
            <w:pPr>
              <w:pStyle w:val="KeinAbsatzformat"/>
              <w:spacing w:line="240" w:lineRule="auto"/>
              <w:ind w:left="425" w:right="-2"/>
              <w:jc w:val="both"/>
              <w:rPr>
                <w:szCs w:val="20"/>
              </w:rPr>
            </w:pPr>
            <w:r w:rsidRPr="00C01163">
              <w:rPr>
                <w:szCs w:val="20"/>
              </w:rPr>
              <w:t>&gt;100.0</w:t>
            </w:r>
          </w:p>
        </w:tc>
      </w:tr>
      <w:tr w:rsidR="00C01163" w:rsidRPr="00601549" w:rsidTr="007B6661">
        <w:trPr>
          <w:trHeight w:val="330"/>
        </w:trPr>
        <w:tc>
          <w:tcPr>
            <w:tcW w:w="2283" w:type="dxa"/>
            <w:shd w:val="clear" w:color="auto" w:fill="auto"/>
            <w:noWrap/>
            <w:vAlign w:val="bottom"/>
          </w:tcPr>
          <w:p w:rsidR="00C01163" w:rsidRPr="00601549" w:rsidRDefault="00C01163" w:rsidP="007B6661">
            <w:pPr>
              <w:ind w:left="426"/>
              <w:jc w:val="both"/>
            </w:pPr>
          </w:p>
        </w:tc>
        <w:tc>
          <w:tcPr>
            <w:tcW w:w="1701" w:type="dxa"/>
            <w:shd w:val="clear" w:color="auto" w:fill="auto"/>
            <w:noWrap/>
            <w:vAlign w:val="bottom"/>
          </w:tcPr>
          <w:p w:rsidR="00C01163" w:rsidRPr="00601549" w:rsidRDefault="00C01163" w:rsidP="007B6661">
            <w:pPr>
              <w:ind w:left="426"/>
              <w:jc w:val="center"/>
            </w:pPr>
          </w:p>
        </w:tc>
        <w:tc>
          <w:tcPr>
            <w:tcW w:w="1646" w:type="dxa"/>
            <w:shd w:val="clear" w:color="auto" w:fill="auto"/>
            <w:noWrap/>
            <w:vAlign w:val="bottom"/>
          </w:tcPr>
          <w:p w:rsidR="00C01163" w:rsidRPr="00C01163" w:rsidRDefault="00C01163" w:rsidP="00C01163">
            <w:pPr>
              <w:pStyle w:val="KeinAbsatzformat"/>
              <w:spacing w:line="240" w:lineRule="auto"/>
              <w:ind w:left="425" w:right="-2"/>
              <w:jc w:val="both"/>
              <w:rPr>
                <w:b/>
                <w:szCs w:val="20"/>
              </w:rPr>
            </w:pPr>
            <w:r w:rsidRPr="00C01163">
              <w:rPr>
                <w:b/>
                <w:szCs w:val="20"/>
              </w:rPr>
              <w:t>12.31.2016</w:t>
            </w:r>
          </w:p>
        </w:tc>
        <w:tc>
          <w:tcPr>
            <w:tcW w:w="1646" w:type="dxa"/>
            <w:vAlign w:val="bottom"/>
          </w:tcPr>
          <w:p w:rsidR="00C01163" w:rsidRPr="00C01163" w:rsidRDefault="00C01163" w:rsidP="00C01163">
            <w:pPr>
              <w:pStyle w:val="KeinAbsatzformat"/>
              <w:spacing w:line="240" w:lineRule="auto"/>
              <w:ind w:left="425" w:right="-2"/>
              <w:jc w:val="both"/>
              <w:rPr>
                <w:b/>
                <w:szCs w:val="20"/>
              </w:rPr>
            </w:pPr>
            <w:r w:rsidRPr="00C01163">
              <w:rPr>
                <w:b/>
                <w:szCs w:val="20"/>
              </w:rPr>
              <w:t>12.31.2015</w:t>
            </w:r>
          </w:p>
        </w:tc>
        <w:tc>
          <w:tcPr>
            <w:tcW w:w="1670" w:type="dxa"/>
            <w:shd w:val="clear" w:color="auto" w:fill="auto"/>
            <w:noWrap/>
            <w:vAlign w:val="bottom"/>
          </w:tcPr>
          <w:p w:rsidR="00C01163" w:rsidRPr="00C01163" w:rsidRDefault="00C01163" w:rsidP="00C01163">
            <w:pPr>
              <w:pStyle w:val="KeinAbsatzformat"/>
              <w:spacing w:line="240" w:lineRule="auto"/>
              <w:ind w:left="425" w:right="-2"/>
              <w:jc w:val="both"/>
              <w:rPr>
                <w:b/>
                <w:szCs w:val="20"/>
              </w:rPr>
            </w:pPr>
            <w:r w:rsidRPr="00C01163">
              <w:rPr>
                <w:b/>
                <w:szCs w:val="20"/>
              </w:rPr>
              <w:t>% change</w:t>
            </w:r>
          </w:p>
        </w:tc>
      </w:tr>
      <w:tr w:rsidR="00C01163" w:rsidRPr="00601549" w:rsidTr="007B6661">
        <w:trPr>
          <w:trHeight w:val="330"/>
        </w:trPr>
        <w:tc>
          <w:tcPr>
            <w:tcW w:w="2283" w:type="dxa"/>
            <w:shd w:val="clear" w:color="auto" w:fill="auto"/>
            <w:noWrap/>
            <w:vAlign w:val="bottom"/>
            <w:hideMark/>
          </w:tcPr>
          <w:p w:rsidR="00C01163" w:rsidRPr="00C01163" w:rsidRDefault="00C01163" w:rsidP="007B6661">
            <w:pPr>
              <w:ind w:left="426"/>
              <w:jc w:val="both"/>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Liquid funds*</w:t>
            </w:r>
          </w:p>
        </w:tc>
        <w:tc>
          <w:tcPr>
            <w:tcW w:w="1701" w:type="dxa"/>
            <w:shd w:val="clear" w:color="auto" w:fill="auto"/>
            <w:noWrap/>
            <w:vAlign w:val="bottom"/>
            <w:hideMark/>
          </w:tcPr>
          <w:p w:rsidR="00C01163" w:rsidRPr="00C01163" w:rsidRDefault="00C01163" w:rsidP="007B6661">
            <w:pPr>
              <w:ind w:left="426"/>
              <w:jc w:val="center"/>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EUR 000s</w:t>
            </w:r>
          </w:p>
        </w:tc>
        <w:tc>
          <w:tcPr>
            <w:tcW w:w="1646" w:type="dxa"/>
            <w:shd w:val="clear" w:color="auto" w:fill="auto"/>
            <w:noWrap/>
            <w:vAlign w:val="bottom"/>
          </w:tcPr>
          <w:p w:rsidR="00C01163" w:rsidRPr="00C01163" w:rsidRDefault="00C01163" w:rsidP="007B6661">
            <w:pPr>
              <w:ind w:left="426"/>
              <w:jc w:val="center"/>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19,593</w:t>
            </w:r>
          </w:p>
        </w:tc>
        <w:tc>
          <w:tcPr>
            <w:tcW w:w="1646" w:type="dxa"/>
            <w:vAlign w:val="bottom"/>
          </w:tcPr>
          <w:p w:rsidR="00C01163" w:rsidRPr="00C01163" w:rsidRDefault="00C01163" w:rsidP="007B6661">
            <w:pPr>
              <w:ind w:left="426"/>
              <w:jc w:val="center"/>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22,437</w:t>
            </w:r>
          </w:p>
        </w:tc>
        <w:tc>
          <w:tcPr>
            <w:tcW w:w="1670" w:type="dxa"/>
            <w:shd w:val="clear" w:color="auto" w:fill="auto"/>
            <w:noWrap/>
            <w:vAlign w:val="bottom"/>
          </w:tcPr>
          <w:p w:rsidR="00C01163" w:rsidRPr="00C01163" w:rsidRDefault="00C01163" w:rsidP="007B6661">
            <w:pPr>
              <w:ind w:left="426"/>
              <w:jc w:val="center"/>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-12.7</w:t>
            </w:r>
          </w:p>
        </w:tc>
      </w:tr>
      <w:tr w:rsidR="00C01163" w:rsidRPr="00601549" w:rsidTr="007B6661">
        <w:trPr>
          <w:trHeight w:val="330"/>
        </w:trPr>
        <w:tc>
          <w:tcPr>
            <w:tcW w:w="2283" w:type="dxa"/>
            <w:shd w:val="clear" w:color="auto" w:fill="auto"/>
            <w:noWrap/>
            <w:vAlign w:val="bottom"/>
          </w:tcPr>
          <w:p w:rsidR="00C01163" w:rsidRPr="00C01163" w:rsidRDefault="00C01163" w:rsidP="007B6661">
            <w:pPr>
              <w:ind w:left="426"/>
              <w:jc w:val="both"/>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 xml:space="preserve">Equity </w:t>
            </w:r>
          </w:p>
        </w:tc>
        <w:tc>
          <w:tcPr>
            <w:tcW w:w="1701" w:type="dxa"/>
            <w:shd w:val="clear" w:color="auto" w:fill="auto"/>
            <w:noWrap/>
            <w:vAlign w:val="bottom"/>
          </w:tcPr>
          <w:p w:rsidR="00C01163" w:rsidRPr="00C01163" w:rsidRDefault="00C01163" w:rsidP="007B6661">
            <w:pPr>
              <w:ind w:left="426"/>
              <w:jc w:val="center"/>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 xml:space="preserve">EUR 000s </w:t>
            </w:r>
          </w:p>
        </w:tc>
        <w:tc>
          <w:tcPr>
            <w:tcW w:w="1646" w:type="dxa"/>
            <w:shd w:val="clear" w:color="auto" w:fill="auto"/>
            <w:noWrap/>
            <w:vAlign w:val="bottom"/>
          </w:tcPr>
          <w:p w:rsidR="00C01163" w:rsidRPr="00C01163" w:rsidRDefault="00C01163" w:rsidP="007B6661">
            <w:pPr>
              <w:ind w:left="426"/>
              <w:jc w:val="center"/>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14,979</w:t>
            </w:r>
          </w:p>
        </w:tc>
        <w:tc>
          <w:tcPr>
            <w:tcW w:w="1646" w:type="dxa"/>
            <w:vAlign w:val="bottom"/>
          </w:tcPr>
          <w:p w:rsidR="00C01163" w:rsidRPr="00C01163" w:rsidRDefault="00C01163" w:rsidP="007B6661">
            <w:pPr>
              <w:ind w:left="426"/>
              <w:jc w:val="center"/>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16,508</w:t>
            </w:r>
          </w:p>
        </w:tc>
        <w:tc>
          <w:tcPr>
            <w:tcW w:w="1670" w:type="dxa"/>
            <w:shd w:val="clear" w:color="auto" w:fill="auto"/>
            <w:noWrap/>
            <w:vAlign w:val="bottom"/>
          </w:tcPr>
          <w:p w:rsidR="00C01163" w:rsidRPr="00C01163" w:rsidRDefault="00C01163" w:rsidP="007B6661">
            <w:pPr>
              <w:ind w:left="426"/>
              <w:jc w:val="center"/>
              <w:rPr>
                <w:rFonts w:ascii="Times New Roman" w:eastAsia="Times New Roman" w:hAnsi="Times New Roman" w:cs="Times New Roman"/>
                <w:color w:val="000000"/>
                <w:sz w:val="24"/>
                <w:szCs w:val="20"/>
                <w:lang w:val="en-US" w:eastAsia="de-DE"/>
              </w:rPr>
            </w:pPr>
            <w:r w:rsidRPr="00C01163">
              <w:rPr>
                <w:rFonts w:ascii="Times New Roman" w:eastAsia="Times New Roman" w:hAnsi="Times New Roman" w:cs="Times New Roman"/>
                <w:color w:val="000000"/>
                <w:sz w:val="24"/>
                <w:szCs w:val="20"/>
                <w:lang w:val="en-US" w:eastAsia="de-DE"/>
              </w:rPr>
              <w:t>-9.3</w:t>
            </w:r>
          </w:p>
        </w:tc>
      </w:tr>
    </w:tbl>
    <w:p w:rsidR="00C01163" w:rsidRPr="00601549" w:rsidRDefault="00C01163" w:rsidP="00C01163">
      <w:pPr>
        <w:pStyle w:val="StandardWeb"/>
      </w:pPr>
      <w:r w:rsidRPr="00601549">
        <w:t>*including securities measured at fair value</w:t>
      </w:r>
    </w:p>
    <w:p w:rsidR="00C01163" w:rsidRPr="00C01163" w:rsidRDefault="00C01163" w:rsidP="00C01163">
      <w:pPr>
        <w:pStyle w:val="KeinAbsatzformat"/>
        <w:spacing w:line="240" w:lineRule="auto"/>
        <w:ind w:left="425" w:right="-2"/>
        <w:jc w:val="both"/>
        <w:rPr>
          <w:szCs w:val="20"/>
        </w:rPr>
      </w:pPr>
      <w:r w:rsidRPr="00C01163">
        <w:rPr>
          <w:szCs w:val="20"/>
        </w:rPr>
        <w:t>For further information:</w:t>
      </w:r>
    </w:p>
    <w:p w:rsidR="00C01163" w:rsidRPr="00C01163" w:rsidRDefault="00C01163" w:rsidP="00C01163">
      <w:pPr>
        <w:pStyle w:val="KeinAbsatzformat"/>
        <w:spacing w:line="240" w:lineRule="auto"/>
        <w:ind w:left="425" w:right="-2"/>
        <w:jc w:val="both"/>
        <w:rPr>
          <w:szCs w:val="20"/>
        </w:rPr>
      </w:pPr>
      <w:r w:rsidRPr="00C01163">
        <w:rPr>
          <w:szCs w:val="20"/>
        </w:rPr>
        <w:t>Dr. Jens Körner (CFO)</w:t>
      </w:r>
    </w:p>
    <w:p w:rsidR="00C01163" w:rsidRPr="00C01163" w:rsidRDefault="00C01163" w:rsidP="00C01163">
      <w:pPr>
        <w:pStyle w:val="KeinAbsatzformat"/>
        <w:spacing w:line="240" w:lineRule="auto"/>
        <w:ind w:left="425" w:right="-2"/>
        <w:jc w:val="both"/>
        <w:rPr>
          <w:szCs w:val="20"/>
        </w:rPr>
      </w:pPr>
      <w:proofErr w:type="spellStart"/>
      <w:proofErr w:type="gramStart"/>
      <w:r w:rsidRPr="00C01163">
        <w:rPr>
          <w:szCs w:val="20"/>
        </w:rPr>
        <w:t>ad</w:t>
      </w:r>
      <w:proofErr w:type="spellEnd"/>
      <w:proofErr w:type="gramEnd"/>
      <w:r w:rsidRPr="00C01163">
        <w:rPr>
          <w:szCs w:val="20"/>
        </w:rPr>
        <w:t xml:space="preserve"> pepper media International N.V.</w:t>
      </w:r>
    </w:p>
    <w:p w:rsidR="00C01163" w:rsidRPr="00C01163" w:rsidRDefault="00C01163" w:rsidP="00C01163">
      <w:pPr>
        <w:pStyle w:val="KeinAbsatzformat"/>
        <w:spacing w:line="240" w:lineRule="auto"/>
        <w:ind w:left="425" w:right="-2"/>
        <w:jc w:val="both"/>
        <w:rPr>
          <w:szCs w:val="20"/>
        </w:rPr>
      </w:pPr>
      <w:r w:rsidRPr="00C01163">
        <w:rPr>
          <w:szCs w:val="20"/>
        </w:rPr>
        <w:t>Tel.: +49 (0) 911 929057-0</w:t>
      </w:r>
    </w:p>
    <w:p w:rsidR="00C01163" w:rsidRPr="00C01163" w:rsidRDefault="00C01163" w:rsidP="00C01163">
      <w:pPr>
        <w:pStyle w:val="KeinAbsatzformat"/>
        <w:spacing w:line="240" w:lineRule="auto"/>
        <w:ind w:left="425" w:right="-2"/>
        <w:jc w:val="both"/>
        <w:rPr>
          <w:szCs w:val="20"/>
        </w:rPr>
      </w:pPr>
      <w:r w:rsidRPr="00C01163">
        <w:rPr>
          <w:szCs w:val="20"/>
        </w:rPr>
        <w:t>Fax: +49 (0) 911 929057-157</w:t>
      </w:r>
    </w:p>
    <w:p w:rsidR="00C01163" w:rsidRPr="00C01163" w:rsidRDefault="00C01163" w:rsidP="00C01163">
      <w:pPr>
        <w:pStyle w:val="KeinAbsatzformat"/>
        <w:spacing w:line="240" w:lineRule="auto"/>
        <w:ind w:left="425" w:right="-2"/>
        <w:jc w:val="both"/>
        <w:rPr>
          <w:szCs w:val="20"/>
        </w:rPr>
      </w:pPr>
      <w:r w:rsidRPr="00C01163">
        <w:rPr>
          <w:szCs w:val="20"/>
        </w:rPr>
        <w:t>E-mail: ir@adpepper.com</w:t>
      </w:r>
    </w:p>
    <w:p w:rsidR="004231D4" w:rsidRPr="00C01163" w:rsidRDefault="004231D4" w:rsidP="00C01163">
      <w:pPr>
        <w:rPr>
          <w:lang w:val="en-US"/>
        </w:rPr>
      </w:pPr>
    </w:p>
    <w:sectPr w:rsidR="004231D4" w:rsidRPr="00C011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63"/>
    <w:rsid w:val="004231D4"/>
    <w:rsid w:val="00C01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01163"/>
    <w:pPr>
      <w:spacing w:before="100" w:beforeAutospacing="1" w:after="100" w:afterAutospacing="1" w:line="240" w:lineRule="auto"/>
    </w:pPr>
    <w:rPr>
      <w:rFonts w:ascii="Times New Roman" w:eastAsia="Times New Roman" w:hAnsi="Times New Roman" w:cs="Times New Roman"/>
      <w:sz w:val="24"/>
      <w:szCs w:val="24"/>
      <w:lang w:val="en-US" w:eastAsia="de-DE"/>
    </w:rPr>
  </w:style>
  <w:style w:type="paragraph" w:customStyle="1" w:styleId="KeinAbsatzformat">
    <w:name w:val="[Kein Absatzformat]"/>
    <w:rsid w:val="00C0116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de-DE"/>
    </w:rPr>
  </w:style>
  <w:style w:type="paragraph" w:styleId="Listenabsatz">
    <w:name w:val="List Paragraph"/>
    <w:basedOn w:val="Standard"/>
    <w:uiPriority w:val="34"/>
    <w:qFormat/>
    <w:rsid w:val="00C01163"/>
    <w:pPr>
      <w:spacing w:after="0" w:line="240" w:lineRule="auto"/>
      <w:ind w:left="720"/>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01163"/>
    <w:pPr>
      <w:spacing w:before="100" w:beforeAutospacing="1" w:after="100" w:afterAutospacing="1" w:line="240" w:lineRule="auto"/>
    </w:pPr>
    <w:rPr>
      <w:rFonts w:ascii="Times New Roman" w:eastAsia="Times New Roman" w:hAnsi="Times New Roman" w:cs="Times New Roman"/>
      <w:sz w:val="24"/>
      <w:szCs w:val="24"/>
      <w:lang w:val="en-US" w:eastAsia="de-DE"/>
    </w:rPr>
  </w:style>
  <w:style w:type="paragraph" w:customStyle="1" w:styleId="KeinAbsatzformat">
    <w:name w:val="[Kein Absatzformat]"/>
    <w:rsid w:val="00C01163"/>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de-DE"/>
    </w:rPr>
  </w:style>
  <w:style w:type="paragraph" w:styleId="Listenabsatz">
    <w:name w:val="List Paragraph"/>
    <w:basedOn w:val="Standard"/>
    <w:uiPriority w:val="34"/>
    <w:qFormat/>
    <w:rsid w:val="00C01163"/>
    <w:pPr>
      <w:spacing w:after="0" w:line="240" w:lineRule="auto"/>
      <w:ind w:left="720"/>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Talarowska</dc:creator>
  <cp:lastModifiedBy>Klaudia Talarowska</cp:lastModifiedBy>
  <cp:revision>1</cp:revision>
  <dcterms:created xsi:type="dcterms:W3CDTF">2017-01-29T15:48:00Z</dcterms:created>
  <dcterms:modified xsi:type="dcterms:W3CDTF">2017-01-29T16:02:00Z</dcterms:modified>
</cp:coreProperties>
</file>