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B961F" w14:textId="77777777" w:rsidR="00507217" w:rsidRPr="00507217" w:rsidRDefault="00507217" w:rsidP="00507217">
      <w:pPr>
        <w:shd w:val="clear" w:color="auto" w:fill="EDF3F7"/>
        <w:spacing w:after="100" w:afterAutospacing="1" w:line="240" w:lineRule="auto"/>
        <w:outlineLvl w:val="0"/>
        <w:rPr>
          <w:rFonts w:ascii="Roboto" w:eastAsia="Times New Roman" w:hAnsi="Roboto" w:cs="Times New Roman"/>
          <w:b/>
          <w:bCs/>
          <w:color w:val="014356"/>
          <w:kern w:val="36"/>
          <w:sz w:val="48"/>
          <w:szCs w:val="48"/>
          <w:lang w:val="en-NL" w:eastAsia="en-NL"/>
        </w:rPr>
      </w:pP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kern w:val="36"/>
          <w:sz w:val="48"/>
          <w:szCs w:val="48"/>
          <w:lang w:val="en-NL" w:eastAsia="en-NL"/>
        </w:rPr>
        <w:t>Jaarcijfers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kern w:val="36"/>
          <w:sz w:val="48"/>
          <w:szCs w:val="48"/>
          <w:lang w:val="en-NL" w:eastAsia="en-NL"/>
        </w:rPr>
        <w:t xml:space="preserve"> 2022: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kern w:val="36"/>
          <w:sz w:val="48"/>
          <w:szCs w:val="48"/>
          <w:lang w:val="en-NL" w:eastAsia="en-NL"/>
        </w:rPr>
        <w:t>Kredietportefeuille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kern w:val="36"/>
          <w:sz w:val="48"/>
          <w:szCs w:val="48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kern w:val="36"/>
          <w:sz w:val="48"/>
          <w:szCs w:val="48"/>
          <w:lang w:val="en-NL" w:eastAsia="en-NL"/>
        </w:rPr>
        <w:t>gegroeid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kern w:val="36"/>
          <w:sz w:val="48"/>
          <w:szCs w:val="48"/>
          <w:lang w:val="en-NL" w:eastAsia="en-NL"/>
        </w:rPr>
        <w:t xml:space="preserve"> tot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kern w:val="36"/>
          <w:sz w:val="48"/>
          <w:szCs w:val="48"/>
          <w:lang w:val="en-NL" w:eastAsia="en-NL"/>
        </w:rPr>
        <w:t>recordniveau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kern w:val="36"/>
          <w:sz w:val="48"/>
          <w:szCs w:val="48"/>
          <w:lang w:val="en-NL" w:eastAsia="en-NL"/>
        </w:rPr>
        <w:t xml:space="preserve">, € 9,6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kern w:val="36"/>
          <w:sz w:val="48"/>
          <w:szCs w:val="48"/>
          <w:lang w:val="en-NL" w:eastAsia="en-NL"/>
        </w:rPr>
        <w:t>miljard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kern w:val="36"/>
          <w:sz w:val="48"/>
          <w:szCs w:val="48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kern w:val="36"/>
          <w:sz w:val="48"/>
          <w:szCs w:val="48"/>
          <w:lang w:val="en-NL" w:eastAsia="en-NL"/>
        </w:rPr>
        <w:t>aan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kern w:val="36"/>
          <w:sz w:val="48"/>
          <w:szCs w:val="48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kern w:val="36"/>
          <w:sz w:val="48"/>
          <w:szCs w:val="48"/>
          <w:lang w:val="en-NL" w:eastAsia="en-NL"/>
        </w:rPr>
        <w:t>nieuwe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kern w:val="36"/>
          <w:sz w:val="48"/>
          <w:szCs w:val="48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kern w:val="36"/>
          <w:sz w:val="48"/>
          <w:szCs w:val="48"/>
          <w:lang w:val="en-NL" w:eastAsia="en-NL"/>
        </w:rPr>
        <w:t>kredietverlening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kern w:val="36"/>
          <w:sz w:val="48"/>
          <w:szCs w:val="48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kern w:val="36"/>
          <w:sz w:val="48"/>
          <w:szCs w:val="48"/>
          <w:lang w:val="en-NL" w:eastAsia="en-NL"/>
        </w:rPr>
        <w:t>en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kern w:val="36"/>
          <w:sz w:val="48"/>
          <w:szCs w:val="48"/>
          <w:lang w:val="en-NL" w:eastAsia="en-NL"/>
        </w:rPr>
        <w:t xml:space="preserve"> op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kern w:val="36"/>
          <w:sz w:val="48"/>
          <w:szCs w:val="48"/>
          <w:lang w:val="en-NL" w:eastAsia="en-NL"/>
        </w:rPr>
        <w:t>koers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kern w:val="36"/>
          <w:sz w:val="48"/>
          <w:szCs w:val="48"/>
          <w:lang w:val="en-NL" w:eastAsia="en-NL"/>
        </w:rPr>
        <w:t xml:space="preserve"> met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kern w:val="36"/>
          <w:sz w:val="48"/>
          <w:szCs w:val="48"/>
          <w:lang w:val="en-NL" w:eastAsia="en-NL"/>
        </w:rPr>
        <w:t>klimaatactieplan</w:t>
      </w:r>
      <w:proofErr w:type="spellEnd"/>
    </w:p>
    <w:p w14:paraId="450AF156" w14:textId="77777777" w:rsidR="00507217" w:rsidRPr="00507217" w:rsidRDefault="00507217" w:rsidP="005072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</w:pPr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·       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Kredietportefeuille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gegroeid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tot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recordniveau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van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ruim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€ 52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miljard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br/>
        <w:t xml:space="preserve">·       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Nieuwe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financiering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aan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klanten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in de Nederlandse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publieke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sector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en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duurzame-energieprojecten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in 2022: € 9,6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miljard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(2021: € 12,1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miljard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)</w:t>
      </w:r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br/>
        <w:t xml:space="preserve">·       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Nettowinst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stijgt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met 18%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naar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€ 143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miljoen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(2021: € 121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miljoen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)</w:t>
      </w:r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br/>
        <w:t xml:space="preserve">·        Op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koers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met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ons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klimaatactieplan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: CO2e-uitstoot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kredietportefeuille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in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afgelopen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vier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jaar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met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ruim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17%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afgenomen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br/>
        <w:t xml:space="preserve">·       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Ruim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40% van de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langlopende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financiering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aangetrokken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met ESG-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obligaties</w:t>
      </w:r>
      <w:proofErr w:type="spellEnd"/>
    </w:p>
    <w:p w14:paraId="4FD9546C" w14:textId="77777777" w:rsidR="00507217" w:rsidRPr="00507217" w:rsidRDefault="00507217" w:rsidP="005072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</w:pPr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De NWB Bank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heeft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in 2022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voor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in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totaal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 </w:t>
      </w:r>
      <w:bookmarkStart w:id="0" w:name="_Hlk129446571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€ 9,6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miljard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aan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financiering </w:t>
      </w:r>
      <w:bookmarkEnd w:id="0"/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verstrekt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aan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haar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klanten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in de Nederlandse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publieke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sector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en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duurzame-energieprojecten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.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Ondanks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de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onzekere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tijden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waarin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de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wereld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verkeerde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,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hebben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wij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onze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positie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in de Nederlandse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publieke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sector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opnieuw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weten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te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bestendigen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.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Daarnaast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stimuleren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wij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met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ons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klimaatactieplan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onze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klanten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verder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te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verduurzamen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en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committeren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wij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ons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als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bank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aan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een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kredietportefeuille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die per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saldo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geen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CO2e-uitstoot </w:t>
      </w:r>
      <w:proofErr w:type="spellStart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>veroorzaakt</w:t>
      </w:r>
      <w:proofErr w:type="spellEnd"/>
      <w:r w:rsidRPr="00507217">
        <w:rPr>
          <w:rFonts w:ascii="Roboto" w:eastAsia="Times New Roman" w:hAnsi="Roboto" w:cs="Times New Roman"/>
          <w:b/>
          <w:bCs/>
          <w:color w:val="014356"/>
          <w:sz w:val="24"/>
          <w:szCs w:val="24"/>
          <w:lang w:val="en-NL" w:eastAsia="en-NL"/>
        </w:rPr>
        <w:t xml:space="preserve"> in 2050.</w:t>
      </w:r>
    </w:p>
    <w:p w14:paraId="5F888774" w14:textId="77777777" w:rsidR="00507217" w:rsidRPr="00507217" w:rsidRDefault="00507217" w:rsidP="005072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</w:pP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Dankzij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een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beter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renteresultaat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lagere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bankenbelasting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is de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winst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op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een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hoger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niveau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uitgekomen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: € 143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miljoen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ten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opzichte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van € 121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miljoen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in 2021. Net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als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in 2020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2021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heeft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ook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afgelopen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jaar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onze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deelname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aan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de TLTRO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vanwege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de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aantrekkelijke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tarieven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bijgedragen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aan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het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winstniveau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. Het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voordeel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hiervan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is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grotendeels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doorgegeven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aan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onze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klanten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via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lagere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tarieven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voor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de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kredietverlening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, maar door het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verschil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in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looptijd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van de TLTRO funding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die van de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kredietverlening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resulteerde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dit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de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afgelopen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jaren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in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een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hogere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winst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, die er de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komende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jaren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weer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uitloopt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. We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hebben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het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voornemen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om van de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nettowinst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 </w:t>
      </w:r>
      <w:bookmarkStart w:id="1" w:name="_Hlk129445970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€</w:t>
      </w:r>
      <w:bookmarkEnd w:id="1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 60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miljoen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als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dividend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beschikbaar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te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stellen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aan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onze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aandeelhouders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.</w:t>
      </w:r>
    </w:p>
    <w:p w14:paraId="13C14D47" w14:textId="77777777" w:rsidR="00507217" w:rsidRPr="00507217" w:rsidRDefault="00507217" w:rsidP="005072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</w:pPr>
      <w:proofErr w:type="spellStart"/>
      <w:r w:rsidRPr="00507217">
        <w:rPr>
          <w:rFonts w:ascii="Roboto" w:eastAsia="Times New Roman" w:hAnsi="Roboto" w:cs="Times New Roman"/>
          <w:b/>
          <w:bCs/>
          <w:i/>
          <w:iCs/>
          <w:color w:val="014356"/>
          <w:sz w:val="24"/>
          <w:szCs w:val="24"/>
          <w:lang w:val="en-NL" w:eastAsia="en-NL"/>
        </w:rPr>
        <w:t>Maatschappelijke</w:t>
      </w:r>
      <w:proofErr w:type="spellEnd"/>
      <w:r w:rsidRPr="00507217">
        <w:rPr>
          <w:rFonts w:ascii="Roboto" w:eastAsia="Times New Roman" w:hAnsi="Roboto" w:cs="Times New Roman"/>
          <w:b/>
          <w:bCs/>
          <w:i/>
          <w:iCs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i/>
          <w:iCs/>
          <w:color w:val="014356"/>
          <w:sz w:val="24"/>
          <w:szCs w:val="24"/>
          <w:lang w:val="en-NL" w:eastAsia="en-NL"/>
        </w:rPr>
        <w:t>en</w:t>
      </w:r>
      <w:proofErr w:type="spellEnd"/>
      <w:r w:rsidRPr="00507217">
        <w:rPr>
          <w:rFonts w:ascii="Roboto" w:eastAsia="Times New Roman" w:hAnsi="Roboto" w:cs="Times New Roman"/>
          <w:b/>
          <w:bCs/>
          <w:i/>
          <w:iCs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i/>
          <w:iCs/>
          <w:color w:val="014356"/>
          <w:sz w:val="24"/>
          <w:szCs w:val="24"/>
          <w:lang w:val="en-NL" w:eastAsia="en-NL"/>
        </w:rPr>
        <w:t>duurzame</w:t>
      </w:r>
      <w:proofErr w:type="spellEnd"/>
      <w:r w:rsidRPr="00507217">
        <w:rPr>
          <w:rFonts w:ascii="Roboto" w:eastAsia="Times New Roman" w:hAnsi="Roboto" w:cs="Times New Roman"/>
          <w:b/>
          <w:bCs/>
          <w:i/>
          <w:iCs/>
          <w:color w:val="014356"/>
          <w:sz w:val="24"/>
          <w:szCs w:val="24"/>
          <w:lang w:val="en-NL" w:eastAsia="en-NL"/>
        </w:rPr>
        <w:t xml:space="preserve"> impact</w:t>
      </w:r>
    </w:p>
    <w:p w14:paraId="79BE51FD" w14:textId="77777777" w:rsidR="00507217" w:rsidRPr="00507217" w:rsidRDefault="00507217" w:rsidP="005072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</w:pPr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Als bank van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voor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de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publieke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sector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streven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we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geen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winstmaximalisatie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na.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Met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onze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kredietverlening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op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maat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richten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we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ons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op de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realisatie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van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maatschappelijk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duurzaam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rendement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.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Afgelopen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jaar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is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onze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kredietportefeuille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toegenomen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tot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een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recordniveau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van € 52,2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miljard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.</w:t>
      </w:r>
    </w:p>
    <w:p w14:paraId="155C55C4" w14:textId="77777777" w:rsidR="00507217" w:rsidRPr="00507217" w:rsidRDefault="00507217" w:rsidP="005072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</w:pPr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In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april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2022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hebben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we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ons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klimaatactieplan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gepubliceerd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onze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eerste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aan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duurzaamheid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gekoppelde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lening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(sustainability linked loan)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verstrekt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aan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Waterschap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Zuiderzeeland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( € 21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miljoen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). Het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waterschap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krijgt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een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korting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op de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jaarlijkse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rente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van de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lening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als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het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ambitieuze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mijlpalen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in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duurzaamheid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behaalt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. Het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betreft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mijlpalen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gericht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op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klimaatmitigatie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,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biodiversiteit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diversiteit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,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aangezien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dit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belangrijke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thema’s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zijn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voor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zowel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het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waterschap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als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de bank. Met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lastRenderedPageBreak/>
        <w:t>deze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aan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duurzaamheid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gekoppelde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leningen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willen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wij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de (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verdere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)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verduurzaming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van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onze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klanten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stimuleren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helpen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versnellen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.  </w:t>
      </w:r>
    </w:p>
    <w:p w14:paraId="1253079D" w14:textId="77777777" w:rsidR="00507217" w:rsidRPr="00507217" w:rsidRDefault="00507217" w:rsidP="005072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</w:pP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Afgelopen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jaar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hebben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we 42% (€ 4,7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miljard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) van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onze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eigen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langetermijnfunding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opgehaald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met de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uitgifte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van ESG-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obligaties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(Environmental, Social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Governance). In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totaal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hadden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we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eind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2022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bijna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€ 23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miljard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aan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ESG-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obligaties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uitstaan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.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Dat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is 37% van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onze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totale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hoeveelheid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uitstaande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langetermijnfunding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.</w:t>
      </w:r>
    </w:p>
    <w:p w14:paraId="1657C97C" w14:textId="77777777" w:rsidR="00507217" w:rsidRPr="00507217" w:rsidRDefault="00507217" w:rsidP="005072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</w:pPr>
      <w:r w:rsidRPr="00507217">
        <w:rPr>
          <w:rFonts w:ascii="Roboto" w:eastAsia="Times New Roman" w:hAnsi="Roboto" w:cs="Times New Roman"/>
          <w:b/>
          <w:bCs/>
          <w:i/>
          <w:iCs/>
          <w:color w:val="014356"/>
          <w:sz w:val="24"/>
          <w:szCs w:val="24"/>
          <w:lang w:val="en-NL" w:eastAsia="en-NL"/>
        </w:rPr>
        <w:t xml:space="preserve">Op </w:t>
      </w:r>
      <w:proofErr w:type="spellStart"/>
      <w:r w:rsidRPr="00507217">
        <w:rPr>
          <w:rFonts w:ascii="Roboto" w:eastAsia="Times New Roman" w:hAnsi="Roboto" w:cs="Times New Roman"/>
          <w:b/>
          <w:bCs/>
          <w:i/>
          <w:iCs/>
          <w:color w:val="014356"/>
          <w:sz w:val="24"/>
          <w:szCs w:val="24"/>
          <w:lang w:val="en-NL" w:eastAsia="en-NL"/>
        </w:rPr>
        <w:t>koers</w:t>
      </w:r>
      <w:proofErr w:type="spellEnd"/>
      <w:r w:rsidRPr="00507217">
        <w:rPr>
          <w:rFonts w:ascii="Roboto" w:eastAsia="Times New Roman" w:hAnsi="Roboto" w:cs="Times New Roman"/>
          <w:b/>
          <w:bCs/>
          <w:i/>
          <w:iCs/>
          <w:color w:val="014356"/>
          <w:sz w:val="24"/>
          <w:szCs w:val="24"/>
          <w:lang w:val="en-NL" w:eastAsia="en-NL"/>
        </w:rPr>
        <w:t xml:space="preserve"> met </w:t>
      </w:r>
      <w:proofErr w:type="spellStart"/>
      <w:r w:rsidRPr="00507217">
        <w:rPr>
          <w:rFonts w:ascii="Roboto" w:eastAsia="Times New Roman" w:hAnsi="Roboto" w:cs="Times New Roman"/>
          <w:b/>
          <w:bCs/>
          <w:i/>
          <w:iCs/>
          <w:color w:val="014356"/>
          <w:sz w:val="24"/>
          <w:szCs w:val="24"/>
          <w:lang w:val="en-NL" w:eastAsia="en-NL"/>
        </w:rPr>
        <w:t>ons</w:t>
      </w:r>
      <w:proofErr w:type="spellEnd"/>
      <w:r w:rsidRPr="00507217">
        <w:rPr>
          <w:rFonts w:ascii="Roboto" w:eastAsia="Times New Roman" w:hAnsi="Roboto" w:cs="Times New Roman"/>
          <w:b/>
          <w:bCs/>
          <w:i/>
          <w:iCs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b/>
          <w:bCs/>
          <w:i/>
          <w:iCs/>
          <w:color w:val="014356"/>
          <w:sz w:val="24"/>
          <w:szCs w:val="24"/>
          <w:lang w:val="en-NL" w:eastAsia="en-NL"/>
        </w:rPr>
        <w:t>klimaatactieplan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br/>
        <w:t xml:space="preserve">Conform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ons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klimaatactieplan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willen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we in 2030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minimaal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43% CO</w:t>
      </w:r>
      <w:r w:rsidRPr="00507217">
        <w:rPr>
          <w:rFonts w:ascii="Roboto" w:eastAsia="Times New Roman" w:hAnsi="Roboto" w:cs="Times New Roman"/>
          <w:color w:val="014356"/>
          <w:sz w:val="18"/>
          <w:szCs w:val="18"/>
          <w:vertAlign w:val="subscript"/>
          <w:lang w:val="en-NL" w:eastAsia="en-NL"/>
        </w:rPr>
        <w:t>2</w:t>
      </w:r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e-reductie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bereiken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ten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opzichte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van de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uitstoot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van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onze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kredietportefeuille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in 2019, het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eerste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jaar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waarover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we de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klimaatimpact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van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onze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financiering in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kaart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brachten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met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behulp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van de PCAF-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methodologie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. Doel is om in 2050 over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een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kredietportefeuille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te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beschikken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die per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saldo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geen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CO</w:t>
      </w:r>
      <w:r w:rsidRPr="00507217">
        <w:rPr>
          <w:rFonts w:ascii="Roboto" w:eastAsia="Times New Roman" w:hAnsi="Roboto" w:cs="Times New Roman"/>
          <w:color w:val="014356"/>
          <w:sz w:val="18"/>
          <w:szCs w:val="18"/>
          <w:vertAlign w:val="subscript"/>
          <w:lang w:val="en-NL" w:eastAsia="en-NL"/>
        </w:rPr>
        <w:t>2</w:t>
      </w:r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e-uitstoot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veroorzaakt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. Met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een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reductie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van 17% ten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opzichte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van het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referentiejaar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2019  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liggen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we op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koers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met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ons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klimaatactieplan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ondanks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een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groei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van de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onderliggende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kredietportefeuille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.</w:t>
      </w:r>
    </w:p>
    <w:p w14:paraId="40D95D68" w14:textId="77777777" w:rsidR="00507217" w:rsidRPr="00507217" w:rsidRDefault="00507217" w:rsidP="005072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</w:pPr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Als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onderdeel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van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ons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klimaatactieplan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,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hebben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we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onszelf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een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gewaagd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doel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gesteld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: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wij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streven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ernaar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dat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onze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kredietportefeuille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in 2035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energiepositief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is, op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weg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naar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een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klimaatneutrale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portefeuille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in 2050. We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willen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dat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in 2035 de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duurzame-energieprojecten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die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wij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financieren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meer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hernieuwbare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energie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opwekken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dan de rest van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onze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portefeuille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verbruikt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aan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fossiele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energie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.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Dat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willen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we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bereiken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door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onze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klanten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actief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te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stimuleren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hun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energieverbruik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(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verder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)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te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verlagen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waar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dat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kan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hernieuwbare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energie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te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gebruiken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. Het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financieren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van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duurzame-energieprojecten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speelt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daarbij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een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belangrijke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rol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.</w:t>
      </w:r>
    </w:p>
    <w:p w14:paraId="6DE143EF" w14:textId="77777777" w:rsidR="00507217" w:rsidRPr="00507217" w:rsidRDefault="00507217" w:rsidP="005072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</w:pPr>
      <w:proofErr w:type="spellStart"/>
      <w:r w:rsidRPr="00507217">
        <w:rPr>
          <w:rFonts w:ascii="Roboto" w:eastAsia="Times New Roman" w:hAnsi="Roboto" w:cs="Times New Roman"/>
          <w:b/>
          <w:bCs/>
          <w:i/>
          <w:iCs/>
          <w:color w:val="014356"/>
          <w:sz w:val="24"/>
          <w:szCs w:val="24"/>
          <w:lang w:val="en-NL" w:eastAsia="en-NL"/>
        </w:rPr>
        <w:t>Vooruitzichten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br/>
        <w:t xml:space="preserve">We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verwachten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in 2023 op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dezelfde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maatschappelijke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duurzame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wijze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als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afgelopen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jaar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te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kunnen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voorzien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in de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financieringsbehoefte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van de Nederlandse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publieke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sector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duurzame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energieprojecten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.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Hoewel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de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oorlog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in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Oekraïne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in 2022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weinig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tot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geen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negatieve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impact had op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onze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organisatie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,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blijven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we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voorzichtig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in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onze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verwachting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voor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de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nettowinst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in 2023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mede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in het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licht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van de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recente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volatiliteit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in de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financiële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markten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als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gevolg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van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zorgen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omtrent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de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bancaire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sector. De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nettowinst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zal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naar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verwachting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lager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uitvallen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dan in 2022,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mede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doordat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de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positieve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effecten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van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deelname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aan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de TLTRO er in 2023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niet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meer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zijn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.</w:t>
      </w:r>
    </w:p>
    <w:p w14:paraId="75F809E7" w14:textId="77777777" w:rsidR="00507217" w:rsidRPr="00507217" w:rsidRDefault="00507217" w:rsidP="005072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</w:pPr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Op 31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maart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2023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zullen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we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ons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jaarverslag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 xml:space="preserve"> 2022 </w:t>
      </w:r>
      <w:proofErr w:type="spellStart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publiceren</w:t>
      </w:r>
      <w:proofErr w:type="spellEnd"/>
      <w:r w:rsidRPr="00507217">
        <w:rPr>
          <w:rFonts w:ascii="Roboto" w:eastAsia="Times New Roman" w:hAnsi="Roboto" w:cs="Times New Roman"/>
          <w:color w:val="014356"/>
          <w:sz w:val="24"/>
          <w:szCs w:val="24"/>
          <w:lang w:val="en-NL" w:eastAsia="en-NL"/>
        </w:rPr>
        <w:t>.</w:t>
      </w:r>
    </w:p>
    <w:p w14:paraId="353AF826" w14:textId="77777777" w:rsidR="005D734C" w:rsidRPr="00507217" w:rsidRDefault="005D734C">
      <w:pPr>
        <w:rPr>
          <w:lang w:val="en-NL"/>
        </w:rPr>
      </w:pPr>
    </w:p>
    <w:sectPr w:rsidR="005D734C" w:rsidRPr="00507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D22B0" w14:textId="77777777" w:rsidR="00507217" w:rsidRDefault="00507217" w:rsidP="00507217">
      <w:pPr>
        <w:spacing w:after="0" w:line="240" w:lineRule="auto"/>
      </w:pPr>
      <w:r>
        <w:separator/>
      </w:r>
    </w:p>
  </w:endnote>
  <w:endnote w:type="continuationSeparator" w:id="0">
    <w:p w14:paraId="03ACDC0F" w14:textId="77777777" w:rsidR="00507217" w:rsidRDefault="00507217" w:rsidP="0050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CEF1" w14:textId="77777777" w:rsidR="00507217" w:rsidRDefault="00507217" w:rsidP="00507217">
      <w:pPr>
        <w:spacing w:after="0" w:line="240" w:lineRule="auto"/>
      </w:pPr>
      <w:r>
        <w:separator/>
      </w:r>
    </w:p>
  </w:footnote>
  <w:footnote w:type="continuationSeparator" w:id="0">
    <w:p w14:paraId="79B20C02" w14:textId="77777777" w:rsidR="00507217" w:rsidRDefault="00507217" w:rsidP="00507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17"/>
    <w:rsid w:val="00175703"/>
    <w:rsid w:val="002747EA"/>
    <w:rsid w:val="00507217"/>
    <w:rsid w:val="005D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F70B7"/>
  <w15:chartTrackingRefBased/>
  <w15:docId w15:val="{AFBCD9C6-F6A2-455E-9AC6-F008B104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7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NL" w:eastAsia="en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217"/>
    <w:rPr>
      <w:rFonts w:ascii="Times New Roman" w:eastAsia="Times New Roman" w:hAnsi="Times New Roman" w:cs="Times New Roman"/>
      <w:b/>
      <w:bCs/>
      <w:kern w:val="36"/>
      <w:sz w:val="48"/>
      <w:szCs w:val="48"/>
      <w:lang w:val="en-NL" w:eastAsia="en-NL"/>
    </w:rPr>
  </w:style>
  <w:style w:type="paragraph" w:styleId="NormalWeb">
    <w:name w:val="Normal (Web)"/>
    <w:basedOn w:val="Normal"/>
    <w:uiPriority w:val="99"/>
    <w:semiHidden/>
    <w:unhideWhenUsed/>
    <w:rsid w:val="0050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L" w:eastAsia="en-NL"/>
    </w:rPr>
  </w:style>
  <w:style w:type="character" w:styleId="Strong">
    <w:name w:val="Strong"/>
    <w:basedOn w:val="DefaultParagraphFont"/>
    <w:uiPriority w:val="22"/>
    <w:qFormat/>
    <w:rsid w:val="00507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2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0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Kursun - Yuce</dc:creator>
  <cp:keywords/>
  <dc:description/>
  <cp:lastModifiedBy>Aysegul Kursun - Yuce</cp:lastModifiedBy>
  <cp:revision>1</cp:revision>
  <dcterms:created xsi:type="dcterms:W3CDTF">2023-03-20T21:07:00Z</dcterms:created>
  <dcterms:modified xsi:type="dcterms:W3CDTF">2023-03-20T21:09:00Z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6bea96-b064-4a79-9ae0-44c7b24b47ce_Enabled">
    <vt:lpwstr>true</vt:lpwstr>
  </property>
  <property fmtid="{D5CDD505-2E9C-101B-9397-08002B2CF9AE}" pid="3" name="MSIP_Label_786bea96-b064-4a79-9ae0-44c7b24b47ce_SetDate">
    <vt:lpwstr>2023-03-20T21:07:55Z</vt:lpwstr>
  </property>
  <property fmtid="{D5CDD505-2E9C-101B-9397-08002B2CF9AE}" pid="4" name="MSIP_Label_786bea96-b064-4a79-9ae0-44c7b24b47ce_Method">
    <vt:lpwstr>Standard</vt:lpwstr>
  </property>
  <property fmtid="{D5CDD505-2E9C-101B-9397-08002B2CF9AE}" pid="5" name="MSIP_Label_786bea96-b064-4a79-9ae0-44c7b24b47ce_Name">
    <vt:lpwstr>Internal</vt:lpwstr>
  </property>
  <property fmtid="{D5CDD505-2E9C-101B-9397-08002B2CF9AE}" pid="6" name="MSIP_Label_786bea96-b064-4a79-9ae0-44c7b24b47ce_SiteId">
    <vt:lpwstr>a3fb8107-099e-44de-bfc2-908b9a1ed9eb</vt:lpwstr>
  </property>
  <property fmtid="{D5CDD505-2E9C-101B-9397-08002B2CF9AE}" pid="7" name="MSIP_Label_786bea96-b064-4a79-9ae0-44c7b24b47ce_ActionId">
    <vt:lpwstr>68b2154d-9998-47de-ba94-006b7abc64fe</vt:lpwstr>
  </property>
  <property fmtid="{D5CDD505-2E9C-101B-9397-08002B2CF9AE}" pid="8" name="MSIP_Label_786bea96-b064-4a79-9ae0-44c7b24b47ce_ContentBits">
    <vt:lpwstr>0</vt:lpwstr>
  </property>
</Properties>
</file>