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C5FA4" w14:textId="77777777" w:rsidR="00BE5FF8" w:rsidRDefault="00BE5FF8" w:rsidP="00155973">
      <w:pPr>
        <w:pStyle w:val="Title16"/>
        <w:rPr>
          <w:rFonts w:ascii="Calibri" w:eastAsia="MS Mincho" w:hAnsi="Calibri" w:cs="Calibri"/>
          <w:sz w:val="22"/>
          <w:szCs w:val="22"/>
        </w:rPr>
      </w:pPr>
    </w:p>
    <w:p w14:paraId="57A4AD25" w14:textId="77777777" w:rsidR="00BE5FF8" w:rsidRDefault="00BE5FF8" w:rsidP="00155973">
      <w:pPr>
        <w:pStyle w:val="Title16"/>
        <w:rPr>
          <w:rFonts w:ascii="Calibri" w:eastAsia="MS Mincho" w:hAnsi="Calibri" w:cs="Calibri"/>
          <w:sz w:val="22"/>
          <w:szCs w:val="22"/>
        </w:rPr>
      </w:pPr>
    </w:p>
    <w:p w14:paraId="24922D44" w14:textId="77777777" w:rsidR="00BE5FF8" w:rsidRDefault="00BE5FF8" w:rsidP="00155973">
      <w:pPr>
        <w:pStyle w:val="Title16"/>
        <w:rPr>
          <w:rFonts w:ascii="Calibri" w:eastAsia="MS Mincho" w:hAnsi="Calibri" w:cs="Calibri"/>
          <w:sz w:val="22"/>
          <w:szCs w:val="22"/>
        </w:rPr>
      </w:pPr>
    </w:p>
    <w:p w14:paraId="12738340" w14:textId="77777777" w:rsidR="00BE5FF8" w:rsidRDefault="00BE5FF8" w:rsidP="00155973">
      <w:pPr>
        <w:pStyle w:val="Title16"/>
        <w:rPr>
          <w:rFonts w:ascii="Calibri" w:eastAsia="MS Mincho" w:hAnsi="Calibri" w:cs="Calibri"/>
          <w:sz w:val="22"/>
          <w:szCs w:val="22"/>
        </w:rPr>
      </w:pPr>
    </w:p>
    <w:p w14:paraId="431A9FF4" w14:textId="16DF6006" w:rsidR="00155973" w:rsidRPr="003912BB" w:rsidRDefault="00155973" w:rsidP="00155973">
      <w:pPr>
        <w:pStyle w:val="Title16"/>
        <w:rPr>
          <w:rFonts w:ascii="Calibri" w:eastAsia="MS Mincho" w:hAnsi="Calibri" w:cs="Calibri"/>
          <w:sz w:val="22"/>
          <w:szCs w:val="22"/>
        </w:rPr>
      </w:pPr>
      <w:r w:rsidRPr="003912BB">
        <w:rPr>
          <w:rFonts w:ascii="Calibri" w:eastAsia="MS Mincho" w:hAnsi="Calibri" w:cs="Calibri"/>
          <w:sz w:val="22"/>
          <w:szCs w:val="22"/>
        </w:rPr>
        <w:t>PROSUS N.V.</w:t>
      </w:r>
    </w:p>
    <w:p w14:paraId="6F7731AC" w14:textId="77777777" w:rsidR="00155973" w:rsidRPr="003912BB" w:rsidRDefault="00155973" w:rsidP="00155973">
      <w:pPr>
        <w:pStyle w:val="Title16"/>
        <w:spacing w:after="0" w:line="240" w:lineRule="auto"/>
        <w:rPr>
          <w:rFonts w:ascii="Calibri" w:eastAsia="MS Mincho" w:hAnsi="Calibri" w:cs="Calibri"/>
          <w:b w:val="0"/>
          <w:sz w:val="22"/>
          <w:szCs w:val="22"/>
        </w:rPr>
      </w:pPr>
      <w:r w:rsidRPr="003912BB">
        <w:rPr>
          <w:rFonts w:ascii="Calibri" w:eastAsia="MS Mincho" w:hAnsi="Calibri" w:cs="Calibri"/>
          <w:b w:val="0"/>
          <w:sz w:val="22"/>
          <w:szCs w:val="22"/>
        </w:rPr>
        <w:t>(previously Myriad International Holdings N.V)</w:t>
      </w:r>
    </w:p>
    <w:p w14:paraId="4AB9921D" w14:textId="77777777" w:rsidR="00155973" w:rsidRPr="003912BB" w:rsidRDefault="00155973" w:rsidP="00155973">
      <w:pPr>
        <w:pStyle w:val="Title16"/>
        <w:spacing w:after="0" w:line="240" w:lineRule="auto"/>
        <w:rPr>
          <w:rFonts w:ascii="Calibri" w:eastAsia="MS Mincho" w:hAnsi="Calibri" w:cs="Calibri"/>
          <w:b w:val="0"/>
          <w:sz w:val="22"/>
          <w:szCs w:val="22"/>
        </w:rPr>
      </w:pPr>
      <w:r w:rsidRPr="003912BB">
        <w:rPr>
          <w:rFonts w:ascii="Calibri" w:eastAsia="MS Mincho" w:hAnsi="Calibri" w:cs="Calibri"/>
          <w:b w:val="0"/>
          <w:sz w:val="22"/>
          <w:szCs w:val="22"/>
        </w:rPr>
        <w:t>(Incorporated in the Netherlands)</w:t>
      </w:r>
    </w:p>
    <w:p w14:paraId="4C273B7A" w14:textId="77777777" w:rsidR="00155973" w:rsidRPr="003912BB" w:rsidRDefault="00155973" w:rsidP="00155973">
      <w:pPr>
        <w:pStyle w:val="Title16"/>
        <w:spacing w:after="0" w:line="240" w:lineRule="auto"/>
        <w:rPr>
          <w:rFonts w:ascii="Calibri" w:eastAsia="MS Mincho" w:hAnsi="Calibri" w:cs="Calibri"/>
          <w:b w:val="0"/>
          <w:sz w:val="22"/>
          <w:szCs w:val="22"/>
        </w:rPr>
      </w:pPr>
      <w:r w:rsidRPr="003912BB">
        <w:rPr>
          <w:rFonts w:ascii="Calibri" w:eastAsia="MS Mincho" w:hAnsi="Calibri" w:cs="Calibri"/>
          <w:b w:val="0"/>
          <w:sz w:val="22"/>
          <w:szCs w:val="22"/>
        </w:rPr>
        <w:t>(Legal Entity Identifier: 635400Z5LQ5F9OLVT688)</w:t>
      </w:r>
    </w:p>
    <w:p w14:paraId="1821821A" w14:textId="77777777" w:rsidR="00155973" w:rsidRPr="003912BB" w:rsidRDefault="00155973" w:rsidP="00155973">
      <w:pPr>
        <w:pStyle w:val="Title16"/>
        <w:spacing w:after="0" w:line="240" w:lineRule="auto"/>
        <w:rPr>
          <w:rFonts w:ascii="Calibri" w:eastAsia="MS Mincho" w:hAnsi="Calibri" w:cs="Calibri"/>
          <w:b w:val="0"/>
          <w:sz w:val="22"/>
          <w:szCs w:val="22"/>
        </w:rPr>
      </w:pPr>
      <w:r w:rsidRPr="003912BB">
        <w:rPr>
          <w:rFonts w:ascii="Calibri" w:eastAsia="MS Mincho" w:hAnsi="Calibri" w:cs="Calibri"/>
          <w:b w:val="0"/>
          <w:sz w:val="22"/>
          <w:szCs w:val="22"/>
        </w:rPr>
        <w:t>ISIN: NL0013654783</w:t>
      </w:r>
    </w:p>
    <w:p w14:paraId="5888DD8F" w14:textId="77777777" w:rsidR="00155973" w:rsidRPr="003912BB" w:rsidRDefault="00155973" w:rsidP="00155973">
      <w:pPr>
        <w:pStyle w:val="Title16"/>
        <w:spacing w:after="0" w:line="240" w:lineRule="auto"/>
        <w:rPr>
          <w:rFonts w:ascii="Calibri" w:eastAsia="MS Mincho" w:hAnsi="Calibri" w:cs="Calibri"/>
          <w:b w:val="0"/>
          <w:sz w:val="22"/>
          <w:szCs w:val="22"/>
        </w:rPr>
      </w:pPr>
      <w:r w:rsidRPr="003912BB">
        <w:rPr>
          <w:rFonts w:ascii="Calibri" w:eastAsia="MS Mincho" w:hAnsi="Calibri" w:cs="Calibri"/>
          <w:b w:val="0"/>
          <w:sz w:val="22"/>
          <w:szCs w:val="22"/>
        </w:rPr>
        <w:t>Euronext Amsterdam and JSE Share code: PRX</w:t>
      </w:r>
    </w:p>
    <w:p w14:paraId="15A8A70B" w14:textId="77777777" w:rsidR="00155973" w:rsidRPr="003912BB" w:rsidRDefault="00155973" w:rsidP="00155973">
      <w:pPr>
        <w:pStyle w:val="Title16"/>
        <w:spacing w:after="0" w:line="240" w:lineRule="auto"/>
        <w:rPr>
          <w:rFonts w:ascii="Calibri" w:eastAsia="MS Mincho" w:hAnsi="Calibri" w:cs="Calibri"/>
          <w:sz w:val="22"/>
          <w:szCs w:val="22"/>
        </w:rPr>
      </w:pPr>
      <w:r w:rsidRPr="003912BB">
        <w:rPr>
          <w:rFonts w:ascii="Calibri" w:eastAsia="MS Mincho" w:hAnsi="Calibri" w:cs="Calibri"/>
          <w:b w:val="0"/>
          <w:sz w:val="22"/>
          <w:szCs w:val="22"/>
        </w:rPr>
        <w:t>("</w:t>
      </w:r>
      <w:r w:rsidRPr="003912BB">
        <w:rPr>
          <w:rFonts w:ascii="Calibri" w:eastAsia="MS Mincho" w:hAnsi="Calibri" w:cs="Calibri"/>
          <w:sz w:val="22"/>
          <w:szCs w:val="22"/>
        </w:rPr>
        <w:t>Prosus</w:t>
      </w:r>
      <w:r w:rsidRPr="003912BB">
        <w:rPr>
          <w:rFonts w:ascii="Calibri" w:eastAsia="MS Mincho" w:hAnsi="Calibri" w:cs="Calibri"/>
          <w:b w:val="0"/>
          <w:sz w:val="22"/>
          <w:szCs w:val="22"/>
        </w:rPr>
        <w:t>"</w:t>
      </w:r>
      <w:r w:rsidRPr="003912BB">
        <w:rPr>
          <w:rFonts w:ascii="Calibri" w:eastAsia="MS Mincho" w:hAnsi="Calibri" w:cs="Calibri"/>
          <w:sz w:val="22"/>
          <w:szCs w:val="22"/>
        </w:rPr>
        <w:t xml:space="preserve"> </w:t>
      </w:r>
      <w:r w:rsidRPr="003912BB">
        <w:rPr>
          <w:rFonts w:ascii="Calibri" w:eastAsia="MS Mincho" w:hAnsi="Calibri" w:cs="Calibri"/>
          <w:b w:val="0"/>
          <w:sz w:val="22"/>
          <w:szCs w:val="22"/>
        </w:rPr>
        <w:t>or</w:t>
      </w:r>
      <w:r w:rsidRPr="003912BB">
        <w:rPr>
          <w:rFonts w:ascii="Calibri" w:eastAsia="MS Mincho" w:hAnsi="Calibri" w:cs="Calibri"/>
          <w:sz w:val="22"/>
          <w:szCs w:val="22"/>
        </w:rPr>
        <w:t xml:space="preserve"> </w:t>
      </w:r>
      <w:r w:rsidRPr="003912BB">
        <w:rPr>
          <w:rFonts w:ascii="Calibri" w:eastAsia="MS Mincho" w:hAnsi="Calibri" w:cs="Calibri"/>
          <w:b w:val="0"/>
          <w:sz w:val="22"/>
          <w:szCs w:val="22"/>
        </w:rPr>
        <w:t>the "</w:t>
      </w:r>
      <w:r w:rsidRPr="003912BB">
        <w:rPr>
          <w:rFonts w:ascii="Calibri" w:eastAsia="MS Mincho" w:hAnsi="Calibri" w:cs="Calibri"/>
          <w:sz w:val="22"/>
          <w:szCs w:val="22"/>
        </w:rPr>
        <w:t>Company</w:t>
      </w:r>
      <w:r w:rsidRPr="003912BB">
        <w:rPr>
          <w:rFonts w:ascii="Calibri" w:eastAsia="MS Mincho" w:hAnsi="Calibri" w:cs="Calibri"/>
          <w:b w:val="0"/>
          <w:sz w:val="22"/>
          <w:szCs w:val="22"/>
        </w:rPr>
        <w:t>")</w:t>
      </w:r>
    </w:p>
    <w:p w14:paraId="3811E1DD" w14:textId="021D20A6" w:rsidR="00112278" w:rsidRDefault="00112278" w:rsidP="000037D3">
      <w:pPr>
        <w:jc w:val="both"/>
        <w:rPr>
          <w:sz w:val="22"/>
          <w:szCs w:val="22"/>
        </w:rPr>
      </w:pPr>
    </w:p>
    <w:p w14:paraId="02F634FC" w14:textId="77777777" w:rsidR="00155973" w:rsidRPr="00155973" w:rsidRDefault="00155973" w:rsidP="00155973">
      <w:pPr>
        <w:jc w:val="center"/>
        <w:rPr>
          <w:b/>
          <w:bCs/>
          <w:sz w:val="22"/>
          <w:szCs w:val="22"/>
        </w:rPr>
      </w:pPr>
      <w:r w:rsidRPr="00155973">
        <w:rPr>
          <w:b/>
          <w:bCs/>
          <w:sz w:val="22"/>
          <w:szCs w:val="22"/>
        </w:rPr>
        <w:t>RESULTS OF ANNUAL GENERAL MEETING</w:t>
      </w:r>
    </w:p>
    <w:p w14:paraId="3A5B5CAC" w14:textId="77777777" w:rsidR="00155973" w:rsidRPr="00155973" w:rsidRDefault="00155973" w:rsidP="00155973">
      <w:pPr>
        <w:jc w:val="both"/>
        <w:rPr>
          <w:sz w:val="22"/>
          <w:szCs w:val="22"/>
        </w:rPr>
      </w:pPr>
    </w:p>
    <w:p w14:paraId="5DFF0402" w14:textId="40B09B3C" w:rsidR="00155973" w:rsidRDefault="00155973" w:rsidP="00155973">
      <w:pPr>
        <w:jc w:val="both"/>
        <w:rPr>
          <w:sz w:val="22"/>
          <w:szCs w:val="22"/>
        </w:rPr>
      </w:pPr>
      <w:r>
        <w:rPr>
          <w:sz w:val="22"/>
          <w:szCs w:val="22"/>
        </w:rPr>
        <w:t>Amsterdam</w:t>
      </w:r>
      <w:r w:rsidRPr="00155973">
        <w:rPr>
          <w:sz w:val="22"/>
          <w:szCs w:val="22"/>
        </w:rPr>
        <w:t xml:space="preserve">, </w:t>
      </w:r>
      <w:r>
        <w:rPr>
          <w:sz w:val="22"/>
          <w:szCs w:val="22"/>
        </w:rPr>
        <w:t xml:space="preserve">18 </w:t>
      </w:r>
      <w:r w:rsidRPr="00155973">
        <w:rPr>
          <w:sz w:val="22"/>
          <w:szCs w:val="22"/>
        </w:rPr>
        <w:t>August 20</w:t>
      </w:r>
      <w:r>
        <w:rPr>
          <w:sz w:val="22"/>
          <w:szCs w:val="22"/>
        </w:rPr>
        <w:t>20</w:t>
      </w:r>
      <w:r w:rsidRPr="00155973">
        <w:rPr>
          <w:sz w:val="22"/>
          <w:szCs w:val="22"/>
        </w:rPr>
        <w:t xml:space="preserve"> – </w:t>
      </w:r>
      <w:r>
        <w:rPr>
          <w:sz w:val="22"/>
          <w:szCs w:val="22"/>
        </w:rPr>
        <w:t xml:space="preserve">Prosus N.V. </w:t>
      </w:r>
      <w:r w:rsidRPr="00155973">
        <w:rPr>
          <w:sz w:val="22"/>
          <w:szCs w:val="22"/>
        </w:rPr>
        <w:t>(</w:t>
      </w:r>
      <w:r>
        <w:rPr>
          <w:sz w:val="22"/>
          <w:szCs w:val="22"/>
        </w:rPr>
        <w:t>Prosus</w:t>
      </w:r>
      <w:r w:rsidRPr="00155973">
        <w:rPr>
          <w:sz w:val="22"/>
          <w:szCs w:val="22"/>
        </w:rPr>
        <w:t>) (</w:t>
      </w:r>
      <w:r>
        <w:rPr>
          <w:sz w:val="22"/>
          <w:szCs w:val="22"/>
        </w:rPr>
        <w:t xml:space="preserve">AEX and </w:t>
      </w:r>
      <w:r w:rsidRPr="00155973">
        <w:rPr>
          <w:sz w:val="22"/>
          <w:szCs w:val="22"/>
        </w:rPr>
        <w:t xml:space="preserve">JSE: </w:t>
      </w:r>
      <w:r>
        <w:rPr>
          <w:sz w:val="22"/>
          <w:szCs w:val="22"/>
        </w:rPr>
        <w:t>PRX</w:t>
      </w:r>
      <w:r w:rsidRPr="00155973">
        <w:rPr>
          <w:sz w:val="22"/>
          <w:szCs w:val="22"/>
        </w:rPr>
        <w:t xml:space="preserve">) </w:t>
      </w:r>
      <w:r w:rsidR="00B5418C" w:rsidRPr="00B5418C">
        <w:rPr>
          <w:sz w:val="22"/>
          <w:szCs w:val="22"/>
        </w:rPr>
        <w:t>The annual general meeting (AGM) of Prosus N.V. was held through electronic communication today.</w:t>
      </w:r>
    </w:p>
    <w:p w14:paraId="7FF60801" w14:textId="77777777" w:rsidR="00CF21F1" w:rsidRPr="00155973" w:rsidRDefault="00CF21F1" w:rsidP="00155973">
      <w:pPr>
        <w:jc w:val="both"/>
        <w:rPr>
          <w:sz w:val="22"/>
          <w:szCs w:val="22"/>
        </w:rPr>
      </w:pPr>
    </w:p>
    <w:p w14:paraId="1B49A32F" w14:textId="33F9B313" w:rsidR="00155973" w:rsidRPr="00BB0061" w:rsidRDefault="00155973" w:rsidP="00155973">
      <w:pPr>
        <w:jc w:val="both"/>
        <w:rPr>
          <w:sz w:val="22"/>
          <w:szCs w:val="22"/>
        </w:rPr>
      </w:pPr>
      <w:r w:rsidRPr="00155973">
        <w:rPr>
          <w:sz w:val="22"/>
          <w:szCs w:val="22"/>
        </w:rPr>
        <w:t xml:space="preserve">Shareholders are </w:t>
      </w:r>
      <w:r w:rsidRPr="00BB0061">
        <w:rPr>
          <w:sz w:val="22"/>
          <w:szCs w:val="22"/>
        </w:rPr>
        <w:t xml:space="preserve">advised that all resolutions set out in the notice of </w:t>
      </w:r>
      <w:r w:rsidR="009830A5">
        <w:rPr>
          <w:sz w:val="22"/>
          <w:szCs w:val="22"/>
        </w:rPr>
        <w:t xml:space="preserve">the </w:t>
      </w:r>
      <w:r w:rsidRPr="00BB0061">
        <w:rPr>
          <w:sz w:val="22"/>
          <w:szCs w:val="22"/>
        </w:rPr>
        <w:t>AGM were passed by the requisite majority of shareholders represented at the annual general meeting</w:t>
      </w:r>
      <w:r w:rsidR="009830A5">
        <w:rPr>
          <w:sz w:val="22"/>
          <w:szCs w:val="22"/>
        </w:rPr>
        <w:t xml:space="preserve"> and adopted</w:t>
      </w:r>
      <w:r w:rsidRPr="00BB0061">
        <w:rPr>
          <w:sz w:val="22"/>
          <w:szCs w:val="22"/>
        </w:rPr>
        <w:t xml:space="preserve">. </w:t>
      </w:r>
      <w:r w:rsidR="00CF21F1" w:rsidRPr="00BB0061">
        <w:rPr>
          <w:sz w:val="22"/>
          <w:szCs w:val="22"/>
        </w:rPr>
        <w:t>We note that the issued share capital of Prosus is as follows:</w:t>
      </w:r>
    </w:p>
    <w:tbl>
      <w:tblPr>
        <w:tblW w:w="5155" w:type="pct"/>
        <w:tblInd w:w="-5" w:type="dxa"/>
        <w:tblBorders>
          <w:top w:val="single" w:sz="4" w:space="0" w:color="00856D"/>
          <w:left w:val="single" w:sz="4" w:space="0" w:color="00856D"/>
          <w:bottom w:val="single" w:sz="4" w:space="0" w:color="00856D"/>
          <w:right w:val="single" w:sz="4" w:space="0" w:color="00856D"/>
          <w:insideH w:val="single" w:sz="4" w:space="0" w:color="00856D"/>
          <w:insideV w:val="single" w:sz="4" w:space="0" w:color="00856D"/>
        </w:tblBorders>
        <w:tblLayout w:type="fixed"/>
        <w:tblLook w:val="01E0" w:firstRow="1" w:lastRow="1" w:firstColumn="1" w:lastColumn="1" w:noHBand="0" w:noVBand="0"/>
      </w:tblPr>
      <w:tblGrid>
        <w:gridCol w:w="2377"/>
        <w:gridCol w:w="1584"/>
        <w:gridCol w:w="1585"/>
        <w:gridCol w:w="2614"/>
        <w:gridCol w:w="2614"/>
      </w:tblGrid>
      <w:tr w:rsidR="00573DC5" w:rsidRPr="00BB0061" w14:paraId="103448D0" w14:textId="77777777" w:rsidTr="00573DC5">
        <w:trPr>
          <w:tblHeader/>
        </w:trPr>
        <w:tc>
          <w:tcPr>
            <w:tcW w:w="2127" w:type="dxa"/>
            <w:tcBorders>
              <w:top w:val="single" w:sz="4" w:space="0" w:color="000000"/>
              <w:left w:val="single" w:sz="4" w:space="0" w:color="auto"/>
              <w:bottom w:val="single" w:sz="4" w:space="0" w:color="auto"/>
              <w:right w:val="single" w:sz="4" w:space="0" w:color="auto"/>
            </w:tcBorders>
            <w:shd w:val="clear" w:color="auto" w:fill="auto"/>
            <w:vAlign w:val="center"/>
          </w:tcPr>
          <w:p w14:paraId="493BAC1E" w14:textId="77777777" w:rsidR="00315E62" w:rsidRPr="00BB0061" w:rsidRDefault="00315E62" w:rsidP="00315E62">
            <w:pPr>
              <w:spacing w:line="240" w:lineRule="auto"/>
              <w:jc w:val="both"/>
              <w:rPr>
                <w:b/>
                <w:bCs/>
                <w:sz w:val="22"/>
                <w:szCs w:val="22"/>
              </w:rPr>
            </w:pPr>
            <w:r w:rsidRPr="00BB0061">
              <w:rPr>
                <w:b/>
                <w:bCs/>
                <w:sz w:val="22"/>
                <w:szCs w:val="22"/>
              </w:rPr>
              <w:t>Class of share</w:t>
            </w:r>
          </w:p>
        </w:tc>
        <w:tc>
          <w:tcPr>
            <w:tcW w:w="1417" w:type="dxa"/>
            <w:tcBorders>
              <w:top w:val="single" w:sz="4" w:space="0" w:color="000000"/>
              <w:left w:val="single" w:sz="4" w:space="0" w:color="auto"/>
              <w:bottom w:val="single" w:sz="4" w:space="0" w:color="000000"/>
              <w:right w:val="single" w:sz="4" w:space="0" w:color="auto"/>
            </w:tcBorders>
            <w:shd w:val="clear" w:color="auto" w:fill="auto"/>
            <w:vAlign w:val="center"/>
          </w:tcPr>
          <w:p w14:paraId="1146D0D8" w14:textId="77777777" w:rsidR="00315E62" w:rsidRPr="00BB0061" w:rsidRDefault="00315E62" w:rsidP="00315E62">
            <w:pPr>
              <w:spacing w:line="240" w:lineRule="auto"/>
              <w:jc w:val="both"/>
              <w:rPr>
                <w:b/>
                <w:bCs/>
                <w:sz w:val="22"/>
                <w:szCs w:val="22"/>
              </w:rPr>
            </w:pPr>
            <w:r w:rsidRPr="00BB0061">
              <w:rPr>
                <w:b/>
                <w:bCs/>
                <w:sz w:val="22"/>
                <w:szCs w:val="22"/>
              </w:rPr>
              <w:t xml:space="preserve">Nominal value </w:t>
            </w:r>
            <w:r w:rsidRPr="00BB0061">
              <w:rPr>
                <w:b/>
                <w:bCs/>
                <w:sz w:val="22"/>
                <w:szCs w:val="22"/>
              </w:rPr>
              <w:br/>
              <w:t>per share</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64C6AF0E" w14:textId="77777777" w:rsidR="00315E62" w:rsidRPr="00BB0061" w:rsidRDefault="00315E62" w:rsidP="00315E62">
            <w:pPr>
              <w:spacing w:line="240" w:lineRule="auto"/>
              <w:jc w:val="both"/>
              <w:rPr>
                <w:b/>
                <w:bCs/>
                <w:sz w:val="22"/>
                <w:szCs w:val="22"/>
              </w:rPr>
            </w:pPr>
            <w:r w:rsidRPr="00BB0061">
              <w:rPr>
                <w:b/>
                <w:bCs/>
                <w:sz w:val="22"/>
                <w:szCs w:val="22"/>
              </w:rPr>
              <w:t xml:space="preserve">Number of votes </w:t>
            </w:r>
            <w:r w:rsidRPr="00BB0061">
              <w:rPr>
                <w:b/>
                <w:bCs/>
                <w:sz w:val="22"/>
                <w:szCs w:val="22"/>
              </w:rPr>
              <w:br/>
              <w:t>per share</w:t>
            </w:r>
          </w:p>
        </w:tc>
        <w:tc>
          <w:tcPr>
            <w:tcW w:w="2339" w:type="dxa"/>
            <w:tcBorders>
              <w:top w:val="single" w:sz="4" w:space="0" w:color="000000"/>
              <w:left w:val="single" w:sz="4" w:space="0" w:color="auto"/>
              <w:bottom w:val="single" w:sz="4" w:space="0" w:color="000000"/>
              <w:right w:val="single" w:sz="4" w:space="0" w:color="000000"/>
            </w:tcBorders>
            <w:shd w:val="clear" w:color="auto" w:fill="auto"/>
            <w:vAlign w:val="center"/>
          </w:tcPr>
          <w:p w14:paraId="35369BF4" w14:textId="77777777" w:rsidR="00315E62" w:rsidRPr="00BB0061" w:rsidRDefault="00315E62" w:rsidP="00315E62">
            <w:pPr>
              <w:spacing w:line="240" w:lineRule="auto"/>
              <w:jc w:val="both"/>
              <w:rPr>
                <w:b/>
                <w:bCs/>
                <w:sz w:val="22"/>
                <w:szCs w:val="22"/>
              </w:rPr>
            </w:pPr>
            <w:r w:rsidRPr="00BB0061">
              <w:rPr>
                <w:b/>
                <w:bCs/>
                <w:sz w:val="22"/>
                <w:szCs w:val="22"/>
              </w:rPr>
              <w:t xml:space="preserve">Issued </w:t>
            </w:r>
            <w:r w:rsidRPr="00BB0061">
              <w:rPr>
                <w:b/>
                <w:bCs/>
                <w:sz w:val="22"/>
                <w:szCs w:val="22"/>
              </w:rPr>
              <w:br/>
              <w:t>share capital</w:t>
            </w:r>
          </w:p>
        </w:tc>
        <w:tc>
          <w:tcPr>
            <w:tcW w:w="2339" w:type="dxa"/>
            <w:tcBorders>
              <w:top w:val="single" w:sz="4" w:space="0" w:color="000000"/>
              <w:left w:val="single" w:sz="4" w:space="0" w:color="000000"/>
              <w:bottom w:val="single" w:sz="4" w:space="0" w:color="000000"/>
              <w:right w:val="single" w:sz="4" w:space="0" w:color="auto"/>
            </w:tcBorders>
            <w:shd w:val="clear" w:color="auto" w:fill="auto"/>
            <w:vAlign w:val="center"/>
          </w:tcPr>
          <w:p w14:paraId="0B09C0C0" w14:textId="77777777" w:rsidR="00315E62" w:rsidRPr="00BB0061" w:rsidRDefault="00315E62" w:rsidP="00315E62">
            <w:pPr>
              <w:spacing w:line="240" w:lineRule="auto"/>
              <w:jc w:val="both"/>
              <w:rPr>
                <w:b/>
                <w:bCs/>
                <w:sz w:val="22"/>
                <w:szCs w:val="22"/>
              </w:rPr>
            </w:pPr>
            <w:r w:rsidRPr="00BB0061">
              <w:rPr>
                <w:b/>
                <w:bCs/>
                <w:sz w:val="22"/>
                <w:szCs w:val="22"/>
              </w:rPr>
              <w:t xml:space="preserve">Authorised </w:t>
            </w:r>
            <w:r w:rsidRPr="00BB0061">
              <w:rPr>
                <w:b/>
                <w:bCs/>
                <w:sz w:val="22"/>
                <w:szCs w:val="22"/>
              </w:rPr>
              <w:br/>
              <w:t>share capital</w:t>
            </w:r>
          </w:p>
        </w:tc>
      </w:tr>
      <w:tr w:rsidR="00573DC5" w:rsidRPr="00BB0061" w14:paraId="2369DF30" w14:textId="77777777" w:rsidTr="00573DC5">
        <w:trPr>
          <w:trHeight w:val="151"/>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0DA1CD8" w14:textId="55A2840F" w:rsidR="00315E62" w:rsidRPr="00BB0061" w:rsidRDefault="00315E62" w:rsidP="00315E62">
            <w:pPr>
              <w:spacing w:line="240" w:lineRule="auto"/>
              <w:jc w:val="both"/>
              <w:rPr>
                <w:sz w:val="22"/>
                <w:szCs w:val="22"/>
              </w:rPr>
            </w:pPr>
            <w:r w:rsidRPr="00BB0061">
              <w:rPr>
                <w:sz w:val="22"/>
                <w:szCs w:val="22"/>
              </w:rPr>
              <w:t>Ordinary Share</w:t>
            </w:r>
            <w:r w:rsidR="00573DC5" w:rsidRPr="00BB0061">
              <w:rPr>
                <w:sz w:val="22"/>
                <w:szCs w:val="22"/>
              </w:rPr>
              <w:t xml:space="preserve"> N (N</w:t>
            </w:r>
            <w:r w:rsidR="00CF21F1" w:rsidRPr="00BB0061">
              <w:rPr>
                <w:sz w:val="22"/>
                <w:szCs w:val="22"/>
              </w:rPr>
              <w:t> </w:t>
            </w:r>
            <w:r w:rsidR="00573DC5" w:rsidRPr="00BB0061">
              <w:rPr>
                <w:sz w:val="22"/>
                <w:szCs w:val="22"/>
              </w:rPr>
              <w:t>shares)</w:t>
            </w:r>
          </w:p>
        </w:tc>
        <w:tc>
          <w:tcPr>
            <w:tcW w:w="1417" w:type="dxa"/>
            <w:tcBorders>
              <w:top w:val="single" w:sz="4" w:space="0" w:color="000000"/>
              <w:left w:val="single" w:sz="4" w:space="0" w:color="auto"/>
              <w:bottom w:val="single" w:sz="4" w:space="0" w:color="auto"/>
              <w:right w:val="single" w:sz="4" w:space="0" w:color="auto"/>
            </w:tcBorders>
            <w:shd w:val="clear" w:color="auto" w:fill="auto"/>
          </w:tcPr>
          <w:p w14:paraId="0A9156AD" w14:textId="77777777" w:rsidR="00315E62" w:rsidRPr="00BB0061" w:rsidRDefault="00315E62" w:rsidP="00315E62">
            <w:pPr>
              <w:spacing w:line="240" w:lineRule="auto"/>
              <w:jc w:val="right"/>
              <w:rPr>
                <w:sz w:val="22"/>
                <w:szCs w:val="22"/>
              </w:rPr>
            </w:pPr>
            <w:r w:rsidRPr="00BB0061">
              <w:rPr>
                <w:sz w:val="22"/>
                <w:szCs w:val="22"/>
              </w:rPr>
              <w:t>EUR0.05</w:t>
            </w:r>
          </w:p>
        </w:tc>
        <w:tc>
          <w:tcPr>
            <w:tcW w:w="1418" w:type="dxa"/>
            <w:tcBorders>
              <w:top w:val="single" w:sz="4" w:space="0" w:color="000000"/>
              <w:left w:val="single" w:sz="4" w:space="0" w:color="auto"/>
              <w:bottom w:val="single" w:sz="4" w:space="0" w:color="auto"/>
              <w:right w:val="single" w:sz="4" w:space="0" w:color="auto"/>
            </w:tcBorders>
            <w:shd w:val="clear" w:color="auto" w:fill="auto"/>
          </w:tcPr>
          <w:p w14:paraId="04B6D3EA" w14:textId="77777777" w:rsidR="00315E62" w:rsidRPr="00BB0061" w:rsidRDefault="00315E62" w:rsidP="00315E62">
            <w:pPr>
              <w:spacing w:line="240" w:lineRule="auto"/>
              <w:jc w:val="right"/>
              <w:rPr>
                <w:sz w:val="22"/>
                <w:szCs w:val="22"/>
              </w:rPr>
            </w:pPr>
            <w:r w:rsidRPr="00BB0061">
              <w:rPr>
                <w:sz w:val="22"/>
                <w:szCs w:val="22"/>
              </w:rPr>
              <w:t>1</w:t>
            </w:r>
          </w:p>
        </w:tc>
        <w:tc>
          <w:tcPr>
            <w:tcW w:w="2339" w:type="dxa"/>
            <w:tcBorders>
              <w:top w:val="single" w:sz="4" w:space="0" w:color="000000"/>
              <w:left w:val="single" w:sz="4" w:space="0" w:color="auto"/>
              <w:bottom w:val="single" w:sz="4" w:space="0" w:color="auto"/>
              <w:right w:val="single" w:sz="4" w:space="0" w:color="000000"/>
            </w:tcBorders>
            <w:shd w:val="clear" w:color="auto" w:fill="auto"/>
          </w:tcPr>
          <w:p w14:paraId="74EC59CC" w14:textId="77777777" w:rsidR="00315E62" w:rsidRPr="00BB0061" w:rsidRDefault="00315E62" w:rsidP="00315E62">
            <w:pPr>
              <w:spacing w:line="240" w:lineRule="auto"/>
              <w:jc w:val="right"/>
              <w:rPr>
                <w:sz w:val="22"/>
                <w:szCs w:val="22"/>
              </w:rPr>
            </w:pPr>
            <w:r w:rsidRPr="00BB0061">
              <w:rPr>
                <w:sz w:val="22"/>
                <w:szCs w:val="22"/>
              </w:rPr>
              <w:t>1 624 652 070</w:t>
            </w:r>
          </w:p>
        </w:tc>
        <w:tc>
          <w:tcPr>
            <w:tcW w:w="2339" w:type="dxa"/>
            <w:tcBorders>
              <w:top w:val="single" w:sz="4" w:space="0" w:color="000000"/>
              <w:left w:val="single" w:sz="4" w:space="0" w:color="000000"/>
              <w:bottom w:val="single" w:sz="4" w:space="0" w:color="auto"/>
              <w:right w:val="single" w:sz="4" w:space="0" w:color="auto"/>
            </w:tcBorders>
            <w:shd w:val="clear" w:color="auto" w:fill="auto"/>
          </w:tcPr>
          <w:p w14:paraId="2A3DE43E" w14:textId="77777777" w:rsidR="00315E62" w:rsidRPr="00BB0061" w:rsidRDefault="00315E62" w:rsidP="00315E62">
            <w:pPr>
              <w:spacing w:line="240" w:lineRule="auto"/>
              <w:jc w:val="right"/>
              <w:rPr>
                <w:sz w:val="22"/>
                <w:szCs w:val="22"/>
              </w:rPr>
            </w:pPr>
            <w:r w:rsidRPr="00BB0061">
              <w:rPr>
                <w:sz w:val="22"/>
                <w:szCs w:val="22"/>
              </w:rPr>
              <w:t>5 000 000 000</w:t>
            </w:r>
          </w:p>
        </w:tc>
      </w:tr>
      <w:tr w:rsidR="00573DC5" w:rsidRPr="00BB0061" w14:paraId="540CA594" w14:textId="77777777" w:rsidTr="00573DC5">
        <w:tc>
          <w:tcPr>
            <w:tcW w:w="2127" w:type="dxa"/>
            <w:tcBorders>
              <w:top w:val="single" w:sz="4" w:space="0" w:color="auto"/>
              <w:left w:val="single" w:sz="4" w:space="0" w:color="auto"/>
              <w:bottom w:val="single" w:sz="4" w:space="0" w:color="auto"/>
              <w:right w:val="single" w:sz="4" w:space="0" w:color="auto"/>
            </w:tcBorders>
            <w:shd w:val="clear" w:color="auto" w:fill="auto"/>
          </w:tcPr>
          <w:p w14:paraId="2FA404E9" w14:textId="642C00F6" w:rsidR="00315E62" w:rsidRPr="00BB0061" w:rsidRDefault="00315E62" w:rsidP="00315E62">
            <w:pPr>
              <w:spacing w:line="240" w:lineRule="auto"/>
              <w:jc w:val="both"/>
              <w:rPr>
                <w:sz w:val="22"/>
                <w:szCs w:val="22"/>
              </w:rPr>
            </w:pPr>
            <w:r w:rsidRPr="00BB0061">
              <w:rPr>
                <w:sz w:val="22"/>
                <w:szCs w:val="22"/>
              </w:rPr>
              <w:t>Ordinary Share</w:t>
            </w:r>
            <w:r w:rsidR="00573DC5" w:rsidRPr="00BB0061">
              <w:rPr>
                <w:sz w:val="22"/>
                <w:szCs w:val="22"/>
              </w:rPr>
              <w:t xml:space="preserve"> A1 (A</w:t>
            </w:r>
            <w:r w:rsidR="00CF21F1" w:rsidRPr="00BB0061">
              <w:rPr>
                <w:sz w:val="22"/>
                <w:szCs w:val="22"/>
              </w:rPr>
              <w:t> </w:t>
            </w:r>
            <w:r w:rsidR="00573DC5" w:rsidRPr="00BB0061">
              <w:rPr>
                <w:sz w:val="22"/>
                <w:szCs w:val="22"/>
              </w:rPr>
              <w:t>shares)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5D3BA1" w14:textId="77777777" w:rsidR="00315E62" w:rsidRPr="00BB0061" w:rsidRDefault="00315E62" w:rsidP="00315E62">
            <w:pPr>
              <w:spacing w:line="240" w:lineRule="auto"/>
              <w:jc w:val="right"/>
              <w:rPr>
                <w:sz w:val="22"/>
                <w:szCs w:val="22"/>
              </w:rPr>
            </w:pPr>
            <w:r w:rsidRPr="00BB0061">
              <w:rPr>
                <w:sz w:val="22"/>
                <w:szCs w:val="22"/>
              </w:rPr>
              <w:t>EUR0.05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C5794A" w14:textId="77777777" w:rsidR="00315E62" w:rsidRPr="00BB0061" w:rsidRDefault="00315E62" w:rsidP="00315E62">
            <w:pPr>
              <w:spacing w:line="240" w:lineRule="auto"/>
              <w:jc w:val="right"/>
              <w:rPr>
                <w:sz w:val="22"/>
                <w:szCs w:val="22"/>
              </w:rPr>
            </w:pPr>
            <w:r w:rsidRPr="00BB0061">
              <w:rPr>
                <w:sz w:val="22"/>
                <w:szCs w:val="22"/>
              </w:rPr>
              <w:t>1</w:t>
            </w:r>
          </w:p>
        </w:tc>
        <w:tc>
          <w:tcPr>
            <w:tcW w:w="2339" w:type="dxa"/>
            <w:tcBorders>
              <w:top w:val="single" w:sz="4" w:space="0" w:color="auto"/>
              <w:left w:val="single" w:sz="4" w:space="0" w:color="auto"/>
              <w:bottom w:val="single" w:sz="4" w:space="0" w:color="auto"/>
              <w:right w:val="single" w:sz="4" w:space="0" w:color="000000"/>
            </w:tcBorders>
            <w:shd w:val="clear" w:color="auto" w:fill="auto"/>
          </w:tcPr>
          <w:p w14:paraId="6BCAD1A4" w14:textId="77777777" w:rsidR="00315E62" w:rsidRPr="00BB0061" w:rsidRDefault="00315E62" w:rsidP="00315E62">
            <w:pPr>
              <w:spacing w:line="240" w:lineRule="auto"/>
              <w:jc w:val="right"/>
              <w:rPr>
                <w:sz w:val="22"/>
                <w:szCs w:val="22"/>
              </w:rPr>
            </w:pPr>
            <w:r w:rsidRPr="00BB0061">
              <w:rPr>
                <w:sz w:val="22"/>
                <w:szCs w:val="22"/>
              </w:rPr>
              <w:t>3 511 818</w:t>
            </w:r>
          </w:p>
        </w:tc>
        <w:tc>
          <w:tcPr>
            <w:tcW w:w="2339" w:type="dxa"/>
            <w:tcBorders>
              <w:top w:val="single" w:sz="4" w:space="0" w:color="auto"/>
              <w:left w:val="single" w:sz="4" w:space="0" w:color="000000"/>
              <w:bottom w:val="single" w:sz="4" w:space="0" w:color="auto"/>
              <w:right w:val="single" w:sz="4" w:space="0" w:color="auto"/>
            </w:tcBorders>
            <w:shd w:val="clear" w:color="auto" w:fill="auto"/>
          </w:tcPr>
          <w:p w14:paraId="5ED95E89" w14:textId="77777777" w:rsidR="00315E62" w:rsidRPr="00BB0061" w:rsidRDefault="00315E62" w:rsidP="00315E62">
            <w:pPr>
              <w:spacing w:line="240" w:lineRule="auto"/>
              <w:jc w:val="right"/>
              <w:rPr>
                <w:sz w:val="22"/>
                <w:szCs w:val="22"/>
              </w:rPr>
            </w:pPr>
            <w:r w:rsidRPr="00BB0061">
              <w:rPr>
                <w:sz w:val="22"/>
                <w:szCs w:val="22"/>
              </w:rPr>
              <w:t>10 000 000</w:t>
            </w:r>
          </w:p>
        </w:tc>
      </w:tr>
    </w:tbl>
    <w:p w14:paraId="1380977D" w14:textId="2C812AD1" w:rsidR="00155973" w:rsidRPr="00BB0061" w:rsidRDefault="00155973" w:rsidP="00155973">
      <w:pPr>
        <w:jc w:val="both"/>
        <w:rPr>
          <w:sz w:val="22"/>
          <w:szCs w:val="22"/>
        </w:rPr>
      </w:pPr>
    </w:p>
    <w:p w14:paraId="541FAF9F" w14:textId="3790E2B3" w:rsidR="004B7A4C" w:rsidRDefault="005607E7" w:rsidP="00155973">
      <w:pPr>
        <w:jc w:val="both"/>
        <w:rPr>
          <w:sz w:val="22"/>
          <w:szCs w:val="22"/>
        </w:rPr>
      </w:pPr>
      <w:r w:rsidRPr="00BB0061">
        <w:rPr>
          <w:sz w:val="22"/>
          <w:szCs w:val="22"/>
        </w:rPr>
        <w:t>The n</w:t>
      </w:r>
      <w:r w:rsidR="00573DC5" w:rsidRPr="00BB0061">
        <w:rPr>
          <w:sz w:val="22"/>
          <w:szCs w:val="22"/>
        </w:rPr>
        <w:t>umber of ordinary shares that could have been voted at the meeting: 1 628 163</w:t>
      </w:r>
      <w:r w:rsidRPr="00BB0061">
        <w:rPr>
          <w:sz w:val="22"/>
          <w:szCs w:val="22"/>
        </w:rPr>
        <w:t> </w:t>
      </w:r>
      <w:r w:rsidR="00573DC5" w:rsidRPr="00BB0061">
        <w:rPr>
          <w:sz w:val="22"/>
          <w:szCs w:val="22"/>
        </w:rPr>
        <w:t>888</w:t>
      </w:r>
      <w:r w:rsidRPr="00BB0061">
        <w:rPr>
          <w:sz w:val="22"/>
          <w:szCs w:val="22"/>
        </w:rPr>
        <w:t>.</w:t>
      </w:r>
      <w:r w:rsidR="00C6319C">
        <w:rPr>
          <w:sz w:val="22"/>
          <w:szCs w:val="22"/>
        </w:rPr>
        <w:t xml:space="preserve"> The total number of ordinary shares voted at the meeting was: </w:t>
      </w:r>
      <w:r w:rsidR="00C6319C" w:rsidRPr="00C6319C">
        <w:rPr>
          <w:sz w:val="22"/>
          <w:szCs w:val="22"/>
        </w:rPr>
        <w:t>1,518,995,600</w:t>
      </w:r>
      <w:r w:rsidR="00C6319C">
        <w:rPr>
          <w:sz w:val="22"/>
          <w:szCs w:val="22"/>
        </w:rPr>
        <w:t xml:space="preserve"> which is 93.3% of the total issued share capital.</w:t>
      </w:r>
      <w:r w:rsidR="00CF79EC">
        <w:rPr>
          <w:sz w:val="22"/>
          <w:szCs w:val="22"/>
        </w:rPr>
        <w:t xml:space="preserve"> </w:t>
      </w:r>
    </w:p>
    <w:p w14:paraId="6B6EC328" w14:textId="77777777" w:rsidR="004B7A4C" w:rsidRDefault="004B7A4C" w:rsidP="00155973">
      <w:pPr>
        <w:jc w:val="both"/>
        <w:rPr>
          <w:sz w:val="22"/>
          <w:szCs w:val="22"/>
        </w:rPr>
      </w:pPr>
    </w:p>
    <w:p w14:paraId="2EA333D3" w14:textId="5EA14206" w:rsidR="005607E7" w:rsidRPr="00C6319C" w:rsidRDefault="00C6319C" w:rsidP="00155973">
      <w:pPr>
        <w:jc w:val="both"/>
        <w:rPr>
          <w:sz w:val="22"/>
          <w:szCs w:val="22"/>
          <w:lang w:val="en-GB"/>
        </w:rPr>
      </w:pPr>
      <w:r>
        <w:rPr>
          <w:sz w:val="22"/>
          <w:szCs w:val="22"/>
        </w:rPr>
        <w:t xml:space="preserve"> </w:t>
      </w:r>
    </w:p>
    <w:p w14:paraId="520A2EB9" w14:textId="77777777" w:rsidR="00CF21F1" w:rsidRDefault="00CF21F1" w:rsidP="00155973">
      <w:pPr>
        <w:jc w:val="both"/>
        <w:rPr>
          <w:sz w:val="22"/>
          <w:szCs w:val="22"/>
        </w:rPr>
        <w:sectPr w:rsidR="00CF21F1" w:rsidSect="00BE5FF8">
          <w:footerReference w:type="even" r:id="rId11"/>
          <w:footerReference w:type="default" r:id="rId12"/>
          <w:pgSz w:w="11900" w:h="16840"/>
          <w:pgMar w:top="720" w:right="720" w:bottom="720" w:left="720" w:header="708" w:footer="708" w:gutter="0"/>
          <w:cols w:space="708"/>
          <w:titlePg/>
          <w:docGrid w:linePitch="360"/>
        </w:sectPr>
      </w:pPr>
    </w:p>
    <w:p w14:paraId="6D092514" w14:textId="6A7AC90D" w:rsidR="00573DC5" w:rsidRDefault="00573DC5" w:rsidP="00573DC5">
      <w:pPr>
        <w:keepNext/>
        <w:jc w:val="both"/>
        <w:rPr>
          <w:rFonts w:cs="Calibri"/>
          <w:lang w:val="en-GB"/>
        </w:rPr>
      </w:pPr>
      <w:r w:rsidRPr="00C433F4">
        <w:rPr>
          <w:rFonts w:cs="Calibri"/>
          <w:lang w:val="en-GB"/>
        </w:rPr>
        <w:lastRenderedPageBreak/>
        <w:t>Details of voting</w:t>
      </w:r>
      <w:r w:rsidR="008C7081" w:rsidRPr="00C433F4">
        <w:rPr>
          <w:rFonts w:cs="Calibri"/>
          <w:lang w:val="en-GB"/>
        </w:rPr>
        <w:t xml:space="preserve"> results</w:t>
      </w:r>
      <w:r w:rsidR="00AC598F">
        <w:rPr>
          <w:rStyle w:val="FootnoteReference"/>
          <w:rFonts w:cs="Calibri"/>
          <w:lang w:val="en-GB"/>
        </w:rPr>
        <w:footnoteReference w:id="2"/>
      </w:r>
      <w:r w:rsidR="008C7081" w:rsidRPr="00C433F4">
        <w:rPr>
          <w:rFonts w:cs="Calibri"/>
          <w:lang w:val="en-GB"/>
        </w:rPr>
        <w:t>:</w:t>
      </w:r>
      <w:r w:rsidR="008C7081" w:rsidRPr="000A1073">
        <w:rPr>
          <w:rFonts w:cs="Calibri"/>
          <w:lang w:val="en-GB"/>
        </w:rPr>
        <w:t xml:space="preserve"> </w:t>
      </w:r>
      <w:r w:rsidRPr="000A1073">
        <w:rPr>
          <w:rFonts w:cs="Calibri"/>
          <w:lang w:val="en-GB"/>
        </w:rPr>
        <w:t xml:space="preserve"> </w:t>
      </w:r>
    </w:p>
    <w:tbl>
      <w:tblPr>
        <w:tblW w:w="15446" w:type="dxa"/>
        <w:tblCellMar>
          <w:left w:w="70" w:type="dxa"/>
          <w:right w:w="70" w:type="dxa"/>
        </w:tblCellMar>
        <w:tblLook w:val="04A0" w:firstRow="1" w:lastRow="0" w:firstColumn="1" w:lastColumn="0" w:noHBand="0" w:noVBand="1"/>
      </w:tblPr>
      <w:tblGrid>
        <w:gridCol w:w="988"/>
        <w:gridCol w:w="5528"/>
        <w:gridCol w:w="1559"/>
        <w:gridCol w:w="960"/>
        <w:gridCol w:w="1450"/>
        <w:gridCol w:w="960"/>
        <w:gridCol w:w="1166"/>
        <w:gridCol w:w="1701"/>
        <w:gridCol w:w="1134"/>
      </w:tblGrid>
      <w:tr w:rsidR="00C6319C" w:rsidRPr="00AA6E1D" w14:paraId="3E806A27" w14:textId="77777777" w:rsidTr="00C6319C">
        <w:trPr>
          <w:trHeight w:val="520"/>
        </w:trPr>
        <w:tc>
          <w:tcPr>
            <w:tcW w:w="988" w:type="dxa"/>
            <w:tcBorders>
              <w:top w:val="single" w:sz="4" w:space="0" w:color="auto"/>
              <w:left w:val="single" w:sz="4" w:space="0" w:color="auto"/>
              <w:bottom w:val="single" w:sz="4" w:space="0" w:color="auto"/>
              <w:right w:val="single" w:sz="4" w:space="0" w:color="auto"/>
            </w:tcBorders>
          </w:tcPr>
          <w:p w14:paraId="6E101D4C" w14:textId="4925A39C"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bCs/>
                <w:sz w:val="20"/>
                <w:szCs w:val="20"/>
                <w:lang w:val="nl-NL" w:eastAsia="nl-NL"/>
              </w:rPr>
              <w:t>N</w:t>
            </w:r>
            <w:r w:rsidR="007F59B7" w:rsidRPr="00AA6E1D">
              <w:rPr>
                <w:rFonts w:asciiTheme="minorHAnsi" w:hAnsiTheme="minorHAnsi" w:cstheme="minorHAnsi"/>
                <w:b/>
                <w:bCs/>
                <w:sz w:val="20"/>
                <w:szCs w:val="20"/>
                <w:lang w:val="nl-NL" w:eastAsia="nl-NL"/>
              </w:rPr>
              <w:t>O.</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B291187" w14:textId="7B96FBB5"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sz w:val="20"/>
                <w:szCs w:val="20"/>
                <w:lang w:val="nl-NL" w:eastAsia="nl-NL"/>
              </w:rPr>
              <w:t>AGENDA ITEM</w:t>
            </w:r>
          </w:p>
        </w:tc>
        <w:tc>
          <w:tcPr>
            <w:tcW w:w="1559" w:type="dxa"/>
            <w:tcBorders>
              <w:top w:val="single" w:sz="4" w:space="0" w:color="auto"/>
              <w:left w:val="nil"/>
              <w:bottom w:val="single" w:sz="4" w:space="0" w:color="auto"/>
              <w:right w:val="single" w:sz="4" w:space="0" w:color="auto"/>
            </w:tcBorders>
            <w:shd w:val="clear" w:color="auto" w:fill="auto"/>
            <w:hideMark/>
          </w:tcPr>
          <w:p w14:paraId="61923451" w14:textId="77777777"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sz w:val="20"/>
                <w:szCs w:val="20"/>
                <w:lang w:val="nl-NL" w:eastAsia="nl-NL"/>
              </w:rPr>
              <w:t>VOTES</w:t>
            </w:r>
            <w:r w:rsidRPr="00AA6E1D">
              <w:rPr>
                <w:rFonts w:asciiTheme="minorHAnsi" w:hAnsiTheme="minorHAnsi" w:cstheme="minorHAnsi"/>
                <w:b/>
                <w:sz w:val="20"/>
                <w:szCs w:val="20"/>
                <w:lang w:val="nl-NL" w:eastAsia="nl-NL"/>
              </w:rPr>
              <w:br/>
              <w:t>FOR</w:t>
            </w:r>
          </w:p>
        </w:tc>
        <w:tc>
          <w:tcPr>
            <w:tcW w:w="960" w:type="dxa"/>
            <w:tcBorders>
              <w:top w:val="single" w:sz="4" w:space="0" w:color="auto"/>
              <w:left w:val="nil"/>
              <w:bottom w:val="single" w:sz="4" w:space="0" w:color="auto"/>
              <w:right w:val="single" w:sz="4" w:space="0" w:color="auto"/>
            </w:tcBorders>
            <w:shd w:val="clear" w:color="auto" w:fill="auto"/>
            <w:hideMark/>
          </w:tcPr>
          <w:p w14:paraId="40EE042F" w14:textId="77777777"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sz w:val="20"/>
                <w:szCs w:val="20"/>
                <w:lang w:val="nl-NL" w:eastAsia="nl-NL"/>
              </w:rPr>
              <w:t>%</w:t>
            </w:r>
          </w:p>
        </w:tc>
        <w:tc>
          <w:tcPr>
            <w:tcW w:w="1450" w:type="dxa"/>
            <w:tcBorders>
              <w:top w:val="single" w:sz="4" w:space="0" w:color="auto"/>
              <w:left w:val="nil"/>
              <w:bottom w:val="single" w:sz="4" w:space="0" w:color="auto"/>
              <w:right w:val="single" w:sz="4" w:space="0" w:color="auto"/>
            </w:tcBorders>
            <w:shd w:val="clear" w:color="auto" w:fill="auto"/>
            <w:hideMark/>
          </w:tcPr>
          <w:p w14:paraId="0623431D" w14:textId="77777777"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sz w:val="20"/>
                <w:szCs w:val="20"/>
                <w:lang w:val="nl-NL" w:eastAsia="nl-NL"/>
              </w:rPr>
              <w:t>VOTES</w:t>
            </w:r>
            <w:r w:rsidRPr="00AA6E1D">
              <w:rPr>
                <w:rFonts w:asciiTheme="minorHAnsi" w:hAnsiTheme="minorHAnsi" w:cstheme="minorHAnsi"/>
                <w:b/>
                <w:sz w:val="20"/>
                <w:szCs w:val="20"/>
                <w:lang w:val="nl-NL" w:eastAsia="nl-NL"/>
              </w:rPr>
              <w:br/>
              <w:t>AGAINST</w:t>
            </w:r>
          </w:p>
        </w:tc>
        <w:tc>
          <w:tcPr>
            <w:tcW w:w="960" w:type="dxa"/>
            <w:tcBorders>
              <w:top w:val="single" w:sz="4" w:space="0" w:color="auto"/>
              <w:left w:val="nil"/>
              <w:bottom w:val="single" w:sz="4" w:space="0" w:color="auto"/>
              <w:right w:val="single" w:sz="4" w:space="0" w:color="auto"/>
            </w:tcBorders>
            <w:shd w:val="clear" w:color="auto" w:fill="auto"/>
            <w:hideMark/>
          </w:tcPr>
          <w:p w14:paraId="11D26051" w14:textId="77777777"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sz w:val="20"/>
                <w:szCs w:val="20"/>
                <w:lang w:val="nl-NL" w:eastAsia="nl-NL"/>
              </w:rPr>
              <w:t>%</w:t>
            </w:r>
          </w:p>
        </w:tc>
        <w:tc>
          <w:tcPr>
            <w:tcW w:w="1166" w:type="dxa"/>
            <w:tcBorders>
              <w:top w:val="single" w:sz="4" w:space="0" w:color="auto"/>
              <w:left w:val="nil"/>
              <w:bottom w:val="single" w:sz="4" w:space="0" w:color="auto"/>
              <w:right w:val="single" w:sz="4" w:space="0" w:color="auto"/>
            </w:tcBorders>
            <w:shd w:val="clear" w:color="auto" w:fill="auto"/>
            <w:hideMark/>
          </w:tcPr>
          <w:p w14:paraId="4EC5C06B" w14:textId="77777777"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sz w:val="20"/>
                <w:szCs w:val="20"/>
                <w:lang w:val="nl-NL" w:eastAsia="nl-NL"/>
              </w:rPr>
              <w:t>VOTES</w:t>
            </w:r>
            <w:r w:rsidRPr="00AA6E1D">
              <w:rPr>
                <w:rFonts w:asciiTheme="minorHAnsi" w:hAnsiTheme="minorHAnsi" w:cstheme="minorHAnsi"/>
                <w:b/>
                <w:sz w:val="20"/>
                <w:szCs w:val="20"/>
                <w:lang w:val="nl-NL" w:eastAsia="nl-NL"/>
              </w:rPr>
              <w:br/>
              <w:t>ABSTAIN</w:t>
            </w:r>
          </w:p>
        </w:tc>
        <w:tc>
          <w:tcPr>
            <w:tcW w:w="1701" w:type="dxa"/>
            <w:tcBorders>
              <w:top w:val="single" w:sz="4" w:space="0" w:color="auto"/>
              <w:left w:val="nil"/>
              <w:bottom w:val="single" w:sz="4" w:space="0" w:color="auto"/>
              <w:right w:val="single" w:sz="4" w:space="0" w:color="auto"/>
            </w:tcBorders>
            <w:shd w:val="clear" w:color="auto" w:fill="auto"/>
            <w:hideMark/>
          </w:tcPr>
          <w:p w14:paraId="13739D2B" w14:textId="77777777" w:rsidR="00C6319C" w:rsidRPr="00AA6E1D" w:rsidRDefault="00C6319C" w:rsidP="00FA02E0">
            <w:pPr>
              <w:spacing w:line="240" w:lineRule="auto"/>
              <w:jc w:val="center"/>
              <w:rPr>
                <w:rFonts w:asciiTheme="minorHAnsi" w:hAnsiTheme="minorHAnsi" w:cstheme="minorHAnsi"/>
                <w:b/>
                <w:sz w:val="20"/>
                <w:szCs w:val="20"/>
                <w:lang w:val="nl-NL" w:eastAsia="nl-NL"/>
              </w:rPr>
            </w:pPr>
            <w:r w:rsidRPr="00AA6E1D">
              <w:rPr>
                <w:rFonts w:asciiTheme="minorHAnsi" w:hAnsiTheme="minorHAnsi" w:cstheme="minorHAnsi"/>
                <w:b/>
                <w:sz w:val="20"/>
                <w:szCs w:val="20"/>
                <w:lang w:val="nl-NL" w:eastAsia="nl-NL"/>
              </w:rPr>
              <w:t>VOTES</w:t>
            </w:r>
            <w:r w:rsidRPr="00AA6E1D">
              <w:rPr>
                <w:rFonts w:asciiTheme="minorHAnsi" w:hAnsiTheme="minorHAnsi" w:cstheme="minorHAnsi"/>
                <w:b/>
                <w:sz w:val="20"/>
                <w:szCs w:val="20"/>
                <w:lang w:val="nl-NL" w:eastAsia="nl-NL"/>
              </w:rPr>
              <w:br/>
              <w:t>TOTAL</w:t>
            </w:r>
          </w:p>
        </w:tc>
        <w:tc>
          <w:tcPr>
            <w:tcW w:w="1134" w:type="dxa"/>
            <w:tcBorders>
              <w:top w:val="single" w:sz="4" w:space="0" w:color="auto"/>
              <w:left w:val="nil"/>
              <w:bottom w:val="single" w:sz="4" w:space="0" w:color="auto"/>
              <w:right w:val="single" w:sz="4" w:space="0" w:color="auto"/>
            </w:tcBorders>
            <w:shd w:val="clear" w:color="auto" w:fill="auto"/>
            <w:hideMark/>
          </w:tcPr>
          <w:p w14:paraId="55613B5C" w14:textId="3D7D06C2" w:rsidR="00C6319C" w:rsidRPr="00AA6E1D" w:rsidRDefault="00C6319C" w:rsidP="00FA02E0">
            <w:pPr>
              <w:spacing w:line="240" w:lineRule="auto"/>
              <w:jc w:val="center"/>
              <w:rPr>
                <w:rFonts w:asciiTheme="minorHAnsi" w:hAnsiTheme="minorHAnsi" w:cstheme="minorHAnsi"/>
                <w:b/>
                <w:sz w:val="20"/>
                <w:szCs w:val="20"/>
                <w:lang w:eastAsia="nl-NL"/>
              </w:rPr>
            </w:pPr>
            <w:r w:rsidRPr="00AA6E1D">
              <w:rPr>
                <w:rFonts w:asciiTheme="minorHAnsi" w:hAnsiTheme="minorHAnsi" w:cstheme="minorHAnsi"/>
                <w:b/>
                <w:bCs/>
                <w:sz w:val="20"/>
                <w:szCs w:val="20"/>
                <w:lang w:eastAsia="nl-NL"/>
              </w:rPr>
              <w:t xml:space="preserve">% of </w:t>
            </w:r>
            <w:r w:rsidR="007F59B7" w:rsidRPr="00AA6E1D">
              <w:rPr>
                <w:rFonts w:asciiTheme="minorHAnsi" w:hAnsiTheme="minorHAnsi" w:cstheme="minorHAnsi"/>
                <w:b/>
                <w:bCs/>
                <w:sz w:val="20"/>
                <w:szCs w:val="20"/>
                <w:lang w:eastAsia="nl-NL"/>
              </w:rPr>
              <w:t>ISSUED SHARE CAPITAL</w:t>
            </w:r>
            <w:r w:rsidRPr="00AA6E1D">
              <w:rPr>
                <w:rFonts w:asciiTheme="minorHAnsi" w:hAnsiTheme="minorHAnsi" w:cstheme="minorHAnsi"/>
                <w:b/>
                <w:bCs/>
                <w:sz w:val="20"/>
                <w:szCs w:val="20"/>
                <w:lang w:eastAsia="nl-NL"/>
              </w:rPr>
              <w:t xml:space="preserve"> VOTED</w:t>
            </w:r>
          </w:p>
        </w:tc>
      </w:tr>
      <w:tr w:rsidR="00C6319C" w:rsidRPr="00AA6E1D" w14:paraId="55483C08"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04DAF88A" w14:textId="24A8FBDB" w:rsidR="00C6319C" w:rsidRPr="00AA6E1D" w:rsidRDefault="00C6319C" w:rsidP="00C6319C">
            <w:pPr>
              <w:spacing w:line="240" w:lineRule="auto"/>
              <w:rPr>
                <w:rFonts w:asciiTheme="minorHAnsi" w:hAnsiTheme="minorHAnsi" w:cstheme="minorHAnsi"/>
                <w:sz w:val="20"/>
                <w:szCs w:val="20"/>
              </w:rPr>
            </w:pPr>
            <w:bookmarkStart w:id="0" w:name="_Hlk48658942"/>
            <w:r w:rsidRPr="00AA6E1D">
              <w:rPr>
                <w:rFonts w:asciiTheme="minorHAnsi" w:hAnsiTheme="minorHAnsi" w:cstheme="minorHAnsi"/>
                <w:sz w:val="20"/>
                <w:szCs w:val="20"/>
              </w:rPr>
              <w:t>2</w:t>
            </w:r>
          </w:p>
        </w:tc>
        <w:tc>
          <w:tcPr>
            <w:tcW w:w="5528" w:type="dxa"/>
            <w:tcBorders>
              <w:top w:val="nil"/>
              <w:left w:val="single" w:sz="4" w:space="0" w:color="auto"/>
              <w:bottom w:val="single" w:sz="4" w:space="0" w:color="auto"/>
              <w:right w:val="single" w:sz="4" w:space="0" w:color="auto"/>
            </w:tcBorders>
            <w:shd w:val="clear" w:color="auto" w:fill="auto"/>
            <w:noWrap/>
            <w:hideMark/>
          </w:tcPr>
          <w:p w14:paraId="5F751DFA" w14:textId="2229068C" w:rsidR="00C6319C" w:rsidRPr="00AA6E1D" w:rsidRDefault="00C6319C" w:rsidP="00FA02E0">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To approve the directors’ remuneration report</w:t>
            </w:r>
          </w:p>
        </w:tc>
        <w:tc>
          <w:tcPr>
            <w:tcW w:w="1559" w:type="dxa"/>
            <w:tcBorders>
              <w:top w:val="nil"/>
              <w:left w:val="nil"/>
              <w:bottom w:val="single" w:sz="4" w:space="0" w:color="auto"/>
              <w:right w:val="single" w:sz="4" w:space="0" w:color="auto"/>
            </w:tcBorders>
            <w:shd w:val="clear" w:color="auto" w:fill="auto"/>
            <w:noWrap/>
            <w:vAlign w:val="bottom"/>
            <w:hideMark/>
          </w:tcPr>
          <w:p w14:paraId="2B0BE86C"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1,281,624,109</w:t>
            </w:r>
          </w:p>
        </w:tc>
        <w:tc>
          <w:tcPr>
            <w:tcW w:w="960" w:type="dxa"/>
            <w:tcBorders>
              <w:top w:val="nil"/>
              <w:left w:val="nil"/>
              <w:bottom w:val="single" w:sz="4" w:space="0" w:color="auto"/>
              <w:right w:val="single" w:sz="4" w:space="0" w:color="auto"/>
            </w:tcBorders>
            <w:shd w:val="clear" w:color="auto" w:fill="auto"/>
            <w:noWrap/>
            <w:vAlign w:val="bottom"/>
            <w:hideMark/>
          </w:tcPr>
          <w:p w14:paraId="02E04098"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84.75</w:t>
            </w:r>
          </w:p>
        </w:tc>
        <w:tc>
          <w:tcPr>
            <w:tcW w:w="1450" w:type="dxa"/>
            <w:tcBorders>
              <w:top w:val="nil"/>
              <w:left w:val="nil"/>
              <w:bottom w:val="single" w:sz="4" w:space="0" w:color="auto"/>
              <w:right w:val="single" w:sz="4" w:space="0" w:color="auto"/>
            </w:tcBorders>
            <w:shd w:val="clear" w:color="auto" w:fill="auto"/>
            <w:noWrap/>
            <w:vAlign w:val="bottom"/>
            <w:hideMark/>
          </w:tcPr>
          <w:p w14:paraId="701AB406"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230,641,199</w:t>
            </w:r>
          </w:p>
        </w:tc>
        <w:tc>
          <w:tcPr>
            <w:tcW w:w="960" w:type="dxa"/>
            <w:tcBorders>
              <w:top w:val="nil"/>
              <w:left w:val="nil"/>
              <w:bottom w:val="single" w:sz="4" w:space="0" w:color="auto"/>
              <w:right w:val="single" w:sz="4" w:space="0" w:color="auto"/>
            </w:tcBorders>
            <w:shd w:val="clear" w:color="auto" w:fill="auto"/>
            <w:noWrap/>
            <w:vAlign w:val="bottom"/>
            <w:hideMark/>
          </w:tcPr>
          <w:p w14:paraId="4B793BD9"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15.25</w:t>
            </w:r>
          </w:p>
        </w:tc>
        <w:tc>
          <w:tcPr>
            <w:tcW w:w="1166" w:type="dxa"/>
            <w:tcBorders>
              <w:top w:val="nil"/>
              <w:left w:val="nil"/>
              <w:bottom w:val="single" w:sz="4" w:space="0" w:color="auto"/>
              <w:right w:val="single" w:sz="4" w:space="0" w:color="auto"/>
            </w:tcBorders>
            <w:shd w:val="clear" w:color="auto" w:fill="auto"/>
            <w:noWrap/>
            <w:vAlign w:val="bottom"/>
            <w:hideMark/>
          </w:tcPr>
          <w:p w14:paraId="04F9D35F"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6,730,292</w:t>
            </w:r>
          </w:p>
        </w:tc>
        <w:tc>
          <w:tcPr>
            <w:tcW w:w="1701" w:type="dxa"/>
            <w:tcBorders>
              <w:top w:val="nil"/>
              <w:left w:val="nil"/>
              <w:bottom w:val="single" w:sz="4" w:space="0" w:color="auto"/>
              <w:right w:val="single" w:sz="4" w:space="0" w:color="auto"/>
            </w:tcBorders>
            <w:shd w:val="clear" w:color="auto" w:fill="auto"/>
            <w:noWrap/>
            <w:vAlign w:val="bottom"/>
            <w:hideMark/>
          </w:tcPr>
          <w:p w14:paraId="7F2E8753"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370A749D"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bookmarkEnd w:id="0"/>
      <w:tr w:rsidR="00C6319C" w:rsidRPr="00AA6E1D" w14:paraId="0CB4EF65"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68F786A3" w14:textId="3913F227" w:rsidR="00C6319C" w:rsidRPr="00AA6E1D" w:rsidRDefault="00C6319C" w:rsidP="00C6319C">
            <w:pPr>
              <w:spacing w:line="240" w:lineRule="auto"/>
              <w:rPr>
                <w:rFonts w:asciiTheme="minorHAnsi" w:hAnsiTheme="minorHAnsi" w:cstheme="minorHAnsi"/>
                <w:sz w:val="20"/>
                <w:szCs w:val="20"/>
              </w:rPr>
            </w:pPr>
            <w:r w:rsidRPr="00AA6E1D">
              <w:rPr>
                <w:rFonts w:asciiTheme="minorHAnsi" w:hAnsiTheme="minorHAnsi" w:cstheme="minorHAnsi"/>
                <w:sz w:val="20"/>
                <w:szCs w:val="20"/>
              </w:rPr>
              <w:t>3</w:t>
            </w:r>
          </w:p>
        </w:tc>
        <w:tc>
          <w:tcPr>
            <w:tcW w:w="5528" w:type="dxa"/>
            <w:tcBorders>
              <w:top w:val="nil"/>
              <w:left w:val="single" w:sz="4" w:space="0" w:color="auto"/>
              <w:bottom w:val="single" w:sz="4" w:space="0" w:color="auto"/>
              <w:right w:val="single" w:sz="4" w:space="0" w:color="auto"/>
            </w:tcBorders>
            <w:shd w:val="clear" w:color="auto" w:fill="auto"/>
            <w:noWrap/>
            <w:hideMark/>
          </w:tcPr>
          <w:p w14:paraId="4F33F405" w14:textId="0DEFC858" w:rsidR="00C6319C" w:rsidRPr="00AA6E1D" w:rsidRDefault="00C6319C" w:rsidP="00FA02E0">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To adopt the annual accounts</w:t>
            </w:r>
          </w:p>
        </w:tc>
        <w:tc>
          <w:tcPr>
            <w:tcW w:w="1559" w:type="dxa"/>
            <w:tcBorders>
              <w:top w:val="nil"/>
              <w:left w:val="nil"/>
              <w:bottom w:val="single" w:sz="4" w:space="0" w:color="auto"/>
              <w:right w:val="single" w:sz="4" w:space="0" w:color="auto"/>
            </w:tcBorders>
            <w:shd w:val="clear" w:color="auto" w:fill="auto"/>
            <w:noWrap/>
            <w:vAlign w:val="bottom"/>
            <w:hideMark/>
          </w:tcPr>
          <w:p w14:paraId="172539FD"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1,518,139,247</w:t>
            </w:r>
          </w:p>
        </w:tc>
        <w:tc>
          <w:tcPr>
            <w:tcW w:w="960" w:type="dxa"/>
            <w:tcBorders>
              <w:top w:val="nil"/>
              <w:left w:val="nil"/>
              <w:bottom w:val="single" w:sz="4" w:space="0" w:color="auto"/>
              <w:right w:val="single" w:sz="4" w:space="0" w:color="auto"/>
            </w:tcBorders>
            <w:shd w:val="clear" w:color="auto" w:fill="auto"/>
            <w:noWrap/>
            <w:vAlign w:val="bottom"/>
            <w:hideMark/>
          </w:tcPr>
          <w:p w14:paraId="0A2E4E0B"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100.00</w:t>
            </w:r>
          </w:p>
        </w:tc>
        <w:tc>
          <w:tcPr>
            <w:tcW w:w="1450" w:type="dxa"/>
            <w:tcBorders>
              <w:top w:val="nil"/>
              <w:left w:val="nil"/>
              <w:bottom w:val="single" w:sz="4" w:space="0" w:color="auto"/>
              <w:right w:val="single" w:sz="4" w:space="0" w:color="auto"/>
            </w:tcBorders>
            <w:shd w:val="clear" w:color="auto" w:fill="auto"/>
            <w:noWrap/>
            <w:vAlign w:val="bottom"/>
            <w:hideMark/>
          </w:tcPr>
          <w:p w14:paraId="2D74B924"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27,759</w:t>
            </w:r>
          </w:p>
        </w:tc>
        <w:tc>
          <w:tcPr>
            <w:tcW w:w="960" w:type="dxa"/>
            <w:tcBorders>
              <w:top w:val="nil"/>
              <w:left w:val="nil"/>
              <w:bottom w:val="single" w:sz="4" w:space="0" w:color="auto"/>
              <w:right w:val="single" w:sz="4" w:space="0" w:color="auto"/>
            </w:tcBorders>
            <w:shd w:val="clear" w:color="auto" w:fill="auto"/>
            <w:noWrap/>
            <w:vAlign w:val="bottom"/>
            <w:hideMark/>
          </w:tcPr>
          <w:p w14:paraId="71EF55F1"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0.00</w:t>
            </w:r>
          </w:p>
        </w:tc>
        <w:tc>
          <w:tcPr>
            <w:tcW w:w="1166" w:type="dxa"/>
            <w:tcBorders>
              <w:top w:val="nil"/>
              <w:left w:val="nil"/>
              <w:bottom w:val="single" w:sz="4" w:space="0" w:color="auto"/>
              <w:right w:val="single" w:sz="4" w:space="0" w:color="auto"/>
            </w:tcBorders>
            <w:shd w:val="clear" w:color="auto" w:fill="auto"/>
            <w:noWrap/>
            <w:vAlign w:val="bottom"/>
            <w:hideMark/>
          </w:tcPr>
          <w:p w14:paraId="05C103C7"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828,594</w:t>
            </w:r>
          </w:p>
        </w:tc>
        <w:tc>
          <w:tcPr>
            <w:tcW w:w="1701" w:type="dxa"/>
            <w:tcBorders>
              <w:top w:val="nil"/>
              <w:left w:val="nil"/>
              <w:bottom w:val="single" w:sz="4" w:space="0" w:color="auto"/>
              <w:right w:val="single" w:sz="4" w:space="0" w:color="auto"/>
            </w:tcBorders>
            <w:shd w:val="clear" w:color="auto" w:fill="auto"/>
            <w:noWrap/>
            <w:vAlign w:val="bottom"/>
            <w:hideMark/>
          </w:tcPr>
          <w:p w14:paraId="58BA9B45"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09E385D4"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4F2FE8ED"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2812AA94" w14:textId="2DA82CA0" w:rsidR="00C6319C" w:rsidRPr="00AA6E1D" w:rsidRDefault="00C6319C" w:rsidP="00FA02E0">
            <w:pPr>
              <w:spacing w:line="240" w:lineRule="auto"/>
              <w:rPr>
                <w:rFonts w:asciiTheme="minorHAnsi" w:hAnsiTheme="minorHAnsi" w:cstheme="minorHAnsi"/>
                <w:sz w:val="20"/>
                <w:szCs w:val="20"/>
              </w:rPr>
            </w:pPr>
            <w:r w:rsidRPr="00AA6E1D">
              <w:rPr>
                <w:rFonts w:asciiTheme="minorHAnsi" w:hAnsiTheme="minorHAnsi" w:cstheme="minorHAnsi"/>
                <w:sz w:val="20"/>
                <w:szCs w:val="20"/>
              </w:rPr>
              <w:t>4(a)</w:t>
            </w:r>
          </w:p>
        </w:tc>
        <w:tc>
          <w:tcPr>
            <w:tcW w:w="5528" w:type="dxa"/>
            <w:tcBorders>
              <w:top w:val="nil"/>
              <w:left w:val="single" w:sz="4" w:space="0" w:color="auto"/>
              <w:bottom w:val="single" w:sz="4" w:space="0" w:color="auto"/>
              <w:right w:val="single" w:sz="4" w:space="0" w:color="auto"/>
            </w:tcBorders>
            <w:shd w:val="clear" w:color="auto" w:fill="auto"/>
            <w:noWrap/>
            <w:hideMark/>
          </w:tcPr>
          <w:p w14:paraId="1450BB27" w14:textId="7AF51AD0" w:rsidR="00C6319C" w:rsidRPr="00AA6E1D" w:rsidRDefault="00C6319C" w:rsidP="00FA02E0">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Proposal to make a distribution (including reduction of Prosus’s issued capital and two amendments to the articles of association)</w:t>
            </w:r>
          </w:p>
        </w:tc>
        <w:tc>
          <w:tcPr>
            <w:tcW w:w="1559" w:type="dxa"/>
            <w:tcBorders>
              <w:top w:val="nil"/>
              <w:left w:val="nil"/>
              <w:bottom w:val="single" w:sz="4" w:space="0" w:color="auto"/>
              <w:right w:val="single" w:sz="4" w:space="0" w:color="auto"/>
            </w:tcBorders>
            <w:shd w:val="clear" w:color="auto" w:fill="auto"/>
            <w:noWrap/>
            <w:vAlign w:val="bottom"/>
            <w:hideMark/>
          </w:tcPr>
          <w:p w14:paraId="78288940"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1,518,003,627</w:t>
            </w:r>
          </w:p>
        </w:tc>
        <w:tc>
          <w:tcPr>
            <w:tcW w:w="960" w:type="dxa"/>
            <w:tcBorders>
              <w:top w:val="nil"/>
              <w:left w:val="nil"/>
              <w:bottom w:val="single" w:sz="4" w:space="0" w:color="auto"/>
              <w:right w:val="single" w:sz="4" w:space="0" w:color="auto"/>
            </w:tcBorders>
            <w:shd w:val="clear" w:color="auto" w:fill="auto"/>
            <w:noWrap/>
            <w:vAlign w:val="bottom"/>
            <w:hideMark/>
          </w:tcPr>
          <w:p w14:paraId="46266465"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99.95</w:t>
            </w:r>
          </w:p>
        </w:tc>
        <w:tc>
          <w:tcPr>
            <w:tcW w:w="1450" w:type="dxa"/>
            <w:tcBorders>
              <w:top w:val="nil"/>
              <w:left w:val="nil"/>
              <w:bottom w:val="single" w:sz="4" w:space="0" w:color="auto"/>
              <w:right w:val="single" w:sz="4" w:space="0" w:color="auto"/>
            </w:tcBorders>
            <w:shd w:val="clear" w:color="auto" w:fill="auto"/>
            <w:noWrap/>
            <w:vAlign w:val="bottom"/>
            <w:hideMark/>
          </w:tcPr>
          <w:p w14:paraId="49E6522E"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772,983</w:t>
            </w:r>
          </w:p>
        </w:tc>
        <w:tc>
          <w:tcPr>
            <w:tcW w:w="960" w:type="dxa"/>
            <w:tcBorders>
              <w:top w:val="nil"/>
              <w:left w:val="nil"/>
              <w:bottom w:val="single" w:sz="4" w:space="0" w:color="auto"/>
              <w:right w:val="single" w:sz="4" w:space="0" w:color="auto"/>
            </w:tcBorders>
            <w:shd w:val="clear" w:color="auto" w:fill="auto"/>
            <w:noWrap/>
            <w:vAlign w:val="bottom"/>
            <w:hideMark/>
          </w:tcPr>
          <w:p w14:paraId="23EB803C"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0.05</w:t>
            </w:r>
          </w:p>
        </w:tc>
        <w:tc>
          <w:tcPr>
            <w:tcW w:w="1166" w:type="dxa"/>
            <w:tcBorders>
              <w:top w:val="nil"/>
              <w:left w:val="nil"/>
              <w:bottom w:val="single" w:sz="4" w:space="0" w:color="auto"/>
              <w:right w:val="single" w:sz="4" w:space="0" w:color="auto"/>
            </w:tcBorders>
            <w:shd w:val="clear" w:color="auto" w:fill="auto"/>
            <w:noWrap/>
            <w:vAlign w:val="bottom"/>
            <w:hideMark/>
          </w:tcPr>
          <w:p w14:paraId="1CA34941"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218,990</w:t>
            </w:r>
          </w:p>
        </w:tc>
        <w:tc>
          <w:tcPr>
            <w:tcW w:w="1701" w:type="dxa"/>
            <w:tcBorders>
              <w:top w:val="nil"/>
              <w:left w:val="nil"/>
              <w:bottom w:val="single" w:sz="4" w:space="0" w:color="auto"/>
              <w:right w:val="single" w:sz="4" w:space="0" w:color="auto"/>
            </w:tcBorders>
            <w:shd w:val="clear" w:color="auto" w:fill="auto"/>
            <w:noWrap/>
            <w:vAlign w:val="bottom"/>
            <w:hideMark/>
          </w:tcPr>
          <w:p w14:paraId="3F3DF2B8"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469547D9"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2C7582AB"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3D369ACF" w14:textId="39D7B195" w:rsidR="00C6319C" w:rsidRPr="00AA6E1D" w:rsidRDefault="00C6319C" w:rsidP="00FA02E0">
            <w:pPr>
              <w:spacing w:line="240" w:lineRule="auto"/>
              <w:rPr>
                <w:rFonts w:asciiTheme="minorHAnsi" w:hAnsiTheme="minorHAnsi" w:cstheme="minorHAnsi"/>
                <w:sz w:val="20"/>
                <w:szCs w:val="20"/>
              </w:rPr>
            </w:pPr>
            <w:r w:rsidRPr="00AA6E1D">
              <w:rPr>
                <w:rFonts w:asciiTheme="minorHAnsi" w:hAnsiTheme="minorHAnsi" w:cstheme="minorHAnsi"/>
                <w:sz w:val="20"/>
                <w:szCs w:val="20"/>
              </w:rPr>
              <w:t>4(b)</w:t>
            </w:r>
          </w:p>
        </w:tc>
        <w:tc>
          <w:tcPr>
            <w:tcW w:w="5528" w:type="dxa"/>
            <w:tcBorders>
              <w:top w:val="nil"/>
              <w:left w:val="single" w:sz="4" w:space="0" w:color="auto"/>
              <w:bottom w:val="single" w:sz="4" w:space="0" w:color="auto"/>
              <w:right w:val="single" w:sz="4" w:space="0" w:color="auto"/>
            </w:tcBorders>
            <w:shd w:val="clear" w:color="auto" w:fill="auto"/>
            <w:noWrap/>
            <w:hideMark/>
          </w:tcPr>
          <w:p w14:paraId="7C079CDE" w14:textId="6F26C3E8" w:rsidR="00C6319C" w:rsidRPr="00AA6E1D" w:rsidRDefault="00C6319C" w:rsidP="00FA02E0">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Proposal for capital increase and capital reduction for financial year 2021 (and onwards)</w:t>
            </w:r>
          </w:p>
        </w:tc>
        <w:tc>
          <w:tcPr>
            <w:tcW w:w="1559" w:type="dxa"/>
            <w:tcBorders>
              <w:top w:val="nil"/>
              <w:left w:val="nil"/>
              <w:bottom w:val="single" w:sz="4" w:space="0" w:color="auto"/>
              <w:right w:val="single" w:sz="4" w:space="0" w:color="auto"/>
            </w:tcBorders>
            <w:shd w:val="clear" w:color="auto" w:fill="auto"/>
            <w:noWrap/>
            <w:vAlign w:val="bottom"/>
            <w:hideMark/>
          </w:tcPr>
          <w:p w14:paraId="4B19E982"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1,517,500,330</w:t>
            </w:r>
          </w:p>
        </w:tc>
        <w:tc>
          <w:tcPr>
            <w:tcW w:w="960" w:type="dxa"/>
            <w:tcBorders>
              <w:top w:val="nil"/>
              <w:left w:val="nil"/>
              <w:bottom w:val="single" w:sz="4" w:space="0" w:color="auto"/>
              <w:right w:val="single" w:sz="4" w:space="0" w:color="auto"/>
            </w:tcBorders>
            <w:shd w:val="clear" w:color="auto" w:fill="auto"/>
            <w:noWrap/>
            <w:vAlign w:val="bottom"/>
            <w:hideMark/>
          </w:tcPr>
          <w:p w14:paraId="3C1FF99E"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99.92</w:t>
            </w:r>
          </w:p>
        </w:tc>
        <w:tc>
          <w:tcPr>
            <w:tcW w:w="1450" w:type="dxa"/>
            <w:tcBorders>
              <w:top w:val="nil"/>
              <w:left w:val="nil"/>
              <w:bottom w:val="single" w:sz="4" w:space="0" w:color="auto"/>
              <w:right w:val="single" w:sz="4" w:space="0" w:color="auto"/>
            </w:tcBorders>
            <w:shd w:val="clear" w:color="auto" w:fill="auto"/>
            <w:noWrap/>
            <w:vAlign w:val="bottom"/>
            <w:hideMark/>
          </w:tcPr>
          <w:p w14:paraId="31B7F0A0"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1,181,099</w:t>
            </w:r>
          </w:p>
        </w:tc>
        <w:tc>
          <w:tcPr>
            <w:tcW w:w="960" w:type="dxa"/>
            <w:tcBorders>
              <w:top w:val="nil"/>
              <w:left w:val="nil"/>
              <w:bottom w:val="single" w:sz="4" w:space="0" w:color="auto"/>
              <w:right w:val="single" w:sz="4" w:space="0" w:color="auto"/>
            </w:tcBorders>
            <w:shd w:val="clear" w:color="auto" w:fill="auto"/>
            <w:noWrap/>
            <w:vAlign w:val="bottom"/>
            <w:hideMark/>
          </w:tcPr>
          <w:p w14:paraId="7896F5E0"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0.08</w:t>
            </w:r>
          </w:p>
        </w:tc>
        <w:tc>
          <w:tcPr>
            <w:tcW w:w="1166" w:type="dxa"/>
            <w:tcBorders>
              <w:top w:val="nil"/>
              <w:left w:val="nil"/>
              <w:bottom w:val="single" w:sz="4" w:space="0" w:color="auto"/>
              <w:right w:val="single" w:sz="4" w:space="0" w:color="auto"/>
            </w:tcBorders>
            <w:shd w:val="clear" w:color="auto" w:fill="auto"/>
            <w:noWrap/>
            <w:vAlign w:val="bottom"/>
            <w:hideMark/>
          </w:tcPr>
          <w:p w14:paraId="526384B7"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314,171</w:t>
            </w:r>
          </w:p>
        </w:tc>
        <w:tc>
          <w:tcPr>
            <w:tcW w:w="1701" w:type="dxa"/>
            <w:tcBorders>
              <w:top w:val="nil"/>
              <w:left w:val="nil"/>
              <w:bottom w:val="single" w:sz="4" w:space="0" w:color="auto"/>
              <w:right w:val="single" w:sz="4" w:space="0" w:color="auto"/>
            </w:tcBorders>
            <w:shd w:val="clear" w:color="auto" w:fill="auto"/>
            <w:noWrap/>
            <w:vAlign w:val="bottom"/>
            <w:hideMark/>
          </w:tcPr>
          <w:p w14:paraId="4EE74183"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18C9210C"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4CDDD25A"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438F33F5" w14:textId="40028AF3" w:rsidR="00C6319C" w:rsidRPr="00AA6E1D" w:rsidRDefault="00C6319C" w:rsidP="00FA02E0">
            <w:pPr>
              <w:spacing w:line="240" w:lineRule="auto"/>
              <w:rPr>
                <w:rFonts w:asciiTheme="minorHAnsi" w:hAnsiTheme="minorHAnsi" w:cstheme="minorHAnsi"/>
                <w:sz w:val="20"/>
                <w:szCs w:val="20"/>
              </w:rPr>
            </w:pPr>
            <w:r w:rsidRPr="00AA6E1D">
              <w:rPr>
                <w:rFonts w:asciiTheme="minorHAnsi" w:hAnsiTheme="minorHAnsi" w:cstheme="minorHAnsi"/>
                <w:sz w:val="20"/>
                <w:szCs w:val="20"/>
              </w:rPr>
              <w:t>5</w:t>
            </w:r>
          </w:p>
        </w:tc>
        <w:tc>
          <w:tcPr>
            <w:tcW w:w="5528" w:type="dxa"/>
            <w:tcBorders>
              <w:top w:val="nil"/>
              <w:left w:val="single" w:sz="4" w:space="0" w:color="auto"/>
              <w:bottom w:val="single" w:sz="4" w:space="0" w:color="auto"/>
              <w:right w:val="single" w:sz="4" w:space="0" w:color="auto"/>
            </w:tcBorders>
            <w:shd w:val="clear" w:color="auto" w:fill="auto"/>
            <w:noWrap/>
            <w:hideMark/>
          </w:tcPr>
          <w:p w14:paraId="3322AD11" w14:textId="7E763FCD" w:rsidR="00C6319C" w:rsidRPr="00AA6E1D" w:rsidRDefault="00C6319C" w:rsidP="00FA02E0">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To adopt the remuneration policy for the executive directors</w:t>
            </w:r>
          </w:p>
        </w:tc>
        <w:tc>
          <w:tcPr>
            <w:tcW w:w="1559" w:type="dxa"/>
            <w:tcBorders>
              <w:top w:val="nil"/>
              <w:left w:val="nil"/>
              <w:bottom w:val="single" w:sz="4" w:space="0" w:color="auto"/>
              <w:right w:val="single" w:sz="4" w:space="0" w:color="auto"/>
            </w:tcBorders>
            <w:shd w:val="clear" w:color="auto" w:fill="auto"/>
            <w:noWrap/>
            <w:vAlign w:val="bottom"/>
            <w:hideMark/>
          </w:tcPr>
          <w:p w14:paraId="545641F0"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1,275,980,131</w:t>
            </w:r>
          </w:p>
        </w:tc>
        <w:tc>
          <w:tcPr>
            <w:tcW w:w="960" w:type="dxa"/>
            <w:tcBorders>
              <w:top w:val="nil"/>
              <w:left w:val="nil"/>
              <w:bottom w:val="single" w:sz="4" w:space="0" w:color="auto"/>
              <w:right w:val="single" w:sz="4" w:space="0" w:color="auto"/>
            </w:tcBorders>
            <w:shd w:val="clear" w:color="auto" w:fill="auto"/>
            <w:noWrap/>
            <w:vAlign w:val="bottom"/>
            <w:hideMark/>
          </w:tcPr>
          <w:p w14:paraId="0C2C6916"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84.03</w:t>
            </w:r>
          </w:p>
        </w:tc>
        <w:tc>
          <w:tcPr>
            <w:tcW w:w="1450" w:type="dxa"/>
            <w:tcBorders>
              <w:top w:val="nil"/>
              <w:left w:val="nil"/>
              <w:bottom w:val="single" w:sz="4" w:space="0" w:color="auto"/>
              <w:right w:val="single" w:sz="4" w:space="0" w:color="auto"/>
            </w:tcBorders>
            <w:shd w:val="clear" w:color="auto" w:fill="auto"/>
            <w:noWrap/>
            <w:vAlign w:val="bottom"/>
            <w:hideMark/>
          </w:tcPr>
          <w:p w14:paraId="1EC81CC1"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242,460,267</w:t>
            </w:r>
          </w:p>
        </w:tc>
        <w:tc>
          <w:tcPr>
            <w:tcW w:w="960" w:type="dxa"/>
            <w:tcBorders>
              <w:top w:val="nil"/>
              <w:left w:val="nil"/>
              <w:bottom w:val="single" w:sz="4" w:space="0" w:color="auto"/>
              <w:right w:val="single" w:sz="4" w:space="0" w:color="auto"/>
            </w:tcBorders>
            <w:shd w:val="clear" w:color="auto" w:fill="auto"/>
            <w:noWrap/>
            <w:vAlign w:val="bottom"/>
            <w:hideMark/>
          </w:tcPr>
          <w:p w14:paraId="7E03CE95"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15.97</w:t>
            </w:r>
          </w:p>
        </w:tc>
        <w:tc>
          <w:tcPr>
            <w:tcW w:w="1166" w:type="dxa"/>
            <w:tcBorders>
              <w:top w:val="nil"/>
              <w:left w:val="nil"/>
              <w:bottom w:val="single" w:sz="4" w:space="0" w:color="auto"/>
              <w:right w:val="single" w:sz="4" w:space="0" w:color="auto"/>
            </w:tcBorders>
            <w:shd w:val="clear" w:color="auto" w:fill="auto"/>
            <w:noWrap/>
            <w:vAlign w:val="bottom"/>
            <w:hideMark/>
          </w:tcPr>
          <w:p w14:paraId="73192C5A"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555,202</w:t>
            </w:r>
          </w:p>
        </w:tc>
        <w:tc>
          <w:tcPr>
            <w:tcW w:w="1701" w:type="dxa"/>
            <w:tcBorders>
              <w:top w:val="nil"/>
              <w:left w:val="nil"/>
              <w:bottom w:val="single" w:sz="4" w:space="0" w:color="auto"/>
              <w:right w:val="single" w:sz="4" w:space="0" w:color="auto"/>
            </w:tcBorders>
            <w:shd w:val="clear" w:color="auto" w:fill="auto"/>
            <w:noWrap/>
            <w:vAlign w:val="bottom"/>
            <w:hideMark/>
          </w:tcPr>
          <w:p w14:paraId="27C76D36"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28B5757A"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634D11B5"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2AEEF0C2" w14:textId="6622C538" w:rsidR="00C6319C" w:rsidRPr="00AA6E1D" w:rsidRDefault="00C6319C" w:rsidP="00FA02E0">
            <w:pPr>
              <w:spacing w:line="240" w:lineRule="auto"/>
              <w:rPr>
                <w:rFonts w:asciiTheme="minorHAnsi" w:hAnsiTheme="minorHAnsi" w:cstheme="minorHAnsi"/>
                <w:sz w:val="20"/>
                <w:szCs w:val="20"/>
              </w:rPr>
            </w:pPr>
            <w:r w:rsidRPr="00AA6E1D">
              <w:rPr>
                <w:rFonts w:asciiTheme="minorHAnsi" w:hAnsiTheme="minorHAnsi" w:cstheme="minorHAnsi"/>
                <w:sz w:val="20"/>
                <w:szCs w:val="20"/>
              </w:rPr>
              <w:t>6</w:t>
            </w:r>
          </w:p>
        </w:tc>
        <w:tc>
          <w:tcPr>
            <w:tcW w:w="5528" w:type="dxa"/>
            <w:tcBorders>
              <w:top w:val="nil"/>
              <w:left w:val="single" w:sz="4" w:space="0" w:color="auto"/>
              <w:bottom w:val="single" w:sz="4" w:space="0" w:color="auto"/>
              <w:right w:val="single" w:sz="4" w:space="0" w:color="auto"/>
            </w:tcBorders>
            <w:shd w:val="clear" w:color="auto" w:fill="auto"/>
            <w:noWrap/>
            <w:hideMark/>
          </w:tcPr>
          <w:p w14:paraId="74DB9F1C" w14:textId="10CCC0EC" w:rsidR="00C6319C" w:rsidRPr="00AA6E1D" w:rsidRDefault="00C6319C" w:rsidP="00FA02E0">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To adopt the remuneration policy of the non-executive directors</w:t>
            </w:r>
          </w:p>
        </w:tc>
        <w:tc>
          <w:tcPr>
            <w:tcW w:w="1559" w:type="dxa"/>
            <w:tcBorders>
              <w:top w:val="nil"/>
              <w:left w:val="nil"/>
              <w:bottom w:val="single" w:sz="4" w:space="0" w:color="auto"/>
              <w:right w:val="single" w:sz="4" w:space="0" w:color="auto"/>
            </w:tcBorders>
            <w:shd w:val="clear" w:color="auto" w:fill="auto"/>
            <w:noWrap/>
            <w:vAlign w:val="bottom"/>
            <w:hideMark/>
          </w:tcPr>
          <w:p w14:paraId="2873DBE6"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1,515,030,606</w:t>
            </w:r>
          </w:p>
        </w:tc>
        <w:tc>
          <w:tcPr>
            <w:tcW w:w="960" w:type="dxa"/>
            <w:tcBorders>
              <w:top w:val="nil"/>
              <w:left w:val="nil"/>
              <w:bottom w:val="single" w:sz="4" w:space="0" w:color="auto"/>
              <w:right w:val="single" w:sz="4" w:space="0" w:color="auto"/>
            </w:tcBorders>
            <w:shd w:val="clear" w:color="auto" w:fill="auto"/>
            <w:noWrap/>
            <w:vAlign w:val="bottom"/>
            <w:hideMark/>
          </w:tcPr>
          <w:p w14:paraId="7FC7E197"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99.76</w:t>
            </w:r>
          </w:p>
        </w:tc>
        <w:tc>
          <w:tcPr>
            <w:tcW w:w="1450" w:type="dxa"/>
            <w:tcBorders>
              <w:top w:val="nil"/>
              <w:left w:val="nil"/>
              <w:bottom w:val="single" w:sz="4" w:space="0" w:color="auto"/>
              <w:right w:val="single" w:sz="4" w:space="0" w:color="auto"/>
            </w:tcBorders>
            <w:shd w:val="clear" w:color="auto" w:fill="auto"/>
            <w:noWrap/>
            <w:vAlign w:val="bottom"/>
            <w:hideMark/>
          </w:tcPr>
          <w:p w14:paraId="3226524C"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3,714,305</w:t>
            </w:r>
          </w:p>
        </w:tc>
        <w:tc>
          <w:tcPr>
            <w:tcW w:w="960" w:type="dxa"/>
            <w:tcBorders>
              <w:top w:val="nil"/>
              <w:left w:val="nil"/>
              <w:bottom w:val="single" w:sz="4" w:space="0" w:color="auto"/>
              <w:right w:val="single" w:sz="4" w:space="0" w:color="auto"/>
            </w:tcBorders>
            <w:shd w:val="clear" w:color="auto" w:fill="auto"/>
            <w:noWrap/>
            <w:vAlign w:val="bottom"/>
            <w:hideMark/>
          </w:tcPr>
          <w:p w14:paraId="032FEB94"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0.24</w:t>
            </w:r>
          </w:p>
        </w:tc>
        <w:tc>
          <w:tcPr>
            <w:tcW w:w="1166" w:type="dxa"/>
            <w:tcBorders>
              <w:top w:val="nil"/>
              <w:left w:val="nil"/>
              <w:bottom w:val="single" w:sz="4" w:space="0" w:color="auto"/>
              <w:right w:val="single" w:sz="4" w:space="0" w:color="auto"/>
            </w:tcBorders>
            <w:shd w:val="clear" w:color="auto" w:fill="auto"/>
            <w:noWrap/>
            <w:vAlign w:val="bottom"/>
            <w:hideMark/>
          </w:tcPr>
          <w:p w14:paraId="606D488F"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250,689</w:t>
            </w:r>
          </w:p>
        </w:tc>
        <w:tc>
          <w:tcPr>
            <w:tcW w:w="1701" w:type="dxa"/>
            <w:tcBorders>
              <w:top w:val="nil"/>
              <w:left w:val="nil"/>
              <w:bottom w:val="single" w:sz="4" w:space="0" w:color="auto"/>
              <w:right w:val="single" w:sz="4" w:space="0" w:color="auto"/>
            </w:tcBorders>
            <w:shd w:val="clear" w:color="auto" w:fill="auto"/>
            <w:noWrap/>
            <w:vAlign w:val="bottom"/>
            <w:hideMark/>
          </w:tcPr>
          <w:p w14:paraId="5B856DD7"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28D3C46C"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264C6DB0"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5F935C2E" w14:textId="58DB9385" w:rsidR="00C6319C" w:rsidRPr="00AA6E1D" w:rsidRDefault="00C6319C" w:rsidP="00C6319C">
            <w:pPr>
              <w:spacing w:line="240" w:lineRule="auto"/>
              <w:rPr>
                <w:rFonts w:asciiTheme="minorHAnsi" w:hAnsiTheme="minorHAnsi" w:cstheme="minorHAnsi"/>
                <w:sz w:val="20"/>
                <w:szCs w:val="20"/>
              </w:rPr>
            </w:pPr>
            <w:r w:rsidRPr="00AA6E1D">
              <w:rPr>
                <w:rFonts w:asciiTheme="minorHAnsi" w:hAnsiTheme="minorHAnsi" w:cstheme="minorHAnsi"/>
                <w:sz w:val="20"/>
                <w:szCs w:val="20"/>
              </w:rPr>
              <w:t>7</w:t>
            </w:r>
          </w:p>
        </w:tc>
        <w:tc>
          <w:tcPr>
            <w:tcW w:w="5528" w:type="dxa"/>
            <w:tcBorders>
              <w:top w:val="nil"/>
              <w:left w:val="single" w:sz="4" w:space="0" w:color="auto"/>
              <w:bottom w:val="single" w:sz="4" w:space="0" w:color="auto"/>
              <w:right w:val="single" w:sz="4" w:space="0" w:color="auto"/>
            </w:tcBorders>
            <w:shd w:val="clear" w:color="auto" w:fill="auto"/>
            <w:noWrap/>
            <w:hideMark/>
          </w:tcPr>
          <w:p w14:paraId="1EAD2745" w14:textId="3C458BBE" w:rsidR="00C6319C" w:rsidRPr="00AA6E1D" w:rsidRDefault="00C6319C" w:rsidP="00FA02E0">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Release of the executive directors from liability</w:t>
            </w:r>
          </w:p>
        </w:tc>
        <w:tc>
          <w:tcPr>
            <w:tcW w:w="1559" w:type="dxa"/>
            <w:tcBorders>
              <w:top w:val="nil"/>
              <w:left w:val="nil"/>
              <w:bottom w:val="single" w:sz="4" w:space="0" w:color="auto"/>
              <w:right w:val="single" w:sz="4" w:space="0" w:color="auto"/>
            </w:tcBorders>
            <w:shd w:val="clear" w:color="auto" w:fill="auto"/>
            <w:noWrap/>
            <w:vAlign w:val="bottom"/>
            <w:hideMark/>
          </w:tcPr>
          <w:p w14:paraId="73C845B9"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1,472,876,661</w:t>
            </w:r>
          </w:p>
        </w:tc>
        <w:tc>
          <w:tcPr>
            <w:tcW w:w="960" w:type="dxa"/>
            <w:tcBorders>
              <w:top w:val="nil"/>
              <w:left w:val="nil"/>
              <w:bottom w:val="single" w:sz="4" w:space="0" w:color="auto"/>
              <w:right w:val="single" w:sz="4" w:space="0" w:color="auto"/>
            </w:tcBorders>
            <w:shd w:val="clear" w:color="auto" w:fill="auto"/>
            <w:noWrap/>
            <w:vAlign w:val="bottom"/>
            <w:hideMark/>
          </w:tcPr>
          <w:p w14:paraId="6527CB3B"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97.05</w:t>
            </w:r>
          </w:p>
        </w:tc>
        <w:tc>
          <w:tcPr>
            <w:tcW w:w="1450" w:type="dxa"/>
            <w:tcBorders>
              <w:top w:val="nil"/>
              <w:left w:val="nil"/>
              <w:bottom w:val="single" w:sz="4" w:space="0" w:color="auto"/>
              <w:right w:val="single" w:sz="4" w:space="0" w:color="auto"/>
            </w:tcBorders>
            <w:shd w:val="clear" w:color="auto" w:fill="auto"/>
            <w:noWrap/>
            <w:vAlign w:val="bottom"/>
            <w:hideMark/>
          </w:tcPr>
          <w:p w14:paraId="42AC8E8B"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44,805,999</w:t>
            </w:r>
          </w:p>
        </w:tc>
        <w:tc>
          <w:tcPr>
            <w:tcW w:w="960" w:type="dxa"/>
            <w:tcBorders>
              <w:top w:val="nil"/>
              <w:left w:val="nil"/>
              <w:bottom w:val="single" w:sz="4" w:space="0" w:color="auto"/>
              <w:right w:val="single" w:sz="4" w:space="0" w:color="auto"/>
            </w:tcBorders>
            <w:shd w:val="clear" w:color="auto" w:fill="auto"/>
            <w:noWrap/>
            <w:vAlign w:val="bottom"/>
            <w:hideMark/>
          </w:tcPr>
          <w:p w14:paraId="70E54ADA"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2.95</w:t>
            </w:r>
          </w:p>
        </w:tc>
        <w:tc>
          <w:tcPr>
            <w:tcW w:w="1166" w:type="dxa"/>
            <w:tcBorders>
              <w:top w:val="nil"/>
              <w:left w:val="nil"/>
              <w:bottom w:val="single" w:sz="4" w:space="0" w:color="auto"/>
              <w:right w:val="single" w:sz="4" w:space="0" w:color="auto"/>
            </w:tcBorders>
            <w:shd w:val="clear" w:color="auto" w:fill="auto"/>
            <w:noWrap/>
            <w:vAlign w:val="bottom"/>
            <w:hideMark/>
          </w:tcPr>
          <w:p w14:paraId="27757DAA"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1,312,940</w:t>
            </w:r>
          </w:p>
        </w:tc>
        <w:tc>
          <w:tcPr>
            <w:tcW w:w="1701" w:type="dxa"/>
            <w:tcBorders>
              <w:top w:val="nil"/>
              <w:left w:val="nil"/>
              <w:bottom w:val="single" w:sz="4" w:space="0" w:color="auto"/>
              <w:right w:val="single" w:sz="4" w:space="0" w:color="auto"/>
            </w:tcBorders>
            <w:shd w:val="clear" w:color="auto" w:fill="auto"/>
            <w:noWrap/>
            <w:vAlign w:val="bottom"/>
            <w:hideMark/>
          </w:tcPr>
          <w:p w14:paraId="6162AEF5"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21DEE2CB"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42B4081B"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5E56F8E3" w14:textId="542D4AC4" w:rsidR="00C6319C" w:rsidRPr="00AA6E1D" w:rsidRDefault="00A45253" w:rsidP="00FA02E0">
            <w:pPr>
              <w:spacing w:line="240" w:lineRule="auto"/>
              <w:rPr>
                <w:rFonts w:asciiTheme="minorHAnsi" w:hAnsiTheme="minorHAnsi" w:cstheme="minorHAnsi"/>
                <w:sz w:val="20"/>
                <w:szCs w:val="20"/>
              </w:rPr>
            </w:pPr>
            <w:r w:rsidRPr="00AA6E1D">
              <w:rPr>
                <w:rFonts w:asciiTheme="minorHAnsi" w:hAnsiTheme="minorHAnsi" w:cstheme="minorHAnsi"/>
                <w:sz w:val="20"/>
                <w:szCs w:val="20"/>
              </w:rPr>
              <w:t>8</w:t>
            </w:r>
          </w:p>
        </w:tc>
        <w:tc>
          <w:tcPr>
            <w:tcW w:w="5528" w:type="dxa"/>
            <w:tcBorders>
              <w:top w:val="nil"/>
              <w:left w:val="single" w:sz="4" w:space="0" w:color="auto"/>
              <w:bottom w:val="single" w:sz="4" w:space="0" w:color="auto"/>
              <w:right w:val="single" w:sz="4" w:space="0" w:color="auto"/>
            </w:tcBorders>
            <w:shd w:val="clear" w:color="auto" w:fill="auto"/>
            <w:noWrap/>
            <w:hideMark/>
          </w:tcPr>
          <w:p w14:paraId="5D18B999" w14:textId="788D945D" w:rsidR="00C6319C" w:rsidRPr="00AA6E1D" w:rsidRDefault="00C6319C" w:rsidP="00FA02E0">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Release of the non-executive directors from liability</w:t>
            </w:r>
          </w:p>
        </w:tc>
        <w:tc>
          <w:tcPr>
            <w:tcW w:w="1559" w:type="dxa"/>
            <w:tcBorders>
              <w:top w:val="nil"/>
              <w:left w:val="nil"/>
              <w:bottom w:val="single" w:sz="4" w:space="0" w:color="auto"/>
              <w:right w:val="single" w:sz="4" w:space="0" w:color="auto"/>
            </w:tcBorders>
            <w:shd w:val="clear" w:color="auto" w:fill="auto"/>
            <w:noWrap/>
            <w:vAlign w:val="bottom"/>
            <w:hideMark/>
          </w:tcPr>
          <w:p w14:paraId="1895196C"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1,456,502,790</w:t>
            </w:r>
          </w:p>
        </w:tc>
        <w:tc>
          <w:tcPr>
            <w:tcW w:w="960" w:type="dxa"/>
            <w:tcBorders>
              <w:top w:val="nil"/>
              <w:left w:val="nil"/>
              <w:bottom w:val="single" w:sz="4" w:space="0" w:color="auto"/>
              <w:right w:val="single" w:sz="4" w:space="0" w:color="auto"/>
            </w:tcBorders>
            <w:shd w:val="clear" w:color="auto" w:fill="auto"/>
            <w:noWrap/>
            <w:vAlign w:val="bottom"/>
            <w:hideMark/>
          </w:tcPr>
          <w:p w14:paraId="2AFCFADC"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95.97</w:t>
            </w:r>
          </w:p>
        </w:tc>
        <w:tc>
          <w:tcPr>
            <w:tcW w:w="1450" w:type="dxa"/>
            <w:tcBorders>
              <w:top w:val="nil"/>
              <w:left w:val="nil"/>
              <w:bottom w:val="single" w:sz="4" w:space="0" w:color="auto"/>
              <w:right w:val="single" w:sz="4" w:space="0" w:color="auto"/>
            </w:tcBorders>
            <w:shd w:val="clear" w:color="auto" w:fill="auto"/>
            <w:noWrap/>
            <w:vAlign w:val="bottom"/>
            <w:hideMark/>
          </w:tcPr>
          <w:p w14:paraId="46308D5B"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61,155,478</w:t>
            </w:r>
          </w:p>
        </w:tc>
        <w:tc>
          <w:tcPr>
            <w:tcW w:w="960" w:type="dxa"/>
            <w:tcBorders>
              <w:top w:val="nil"/>
              <w:left w:val="nil"/>
              <w:bottom w:val="single" w:sz="4" w:space="0" w:color="auto"/>
              <w:right w:val="single" w:sz="4" w:space="0" w:color="auto"/>
            </w:tcBorders>
            <w:shd w:val="clear" w:color="auto" w:fill="auto"/>
            <w:noWrap/>
            <w:vAlign w:val="bottom"/>
            <w:hideMark/>
          </w:tcPr>
          <w:p w14:paraId="4FABC82E"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4.03</w:t>
            </w:r>
          </w:p>
        </w:tc>
        <w:tc>
          <w:tcPr>
            <w:tcW w:w="1166" w:type="dxa"/>
            <w:tcBorders>
              <w:top w:val="nil"/>
              <w:left w:val="nil"/>
              <w:bottom w:val="single" w:sz="4" w:space="0" w:color="auto"/>
              <w:right w:val="single" w:sz="4" w:space="0" w:color="auto"/>
            </w:tcBorders>
            <w:shd w:val="clear" w:color="auto" w:fill="auto"/>
            <w:noWrap/>
            <w:vAlign w:val="bottom"/>
            <w:hideMark/>
          </w:tcPr>
          <w:p w14:paraId="0C2B6AAD"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1,337,332</w:t>
            </w:r>
          </w:p>
        </w:tc>
        <w:tc>
          <w:tcPr>
            <w:tcW w:w="1701" w:type="dxa"/>
            <w:tcBorders>
              <w:top w:val="nil"/>
              <w:left w:val="nil"/>
              <w:bottom w:val="single" w:sz="4" w:space="0" w:color="auto"/>
              <w:right w:val="single" w:sz="4" w:space="0" w:color="auto"/>
            </w:tcBorders>
            <w:shd w:val="clear" w:color="auto" w:fill="auto"/>
            <w:noWrap/>
            <w:vAlign w:val="bottom"/>
            <w:hideMark/>
          </w:tcPr>
          <w:p w14:paraId="78A819C7"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63F1EA91"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7EB83E93"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40489670" w14:textId="082C09ED" w:rsidR="00C6319C" w:rsidRPr="00AA6E1D" w:rsidRDefault="00C6319C" w:rsidP="00C6319C">
            <w:pPr>
              <w:spacing w:line="240" w:lineRule="auto"/>
              <w:rPr>
                <w:rFonts w:asciiTheme="minorHAnsi" w:hAnsiTheme="minorHAnsi" w:cstheme="minorHAnsi"/>
                <w:sz w:val="20"/>
                <w:szCs w:val="20"/>
              </w:rPr>
            </w:pPr>
            <w:r w:rsidRPr="00AA6E1D">
              <w:rPr>
                <w:rFonts w:asciiTheme="minorHAnsi" w:hAnsiTheme="minorHAnsi" w:cstheme="minorHAnsi"/>
                <w:sz w:val="20"/>
                <w:szCs w:val="20"/>
              </w:rPr>
              <w:t>9</w:t>
            </w:r>
          </w:p>
        </w:tc>
        <w:tc>
          <w:tcPr>
            <w:tcW w:w="5528" w:type="dxa"/>
            <w:tcBorders>
              <w:top w:val="nil"/>
              <w:left w:val="single" w:sz="4" w:space="0" w:color="auto"/>
              <w:bottom w:val="single" w:sz="4" w:space="0" w:color="auto"/>
              <w:right w:val="single" w:sz="4" w:space="0" w:color="auto"/>
            </w:tcBorders>
            <w:shd w:val="clear" w:color="auto" w:fill="auto"/>
            <w:noWrap/>
            <w:hideMark/>
          </w:tcPr>
          <w:p w14:paraId="0FA7D166" w14:textId="61E12026" w:rsidR="00C6319C" w:rsidRPr="00AA6E1D" w:rsidRDefault="00C6319C" w:rsidP="00FA02E0">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To appoint Y Xu as a non-executive director</w:t>
            </w:r>
          </w:p>
        </w:tc>
        <w:tc>
          <w:tcPr>
            <w:tcW w:w="1559" w:type="dxa"/>
            <w:tcBorders>
              <w:top w:val="nil"/>
              <w:left w:val="nil"/>
              <w:bottom w:val="single" w:sz="4" w:space="0" w:color="auto"/>
              <w:right w:val="single" w:sz="4" w:space="0" w:color="auto"/>
            </w:tcBorders>
            <w:shd w:val="clear" w:color="auto" w:fill="auto"/>
            <w:noWrap/>
            <w:vAlign w:val="bottom"/>
            <w:hideMark/>
          </w:tcPr>
          <w:p w14:paraId="3418E483"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1,517,631,387</w:t>
            </w:r>
          </w:p>
        </w:tc>
        <w:tc>
          <w:tcPr>
            <w:tcW w:w="960" w:type="dxa"/>
            <w:tcBorders>
              <w:top w:val="nil"/>
              <w:left w:val="nil"/>
              <w:bottom w:val="single" w:sz="4" w:space="0" w:color="auto"/>
              <w:right w:val="single" w:sz="4" w:space="0" w:color="auto"/>
            </w:tcBorders>
            <w:shd w:val="clear" w:color="auto" w:fill="auto"/>
            <w:noWrap/>
            <w:vAlign w:val="bottom"/>
            <w:hideMark/>
          </w:tcPr>
          <w:p w14:paraId="3A0340BE"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99.92</w:t>
            </w:r>
          </w:p>
        </w:tc>
        <w:tc>
          <w:tcPr>
            <w:tcW w:w="1450" w:type="dxa"/>
            <w:tcBorders>
              <w:top w:val="nil"/>
              <w:left w:val="nil"/>
              <w:bottom w:val="single" w:sz="4" w:space="0" w:color="auto"/>
              <w:right w:val="single" w:sz="4" w:space="0" w:color="auto"/>
            </w:tcBorders>
            <w:shd w:val="clear" w:color="auto" w:fill="auto"/>
            <w:noWrap/>
            <w:vAlign w:val="bottom"/>
            <w:hideMark/>
          </w:tcPr>
          <w:p w14:paraId="29D799FB"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1,143,977</w:t>
            </w:r>
          </w:p>
        </w:tc>
        <w:tc>
          <w:tcPr>
            <w:tcW w:w="960" w:type="dxa"/>
            <w:tcBorders>
              <w:top w:val="nil"/>
              <w:left w:val="nil"/>
              <w:bottom w:val="single" w:sz="4" w:space="0" w:color="auto"/>
              <w:right w:val="single" w:sz="4" w:space="0" w:color="auto"/>
            </w:tcBorders>
            <w:shd w:val="clear" w:color="auto" w:fill="auto"/>
            <w:noWrap/>
            <w:vAlign w:val="bottom"/>
            <w:hideMark/>
          </w:tcPr>
          <w:p w14:paraId="4F3B0DAC"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0.08</w:t>
            </w:r>
          </w:p>
        </w:tc>
        <w:tc>
          <w:tcPr>
            <w:tcW w:w="1166" w:type="dxa"/>
            <w:tcBorders>
              <w:top w:val="nil"/>
              <w:left w:val="nil"/>
              <w:bottom w:val="single" w:sz="4" w:space="0" w:color="auto"/>
              <w:right w:val="single" w:sz="4" w:space="0" w:color="auto"/>
            </w:tcBorders>
            <w:shd w:val="clear" w:color="auto" w:fill="auto"/>
            <w:noWrap/>
            <w:vAlign w:val="bottom"/>
            <w:hideMark/>
          </w:tcPr>
          <w:p w14:paraId="27885102"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220,236</w:t>
            </w:r>
          </w:p>
        </w:tc>
        <w:tc>
          <w:tcPr>
            <w:tcW w:w="1701" w:type="dxa"/>
            <w:tcBorders>
              <w:top w:val="nil"/>
              <w:left w:val="nil"/>
              <w:bottom w:val="single" w:sz="4" w:space="0" w:color="auto"/>
              <w:right w:val="single" w:sz="4" w:space="0" w:color="auto"/>
            </w:tcBorders>
            <w:shd w:val="clear" w:color="auto" w:fill="auto"/>
            <w:noWrap/>
            <w:vAlign w:val="bottom"/>
            <w:hideMark/>
          </w:tcPr>
          <w:p w14:paraId="3398852E"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7D3A0C2D" w14:textId="77777777" w:rsidR="00C6319C" w:rsidRPr="00AA6E1D" w:rsidRDefault="00C6319C" w:rsidP="00FA02E0">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08180233"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54E62A21" w14:textId="130CC085"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color w:val="000000"/>
                <w:sz w:val="20"/>
                <w:szCs w:val="20"/>
                <w:lang w:val="en-GB" w:eastAsia="nl-NL"/>
              </w:rPr>
              <w:t>10(a)</w:t>
            </w:r>
          </w:p>
        </w:tc>
        <w:tc>
          <w:tcPr>
            <w:tcW w:w="5528" w:type="dxa"/>
            <w:tcBorders>
              <w:top w:val="nil"/>
              <w:left w:val="single" w:sz="4" w:space="0" w:color="auto"/>
              <w:bottom w:val="single" w:sz="4" w:space="0" w:color="auto"/>
              <w:right w:val="single" w:sz="4" w:space="0" w:color="auto"/>
            </w:tcBorders>
            <w:shd w:val="clear" w:color="auto" w:fill="auto"/>
            <w:noWrap/>
            <w:hideMark/>
          </w:tcPr>
          <w:p w14:paraId="7D457819" w14:textId="351B3C8A"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To reappoint D G Eriksson as a non-executive director</w:t>
            </w:r>
          </w:p>
        </w:tc>
        <w:tc>
          <w:tcPr>
            <w:tcW w:w="1559" w:type="dxa"/>
            <w:tcBorders>
              <w:top w:val="nil"/>
              <w:left w:val="nil"/>
              <w:bottom w:val="single" w:sz="4" w:space="0" w:color="auto"/>
              <w:right w:val="single" w:sz="4" w:space="0" w:color="auto"/>
            </w:tcBorders>
            <w:shd w:val="clear" w:color="auto" w:fill="auto"/>
            <w:noWrap/>
            <w:vAlign w:val="bottom"/>
            <w:hideMark/>
          </w:tcPr>
          <w:p w14:paraId="6D1D4A18"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1,505,785,417</w:t>
            </w:r>
          </w:p>
        </w:tc>
        <w:tc>
          <w:tcPr>
            <w:tcW w:w="960" w:type="dxa"/>
            <w:tcBorders>
              <w:top w:val="nil"/>
              <w:left w:val="nil"/>
              <w:bottom w:val="single" w:sz="4" w:space="0" w:color="auto"/>
              <w:right w:val="single" w:sz="4" w:space="0" w:color="auto"/>
            </w:tcBorders>
            <w:shd w:val="clear" w:color="auto" w:fill="auto"/>
            <w:noWrap/>
            <w:vAlign w:val="bottom"/>
            <w:hideMark/>
          </w:tcPr>
          <w:p w14:paraId="17B07408"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99.14</w:t>
            </w:r>
          </w:p>
        </w:tc>
        <w:tc>
          <w:tcPr>
            <w:tcW w:w="1450" w:type="dxa"/>
            <w:tcBorders>
              <w:top w:val="nil"/>
              <w:left w:val="nil"/>
              <w:bottom w:val="single" w:sz="4" w:space="0" w:color="auto"/>
              <w:right w:val="single" w:sz="4" w:space="0" w:color="auto"/>
            </w:tcBorders>
            <w:shd w:val="clear" w:color="auto" w:fill="auto"/>
            <w:noWrap/>
            <w:vAlign w:val="bottom"/>
            <w:hideMark/>
          </w:tcPr>
          <w:p w14:paraId="67600D61"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12,990,042</w:t>
            </w:r>
          </w:p>
        </w:tc>
        <w:tc>
          <w:tcPr>
            <w:tcW w:w="960" w:type="dxa"/>
            <w:tcBorders>
              <w:top w:val="nil"/>
              <w:left w:val="nil"/>
              <w:bottom w:val="single" w:sz="4" w:space="0" w:color="auto"/>
              <w:right w:val="single" w:sz="4" w:space="0" w:color="auto"/>
            </w:tcBorders>
            <w:shd w:val="clear" w:color="auto" w:fill="auto"/>
            <w:noWrap/>
            <w:vAlign w:val="bottom"/>
            <w:hideMark/>
          </w:tcPr>
          <w:p w14:paraId="6AEE1E19"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0.86</w:t>
            </w:r>
          </w:p>
        </w:tc>
        <w:tc>
          <w:tcPr>
            <w:tcW w:w="1166" w:type="dxa"/>
            <w:tcBorders>
              <w:top w:val="nil"/>
              <w:left w:val="nil"/>
              <w:bottom w:val="single" w:sz="4" w:space="0" w:color="auto"/>
              <w:right w:val="single" w:sz="4" w:space="0" w:color="auto"/>
            </w:tcBorders>
            <w:shd w:val="clear" w:color="auto" w:fill="auto"/>
            <w:noWrap/>
            <w:vAlign w:val="bottom"/>
            <w:hideMark/>
          </w:tcPr>
          <w:p w14:paraId="4C059972"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220,141</w:t>
            </w:r>
          </w:p>
        </w:tc>
        <w:tc>
          <w:tcPr>
            <w:tcW w:w="1701" w:type="dxa"/>
            <w:tcBorders>
              <w:top w:val="nil"/>
              <w:left w:val="nil"/>
              <w:bottom w:val="single" w:sz="4" w:space="0" w:color="auto"/>
              <w:right w:val="single" w:sz="4" w:space="0" w:color="auto"/>
            </w:tcBorders>
            <w:shd w:val="clear" w:color="auto" w:fill="auto"/>
            <w:noWrap/>
            <w:vAlign w:val="bottom"/>
            <w:hideMark/>
          </w:tcPr>
          <w:p w14:paraId="0DDC87B4"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604EBD56"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33257300"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7F929A4A" w14:textId="6C4F9EAF"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color w:val="000000"/>
                <w:sz w:val="20"/>
                <w:szCs w:val="20"/>
                <w:lang w:val="en-GB" w:eastAsia="nl-NL"/>
              </w:rPr>
              <w:t>10(b)</w:t>
            </w:r>
          </w:p>
        </w:tc>
        <w:tc>
          <w:tcPr>
            <w:tcW w:w="5528" w:type="dxa"/>
            <w:tcBorders>
              <w:top w:val="nil"/>
              <w:left w:val="single" w:sz="4" w:space="0" w:color="auto"/>
              <w:bottom w:val="single" w:sz="4" w:space="0" w:color="auto"/>
              <w:right w:val="single" w:sz="4" w:space="0" w:color="auto"/>
            </w:tcBorders>
            <w:shd w:val="clear" w:color="auto" w:fill="auto"/>
            <w:noWrap/>
            <w:hideMark/>
          </w:tcPr>
          <w:p w14:paraId="1C1921BE" w14:textId="7E555473"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To reappoint M R Sorour as a non-executive director</w:t>
            </w:r>
          </w:p>
        </w:tc>
        <w:tc>
          <w:tcPr>
            <w:tcW w:w="1559" w:type="dxa"/>
            <w:tcBorders>
              <w:top w:val="nil"/>
              <w:left w:val="nil"/>
              <w:bottom w:val="single" w:sz="4" w:space="0" w:color="auto"/>
              <w:right w:val="single" w:sz="4" w:space="0" w:color="auto"/>
            </w:tcBorders>
            <w:shd w:val="clear" w:color="auto" w:fill="auto"/>
            <w:noWrap/>
            <w:vAlign w:val="bottom"/>
            <w:hideMark/>
          </w:tcPr>
          <w:p w14:paraId="0B3026E1"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1,508,315,515</w:t>
            </w:r>
          </w:p>
        </w:tc>
        <w:tc>
          <w:tcPr>
            <w:tcW w:w="960" w:type="dxa"/>
            <w:tcBorders>
              <w:top w:val="nil"/>
              <w:left w:val="nil"/>
              <w:bottom w:val="single" w:sz="4" w:space="0" w:color="auto"/>
              <w:right w:val="single" w:sz="4" w:space="0" w:color="auto"/>
            </w:tcBorders>
            <w:shd w:val="clear" w:color="auto" w:fill="auto"/>
            <w:noWrap/>
            <w:vAlign w:val="bottom"/>
            <w:hideMark/>
          </w:tcPr>
          <w:p w14:paraId="515049B3"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99.33</w:t>
            </w:r>
          </w:p>
        </w:tc>
        <w:tc>
          <w:tcPr>
            <w:tcW w:w="1450" w:type="dxa"/>
            <w:tcBorders>
              <w:top w:val="nil"/>
              <w:left w:val="nil"/>
              <w:bottom w:val="single" w:sz="4" w:space="0" w:color="auto"/>
              <w:right w:val="single" w:sz="4" w:space="0" w:color="auto"/>
            </w:tcBorders>
            <w:shd w:val="clear" w:color="auto" w:fill="auto"/>
            <w:noWrap/>
            <w:vAlign w:val="bottom"/>
            <w:hideMark/>
          </w:tcPr>
          <w:p w14:paraId="10282834"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10,141,584</w:t>
            </w:r>
          </w:p>
        </w:tc>
        <w:tc>
          <w:tcPr>
            <w:tcW w:w="960" w:type="dxa"/>
            <w:tcBorders>
              <w:top w:val="nil"/>
              <w:left w:val="nil"/>
              <w:bottom w:val="single" w:sz="4" w:space="0" w:color="auto"/>
              <w:right w:val="single" w:sz="4" w:space="0" w:color="auto"/>
            </w:tcBorders>
            <w:shd w:val="clear" w:color="auto" w:fill="auto"/>
            <w:noWrap/>
            <w:vAlign w:val="bottom"/>
            <w:hideMark/>
          </w:tcPr>
          <w:p w14:paraId="6F9B1400"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0.67</w:t>
            </w:r>
          </w:p>
        </w:tc>
        <w:tc>
          <w:tcPr>
            <w:tcW w:w="1166" w:type="dxa"/>
            <w:tcBorders>
              <w:top w:val="nil"/>
              <w:left w:val="nil"/>
              <w:bottom w:val="single" w:sz="4" w:space="0" w:color="auto"/>
              <w:right w:val="single" w:sz="4" w:space="0" w:color="auto"/>
            </w:tcBorders>
            <w:shd w:val="clear" w:color="auto" w:fill="auto"/>
            <w:noWrap/>
            <w:vAlign w:val="bottom"/>
            <w:hideMark/>
          </w:tcPr>
          <w:p w14:paraId="2B5B3E49"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538,501</w:t>
            </w:r>
          </w:p>
        </w:tc>
        <w:tc>
          <w:tcPr>
            <w:tcW w:w="1701" w:type="dxa"/>
            <w:tcBorders>
              <w:top w:val="nil"/>
              <w:left w:val="nil"/>
              <w:bottom w:val="single" w:sz="4" w:space="0" w:color="auto"/>
              <w:right w:val="single" w:sz="4" w:space="0" w:color="auto"/>
            </w:tcBorders>
            <w:shd w:val="clear" w:color="auto" w:fill="auto"/>
            <w:noWrap/>
            <w:vAlign w:val="bottom"/>
            <w:hideMark/>
          </w:tcPr>
          <w:p w14:paraId="66713AC7"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20E8D057"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75BC06EC"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50DC7030" w14:textId="7C5D45D1"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color w:val="000000"/>
                <w:sz w:val="20"/>
                <w:szCs w:val="20"/>
                <w:lang w:val="en-GB" w:eastAsia="nl-NL"/>
              </w:rPr>
              <w:t>10(c)</w:t>
            </w:r>
          </w:p>
        </w:tc>
        <w:tc>
          <w:tcPr>
            <w:tcW w:w="5528" w:type="dxa"/>
            <w:tcBorders>
              <w:top w:val="nil"/>
              <w:left w:val="single" w:sz="4" w:space="0" w:color="auto"/>
              <w:bottom w:val="single" w:sz="4" w:space="0" w:color="auto"/>
              <w:right w:val="single" w:sz="4" w:space="0" w:color="auto"/>
            </w:tcBorders>
            <w:shd w:val="clear" w:color="auto" w:fill="auto"/>
            <w:noWrap/>
            <w:hideMark/>
          </w:tcPr>
          <w:p w14:paraId="3EB9A389" w14:textId="4DD0537B"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To reappoint E M Choi as a non-executive director</w:t>
            </w:r>
          </w:p>
        </w:tc>
        <w:tc>
          <w:tcPr>
            <w:tcW w:w="1559" w:type="dxa"/>
            <w:tcBorders>
              <w:top w:val="nil"/>
              <w:left w:val="nil"/>
              <w:bottom w:val="single" w:sz="4" w:space="0" w:color="auto"/>
              <w:right w:val="single" w:sz="4" w:space="0" w:color="auto"/>
            </w:tcBorders>
            <w:shd w:val="clear" w:color="auto" w:fill="auto"/>
            <w:noWrap/>
            <w:vAlign w:val="bottom"/>
            <w:hideMark/>
          </w:tcPr>
          <w:p w14:paraId="72C3A51E"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1,494,207,349</w:t>
            </w:r>
          </w:p>
        </w:tc>
        <w:tc>
          <w:tcPr>
            <w:tcW w:w="960" w:type="dxa"/>
            <w:tcBorders>
              <w:top w:val="nil"/>
              <w:left w:val="nil"/>
              <w:bottom w:val="single" w:sz="4" w:space="0" w:color="auto"/>
              <w:right w:val="single" w:sz="4" w:space="0" w:color="auto"/>
            </w:tcBorders>
            <w:shd w:val="clear" w:color="auto" w:fill="auto"/>
            <w:noWrap/>
            <w:vAlign w:val="bottom"/>
            <w:hideMark/>
          </w:tcPr>
          <w:p w14:paraId="56A274BF"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98.38</w:t>
            </w:r>
          </w:p>
        </w:tc>
        <w:tc>
          <w:tcPr>
            <w:tcW w:w="1450" w:type="dxa"/>
            <w:tcBorders>
              <w:top w:val="nil"/>
              <w:left w:val="nil"/>
              <w:bottom w:val="single" w:sz="4" w:space="0" w:color="auto"/>
              <w:right w:val="single" w:sz="4" w:space="0" w:color="auto"/>
            </w:tcBorders>
            <w:shd w:val="clear" w:color="auto" w:fill="auto"/>
            <w:noWrap/>
            <w:vAlign w:val="bottom"/>
            <w:hideMark/>
          </w:tcPr>
          <w:p w14:paraId="31659F2D"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24,568,153</w:t>
            </w:r>
          </w:p>
        </w:tc>
        <w:tc>
          <w:tcPr>
            <w:tcW w:w="960" w:type="dxa"/>
            <w:tcBorders>
              <w:top w:val="nil"/>
              <w:left w:val="nil"/>
              <w:bottom w:val="single" w:sz="4" w:space="0" w:color="auto"/>
              <w:right w:val="single" w:sz="4" w:space="0" w:color="auto"/>
            </w:tcBorders>
            <w:shd w:val="clear" w:color="auto" w:fill="auto"/>
            <w:noWrap/>
            <w:vAlign w:val="bottom"/>
            <w:hideMark/>
          </w:tcPr>
          <w:p w14:paraId="22984862"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1.62</w:t>
            </w:r>
          </w:p>
        </w:tc>
        <w:tc>
          <w:tcPr>
            <w:tcW w:w="1166" w:type="dxa"/>
            <w:tcBorders>
              <w:top w:val="nil"/>
              <w:left w:val="nil"/>
              <w:bottom w:val="single" w:sz="4" w:space="0" w:color="auto"/>
              <w:right w:val="single" w:sz="4" w:space="0" w:color="auto"/>
            </w:tcBorders>
            <w:shd w:val="clear" w:color="auto" w:fill="auto"/>
            <w:noWrap/>
            <w:vAlign w:val="bottom"/>
            <w:hideMark/>
          </w:tcPr>
          <w:p w14:paraId="471D9292"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220,098</w:t>
            </w:r>
          </w:p>
        </w:tc>
        <w:tc>
          <w:tcPr>
            <w:tcW w:w="1701" w:type="dxa"/>
            <w:tcBorders>
              <w:top w:val="nil"/>
              <w:left w:val="nil"/>
              <w:bottom w:val="single" w:sz="4" w:space="0" w:color="auto"/>
              <w:right w:val="single" w:sz="4" w:space="0" w:color="auto"/>
            </w:tcBorders>
            <w:shd w:val="clear" w:color="auto" w:fill="auto"/>
            <w:noWrap/>
            <w:vAlign w:val="bottom"/>
            <w:hideMark/>
          </w:tcPr>
          <w:p w14:paraId="548CC301"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3721E0A5"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6F9866DE"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38BC6DD5" w14:textId="08FFAC1F"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color w:val="000000"/>
                <w:sz w:val="20"/>
                <w:szCs w:val="20"/>
                <w:lang w:val="en-GB" w:eastAsia="nl-NL"/>
              </w:rPr>
              <w:t>10(d)</w:t>
            </w:r>
          </w:p>
        </w:tc>
        <w:tc>
          <w:tcPr>
            <w:tcW w:w="5528" w:type="dxa"/>
            <w:tcBorders>
              <w:top w:val="nil"/>
              <w:left w:val="single" w:sz="4" w:space="0" w:color="auto"/>
              <w:bottom w:val="single" w:sz="4" w:space="0" w:color="auto"/>
              <w:right w:val="single" w:sz="4" w:space="0" w:color="auto"/>
            </w:tcBorders>
            <w:shd w:val="clear" w:color="auto" w:fill="auto"/>
            <w:noWrap/>
            <w:hideMark/>
          </w:tcPr>
          <w:p w14:paraId="4962892A" w14:textId="5D763F64"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To reappoint M Girotra as a non-executive director</w:t>
            </w:r>
          </w:p>
        </w:tc>
        <w:tc>
          <w:tcPr>
            <w:tcW w:w="1559" w:type="dxa"/>
            <w:tcBorders>
              <w:top w:val="nil"/>
              <w:left w:val="nil"/>
              <w:bottom w:val="single" w:sz="4" w:space="0" w:color="auto"/>
              <w:right w:val="single" w:sz="4" w:space="0" w:color="auto"/>
            </w:tcBorders>
            <w:shd w:val="clear" w:color="auto" w:fill="auto"/>
            <w:noWrap/>
            <w:vAlign w:val="bottom"/>
            <w:hideMark/>
          </w:tcPr>
          <w:p w14:paraId="6434ECCB"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1,515,050,478</w:t>
            </w:r>
          </w:p>
        </w:tc>
        <w:tc>
          <w:tcPr>
            <w:tcW w:w="960" w:type="dxa"/>
            <w:tcBorders>
              <w:top w:val="nil"/>
              <w:left w:val="nil"/>
              <w:bottom w:val="single" w:sz="4" w:space="0" w:color="auto"/>
              <w:right w:val="single" w:sz="4" w:space="0" w:color="auto"/>
            </w:tcBorders>
            <w:shd w:val="clear" w:color="auto" w:fill="auto"/>
            <w:noWrap/>
            <w:vAlign w:val="bottom"/>
            <w:hideMark/>
          </w:tcPr>
          <w:p w14:paraId="5D6D0E19"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99.76</w:t>
            </w:r>
          </w:p>
        </w:tc>
        <w:tc>
          <w:tcPr>
            <w:tcW w:w="1450" w:type="dxa"/>
            <w:tcBorders>
              <w:top w:val="nil"/>
              <w:left w:val="nil"/>
              <w:bottom w:val="single" w:sz="4" w:space="0" w:color="auto"/>
              <w:right w:val="single" w:sz="4" w:space="0" w:color="auto"/>
            </w:tcBorders>
            <w:shd w:val="clear" w:color="auto" w:fill="auto"/>
            <w:noWrap/>
            <w:vAlign w:val="bottom"/>
            <w:hideMark/>
          </w:tcPr>
          <w:p w14:paraId="3BC2B391"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3,617,608</w:t>
            </w:r>
          </w:p>
        </w:tc>
        <w:tc>
          <w:tcPr>
            <w:tcW w:w="960" w:type="dxa"/>
            <w:tcBorders>
              <w:top w:val="nil"/>
              <w:left w:val="nil"/>
              <w:bottom w:val="single" w:sz="4" w:space="0" w:color="auto"/>
              <w:right w:val="single" w:sz="4" w:space="0" w:color="auto"/>
            </w:tcBorders>
            <w:shd w:val="clear" w:color="auto" w:fill="auto"/>
            <w:noWrap/>
            <w:vAlign w:val="bottom"/>
            <w:hideMark/>
          </w:tcPr>
          <w:p w14:paraId="376F9D64"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0.24</w:t>
            </w:r>
          </w:p>
        </w:tc>
        <w:tc>
          <w:tcPr>
            <w:tcW w:w="1166" w:type="dxa"/>
            <w:tcBorders>
              <w:top w:val="nil"/>
              <w:left w:val="nil"/>
              <w:bottom w:val="single" w:sz="4" w:space="0" w:color="auto"/>
              <w:right w:val="single" w:sz="4" w:space="0" w:color="auto"/>
            </w:tcBorders>
            <w:shd w:val="clear" w:color="auto" w:fill="auto"/>
            <w:noWrap/>
            <w:vAlign w:val="bottom"/>
            <w:hideMark/>
          </w:tcPr>
          <w:p w14:paraId="4FF5C564"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327,514</w:t>
            </w:r>
          </w:p>
        </w:tc>
        <w:tc>
          <w:tcPr>
            <w:tcW w:w="1701" w:type="dxa"/>
            <w:tcBorders>
              <w:top w:val="nil"/>
              <w:left w:val="nil"/>
              <w:bottom w:val="single" w:sz="4" w:space="0" w:color="auto"/>
              <w:right w:val="single" w:sz="4" w:space="0" w:color="auto"/>
            </w:tcBorders>
            <w:shd w:val="clear" w:color="auto" w:fill="auto"/>
            <w:noWrap/>
            <w:vAlign w:val="bottom"/>
            <w:hideMark/>
          </w:tcPr>
          <w:p w14:paraId="22A272C8"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4D1A3A3F"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24AF15DB"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1C182F79" w14:textId="2D11A7DF"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color w:val="000000"/>
                <w:sz w:val="20"/>
                <w:szCs w:val="20"/>
                <w:lang w:val="en-GB" w:eastAsia="nl-NL"/>
              </w:rPr>
              <w:t>10(e)</w:t>
            </w:r>
          </w:p>
        </w:tc>
        <w:tc>
          <w:tcPr>
            <w:tcW w:w="5528" w:type="dxa"/>
            <w:tcBorders>
              <w:top w:val="nil"/>
              <w:left w:val="single" w:sz="4" w:space="0" w:color="auto"/>
              <w:bottom w:val="single" w:sz="4" w:space="0" w:color="auto"/>
              <w:right w:val="single" w:sz="4" w:space="0" w:color="auto"/>
            </w:tcBorders>
            <w:shd w:val="clear" w:color="auto" w:fill="auto"/>
            <w:noWrap/>
            <w:hideMark/>
          </w:tcPr>
          <w:p w14:paraId="44AF3C00" w14:textId="35500713"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 xml:space="preserve">To reappoint R C </w:t>
            </w:r>
            <w:proofErr w:type="spellStart"/>
            <w:r w:rsidRPr="00AA6E1D">
              <w:rPr>
                <w:rFonts w:asciiTheme="minorHAnsi" w:hAnsiTheme="minorHAnsi" w:cstheme="minorHAnsi"/>
                <w:sz w:val="20"/>
                <w:szCs w:val="20"/>
              </w:rPr>
              <w:t>C</w:t>
            </w:r>
            <w:proofErr w:type="spellEnd"/>
            <w:r w:rsidRPr="00AA6E1D">
              <w:rPr>
                <w:rFonts w:asciiTheme="minorHAnsi" w:hAnsiTheme="minorHAnsi" w:cstheme="minorHAnsi"/>
                <w:sz w:val="20"/>
                <w:szCs w:val="20"/>
              </w:rPr>
              <w:t xml:space="preserve"> Jafta as a non-executive director</w:t>
            </w:r>
          </w:p>
        </w:tc>
        <w:tc>
          <w:tcPr>
            <w:tcW w:w="1559" w:type="dxa"/>
            <w:tcBorders>
              <w:top w:val="nil"/>
              <w:left w:val="nil"/>
              <w:bottom w:val="single" w:sz="4" w:space="0" w:color="auto"/>
              <w:right w:val="single" w:sz="4" w:space="0" w:color="auto"/>
            </w:tcBorders>
            <w:shd w:val="clear" w:color="auto" w:fill="auto"/>
            <w:noWrap/>
            <w:vAlign w:val="bottom"/>
            <w:hideMark/>
          </w:tcPr>
          <w:p w14:paraId="119DA565"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1,500,130,170</w:t>
            </w:r>
          </w:p>
        </w:tc>
        <w:tc>
          <w:tcPr>
            <w:tcW w:w="960" w:type="dxa"/>
            <w:tcBorders>
              <w:top w:val="nil"/>
              <w:left w:val="nil"/>
              <w:bottom w:val="single" w:sz="4" w:space="0" w:color="auto"/>
              <w:right w:val="single" w:sz="4" w:space="0" w:color="auto"/>
            </w:tcBorders>
            <w:shd w:val="clear" w:color="auto" w:fill="auto"/>
            <w:noWrap/>
            <w:vAlign w:val="bottom"/>
            <w:hideMark/>
          </w:tcPr>
          <w:p w14:paraId="67DEBB8D"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98.84</w:t>
            </w:r>
          </w:p>
        </w:tc>
        <w:tc>
          <w:tcPr>
            <w:tcW w:w="1450" w:type="dxa"/>
            <w:tcBorders>
              <w:top w:val="nil"/>
              <w:left w:val="nil"/>
              <w:bottom w:val="single" w:sz="4" w:space="0" w:color="auto"/>
              <w:right w:val="single" w:sz="4" w:space="0" w:color="auto"/>
            </w:tcBorders>
            <w:shd w:val="clear" w:color="auto" w:fill="auto"/>
            <w:noWrap/>
            <w:vAlign w:val="bottom"/>
            <w:hideMark/>
          </w:tcPr>
          <w:p w14:paraId="66CE0256"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17,623,320</w:t>
            </w:r>
          </w:p>
        </w:tc>
        <w:tc>
          <w:tcPr>
            <w:tcW w:w="960" w:type="dxa"/>
            <w:tcBorders>
              <w:top w:val="nil"/>
              <w:left w:val="nil"/>
              <w:bottom w:val="single" w:sz="4" w:space="0" w:color="auto"/>
              <w:right w:val="single" w:sz="4" w:space="0" w:color="auto"/>
            </w:tcBorders>
            <w:shd w:val="clear" w:color="auto" w:fill="auto"/>
            <w:noWrap/>
            <w:vAlign w:val="bottom"/>
            <w:hideMark/>
          </w:tcPr>
          <w:p w14:paraId="083C8F96"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1.16</w:t>
            </w:r>
          </w:p>
        </w:tc>
        <w:tc>
          <w:tcPr>
            <w:tcW w:w="1166" w:type="dxa"/>
            <w:tcBorders>
              <w:top w:val="nil"/>
              <w:left w:val="nil"/>
              <w:bottom w:val="single" w:sz="4" w:space="0" w:color="auto"/>
              <w:right w:val="single" w:sz="4" w:space="0" w:color="auto"/>
            </w:tcBorders>
            <w:shd w:val="clear" w:color="auto" w:fill="auto"/>
            <w:noWrap/>
            <w:vAlign w:val="bottom"/>
            <w:hideMark/>
          </w:tcPr>
          <w:p w14:paraId="165D2804"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1,242,110</w:t>
            </w:r>
          </w:p>
        </w:tc>
        <w:tc>
          <w:tcPr>
            <w:tcW w:w="1701" w:type="dxa"/>
            <w:tcBorders>
              <w:top w:val="nil"/>
              <w:left w:val="nil"/>
              <w:bottom w:val="single" w:sz="4" w:space="0" w:color="auto"/>
              <w:right w:val="single" w:sz="4" w:space="0" w:color="auto"/>
            </w:tcBorders>
            <w:shd w:val="clear" w:color="auto" w:fill="auto"/>
            <w:noWrap/>
            <w:vAlign w:val="bottom"/>
            <w:hideMark/>
          </w:tcPr>
          <w:p w14:paraId="0ED4CF9D"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152D6951"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31FC5B01"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06E3365E" w14:textId="63E726DB"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color w:val="000000"/>
                <w:sz w:val="20"/>
                <w:szCs w:val="20"/>
                <w:lang w:val="en-GB" w:eastAsia="nl-NL"/>
              </w:rPr>
              <w:t>11</w:t>
            </w:r>
          </w:p>
        </w:tc>
        <w:tc>
          <w:tcPr>
            <w:tcW w:w="5528" w:type="dxa"/>
            <w:tcBorders>
              <w:top w:val="nil"/>
              <w:left w:val="single" w:sz="4" w:space="0" w:color="auto"/>
              <w:bottom w:val="single" w:sz="4" w:space="0" w:color="auto"/>
              <w:right w:val="single" w:sz="4" w:space="0" w:color="auto"/>
            </w:tcBorders>
            <w:shd w:val="clear" w:color="auto" w:fill="auto"/>
            <w:noWrap/>
            <w:hideMark/>
          </w:tcPr>
          <w:p w14:paraId="6BE62BCD" w14:textId="610BE0F0"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To reappoint PricewaterhouseCoopers Accountants N.V. as the auditor charged with the auditing of the annual accounts for the year ended 31 March 2021 and 31 March 2022</w:t>
            </w:r>
          </w:p>
        </w:tc>
        <w:tc>
          <w:tcPr>
            <w:tcW w:w="1559" w:type="dxa"/>
            <w:tcBorders>
              <w:top w:val="nil"/>
              <w:left w:val="nil"/>
              <w:bottom w:val="single" w:sz="4" w:space="0" w:color="auto"/>
              <w:right w:val="single" w:sz="4" w:space="0" w:color="auto"/>
            </w:tcBorders>
            <w:shd w:val="clear" w:color="auto" w:fill="auto"/>
            <w:noWrap/>
            <w:vAlign w:val="bottom"/>
            <w:hideMark/>
          </w:tcPr>
          <w:p w14:paraId="782B4EFB"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1,495,955,241</w:t>
            </w:r>
          </w:p>
        </w:tc>
        <w:tc>
          <w:tcPr>
            <w:tcW w:w="960" w:type="dxa"/>
            <w:tcBorders>
              <w:top w:val="nil"/>
              <w:left w:val="nil"/>
              <w:bottom w:val="single" w:sz="4" w:space="0" w:color="auto"/>
              <w:right w:val="single" w:sz="4" w:space="0" w:color="auto"/>
            </w:tcBorders>
            <w:shd w:val="clear" w:color="auto" w:fill="auto"/>
            <w:noWrap/>
            <w:vAlign w:val="bottom"/>
            <w:hideMark/>
          </w:tcPr>
          <w:p w14:paraId="3081E899"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98.51</w:t>
            </w:r>
          </w:p>
        </w:tc>
        <w:tc>
          <w:tcPr>
            <w:tcW w:w="1450" w:type="dxa"/>
            <w:tcBorders>
              <w:top w:val="nil"/>
              <w:left w:val="nil"/>
              <w:bottom w:val="single" w:sz="4" w:space="0" w:color="auto"/>
              <w:right w:val="single" w:sz="4" w:space="0" w:color="auto"/>
            </w:tcBorders>
            <w:shd w:val="clear" w:color="auto" w:fill="auto"/>
            <w:noWrap/>
            <w:vAlign w:val="bottom"/>
            <w:hideMark/>
          </w:tcPr>
          <w:p w14:paraId="02C50157"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22,581,959</w:t>
            </w:r>
          </w:p>
        </w:tc>
        <w:tc>
          <w:tcPr>
            <w:tcW w:w="960" w:type="dxa"/>
            <w:tcBorders>
              <w:top w:val="nil"/>
              <w:left w:val="nil"/>
              <w:bottom w:val="single" w:sz="4" w:space="0" w:color="auto"/>
              <w:right w:val="single" w:sz="4" w:space="0" w:color="auto"/>
            </w:tcBorders>
            <w:shd w:val="clear" w:color="auto" w:fill="auto"/>
            <w:noWrap/>
            <w:vAlign w:val="bottom"/>
            <w:hideMark/>
          </w:tcPr>
          <w:p w14:paraId="5AD10C38"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1.49</w:t>
            </w:r>
          </w:p>
        </w:tc>
        <w:tc>
          <w:tcPr>
            <w:tcW w:w="1166" w:type="dxa"/>
            <w:tcBorders>
              <w:top w:val="nil"/>
              <w:left w:val="nil"/>
              <w:bottom w:val="single" w:sz="4" w:space="0" w:color="auto"/>
              <w:right w:val="single" w:sz="4" w:space="0" w:color="auto"/>
            </w:tcBorders>
            <w:shd w:val="clear" w:color="auto" w:fill="auto"/>
            <w:noWrap/>
            <w:vAlign w:val="bottom"/>
            <w:hideMark/>
          </w:tcPr>
          <w:p w14:paraId="20CEA13B"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458,400</w:t>
            </w:r>
          </w:p>
        </w:tc>
        <w:tc>
          <w:tcPr>
            <w:tcW w:w="1701" w:type="dxa"/>
            <w:tcBorders>
              <w:top w:val="nil"/>
              <w:left w:val="nil"/>
              <w:bottom w:val="single" w:sz="4" w:space="0" w:color="auto"/>
              <w:right w:val="single" w:sz="4" w:space="0" w:color="auto"/>
            </w:tcBorders>
            <w:shd w:val="clear" w:color="auto" w:fill="auto"/>
            <w:noWrap/>
            <w:vAlign w:val="bottom"/>
            <w:hideMark/>
          </w:tcPr>
          <w:p w14:paraId="320C1998"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153EA8CC"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22D6E3C2"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5D69A8C6" w14:textId="36660FC9"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color w:val="000000"/>
                <w:sz w:val="20"/>
                <w:szCs w:val="20"/>
                <w:lang w:val="en-GB" w:eastAsia="nl-NL"/>
              </w:rPr>
              <w:t>12</w:t>
            </w:r>
          </w:p>
        </w:tc>
        <w:tc>
          <w:tcPr>
            <w:tcW w:w="5528" w:type="dxa"/>
            <w:tcBorders>
              <w:top w:val="nil"/>
              <w:left w:val="single" w:sz="4" w:space="0" w:color="auto"/>
              <w:bottom w:val="single" w:sz="4" w:space="0" w:color="auto"/>
              <w:right w:val="single" w:sz="4" w:space="0" w:color="auto"/>
            </w:tcBorders>
            <w:shd w:val="clear" w:color="auto" w:fill="auto"/>
            <w:noWrap/>
            <w:hideMark/>
          </w:tcPr>
          <w:p w14:paraId="393C0E01" w14:textId="53CA30F6"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To designate the board of directors as the company body authorised in respect of the issue of shares in the share capital of Prosus</w:t>
            </w:r>
          </w:p>
        </w:tc>
        <w:tc>
          <w:tcPr>
            <w:tcW w:w="1559" w:type="dxa"/>
            <w:tcBorders>
              <w:top w:val="nil"/>
              <w:left w:val="nil"/>
              <w:bottom w:val="single" w:sz="4" w:space="0" w:color="auto"/>
              <w:right w:val="single" w:sz="4" w:space="0" w:color="auto"/>
            </w:tcBorders>
            <w:shd w:val="clear" w:color="auto" w:fill="auto"/>
            <w:noWrap/>
            <w:vAlign w:val="bottom"/>
            <w:hideMark/>
          </w:tcPr>
          <w:p w14:paraId="4FF211A2"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1,426,114,661</w:t>
            </w:r>
          </w:p>
        </w:tc>
        <w:tc>
          <w:tcPr>
            <w:tcW w:w="960" w:type="dxa"/>
            <w:tcBorders>
              <w:top w:val="nil"/>
              <w:left w:val="nil"/>
              <w:bottom w:val="single" w:sz="4" w:space="0" w:color="auto"/>
              <w:right w:val="single" w:sz="4" w:space="0" w:color="auto"/>
            </w:tcBorders>
            <w:shd w:val="clear" w:color="auto" w:fill="auto"/>
            <w:noWrap/>
            <w:vAlign w:val="bottom"/>
            <w:hideMark/>
          </w:tcPr>
          <w:p w14:paraId="149B4274"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93.94</w:t>
            </w:r>
          </w:p>
        </w:tc>
        <w:tc>
          <w:tcPr>
            <w:tcW w:w="1450" w:type="dxa"/>
            <w:tcBorders>
              <w:top w:val="nil"/>
              <w:left w:val="nil"/>
              <w:bottom w:val="single" w:sz="4" w:space="0" w:color="auto"/>
              <w:right w:val="single" w:sz="4" w:space="0" w:color="auto"/>
            </w:tcBorders>
            <w:shd w:val="clear" w:color="auto" w:fill="auto"/>
            <w:noWrap/>
            <w:vAlign w:val="bottom"/>
            <w:hideMark/>
          </w:tcPr>
          <w:p w14:paraId="23512460"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92,022,455</w:t>
            </w:r>
          </w:p>
        </w:tc>
        <w:tc>
          <w:tcPr>
            <w:tcW w:w="960" w:type="dxa"/>
            <w:tcBorders>
              <w:top w:val="nil"/>
              <w:left w:val="nil"/>
              <w:bottom w:val="single" w:sz="4" w:space="0" w:color="auto"/>
              <w:right w:val="single" w:sz="4" w:space="0" w:color="auto"/>
            </w:tcBorders>
            <w:shd w:val="clear" w:color="auto" w:fill="auto"/>
            <w:noWrap/>
            <w:vAlign w:val="bottom"/>
            <w:hideMark/>
          </w:tcPr>
          <w:p w14:paraId="7AED2E3E"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6.06</w:t>
            </w:r>
          </w:p>
        </w:tc>
        <w:tc>
          <w:tcPr>
            <w:tcW w:w="1166" w:type="dxa"/>
            <w:tcBorders>
              <w:top w:val="nil"/>
              <w:left w:val="nil"/>
              <w:bottom w:val="single" w:sz="4" w:space="0" w:color="auto"/>
              <w:right w:val="single" w:sz="4" w:space="0" w:color="auto"/>
            </w:tcBorders>
            <w:shd w:val="clear" w:color="auto" w:fill="auto"/>
            <w:noWrap/>
            <w:vAlign w:val="bottom"/>
            <w:hideMark/>
          </w:tcPr>
          <w:p w14:paraId="781409A4"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200,875</w:t>
            </w:r>
          </w:p>
        </w:tc>
        <w:tc>
          <w:tcPr>
            <w:tcW w:w="1701" w:type="dxa"/>
            <w:tcBorders>
              <w:top w:val="nil"/>
              <w:left w:val="nil"/>
              <w:bottom w:val="single" w:sz="4" w:space="0" w:color="auto"/>
              <w:right w:val="single" w:sz="4" w:space="0" w:color="auto"/>
            </w:tcBorders>
            <w:shd w:val="clear" w:color="auto" w:fill="auto"/>
            <w:noWrap/>
            <w:vAlign w:val="bottom"/>
            <w:hideMark/>
          </w:tcPr>
          <w:p w14:paraId="33C2C201"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1,518,337,991</w:t>
            </w:r>
          </w:p>
        </w:tc>
        <w:tc>
          <w:tcPr>
            <w:tcW w:w="1134" w:type="dxa"/>
            <w:tcBorders>
              <w:top w:val="nil"/>
              <w:left w:val="nil"/>
              <w:bottom w:val="single" w:sz="4" w:space="0" w:color="auto"/>
              <w:right w:val="single" w:sz="4" w:space="0" w:color="auto"/>
            </w:tcBorders>
            <w:shd w:val="clear" w:color="auto" w:fill="auto"/>
            <w:noWrap/>
            <w:vAlign w:val="bottom"/>
            <w:hideMark/>
          </w:tcPr>
          <w:p w14:paraId="519969B8"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93.25%</w:t>
            </w:r>
          </w:p>
        </w:tc>
      </w:tr>
      <w:tr w:rsidR="00C6319C" w:rsidRPr="00AA6E1D" w14:paraId="73686967"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79E1B58A" w14:textId="5669411D"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color w:val="000000"/>
                <w:sz w:val="20"/>
                <w:szCs w:val="20"/>
                <w:lang w:val="en-GB" w:eastAsia="nl-NL"/>
              </w:rPr>
              <w:t>13</w:t>
            </w:r>
          </w:p>
        </w:tc>
        <w:tc>
          <w:tcPr>
            <w:tcW w:w="5528" w:type="dxa"/>
            <w:tcBorders>
              <w:top w:val="nil"/>
              <w:left w:val="single" w:sz="4" w:space="0" w:color="auto"/>
              <w:bottom w:val="single" w:sz="4" w:space="0" w:color="auto"/>
              <w:right w:val="single" w:sz="4" w:space="0" w:color="auto"/>
            </w:tcBorders>
            <w:shd w:val="clear" w:color="auto" w:fill="auto"/>
            <w:noWrap/>
            <w:hideMark/>
          </w:tcPr>
          <w:p w14:paraId="28EC5202" w14:textId="3D8941E6"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Authority for the company or its subsidiaries to acquire shares in the company</w:t>
            </w:r>
          </w:p>
        </w:tc>
        <w:tc>
          <w:tcPr>
            <w:tcW w:w="1559" w:type="dxa"/>
            <w:tcBorders>
              <w:top w:val="nil"/>
              <w:left w:val="nil"/>
              <w:bottom w:val="single" w:sz="4" w:space="0" w:color="auto"/>
              <w:right w:val="single" w:sz="4" w:space="0" w:color="auto"/>
            </w:tcBorders>
            <w:shd w:val="clear" w:color="auto" w:fill="auto"/>
            <w:noWrap/>
            <w:vAlign w:val="bottom"/>
            <w:hideMark/>
          </w:tcPr>
          <w:p w14:paraId="0D12E9FA"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1,512,032,233</w:t>
            </w:r>
          </w:p>
        </w:tc>
        <w:tc>
          <w:tcPr>
            <w:tcW w:w="960" w:type="dxa"/>
            <w:tcBorders>
              <w:top w:val="nil"/>
              <w:left w:val="nil"/>
              <w:bottom w:val="single" w:sz="4" w:space="0" w:color="auto"/>
              <w:right w:val="single" w:sz="4" w:space="0" w:color="auto"/>
            </w:tcBorders>
            <w:shd w:val="clear" w:color="auto" w:fill="auto"/>
            <w:noWrap/>
            <w:vAlign w:val="bottom"/>
            <w:hideMark/>
          </w:tcPr>
          <w:p w14:paraId="29A6C7BB"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99.56</w:t>
            </w:r>
          </w:p>
        </w:tc>
        <w:tc>
          <w:tcPr>
            <w:tcW w:w="1450" w:type="dxa"/>
            <w:tcBorders>
              <w:top w:val="nil"/>
              <w:left w:val="nil"/>
              <w:bottom w:val="single" w:sz="4" w:space="0" w:color="auto"/>
              <w:right w:val="single" w:sz="4" w:space="0" w:color="auto"/>
            </w:tcBorders>
            <w:shd w:val="clear" w:color="auto" w:fill="auto"/>
            <w:noWrap/>
            <w:vAlign w:val="bottom"/>
            <w:hideMark/>
          </w:tcPr>
          <w:p w14:paraId="7E491557"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6,663,787</w:t>
            </w:r>
          </w:p>
        </w:tc>
        <w:tc>
          <w:tcPr>
            <w:tcW w:w="960" w:type="dxa"/>
            <w:tcBorders>
              <w:top w:val="nil"/>
              <w:left w:val="nil"/>
              <w:bottom w:val="single" w:sz="4" w:space="0" w:color="auto"/>
              <w:right w:val="single" w:sz="4" w:space="0" w:color="auto"/>
            </w:tcBorders>
            <w:shd w:val="clear" w:color="auto" w:fill="auto"/>
            <w:noWrap/>
            <w:vAlign w:val="bottom"/>
            <w:hideMark/>
          </w:tcPr>
          <w:p w14:paraId="54C4A496"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0.44</w:t>
            </w:r>
          </w:p>
        </w:tc>
        <w:tc>
          <w:tcPr>
            <w:tcW w:w="1166" w:type="dxa"/>
            <w:tcBorders>
              <w:top w:val="nil"/>
              <w:left w:val="nil"/>
              <w:bottom w:val="single" w:sz="4" w:space="0" w:color="auto"/>
              <w:right w:val="single" w:sz="4" w:space="0" w:color="auto"/>
            </w:tcBorders>
            <w:shd w:val="clear" w:color="auto" w:fill="auto"/>
            <w:noWrap/>
            <w:vAlign w:val="bottom"/>
            <w:hideMark/>
          </w:tcPr>
          <w:p w14:paraId="16EB039C"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299,580</w:t>
            </w:r>
          </w:p>
        </w:tc>
        <w:tc>
          <w:tcPr>
            <w:tcW w:w="1701" w:type="dxa"/>
            <w:tcBorders>
              <w:top w:val="nil"/>
              <w:left w:val="nil"/>
              <w:bottom w:val="single" w:sz="4" w:space="0" w:color="auto"/>
              <w:right w:val="single" w:sz="4" w:space="0" w:color="auto"/>
            </w:tcBorders>
            <w:shd w:val="clear" w:color="auto" w:fill="auto"/>
            <w:noWrap/>
            <w:vAlign w:val="bottom"/>
            <w:hideMark/>
          </w:tcPr>
          <w:p w14:paraId="50F6277A"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0E5548D1"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r w:rsidR="00C6319C" w:rsidRPr="00AA6E1D" w14:paraId="7C265837" w14:textId="77777777" w:rsidTr="00C6319C">
        <w:trPr>
          <w:trHeight w:val="290"/>
        </w:trPr>
        <w:tc>
          <w:tcPr>
            <w:tcW w:w="988" w:type="dxa"/>
            <w:tcBorders>
              <w:top w:val="nil"/>
              <w:left w:val="single" w:sz="4" w:space="0" w:color="auto"/>
              <w:bottom w:val="single" w:sz="4" w:space="0" w:color="auto"/>
              <w:right w:val="single" w:sz="4" w:space="0" w:color="auto"/>
            </w:tcBorders>
            <w:vAlign w:val="bottom"/>
          </w:tcPr>
          <w:p w14:paraId="52841022" w14:textId="5D60AE2F"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color w:val="000000"/>
                <w:sz w:val="20"/>
                <w:szCs w:val="20"/>
                <w:lang w:val="en-GB" w:eastAsia="nl-NL"/>
              </w:rPr>
              <w:t>14</w:t>
            </w:r>
          </w:p>
        </w:tc>
        <w:tc>
          <w:tcPr>
            <w:tcW w:w="5528" w:type="dxa"/>
            <w:tcBorders>
              <w:top w:val="nil"/>
              <w:left w:val="single" w:sz="4" w:space="0" w:color="auto"/>
              <w:bottom w:val="single" w:sz="4" w:space="0" w:color="auto"/>
              <w:right w:val="single" w:sz="4" w:space="0" w:color="auto"/>
            </w:tcBorders>
            <w:shd w:val="clear" w:color="auto" w:fill="auto"/>
            <w:noWrap/>
            <w:hideMark/>
          </w:tcPr>
          <w:p w14:paraId="07A099B8" w14:textId="7B787AB3" w:rsidR="00C6319C" w:rsidRPr="00AA6E1D" w:rsidRDefault="00C6319C" w:rsidP="00C6319C">
            <w:pPr>
              <w:spacing w:line="240" w:lineRule="auto"/>
              <w:rPr>
                <w:rFonts w:asciiTheme="minorHAnsi" w:hAnsiTheme="minorHAnsi" w:cstheme="minorHAnsi"/>
                <w:color w:val="000000"/>
                <w:sz w:val="20"/>
                <w:szCs w:val="20"/>
                <w:lang w:val="en-GB" w:eastAsia="nl-NL"/>
              </w:rPr>
            </w:pPr>
            <w:r w:rsidRPr="00AA6E1D">
              <w:rPr>
                <w:rFonts w:asciiTheme="minorHAnsi" w:hAnsiTheme="minorHAnsi" w:cstheme="minorHAnsi"/>
                <w:sz w:val="20"/>
                <w:szCs w:val="20"/>
              </w:rPr>
              <w:t>Approval of amendments to the existing Prosus Share Award Plan</w:t>
            </w:r>
          </w:p>
        </w:tc>
        <w:tc>
          <w:tcPr>
            <w:tcW w:w="1559" w:type="dxa"/>
            <w:tcBorders>
              <w:top w:val="nil"/>
              <w:left w:val="nil"/>
              <w:bottom w:val="single" w:sz="4" w:space="0" w:color="auto"/>
              <w:right w:val="single" w:sz="4" w:space="0" w:color="auto"/>
            </w:tcBorders>
            <w:shd w:val="clear" w:color="auto" w:fill="auto"/>
            <w:noWrap/>
            <w:vAlign w:val="bottom"/>
            <w:hideMark/>
          </w:tcPr>
          <w:p w14:paraId="3735E0B7"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1,391,055,676</w:t>
            </w:r>
          </w:p>
        </w:tc>
        <w:tc>
          <w:tcPr>
            <w:tcW w:w="960" w:type="dxa"/>
            <w:tcBorders>
              <w:top w:val="nil"/>
              <w:left w:val="nil"/>
              <w:bottom w:val="single" w:sz="4" w:space="0" w:color="auto"/>
              <w:right w:val="single" w:sz="4" w:space="0" w:color="auto"/>
            </w:tcBorders>
            <w:shd w:val="clear" w:color="auto" w:fill="auto"/>
            <w:noWrap/>
            <w:vAlign w:val="bottom"/>
            <w:hideMark/>
          </w:tcPr>
          <w:p w14:paraId="28FAA127"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91.63</w:t>
            </w:r>
          </w:p>
        </w:tc>
        <w:tc>
          <w:tcPr>
            <w:tcW w:w="1450" w:type="dxa"/>
            <w:tcBorders>
              <w:top w:val="nil"/>
              <w:left w:val="nil"/>
              <w:bottom w:val="single" w:sz="4" w:space="0" w:color="auto"/>
              <w:right w:val="single" w:sz="4" w:space="0" w:color="auto"/>
            </w:tcBorders>
            <w:shd w:val="clear" w:color="auto" w:fill="auto"/>
            <w:noWrap/>
            <w:vAlign w:val="bottom"/>
            <w:hideMark/>
          </w:tcPr>
          <w:p w14:paraId="32051263"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127,054,980</w:t>
            </w:r>
          </w:p>
        </w:tc>
        <w:tc>
          <w:tcPr>
            <w:tcW w:w="960" w:type="dxa"/>
            <w:tcBorders>
              <w:top w:val="nil"/>
              <w:left w:val="nil"/>
              <w:bottom w:val="single" w:sz="4" w:space="0" w:color="auto"/>
              <w:right w:val="single" w:sz="4" w:space="0" w:color="auto"/>
            </w:tcBorders>
            <w:shd w:val="clear" w:color="auto" w:fill="auto"/>
            <w:noWrap/>
            <w:vAlign w:val="bottom"/>
            <w:hideMark/>
          </w:tcPr>
          <w:p w14:paraId="079F22CE"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8.37</w:t>
            </w:r>
          </w:p>
        </w:tc>
        <w:tc>
          <w:tcPr>
            <w:tcW w:w="1166" w:type="dxa"/>
            <w:tcBorders>
              <w:top w:val="nil"/>
              <w:left w:val="nil"/>
              <w:bottom w:val="single" w:sz="4" w:space="0" w:color="auto"/>
              <w:right w:val="single" w:sz="4" w:space="0" w:color="auto"/>
            </w:tcBorders>
            <w:shd w:val="clear" w:color="auto" w:fill="auto"/>
            <w:noWrap/>
            <w:vAlign w:val="bottom"/>
            <w:hideMark/>
          </w:tcPr>
          <w:p w14:paraId="7F06ED35"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884,944</w:t>
            </w:r>
          </w:p>
        </w:tc>
        <w:tc>
          <w:tcPr>
            <w:tcW w:w="1701" w:type="dxa"/>
            <w:tcBorders>
              <w:top w:val="nil"/>
              <w:left w:val="nil"/>
              <w:bottom w:val="single" w:sz="4" w:space="0" w:color="auto"/>
              <w:right w:val="single" w:sz="4" w:space="0" w:color="auto"/>
            </w:tcBorders>
            <w:shd w:val="clear" w:color="auto" w:fill="auto"/>
            <w:noWrap/>
            <w:vAlign w:val="bottom"/>
            <w:hideMark/>
          </w:tcPr>
          <w:p w14:paraId="47C7092F"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1,518,995,600</w:t>
            </w:r>
          </w:p>
        </w:tc>
        <w:tc>
          <w:tcPr>
            <w:tcW w:w="1134" w:type="dxa"/>
            <w:tcBorders>
              <w:top w:val="nil"/>
              <w:left w:val="nil"/>
              <w:bottom w:val="single" w:sz="4" w:space="0" w:color="auto"/>
              <w:right w:val="single" w:sz="4" w:space="0" w:color="auto"/>
            </w:tcBorders>
            <w:shd w:val="clear" w:color="auto" w:fill="auto"/>
            <w:noWrap/>
            <w:vAlign w:val="bottom"/>
            <w:hideMark/>
          </w:tcPr>
          <w:p w14:paraId="39B81E86" w14:textId="77777777" w:rsidR="00C6319C" w:rsidRPr="00AA6E1D" w:rsidRDefault="00C6319C" w:rsidP="00C6319C">
            <w:pPr>
              <w:spacing w:line="240" w:lineRule="auto"/>
              <w:jc w:val="right"/>
              <w:rPr>
                <w:rFonts w:asciiTheme="minorHAnsi" w:hAnsiTheme="minorHAnsi" w:cstheme="minorHAnsi"/>
                <w:color w:val="000000"/>
                <w:sz w:val="20"/>
                <w:szCs w:val="20"/>
                <w:lang w:val="nl-NL" w:eastAsia="nl-NL"/>
              </w:rPr>
            </w:pPr>
            <w:r w:rsidRPr="00AA6E1D">
              <w:rPr>
                <w:rFonts w:asciiTheme="minorHAnsi" w:hAnsiTheme="minorHAnsi" w:cstheme="minorHAnsi"/>
                <w:color w:val="000000"/>
                <w:sz w:val="20"/>
                <w:szCs w:val="20"/>
                <w:lang w:val="nl-NL" w:eastAsia="nl-NL"/>
              </w:rPr>
              <w:t>93.30%</w:t>
            </w:r>
          </w:p>
        </w:tc>
      </w:tr>
    </w:tbl>
    <w:p w14:paraId="11A0196F" w14:textId="77777777" w:rsidR="00CF21F1" w:rsidRDefault="00CF21F1" w:rsidP="00155973">
      <w:pPr>
        <w:jc w:val="both"/>
        <w:rPr>
          <w:sz w:val="22"/>
          <w:szCs w:val="22"/>
        </w:rPr>
        <w:sectPr w:rsidR="00CF21F1" w:rsidSect="00BE5FF8">
          <w:pgSz w:w="16840" w:h="11900" w:orient="landscape"/>
          <w:pgMar w:top="720" w:right="720" w:bottom="720" w:left="720" w:header="708" w:footer="708" w:gutter="0"/>
          <w:cols w:space="708"/>
          <w:titlePg/>
          <w:docGrid w:linePitch="360"/>
        </w:sectPr>
      </w:pPr>
    </w:p>
    <w:p w14:paraId="42DD0BC9" w14:textId="77777777" w:rsidR="00BE5FF8" w:rsidRDefault="00BE5FF8" w:rsidP="000037D3">
      <w:pPr>
        <w:jc w:val="both"/>
        <w:rPr>
          <w:b/>
          <w:sz w:val="22"/>
          <w:szCs w:val="22"/>
          <w:lang w:val="en-GB"/>
        </w:rPr>
      </w:pPr>
    </w:p>
    <w:p w14:paraId="766B99D7" w14:textId="747EE326" w:rsidR="00112278" w:rsidRPr="000037D3" w:rsidRDefault="00112278" w:rsidP="000037D3">
      <w:pPr>
        <w:jc w:val="both"/>
        <w:rPr>
          <w:b/>
          <w:sz w:val="22"/>
          <w:szCs w:val="22"/>
          <w:lang w:val="en-GB"/>
        </w:rPr>
      </w:pPr>
      <w:r w:rsidRPr="000037D3">
        <w:rPr>
          <w:b/>
          <w:sz w:val="22"/>
          <w:szCs w:val="22"/>
          <w:lang w:val="en-GB"/>
        </w:rPr>
        <w:t>Summary of statements from the annual general meeting:</w:t>
      </w:r>
    </w:p>
    <w:p w14:paraId="597D19AC" w14:textId="77777777" w:rsidR="00112278" w:rsidRPr="000037D3" w:rsidRDefault="00112278" w:rsidP="000037D3">
      <w:pPr>
        <w:jc w:val="both"/>
        <w:rPr>
          <w:rFonts w:cs="Calibri"/>
          <w:sz w:val="22"/>
          <w:szCs w:val="22"/>
        </w:rPr>
      </w:pPr>
    </w:p>
    <w:p w14:paraId="19D81684" w14:textId="77777777" w:rsidR="002751E5" w:rsidRPr="000037D3" w:rsidRDefault="002751E5" w:rsidP="000037D3">
      <w:pPr>
        <w:jc w:val="both"/>
        <w:rPr>
          <w:rFonts w:cs="Calibri"/>
          <w:b/>
          <w:sz w:val="22"/>
          <w:szCs w:val="22"/>
        </w:rPr>
      </w:pPr>
      <w:r w:rsidRPr="000037D3">
        <w:rPr>
          <w:rFonts w:cs="Calibri"/>
          <w:b/>
          <w:sz w:val="22"/>
          <w:szCs w:val="22"/>
        </w:rPr>
        <w:t>A transformational year</w:t>
      </w:r>
    </w:p>
    <w:p w14:paraId="0CC9C67D" w14:textId="25020796" w:rsidR="00112278" w:rsidRPr="000037D3" w:rsidRDefault="008C7081" w:rsidP="000037D3">
      <w:pPr>
        <w:jc w:val="both"/>
        <w:rPr>
          <w:rFonts w:cs="Calibri"/>
          <w:sz w:val="22"/>
          <w:szCs w:val="22"/>
          <w:lang w:val="en-GB"/>
        </w:rPr>
      </w:pPr>
      <w:r>
        <w:rPr>
          <w:rFonts w:cs="Calibri"/>
          <w:sz w:val="22"/>
          <w:szCs w:val="22"/>
        </w:rPr>
        <w:t>T</w:t>
      </w:r>
      <w:r w:rsidRPr="000037D3">
        <w:rPr>
          <w:rFonts w:cs="Calibri"/>
          <w:sz w:val="22"/>
          <w:szCs w:val="22"/>
        </w:rPr>
        <w:t>his</w:t>
      </w:r>
      <w:r w:rsidRPr="000037D3">
        <w:rPr>
          <w:rFonts w:cs="Calibri"/>
          <w:sz w:val="22"/>
          <w:szCs w:val="22"/>
          <w:lang w:val="en-GB"/>
        </w:rPr>
        <w:t xml:space="preserve"> was a truly transformational year</w:t>
      </w:r>
      <w:r>
        <w:rPr>
          <w:rFonts w:cs="Calibri"/>
          <w:sz w:val="22"/>
          <w:szCs w:val="22"/>
          <w:lang w:val="en-GB"/>
        </w:rPr>
        <w:t xml:space="preserve">: the successful listing of Prosus </w:t>
      </w:r>
      <w:r w:rsidRPr="000037D3">
        <w:rPr>
          <w:rFonts w:cs="Calibri"/>
          <w:sz w:val="22"/>
          <w:szCs w:val="22"/>
          <w:lang w:val="en-GB"/>
        </w:rPr>
        <w:t xml:space="preserve">sets the company on a path to generating even more value </w:t>
      </w:r>
      <w:r>
        <w:rPr>
          <w:rFonts w:cs="Calibri"/>
          <w:sz w:val="22"/>
          <w:szCs w:val="22"/>
          <w:lang w:val="en-GB"/>
        </w:rPr>
        <w:t>for our stakeholders in the future</w:t>
      </w:r>
      <w:r w:rsidRPr="000037D3">
        <w:rPr>
          <w:rFonts w:cs="Calibri"/>
          <w:sz w:val="22"/>
          <w:szCs w:val="22"/>
          <w:lang w:val="en-GB"/>
        </w:rPr>
        <w:t>.</w:t>
      </w:r>
    </w:p>
    <w:p w14:paraId="50C21112" w14:textId="65449A51" w:rsidR="00112278" w:rsidRPr="000037D3" w:rsidRDefault="00112278" w:rsidP="000037D3">
      <w:pPr>
        <w:jc w:val="both"/>
        <w:rPr>
          <w:sz w:val="22"/>
          <w:szCs w:val="22"/>
          <w:lang w:val="en-GB"/>
        </w:rPr>
      </w:pPr>
    </w:p>
    <w:p w14:paraId="1496CADB" w14:textId="61AE681F" w:rsidR="002751E5" w:rsidRPr="000037D3" w:rsidRDefault="002751E5" w:rsidP="000037D3">
      <w:pPr>
        <w:jc w:val="both"/>
        <w:rPr>
          <w:rFonts w:cs="Calibri"/>
          <w:b/>
          <w:sz w:val="22"/>
          <w:szCs w:val="22"/>
          <w:lang w:val="en-GB"/>
        </w:rPr>
      </w:pPr>
      <w:r w:rsidRPr="000037D3">
        <w:rPr>
          <w:rFonts w:cs="Calibri"/>
          <w:b/>
          <w:sz w:val="22"/>
          <w:szCs w:val="22"/>
          <w:lang w:val="en-GB"/>
        </w:rPr>
        <w:t>Clear focus and direction</w:t>
      </w:r>
    </w:p>
    <w:p w14:paraId="390E00F1" w14:textId="2C2AC8E6" w:rsidR="002751E5" w:rsidRPr="000037D3" w:rsidRDefault="002751E5" w:rsidP="000037D3">
      <w:pPr>
        <w:jc w:val="both"/>
        <w:rPr>
          <w:rFonts w:cs="Calibri"/>
          <w:sz w:val="22"/>
          <w:szCs w:val="22"/>
          <w:lang w:val="en-GB"/>
        </w:rPr>
      </w:pPr>
      <w:r w:rsidRPr="000037D3">
        <w:rPr>
          <w:rFonts w:cs="Calibri"/>
          <w:sz w:val="22"/>
          <w:szCs w:val="22"/>
          <w:lang w:val="en-GB"/>
        </w:rPr>
        <w:t xml:space="preserve">For many years now, we have </w:t>
      </w:r>
      <w:r w:rsidR="006F39BF" w:rsidRPr="000037D3">
        <w:rPr>
          <w:rFonts w:cs="Calibri"/>
          <w:sz w:val="22"/>
          <w:szCs w:val="22"/>
          <w:lang w:val="en-GB"/>
        </w:rPr>
        <w:t>concentrated</w:t>
      </w:r>
      <w:r w:rsidRPr="000037D3">
        <w:rPr>
          <w:rFonts w:cs="Calibri"/>
          <w:sz w:val="22"/>
          <w:szCs w:val="22"/>
          <w:lang w:val="en-GB"/>
        </w:rPr>
        <w:t xml:space="preserve"> on creating value by improving people’s lives around the world. At heart, we are entrepreneurs who want to make a positive impact. We do this through a combination of being focused and disciplined, </w:t>
      </w:r>
      <w:r w:rsidR="008C7081">
        <w:rPr>
          <w:rFonts w:cs="Calibri"/>
          <w:sz w:val="22"/>
          <w:szCs w:val="22"/>
          <w:lang w:val="en-GB"/>
        </w:rPr>
        <w:t xml:space="preserve">remaining </w:t>
      </w:r>
      <w:r w:rsidRPr="000037D3">
        <w:rPr>
          <w:rFonts w:cs="Calibri"/>
          <w:sz w:val="22"/>
          <w:szCs w:val="22"/>
          <w:lang w:val="en-GB"/>
        </w:rPr>
        <w:t>open to opportunity and change, and always looking to grow and create long-term sustainable value in a responsible way.</w:t>
      </w:r>
    </w:p>
    <w:p w14:paraId="5D00ED83" w14:textId="77777777" w:rsidR="002751E5" w:rsidRPr="000037D3" w:rsidRDefault="002751E5" w:rsidP="000037D3">
      <w:pPr>
        <w:jc w:val="both"/>
        <w:rPr>
          <w:rFonts w:cs="Calibri"/>
          <w:sz w:val="22"/>
          <w:szCs w:val="22"/>
          <w:lang w:val="en-GB"/>
        </w:rPr>
      </w:pPr>
    </w:p>
    <w:p w14:paraId="07A4B22E" w14:textId="40C01CA2" w:rsidR="002751E5" w:rsidRPr="000037D3" w:rsidRDefault="002751E5" w:rsidP="000037D3">
      <w:pPr>
        <w:jc w:val="both"/>
        <w:rPr>
          <w:rFonts w:cs="Calibri"/>
          <w:sz w:val="22"/>
          <w:szCs w:val="22"/>
          <w:lang w:val="en-GB"/>
        </w:rPr>
      </w:pPr>
      <w:r w:rsidRPr="000037D3">
        <w:rPr>
          <w:rFonts w:cs="Calibri"/>
          <w:sz w:val="22"/>
          <w:szCs w:val="22"/>
          <w:lang w:val="en-GB"/>
        </w:rPr>
        <w:t xml:space="preserve">We continue to transform our group - investing in new and existing businesses and creating innovative technology-enabled products and services. As ever, we focus on backing entrepreneurs, technology and business concepts that meet fundamental human needs. This is at the core of how we create sustainable value for all our stakeholders. </w:t>
      </w:r>
    </w:p>
    <w:p w14:paraId="54543E4A" w14:textId="77777777" w:rsidR="002751E5" w:rsidRPr="000037D3" w:rsidRDefault="002751E5" w:rsidP="000037D3">
      <w:pPr>
        <w:jc w:val="both"/>
        <w:rPr>
          <w:rFonts w:cs="Calibri"/>
          <w:sz w:val="22"/>
          <w:szCs w:val="22"/>
          <w:lang w:val="en-GB"/>
        </w:rPr>
      </w:pPr>
    </w:p>
    <w:p w14:paraId="13E0FB1B" w14:textId="3EE683D6" w:rsidR="002751E5" w:rsidRPr="000037D3" w:rsidRDefault="002751E5" w:rsidP="000037D3">
      <w:pPr>
        <w:jc w:val="both"/>
        <w:rPr>
          <w:sz w:val="22"/>
          <w:szCs w:val="22"/>
          <w:lang w:val="en-GB"/>
        </w:rPr>
      </w:pPr>
      <w:r w:rsidRPr="000037D3">
        <w:rPr>
          <w:rFonts w:cs="Calibri"/>
          <w:sz w:val="22"/>
          <w:szCs w:val="22"/>
          <w:lang w:val="en-GB"/>
        </w:rPr>
        <w:t>In our highly dynamic, fast changing, high-growth world, we never lose sight of our commitment to good governance. We aim to conduct the group’s business with integrity, applying appropriate corporate governance policies and principles. We are building on our commitment to sustainability and we continually evaluate where to improve governance.</w:t>
      </w:r>
    </w:p>
    <w:p w14:paraId="0E7CD002" w14:textId="77777777" w:rsidR="002751E5" w:rsidRPr="000037D3" w:rsidRDefault="002751E5" w:rsidP="000037D3">
      <w:pPr>
        <w:jc w:val="both"/>
        <w:rPr>
          <w:sz w:val="22"/>
          <w:szCs w:val="22"/>
          <w:lang w:val="en-GB"/>
        </w:rPr>
      </w:pPr>
    </w:p>
    <w:p w14:paraId="07F7F1DC" w14:textId="174A9368" w:rsidR="00112278" w:rsidRPr="000037D3" w:rsidRDefault="002751E5" w:rsidP="000037D3">
      <w:pPr>
        <w:jc w:val="both"/>
        <w:rPr>
          <w:b/>
          <w:sz w:val="22"/>
          <w:szCs w:val="22"/>
          <w:lang w:val="en-GB"/>
        </w:rPr>
      </w:pPr>
      <w:r w:rsidRPr="000037D3">
        <w:rPr>
          <w:b/>
          <w:sz w:val="22"/>
          <w:szCs w:val="22"/>
          <w:lang w:val="en-GB"/>
        </w:rPr>
        <w:t>Strong p</w:t>
      </w:r>
      <w:r w:rsidR="00112278" w:rsidRPr="000037D3">
        <w:rPr>
          <w:b/>
          <w:sz w:val="22"/>
          <w:szCs w:val="22"/>
          <w:lang w:val="en-GB"/>
        </w:rPr>
        <w:t>erformance</w:t>
      </w:r>
    </w:p>
    <w:p w14:paraId="6C4D9EE5" w14:textId="05EA076A" w:rsidR="00112278" w:rsidRDefault="00112278" w:rsidP="000037D3">
      <w:pPr>
        <w:jc w:val="both"/>
        <w:rPr>
          <w:rFonts w:cs="Calibri"/>
          <w:sz w:val="22"/>
          <w:szCs w:val="22"/>
          <w:lang w:val="en-GB"/>
        </w:rPr>
      </w:pPr>
      <w:r w:rsidRPr="000037D3">
        <w:rPr>
          <w:rFonts w:cs="Calibri"/>
          <w:sz w:val="22"/>
          <w:szCs w:val="22"/>
          <w:lang w:val="en-GB"/>
        </w:rPr>
        <w:t>Prosus ended its inaugural year</w:t>
      </w:r>
      <w:r w:rsidR="009830A5">
        <w:rPr>
          <w:rFonts w:cs="Calibri"/>
          <w:sz w:val="22"/>
          <w:szCs w:val="22"/>
          <w:lang w:val="en-GB"/>
        </w:rPr>
        <w:t xml:space="preserve"> as a listed company</w:t>
      </w:r>
      <w:r w:rsidRPr="000037D3">
        <w:rPr>
          <w:rFonts w:cs="Calibri"/>
          <w:sz w:val="22"/>
          <w:szCs w:val="22"/>
          <w:lang w:val="en-GB"/>
        </w:rPr>
        <w:t xml:space="preserve"> in a position of strength, with accelerating revenue in our ecommerce portfolio, improved profitability and a substantial net cash position which provides us with ample liquidity. As the world continues to confront the global Covid-19 crisis, some core trends directly related to our business are accelerating and solidifying. </w:t>
      </w:r>
      <w:r w:rsidR="008C7081">
        <w:rPr>
          <w:rFonts w:cs="Calibri"/>
          <w:sz w:val="22"/>
          <w:szCs w:val="22"/>
          <w:lang w:val="en-GB"/>
        </w:rPr>
        <w:t xml:space="preserve">The data that we see shows </w:t>
      </w:r>
      <w:r w:rsidR="008C7081" w:rsidRPr="000037D3">
        <w:rPr>
          <w:rFonts w:cs="Calibri"/>
          <w:sz w:val="22"/>
          <w:szCs w:val="22"/>
          <w:lang w:val="en-GB"/>
        </w:rPr>
        <w:t xml:space="preserve">that consumers are </w:t>
      </w:r>
      <w:r w:rsidR="008C7081">
        <w:rPr>
          <w:rFonts w:cs="Calibri"/>
          <w:sz w:val="22"/>
          <w:szCs w:val="22"/>
          <w:lang w:val="en-GB"/>
        </w:rPr>
        <w:t xml:space="preserve">consistently </w:t>
      </w:r>
      <w:r w:rsidR="008C7081" w:rsidRPr="000037D3">
        <w:rPr>
          <w:rFonts w:cs="Calibri"/>
          <w:sz w:val="22"/>
          <w:szCs w:val="22"/>
          <w:lang w:val="en-GB"/>
        </w:rPr>
        <w:t>increasing their</w:t>
      </w:r>
      <w:r w:rsidR="008C7081">
        <w:rPr>
          <w:rFonts w:cs="Calibri"/>
          <w:sz w:val="22"/>
          <w:szCs w:val="22"/>
          <w:lang w:val="en-GB"/>
        </w:rPr>
        <w:t xml:space="preserve"> online </w:t>
      </w:r>
      <w:r w:rsidR="008C7081" w:rsidRPr="000037D3">
        <w:rPr>
          <w:rFonts w:cs="Calibri"/>
          <w:sz w:val="22"/>
          <w:szCs w:val="22"/>
          <w:lang w:val="en-GB"/>
        </w:rPr>
        <w:t>activity and spending.</w:t>
      </w:r>
      <w:r w:rsidR="008C7081">
        <w:rPr>
          <w:rFonts w:cs="Calibri"/>
          <w:sz w:val="22"/>
          <w:szCs w:val="22"/>
          <w:lang w:val="en-GB"/>
        </w:rPr>
        <w:t xml:space="preserve"> We believe that this </w:t>
      </w:r>
      <w:r w:rsidR="008C7081" w:rsidRPr="000037D3">
        <w:rPr>
          <w:rFonts w:cs="Calibri"/>
          <w:sz w:val="22"/>
          <w:szCs w:val="22"/>
          <w:lang w:val="en-GB"/>
        </w:rPr>
        <w:t>change is structural</w:t>
      </w:r>
      <w:r w:rsidR="008C7081">
        <w:rPr>
          <w:rFonts w:cs="Calibri"/>
          <w:sz w:val="22"/>
          <w:szCs w:val="22"/>
          <w:lang w:val="en-GB"/>
        </w:rPr>
        <w:t>,</w:t>
      </w:r>
      <w:r w:rsidR="008C7081" w:rsidRPr="000037D3">
        <w:rPr>
          <w:rFonts w:cs="Calibri"/>
          <w:sz w:val="22"/>
          <w:szCs w:val="22"/>
          <w:lang w:val="en-GB"/>
        </w:rPr>
        <w:t xml:space="preserve"> </w:t>
      </w:r>
      <w:r w:rsidR="008C7081">
        <w:rPr>
          <w:rFonts w:cs="Calibri"/>
          <w:sz w:val="22"/>
          <w:szCs w:val="22"/>
          <w:lang w:val="en-GB"/>
        </w:rPr>
        <w:t>s</w:t>
      </w:r>
      <w:r w:rsidR="008C7081" w:rsidRPr="000037D3">
        <w:rPr>
          <w:rFonts w:cs="Calibri"/>
          <w:sz w:val="22"/>
          <w:szCs w:val="22"/>
          <w:lang w:val="en-GB"/>
        </w:rPr>
        <w:t>o as a 100% online business, we expect Prosus to emerge from the crisis even stronger.</w:t>
      </w:r>
    </w:p>
    <w:p w14:paraId="4AF297D7" w14:textId="77777777" w:rsidR="008C7081" w:rsidRPr="00A9153C" w:rsidRDefault="008C7081" w:rsidP="000037D3">
      <w:pPr>
        <w:jc w:val="both"/>
        <w:rPr>
          <w:rFonts w:cs="Calibri"/>
          <w:sz w:val="22"/>
          <w:szCs w:val="22"/>
          <w:lang w:val="en-GB"/>
        </w:rPr>
      </w:pPr>
    </w:p>
    <w:p w14:paraId="213E1E0E" w14:textId="3EDE5E44" w:rsidR="00112278" w:rsidRPr="00BB0061" w:rsidRDefault="00112278" w:rsidP="000037D3">
      <w:pPr>
        <w:jc w:val="both"/>
        <w:rPr>
          <w:rFonts w:cs="Calibri"/>
          <w:sz w:val="22"/>
          <w:szCs w:val="22"/>
          <w:lang w:val="en-GB"/>
        </w:rPr>
      </w:pPr>
      <w:r w:rsidRPr="000037D3">
        <w:rPr>
          <w:rFonts w:cs="Calibri"/>
          <w:sz w:val="22"/>
          <w:szCs w:val="22"/>
          <w:lang w:val="en-GB"/>
        </w:rPr>
        <w:t xml:space="preserve">Revenue </w:t>
      </w:r>
      <w:r w:rsidRPr="00BB0061">
        <w:rPr>
          <w:rFonts w:cs="Calibri"/>
          <w:sz w:val="22"/>
          <w:szCs w:val="22"/>
          <w:lang w:val="en-GB"/>
        </w:rPr>
        <w:t xml:space="preserve">grew </w:t>
      </w:r>
      <w:r w:rsidR="00A9153C" w:rsidRPr="00BB0061">
        <w:rPr>
          <w:rFonts w:cs="Calibri"/>
          <w:sz w:val="22"/>
          <w:szCs w:val="22"/>
          <w:lang w:val="en-GB"/>
        </w:rPr>
        <w:t>17% (</w:t>
      </w:r>
      <w:r w:rsidRPr="00BB0061">
        <w:rPr>
          <w:rFonts w:cs="Calibri"/>
          <w:sz w:val="22"/>
          <w:szCs w:val="22"/>
          <w:lang w:val="en-GB"/>
        </w:rPr>
        <w:t>23%</w:t>
      </w:r>
      <w:r w:rsidR="00A9153C" w:rsidRPr="00BB0061">
        <w:rPr>
          <w:rFonts w:cs="Calibri"/>
          <w:sz w:val="22"/>
          <w:szCs w:val="22"/>
          <w:lang w:val="en-GB"/>
        </w:rPr>
        <w:t>)</w:t>
      </w:r>
      <w:r w:rsidRPr="00BB0061">
        <w:rPr>
          <w:rFonts w:cs="Calibri"/>
          <w:sz w:val="22"/>
          <w:szCs w:val="22"/>
          <w:lang w:val="en-GB"/>
        </w:rPr>
        <w:t xml:space="preserve"> year on year, with </w:t>
      </w:r>
      <w:r w:rsidR="00A9153C" w:rsidRPr="00BB0061">
        <w:rPr>
          <w:rFonts w:cs="Calibri"/>
          <w:sz w:val="22"/>
          <w:szCs w:val="22"/>
          <w:lang w:val="en-GB"/>
        </w:rPr>
        <w:t xml:space="preserve">revenue in </w:t>
      </w:r>
      <w:r w:rsidRPr="00BB0061">
        <w:rPr>
          <w:rFonts w:cs="Calibri"/>
          <w:sz w:val="22"/>
          <w:szCs w:val="22"/>
          <w:lang w:val="en-GB"/>
        </w:rPr>
        <w:t>ecommerce growing 3</w:t>
      </w:r>
      <w:r w:rsidR="00A9153C" w:rsidRPr="00BB0061">
        <w:rPr>
          <w:rFonts w:cs="Calibri"/>
          <w:sz w:val="22"/>
          <w:szCs w:val="22"/>
          <w:lang w:val="en-GB"/>
        </w:rPr>
        <w:t>3</w:t>
      </w:r>
      <w:r w:rsidRPr="00BB0061">
        <w:rPr>
          <w:rFonts w:cs="Calibri"/>
          <w:sz w:val="22"/>
          <w:szCs w:val="22"/>
          <w:lang w:val="en-GB"/>
        </w:rPr>
        <w:t>% to $4.</w:t>
      </w:r>
      <w:r w:rsidR="00A9153C" w:rsidRPr="00BB0061">
        <w:rPr>
          <w:rFonts w:cs="Calibri"/>
          <w:sz w:val="22"/>
          <w:szCs w:val="22"/>
          <w:lang w:val="en-GB"/>
        </w:rPr>
        <w:t xml:space="preserve">3 </w:t>
      </w:r>
      <w:r w:rsidRPr="00BB0061">
        <w:rPr>
          <w:rFonts w:cs="Calibri"/>
          <w:sz w:val="22"/>
          <w:szCs w:val="22"/>
          <w:lang w:val="en-GB"/>
        </w:rPr>
        <w:t>billion</w:t>
      </w:r>
      <w:r w:rsidR="000037D3" w:rsidRPr="00BB0061">
        <w:rPr>
          <w:rFonts w:cs="Calibri"/>
          <w:sz w:val="22"/>
          <w:szCs w:val="22"/>
          <w:lang w:val="en-GB"/>
        </w:rPr>
        <w:t>,</w:t>
      </w:r>
      <w:r w:rsidRPr="00BB0061">
        <w:rPr>
          <w:rFonts w:cs="Calibri"/>
          <w:sz w:val="22"/>
          <w:szCs w:val="22"/>
          <w:lang w:val="en-GB"/>
        </w:rPr>
        <w:t xml:space="preserve"> a 7% acceleration on last year. Profitability improved by </w:t>
      </w:r>
      <w:r w:rsidR="00ED7304" w:rsidRPr="00BB0061">
        <w:rPr>
          <w:rFonts w:cs="Calibri"/>
          <w:sz w:val="22"/>
          <w:szCs w:val="22"/>
          <w:lang w:val="en-GB"/>
        </w:rPr>
        <w:t>12%</w:t>
      </w:r>
      <w:r w:rsidR="007F59B7">
        <w:rPr>
          <w:rFonts w:cs="Calibri"/>
          <w:sz w:val="22"/>
          <w:szCs w:val="22"/>
          <w:lang w:val="en-GB"/>
        </w:rPr>
        <w:t xml:space="preserve"> </w:t>
      </w:r>
      <w:r w:rsidR="00ED7304" w:rsidRPr="00BB0061">
        <w:rPr>
          <w:rFonts w:cs="Calibri"/>
          <w:sz w:val="22"/>
          <w:szCs w:val="22"/>
          <w:lang w:val="en-GB"/>
        </w:rPr>
        <w:t>(</w:t>
      </w:r>
      <w:r w:rsidRPr="00BB0061">
        <w:rPr>
          <w:rFonts w:cs="Calibri"/>
          <w:sz w:val="22"/>
          <w:szCs w:val="22"/>
          <w:lang w:val="en-GB"/>
        </w:rPr>
        <w:t>16%</w:t>
      </w:r>
      <w:r w:rsidR="00ED7304" w:rsidRPr="00BB0061">
        <w:rPr>
          <w:rFonts w:cs="Calibri"/>
          <w:sz w:val="22"/>
          <w:szCs w:val="22"/>
          <w:lang w:val="en-GB"/>
        </w:rPr>
        <w:t>)</w:t>
      </w:r>
      <w:r w:rsidRPr="00BB0061">
        <w:rPr>
          <w:rFonts w:cs="Calibri"/>
          <w:sz w:val="22"/>
          <w:szCs w:val="22"/>
          <w:lang w:val="en-GB"/>
        </w:rPr>
        <w:t xml:space="preserve"> even as we significantly stepped up our investment in Food Delivery. Profitability was mainly driven by </w:t>
      </w:r>
      <w:r w:rsidR="00FC10B3" w:rsidRPr="00BB0061">
        <w:rPr>
          <w:rFonts w:cs="Calibri"/>
          <w:sz w:val="22"/>
          <w:szCs w:val="22"/>
          <w:lang w:val="en-GB"/>
        </w:rPr>
        <w:t xml:space="preserve">Tencent, </w:t>
      </w:r>
      <w:r w:rsidRPr="00BB0061">
        <w:rPr>
          <w:rFonts w:cs="Calibri"/>
          <w:sz w:val="22"/>
          <w:szCs w:val="22"/>
          <w:lang w:val="en-GB"/>
        </w:rPr>
        <w:t>Classifieds</w:t>
      </w:r>
      <w:r w:rsidRPr="000037D3">
        <w:rPr>
          <w:rFonts w:cs="Calibri"/>
          <w:sz w:val="22"/>
          <w:szCs w:val="22"/>
          <w:lang w:val="en-GB"/>
        </w:rPr>
        <w:t xml:space="preserve"> and Payments </w:t>
      </w:r>
      <w:r w:rsidR="009830A5">
        <w:rPr>
          <w:rFonts w:cs="Calibri"/>
          <w:sz w:val="22"/>
          <w:szCs w:val="22"/>
          <w:lang w:val="en-GB"/>
        </w:rPr>
        <w:t>and</w:t>
      </w:r>
      <w:r w:rsidRPr="000037D3">
        <w:rPr>
          <w:rFonts w:cs="Calibri"/>
          <w:sz w:val="22"/>
          <w:szCs w:val="22"/>
          <w:lang w:val="en-GB"/>
        </w:rPr>
        <w:t xml:space="preserve"> Fintech, which remained profitable at the core. We </w:t>
      </w:r>
      <w:r w:rsidRPr="00BB0061">
        <w:rPr>
          <w:rFonts w:cs="Calibri"/>
          <w:sz w:val="22"/>
          <w:szCs w:val="22"/>
          <w:lang w:val="en-GB"/>
        </w:rPr>
        <w:t xml:space="preserve">are investing further to expand our ecosystem in both </w:t>
      </w:r>
      <w:r w:rsidR="00FC10B3" w:rsidRPr="00BB0061">
        <w:rPr>
          <w:rFonts w:cs="Calibri"/>
          <w:sz w:val="22"/>
          <w:szCs w:val="22"/>
          <w:lang w:val="en-GB"/>
        </w:rPr>
        <w:t xml:space="preserve">the Classifieds and </w:t>
      </w:r>
      <w:proofErr w:type="spellStart"/>
      <w:r w:rsidR="00FC10B3" w:rsidRPr="00BB0061">
        <w:rPr>
          <w:rFonts w:cs="Calibri"/>
          <w:sz w:val="22"/>
          <w:szCs w:val="22"/>
          <w:lang w:val="en-GB"/>
        </w:rPr>
        <w:t>Payments</w:t>
      </w:r>
      <w:r w:rsidR="009830A5">
        <w:rPr>
          <w:rFonts w:cs="Calibri"/>
          <w:sz w:val="22"/>
          <w:szCs w:val="22"/>
          <w:lang w:val="en-GB"/>
        </w:rPr>
        <w:t>and</w:t>
      </w:r>
      <w:proofErr w:type="spellEnd"/>
      <w:r w:rsidR="009830A5">
        <w:rPr>
          <w:rFonts w:cs="Calibri"/>
          <w:sz w:val="22"/>
          <w:szCs w:val="22"/>
          <w:lang w:val="en-GB"/>
        </w:rPr>
        <w:t xml:space="preserve"> Fintech</w:t>
      </w:r>
      <w:r w:rsidR="00FC10B3" w:rsidRPr="00BB0061">
        <w:rPr>
          <w:rFonts w:cs="Calibri"/>
          <w:sz w:val="22"/>
          <w:szCs w:val="22"/>
          <w:lang w:val="en-GB"/>
        </w:rPr>
        <w:t xml:space="preserve"> </w:t>
      </w:r>
      <w:r w:rsidRPr="00BB0061">
        <w:rPr>
          <w:rFonts w:cs="Calibri"/>
          <w:sz w:val="22"/>
          <w:szCs w:val="22"/>
          <w:lang w:val="en-GB"/>
        </w:rPr>
        <w:t xml:space="preserve">segments. Excluding </w:t>
      </w:r>
      <w:r w:rsidR="00BB0061" w:rsidRPr="00DD46B2">
        <w:rPr>
          <w:rFonts w:cs="Calibri"/>
          <w:sz w:val="22"/>
          <w:szCs w:val="22"/>
          <w:lang w:val="en-GB"/>
        </w:rPr>
        <w:t xml:space="preserve">the </w:t>
      </w:r>
      <w:r w:rsidRPr="00DD46B2">
        <w:rPr>
          <w:rFonts w:cs="Calibri"/>
          <w:sz w:val="22"/>
          <w:szCs w:val="22"/>
          <w:lang w:val="en-GB"/>
        </w:rPr>
        <w:t>increased investment in Food Delivery</w:t>
      </w:r>
      <w:r w:rsidR="00BB0061" w:rsidRPr="00DD46B2">
        <w:rPr>
          <w:rFonts w:cs="Calibri"/>
          <w:sz w:val="22"/>
          <w:szCs w:val="22"/>
          <w:lang w:val="en-GB"/>
        </w:rPr>
        <w:t xml:space="preserve"> and Payments and Fintech</w:t>
      </w:r>
      <w:r w:rsidRPr="00DD46B2">
        <w:rPr>
          <w:rFonts w:cs="Calibri"/>
          <w:sz w:val="22"/>
          <w:szCs w:val="22"/>
          <w:lang w:val="en-GB"/>
        </w:rPr>
        <w:t xml:space="preserve"> </w:t>
      </w:r>
      <w:r w:rsidR="00BB0061" w:rsidRPr="00DD46B2">
        <w:rPr>
          <w:rFonts w:cs="Calibri"/>
          <w:sz w:val="22"/>
          <w:szCs w:val="22"/>
          <w:lang w:val="en-GB"/>
        </w:rPr>
        <w:t>as well as acquisitions and disposals</w:t>
      </w:r>
      <w:r w:rsidRPr="00DD46B2">
        <w:rPr>
          <w:rFonts w:cs="Calibri"/>
          <w:sz w:val="22"/>
          <w:szCs w:val="22"/>
          <w:lang w:val="en-GB"/>
        </w:rPr>
        <w:t xml:space="preserve">, ecommerce trading losses reduced by a healthy </w:t>
      </w:r>
      <w:r w:rsidRPr="00BB0061">
        <w:rPr>
          <w:rFonts w:cs="Calibri"/>
          <w:sz w:val="22"/>
          <w:szCs w:val="22"/>
          <w:lang w:val="en-GB"/>
        </w:rPr>
        <w:t>28% or $78 million</w:t>
      </w:r>
      <w:r w:rsidR="00BB0061" w:rsidRPr="00BB0061">
        <w:t xml:space="preserve"> </w:t>
      </w:r>
      <w:r w:rsidR="00BB0061" w:rsidRPr="00BB0061">
        <w:rPr>
          <w:rFonts w:cs="Calibri"/>
          <w:sz w:val="22"/>
          <w:szCs w:val="22"/>
          <w:lang w:val="en-GB"/>
        </w:rPr>
        <w:t>in local currency</w:t>
      </w:r>
      <w:r w:rsidRPr="00BB0061">
        <w:rPr>
          <w:rFonts w:cs="Calibri"/>
          <w:sz w:val="22"/>
          <w:szCs w:val="22"/>
          <w:lang w:val="en-GB"/>
        </w:rPr>
        <w:t xml:space="preserve">. </w:t>
      </w:r>
    </w:p>
    <w:p w14:paraId="7D3D8AE0" w14:textId="77777777" w:rsidR="00112278" w:rsidRPr="00BB0061" w:rsidRDefault="00112278" w:rsidP="000037D3">
      <w:pPr>
        <w:jc w:val="both"/>
        <w:rPr>
          <w:rFonts w:cs="Calibri"/>
          <w:sz w:val="22"/>
          <w:szCs w:val="22"/>
          <w:lang w:val="en-GB"/>
        </w:rPr>
      </w:pPr>
    </w:p>
    <w:p w14:paraId="4E2E4304" w14:textId="73D31F15" w:rsidR="008C7081" w:rsidRPr="00BB0061" w:rsidRDefault="00112278" w:rsidP="008C7081">
      <w:pPr>
        <w:jc w:val="both"/>
        <w:rPr>
          <w:rFonts w:cs="Calibri"/>
          <w:sz w:val="22"/>
          <w:szCs w:val="22"/>
          <w:lang w:val="en-GB"/>
        </w:rPr>
      </w:pPr>
      <w:r w:rsidRPr="00BB0061">
        <w:rPr>
          <w:rFonts w:cs="Calibri"/>
          <w:sz w:val="22"/>
          <w:szCs w:val="22"/>
          <w:lang w:val="en-GB"/>
        </w:rPr>
        <w:lastRenderedPageBreak/>
        <w:t xml:space="preserve">Taking each of our core segments in turn, Classifieds grew revenues </w:t>
      </w:r>
      <w:r w:rsidR="00BB0061" w:rsidRPr="00DD46B2">
        <w:rPr>
          <w:rFonts w:cs="Calibri"/>
          <w:sz w:val="22"/>
          <w:szCs w:val="22"/>
          <w:lang w:val="en-GB"/>
        </w:rPr>
        <w:t>4</w:t>
      </w:r>
      <w:r w:rsidR="00BB0061" w:rsidRPr="00BB0061">
        <w:rPr>
          <w:rFonts w:cs="Calibri"/>
          <w:sz w:val="22"/>
          <w:szCs w:val="22"/>
          <w:lang w:val="en-GB"/>
        </w:rPr>
        <w:t>9</w:t>
      </w:r>
      <w:r w:rsidR="00A9153C" w:rsidRPr="00BB0061">
        <w:rPr>
          <w:rFonts w:cs="Calibri"/>
          <w:sz w:val="22"/>
          <w:szCs w:val="22"/>
          <w:lang w:val="en-GB"/>
        </w:rPr>
        <w:t>% (</w:t>
      </w:r>
      <w:r w:rsidRPr="00BB0061">
        <w:rPr>
          <w:rFonts w:cs="Calibri"/>
          <w:sz w:val="22"/>
          <w:szCs w:val="22"/>
          <w:lang w:val="en-GB"/>
        </w:rPr>
        <w:t>37%</w:t>
      </w:r>
      <w:r w:rsidR="00A9153C" w:rsidRPr="00BB0061">
        <w:rPr>
          <w:rFonts w:cs="Calibri"/>
          <w:sz w:val="22"/>
          <w:szCs w:val="22"/>
          <w:lang w:val="en-GB"/>
        </w:rPr>
        <w:t>)</w:t>
      </w:r>
      <w:r w:rsidRPr="00BB0061">
        <w:rPr>
          <w:rFonts w:cs="Calibri"/>
          <w:sz w:val="22"/>
          <w:szCs w:val="22"/>
          <w:lang w:val="en-GB"/>
        </w:rPr>
        <w:t xml:space="preserve"> year on year and trading profit </w:t>
      </w:r>
      <w:r w:rsidR="007B4021" w:rsidRPr="00BB0061">
        <w:rPr>
          <w:rFonts w:cs="Calibri"/>
          <w:sz w:val="22"/>
          <w:szCs w:val="22"/>
          <w:lang w:val="en-GB"/>
        </w:rPr>
        <w:t>US</w:t>
      </w:r>
      <w:r w:rsidRPr="00BB0061">
        <w:rPr>
          <w:rFonts w:cs="Calibri"/>
          <w:sz w:val="22"/>
          <w:szCs w:val="22"/>
          <w:lang w:val="en-GB"/>
        </w:rPr>
        <w:t>$</w:t>
      </w:r>
      <w:r w:rsidR="00BB0061" w:rsidRPr="00BB0061">
        <w:rPr>
          <w:rFonts w:cs="Calibri"/>
          <w:sz w:val="22"/>
          <w:szCs w:val="22"/>
          <w:lang w:val="en-GB"/>
        </w:rPr>
        <w:t>3</w:t>
      </w:r>
      <w:r w:rsidRPr="00BB0061">
        <w:rPr>
          <w:rFonts w:cs="Calibri"/>
          <w:sz w:val="22"/>
          <w:szCs w:val="22"/>
          <w:lang w:val="en-GB"/>
        </w:rPr>
        <w:t xml:space="preserve">4 million despite the step up in the investment to build out our transaction business, which is growing fast – up </w:t>
      </w:r>
      <w:r w:rsidR="00A9153C" w:rsidRPr="00BB0061">
        <w:rPr>
          <w:rFonts w:cs="Calibri"/>
          <w:sz w:val="22"/>
          <w:szCs w:val="22"/>
          <w:lang w:val="en-GB"/>
        </w:rPr>
        <w:t>282% (</w:t>
      </w:r>
      <w:r w:rsidRPr="00BB0061">
        <w:rPr>
          <w:rFonts w:cs="Calibri"/>
          <w:sz w:val="22"/>
          <w:szCs w:val="22"/>
          <w:lang w:val="en-GB"/>
        </w:rPr>
        <w:t>164%</w:t>
      </w:r>
      <w:r w:rsidR="00A9153C" w:rsidRPr="00BB0061">
        <w:rPr>
          <w:rFonts w:cs="Calibri"/>
          <w:sz w:val="22"/>
          <w:szCs w:val="22"/>
          <w:lang w:val="en-GB"/>
        </w:rPr>
        <w:t>)</w:t>
      </w:r>
      <w:r w:rsidRPr="00BB0061">
        <w:rPr>
          <w:rFonts w:cs="Calibri"/>
          <w:sz w:val="22"/>
          <w:szCs w:val="22"/>
          <w:lang w:val="en-GB"/>
        </w:rPr>
        <w:t xml:space="preserve"> year on year. Our Food Delivery business is scaling driven by strong demand and order growth. We have also seen signs of improved efficiency and customer acquisition. Revenue </w:t>
      </w:r>
      <w:r w:rsidR="000037D3" w:rsidRPr="00BB0061">
        <w:rPr>
          <w:rFonts w:cs="Calibri"/>
          <w:sz w:val="22"/>
          <w:szCs w:val="22"/>
          <w:lang w:val="en-GB"/>
        </w:rPr>
        <w:t xml:space="preserve">increased </w:t>
      </w:r>
      <w:r w:rsidR="00A9153C" w:rsidRPr="00BB0061">
        <w:rPr>
          <w:rFonts w:cs="Calibri"/>
          <w:sz w:val="22"/>
          <w:szCs w:val="22"/>
          <w:lang w:val="en-GB"/>
        </w:rPr>
        <w:t>99% (</w:t>
      </w:r>
      <w:r w:rsidRPr="00BB0061">
        <w:rPr>
          <w:rFonts w:cs="Calibri"/>
          <w:sz w:val="22"/>
          <w:szCs w:val="22"/>
          <w:lang w:val="en-GB"/>
        </w:rPr>
        <w:t>105%</w:t>
      </w:r>
      <w:r w:rsidR="00A9153C" w:rsidRPr="00BB0061">
        <w:rPr>
          <w:rFonts w:cs="Calibri"/>
          <w:sz w:val="22"/>
          <w:szCs w:val="22"/>
          <w:lang w:val="en-GB"/>
        </w:rPr>
        <w:t>)</w:t>
      </w:r>
      <w:r w:rsidRPr="00BB0061">
        <w:rPr>
          <w:rFonts w:cs="Calibri"/>
          <w:sz w:val="22"/>
          <w:szCs w:val="22"/>
          <w:lang w:val="en-GB"/>
        </w:rPr>
        <w:t xml:space="preserve"> to </w:t>
      </w:r>
      <w:r w:rsidR="007B4021" w:rsidRPr="00BB0061">
        <w:rPr>
          <w:rFonts w:cs="Calibri"/>
          <w:sz w:val="22"/>
          <w:szCs w:val="22"/>
          <w:lang w:val="en-GB"/>
        </w:rPr>
        <w:t>US</w:t>
      </w:r>
      <w:r w:rsidRPr="00BB0061">
        <w:rPr>
          <w:rFonts w:cs="Calibri"/>
          <w:sz w:val="22"/>
          <w:szCs w:val="22"/>
          <w:lang w:val="en-GB"/>
        </w:rPr>
        <w:t>$</w:t>
      </w:r>
      <w:r w:rsidR="00A9153C" w:rsidRPr="00BB0061">
        <w:rPr>
          <w:rFonts w:cs="Calibri"/>
          <w:sz w:val="22"/>
          <w:szCs w:val="22"/>
          <w:lang w:val="en-GB"/>
        </w:rPr>
        <w:t xml:space="preserve">751 </w:t>
      </w:r>
      <w:r w:rsidRPr="00BB0061">
        <w:rPr>
          <w:rFonts w:cs="Calibri"/>
          <w:sz w:val="22"/>
          <w:szCs w:val="22"/>
          <w:lang w:val="en-GB"/>
        </w:rPr>
        <w:t xml:space="preserve">million. Trading losses increased to </w:t>
      </w:r>
      <w:r w:rsidR="007B4021" w:rsidRPr="00BB0061">
        <w:rPr>
          <w:rFonts w:cs="Calibri"/>
          <w:sz w:val="22"/>
          <w:szCs w:val="22"/>
          <w:lang w:val="en-GB"/>
        </w:rPr>
        <w:t>US</w:t>
      </w:r>
      <w:r w:rsidRPr="00BB0061">
        <w:rPr>
          <w:rFonts w:cs="Calibri"/>
          <w:sz w:val="22"/>
          <w:szCs w:val="22"/>
          <w:lang w:val="en-GB"/>
        </w:rPr>
        <w:t xml:space="preserve">$624 million reflecting continued investment in growth. Turning to Payments </w:t>
      </w:r>
      <w:r w:rsidR="009830A5">
        <w:rPr>
          <w:rFonts w:cs="Calibri"/>
          <w:sz w:val="22"/>
          <w:szCs w:val="22"/>
          <w:lang w:val="en-GB"/>
        </w:rPr>
        <w:t>and</w:t>
      </w:r>
      <w:r w:rsidRPr="00BB0061">
        <w:rPr>
          <w:rFonts w:cs="Calibri"/>
          <w:sz w:val="22"/>
          <w:szCs w:val="22"/>
          <w:lang w:val="en-GB"/>
        </w:rPr>
        <w:t xml:space="preserve"> Fintech, PayU grew revenue </w:t>
      </w:r>
      <w:r w:rsidR="00A9153C" w:rsidRPr="00BB0061">
        <w:rPr>
          <w:rFonts w:cs="Calibri"/>
          <w:sz w:val="22"/>
          <w:szCs w:val="22"/>
          <w:lang w:val="en-GB"/>
        </w:rPr>
        <w:t>19% (</w:t>
      </w:r>
      <w:r w:rsidRPr="00BB0061">
        <w:rPr>
          <w:rFonts w:cs="Calibri"/>
          <w:sz w:val="22"/>
          <w:szCs w:val="22"/>
          <w:lang w:val="en-GB"/>
        </w:rPr>
        <w:t>21%</w:t>
      </w:r>
      <w:r w:rsidR="00A9153C" w:rsidRPr="00BB0061">
        <w:rPr>
          <w:rFonts w:cs="Calibri"/>
          <w:sz w:val="22"/>
          <w:szCs w:val="22"/>
          <w:lang w:val="en-GB"/>
        </w:rPr>
        <w:t>)</w:t>
      </w:r>
      <w:r w:rsidRPr="00BB0061">
        <w:rPr>
          <w:rFonts w:cs="Calibri"/>
          <w:sz w:val="22"/>
          <w:szCs w:val="22"/>
          <w:lang w:val="en-GB"/>
        </w:rPr>
        <w:t xml:space="preserve"> year on year. In India, revenue grew even faster at </w:t>
      </w:r>
      <w:r w:rsidR="00BB0061" w:rsidRPr="00BB0061">
        <w:rPr>
          <w:rFonts w:cs="Calibri"/>
          <w:sz w:val="22"/>
          <w:szCs w:val="22"/>
          <w:lang w:val="en-GB"/>
        </w:rPr>
        <w:t>29</w:t>
      </w:r>
      <w:proofErr w:type="gramStart"/>
      <w:r w:rsidR="00BB0061" w:rsidRPr="00BB0061">
        <w:rPr>
          <w:rFonts w:cs="Calibri"/>
          <w:sz w:val="22"/>
          <w:szCs w:val="22"/>
          <w:lang w:val="en-GB"/>
        </w:rPr>
        <w:t>%(</w:t>
      </w:r>
      <w:proofErr w:type="gramEnd"/>
      <w:r w:rsidR="00BB0061" w:rsidRPr="00BB0061">
        <w:rPr>
          <w:rFonts w:cs="Calibri"/>
          <w:sz w:val="22"/>
          <w:szCs w:val="22"/>
          <w:lang w:val="en-GB"/>
        </w:rPr>
        <w:t>31%)</w:t>
      </w:r>
      <w:r w:rsidRPr="00DD46B2">
        <w:rPr>
          <w:rFonts w:cs="Calibri"/>
          <w:sz w:val="22"/>
          <w:szCs w:val="22"/>
          <w:lang w:val="en-GB"/>
        </w:rPr>
        <w:t xml:space="preserve"> year</w:t>
      </w:r>
      <w:r w:rsidRPr="00BB0061">
        <w:rPr>
          <w:rFonts w:cs="Calibri"/>
          <w:sz w:val="22"/>
          <w:szCs w:val="22"/>
          <w:lang w:val="en-GB"/>
        </w:rPr>
        <w:t xml:space="preserve"> over year. India continues to be a key focus for Ventures - the underlying market drivers represent significant potential. In the last financial </w:t>
      </w:r>
      <w:r w:rsidR="000037D3" w:rsidRPr="00BB0061">
        <w:rPr>
          <w:rFonts w:cs="Calibri"/>
          <w:sz w:val="22"/>
          <w:szCs w:val="22"/>
          <w:lang w:val="en-GB"/>
        </w:rPr>
        <w:t>year,</w:t>
      </w:r>
      <w:r w:rsidRPr="00BB0061">
        <w:rPr>
          <w:rFonts w:cs="Calibri"/>
          <w:sz w:val="22"/>
          <w:szCs w:val="22"/>
          <w:lang w:val="en-GB"/>
        </w:rPr>
        <w:t xml:space="preserve"> we invested in </w:t>
      </w:r>
      <w:proofErr w:type="spellStart"/>
      <w:r w:rsidRPr="00BB0061">
        <w:rPr>
          <w:rFonts w:cs="Calibri"/>
          <w:sz w:val="22"/>
          <w:szCs w:val="22"/>
          <w:lang w:val="en-GB"/>
        </w:rPr>
        <w:t>Meesho</w:t>
      </w:r>
      <w:proofErr w:type="spellEnd"/>
      <w:r w:rsidRPr="00BB0061">
        <w:rPr>
          <w:rFonts w:cs="Calibri"/>
          <w:sz w:val="22"/>
          <w:szCs w:val="22"/>
          <w:lang w:val="en-GB"/>
        </w:rPr>
        <w:t xml:space="preserve"> and </w:t>
      </w:r>
      <w:proofErr w:type="spellStart"/>
      <w:r w:rsidRPr="00BB0061">
        <w:rPr>
          <w:rFonts w:cs="Calibri"/>
          <w:sz w:val="22"/>
          <w:szCs w:val="22"/>
          <w:lang w:val="en-GB"/>
        </w:rPr>
        <w:t>ElasticRun</w:t>
      </w:r>
      <w:proofErr w:type="spellEnd"/>
      <w:r w:rsidRPr="00BB0061">
        <w:rPr>
          <w:rFonts w:cs="Calibri"/>
          <w:sz w:val="22"/>
          <w:szCs w:val="22"/>
          <w:lang w:val="en-GB"/>
        </w:rPr>
        <w:t xml:space="preserve">, </w:t>
      </w:r>
      <w:r w:rsidR="008C7081" w:rsidRPr="00BB0061">
        <w:rPr>
          <w:rFonts w:cs="Calibri"/>
          <w:sz w:val="22"/>
          <w:szCs w:val="22"/>
          <w:lang w:val="en-GB"/>
        </w:rPr>
        <w:t>and in the previous year we invested in BYJU’S. So far, we have invested about US$</w:t>
      </w:r>
      <w:r w:rsidR="00A9153C" w:rsidRPr="00BB0061">
        <w:rPr>
          <w:rFonts w:cs="Calibri"/>
          <w:sz w:val="22"/>
          <w:szCs w:val="22"/>
          <w:lang w:val="en-GB"/>
        </w:rPr>
        <w:t xml:space="preserve">855 </w:t>
      </w:r>
      <w:r w:rsidR="008C7081" w:rsidRPr="00BB0061">
        <w:rPr>
          <w:rFonts w:cs="Calibri"/>
          <w:sz w:val="22"/>
          <w:szCs w:val="22"/>
          <w:lang w:val="en-GB"/>
        </w:rPr>
        <w:t xml:space="preserve">million in our Ventures portfolio. Our </w:t>
      </w:r>
      <w:proofErr w:type="spellStart"/>
      <w:r w:rsidR="008C7081" w:rsidRPr="00BB0061">
        <w:rPr>
          <w:rFonts w:cs="Calibri"/>
          <w:sz w:val="22"/>
          <w:szCs w:val="22"/>
          <w:lang w:val="en-GB"/>
        </w:rPr>
        <w:t>edtech</w:t>
      </w:r>
      <w:proofErr w:type="spellEnd"/>
      <w:r w:rsidR="008C7081" w:rsidRPr="00BB0061">
        <w:rPr>
          <w:rFonts w:cs="Calibri"/>
          <w:sz w:val="22"/>
          <w:szCs w:val="22"/>
          <w:lang w:val="en-GB"/>
        </w:rPr>
        <w:t xml:space="preserve"> investments, for example in BYJU’s and Brainly, are by a significant margin the largest in the Ventures portfolio. Covid-19 is accelerating the demand and impact of </w:t>
      </w:r>
      <w:proofErr w:type="spellStart"/>
      <w:r w:rsidR="008C7081" w:rsidRPr="00BB0061">
        <w:rPr>
          <w:rFonts w:cs="Calibri"/>
          <w:sz w:val="22"/>
          <w:szCs w:val="22"/>
          <w:lang w:val="en-GB"/>
        </w:rPr>
        <w:t>edtech</w:t>
      </w:r>
      <w:proofErr w:type="spellEnd"/>
      <w:r w:rsidR="008C7081" w:rsidRPr="00BB0061">
        <w:rPr>
          <w:rFonts w:cs="Calibri"/>
          <w:sz w:val="22"/>
          <w:szCs w:val="22"/>
          <w:lang w:val="en-GB"/>
        </w:rPr>
        <w:t xml:space="preserve"> and this creates an opportunity for us.</w:t>
      </w:r>
    </w:p>
    <w:p w14:paraId="2036627F" w14:textId="77777777" w:rsidR="006C3AAD" w:rsidRPr="00BB0061" w:rsidRDefault="006C3AAD" w:rsidP="000037D3">
      <w:pPr>
        <w:jc w:val="both"/>
        <w:rPr>
          <w:rFonts w:cs="Calibri"/>
          <w:sz w:val="22"/>
          <w:szCs w:val="22"/>
          <w:lang w:val="en-GB"/>
        </w:rPr>
      </w:pPr>
    </w:p>
    <w:p w14:paraId="6713D5A0" w14:textId="686A4BE1" w:rsidR="00112278" w:rsidRPr="00BB0061" w:rsidRDefault="006C3AAD" w:rsidP="000037D3">
      <w:pPr>
        <w:jc w:val="both"/>
        <w:rPr>
          <w:rFonts w:cs="Calibri"/>
          <w:sz w:val="22"/>
          <w:szCs w:val="22"/>
          <w:lang w:val="en-GB"/>
        </w:rPr>
      </w:pPr>
      <w:r w:rsidRPr="00BB0061">
        <w:rPr>
          <w:rFonts w:cs="Calibri"/>
          <w:sz w:val="22"/>
          <w:szCs w:val="22"/>
          <w:lang w:val="en-GB"/>
        </w:rPr>
        <w:t>We had another good year with Tencent. The company continued to grow strongly. Our share of Tencent</w:t>
      </w:r>
      <w:r w:rsidR="009830A5">
        <w:rPr>
          <w:rFonts w:cs="Calibri"/>
          <w:sz w:val="22"/>
          <w:szCs w:val="22"/>
          <w:lang w:val="en-GB"/>
        </w:rPr>
        <w:t>’s</w:t>
      </w:r>
      <w:r w:rsidRPr="00BB0061">
        <w:rPr>
          <w:rFonts w:cs="Calibri"/>
          <w:sz w:val="22"/>
          <w:szCs w:val="22"/>
          <w:lang w:val="en-GB"/>
        </w:rPr>
        <w:t xml:space="preserve"> revenue and trading profit grew 21% and 22% respectively.</w:t>
      </w:r>
    </w:p>
    <w:p w14:paraId="1F58F8DC" w14:textId="77777777" w:rsidR="000037D3" w:rsidRPr="00BB0061" w:rsidRDefault="000037D3" w:rsidP="000037D3">
      <w:pPr>
        <w:jc w:val="both"/>
        <w:rPr>
          <w:b/>
          <w:sz w:val="22"/>
          <w:szCs w:val="22"/>
          <w:lang w:val="en-GB"/>
        </w:rPr>
      </w:pPr>
    </w:p>
    <w:p w14:paraId="3E016F7E" w14:textId="360600C9" w:rsidR="00112278" w:rsidRPr="00BB0061" w:rsidRDefault="000037D3" w:rsidP="000037D3">
      <w:pPr>
        <w:jc w:val="both"/>
        <w:rPr>
          <w:b/>
          <w:sz w:val="22"/>
          <w:szCs w:val="22"/>
          <w:lang w:val="en-GB"/>
        </w:rPr>
      </w:pPr>
      <w:r w:rsidRPr="00BB0061">
        <w:rPr>
          <w:b/>
          <w:sz w:val="22"/>
          <w:szCs w:val="22"/>
          <w:lang w:val="en-GB"/>
        </w:rPr>
        <w:t>Committed to our s</w:t>
      </w:r>
      <w:r w:rsidR="00112278" w:rsidRPr="00BB0061">
        <w:rPr>
          <w:b/>
          <w:sz w:val="22"/>
          <w:szCs w:val="22"/>
          <w:lang w:val="en-GB"/>
        </w:rPr>
        <w:t>trategy</w:t>
      </w:r>
    </w:p>
    <w:p w14:paraId="1A8E5D9C" w14:textId="421AE890" w:rsidR="000037D3" w:rsidRPr="00BB0061" w:rsidRDefault="00112278" w:rsidP="000037D3">
      <w:pPr>
        <w:jc w:val="both"/>
        <w:rPr>
          <w:rFonts w:cs="Calibri"/>
          <w:sz w:val="22"/>
          <w:szCs w:val="22"/>
          <w:lang w:val="en-GB"/>
        </w:rPr>
      </w:pPr>
      <w:r w:rsidRPr="00BB0061">
        <w:rPr>
          <w:rFonts w:cs="Calibri"/>
          <w:sz w:val="22"/>
          <w:szCs w:val="22"/>
          <w:lang w:val="en-GB"/>
        </w:rPr>
        <w:t>We remain firmly committed to our strategy</w:t>
      </w:r>
      <w:r w:rsidR="009830A5">
        <w:rPr>
          <w:rFonts w:cs="Calibri"/>
          <w:sz w:val="22"/>
          <w:szCs w:val="22"/>
          <w:lang w:val="en-GB"/>
        </w:rPr>
        <w:t>.</w:t>
      </w:r>
      <w:r w:rsidRPr="00BB0061">
        <w:rPr>
          <w:rFonts w:cs="Calibri"/>
          <w:sz w:val="22"/>
          <w:szCs w:val="22"/>
          <w:lang w:val="en-GB"/>
        </w:rPr>
        <w:t xml:space="preserve"> We are active participants in our investments and we have become increasingly close to our partners during the crisis, to ensure we support them. Being both an operator and investor helps us to prioritise and share best practises at a very concrete level. We always take a long-term view and our focus remains on building sustainable leadership positions across our core segments. This is key to </w:t>
      </w:r>
      <w:r w:rsidR="000037D3" w:rsidRPr="00BB0061">
        <w:rPr>
          <w:rFonts w:cs="Calibri"/>
          <w:sz w:val="22"/>
          <w:szCs w:val="22"/>
          <w:lang w:val="en-GB"/>
        </w:rPr>
        <w:t xml:space="preserve">attaining </w:t>
      </w:r>
      <w:r w:rsidRPr="00BB0061">
        <w:rPr>
          <w:rFonts w:cs="Calibri"/>
          <w:sz w:val="22"/>
          <w:szCs w:val="22"/>
          <w:lang w:val="en-GB"/>
        </w:rPr>
        <w:t xml:space="preserve">profitability on a sustainable basis. Through the year, we invested </w:t>
      </w:r>
      <w:r w:rsidR="007B4021" w:rsidRPr="00BB0061">
        <w:rPr>
          <w:rFonts w:cs="Calibri"/>
          <w:sz w:val="22"/>
          <w:szCs w:val="22"/>
          <w:lang w:val="en-GB"/>
        </w:rPr>
        <w:t>US</w:t>
      </w:r>
      <w:r w:rsidRPr="00BB0061">
        <w:rPr>
          <w:rFonts w:cs="Calibri"/>
          <w:sz w:val="22"/>
          <w:szCs w:val="22"/>
          <w:lang w:val="en-GB"/>
        </w:rPr>
        <w:t xml:space="preserve">$1.3 billion in Food Delivery, Classifieds, Payments </w:t>
      </w:r>
      <w:r w:rsidR="009830A5">
        <w:rPr>
          <w:rFonts w:cs="Calibri"/>
          <w:sz w:val="22"/>
          <w:szCs w:val="22"/>
          <w:lang w:val="en-GB"/>
        </w:rPr>
        <w:t>and</w:t>
      </w:r>
      <w:r w:rsidRPr="00BB0061">
        <w:rPr>
          <w:rFonts w:cs="Calibri"/>
          <w:sz w:val="22"/>
          <w:szCs w:val="22"/>
          <w:lang w:val="en-GB"/>
        </w:rPr>
        <w:t xml:space="preserve"> Fintech, and Ventures. We continue to be highly disciplined in our capital allocation. </w:t>
      </w:r>
    </w:p>
    <w:p w14:paraId="69438207" w14:textId="1E4306EA" w:rsidR="00112278" w:rsidRDefault="00112278" w:rsidP="000037D3">
      <w:pPr>
        <w:jc w:val="both"/>
        <w:rPr>
          <w:rFonts w:cs="Calibri"/>
          <w:sz w:val="22"/>
          <w:szCs w:val="22"/>
          <w:lang w:val="en-GB"/>
        </w:rPr>
      </w:pPr>
      <w:r w:rsidRPr="00BB0061">
        <w:rPr>
          <w:rFonts w:cs="Calibri"/>
          <w:sz w:val="22"/>
          <w:szCs w:val="22"/>
          <w:lang w:val="en-GB"/>
        </w:rPr>
        <w:t xml:space="preserve">During the year we considered over 5,000 potential deals and executed </w:t>
      </w:r>
      <w:r w:rsidR="008C7081" w:rsidRPr="00BB0061">
        <w:rPr>
          <w:rFonts w:cs="Calibri"/>
          <w:sz w:val="22"/>
          <w:szCs w:val="22"/>
          <w:lang w:val="en-GB"/>
        </w:rPr>
        <w:t>on 54. (We have</w:t>
      </w:r>
      <w:r w:rsidR="008C7081" w:rsidRPr="000037D3">
        <w:rPr>
          <w:rFonts w:cs="Calibri"/>
          <w:sz w:val="22"/>
          <w:szCs w:val="22"/>
          <w:lang w:val="en-GB"/>
        </w:rPr>
        <w:t xml:space="preserve"> also walked away from high profile transactions where it was the right thing to do.</w:t>
      </w:r>
      <w:r w:rsidR="008C7081">
        <w:rPr>
          <w:rFonts w:cs="Calibri"/>
          <w:sz w:val="22"/>
          <w:szCs w:val="22"/>
          <w:lang w:val="en-GB"/>
        </w:rPr>
        <w:t>)</w:t>
      </w:r>
    </w:p>
    <w:p w14:paraId="0C6CF52F" w14:textId="77777777" w:rsidR="00A9153C" w:rsidRPr="000037D3" w:rsidRDefault="00A9153C" w:rsidP="000037D3">
      <w:pPr>
        <w:jc w:val="both"/>
        <w:rPr>
          <w:sz w:val="22"/>
          <w:szCs w:val="22"/>
          <w:lang w:val="en-GB"/>
        </w:rPr>
      </w:pPr>
    </w:p>
    <w:p w14:paraId="674DCC30" w14:textId="6249E43B" w:rsidR="00112278" w:rsidRPr="000037D3" w:rsidRDefault="002751E5" w:rsidP="005607E7">
      <w:pPr>
        <w:keepNext/>
        <w:jc w:val="both"/>
        <w:rPr>
          <w:b/>
          <w:sz w:val="22"/>
          <w:szCs w:val="22"/>
          <w:lang w:val="en-GB"/>
        </w:rPr>
      </w:pPr>
      <w:r w:rsidRPr="000037D3">
        <w:rPr>
          <w:b/>
          <w:sz w:val="22"/>
          <w:szCs w:val="22"/>
          <w:lang w:val="en-GB"/>
        </w:rPr>
        <w:t xml:space="preserve">Aligning </w:t>
      </w:r>
      <w:r w:rsidR="00112278" w:rsidRPr="000037D3">
        <w:rPr>
          <w:b/>
          <w:sz w:val="22"/>
          <w:szCs w:val="22"/>
          <w:lang w:val="en-GB"/>
        </w:rPr>
        <w:t>remuneration</w:t>
      </w:r>
      <w:r w:rsidRPr="000037D3">
        <w:rPr>
          <w:b/>
          <w:sz w:val="22"/>
          <w:szCs w:val="22"/>
          <w:lang w:val="en-GB"/>
        </w:rPr>
        <w:t xml:space="preserve"> to performance and value creation</w:t>
      </w:r>
    </w:p>
    <w:p w14:paraId="2BAB8A40" w14:textId="78B6978C" w:rsidR="008C7081" w:rsidRPr="000037D3" w:rsidRDefault="008C7081" w:rsidP="008C7081">
      <w:pPr>
        <w:jc w:val="both"/>
        <w:rPr>
          <w:rFonts w:cs="Calibri"/>
          <w:sz w:val="22"/>
          <w:szCs w:val="22"/>
        </w:rPr>
      </w:pPr>
      <w:r w:rsidRPr="000037D3">
        <w:rPr>
          <w:rFonts w:cs="Calibri"/>
          <w:sz w:val="22"/>
          <w:szCs w:val="22"/>
        </w:rPr>
        <w:t xml:space="preserve">We aim to attract, </w:t>
      </w:r>
      <w:proofErr w:type="gramStart"/>
      <w:r w:rsidRPr="000037D3">
        <w:rPr>
          <w:rFonts w:cs="Calibri"/>
          <w:sz w:val="22"/>
          <w:szCs w:val="22"/>
        </w:rPr>
        <w:t>motivate</w:t>
      </w:r>
      <w:proofErr w:type="gramEnd"/>
      <w:r w:rsidRPr="000037D3">
        <w:rPr>
          <w:rFonts w:cs="Calibri"/>
          <w:sz w:val="22"/>
          <w:szCs w:val="22"/>
        </w:rPr>
        <w:t xml:space="preserve"> and retain the best people to create sustainable shareholder value. </w:t>
      </w:r>
      <w:r>
        <w:rPr>
          <w:rFonts w:cs="Calibri"/>
          <w:sz w:val="22"/>
          <w:szCs w:val="22"/>
        </w:rPr>
        <w:t xml:space="preserve">Our people are </w:t>
      </w:r>
      <w:r w:rsidRPr="000037D3">
        <w:rPr>
          <w:rFonts w:cs="Calibri"/>
          <w:sz w:val="22"/>
          <w:szCs w:val="22"/>
        </w:rPr>
        <w:t xml:space="preserve">at the heart of our </w:t>
      </w:r>
      <w:r>
        <w:rPr>
          <w:rFonts w:cs="Calibri"/>
          <w:sz w:val="22"/>
          <w:szCs w:val="22"/>
        </w:rPr>
        <w:t xml:space="preserve">success. </w:t>
      </w:r>
      <w:r w:rsidRPr="000037D3">
        <w:rPr>
          <w:rFonts w:cs="Calibri"/>
          <w:sz w:val="22"/>
          <w:szCs w:val="22"/>
          <w:lang w:val="en-GB"/>
        </w:rPr>
        <w:t xml:space="preserve">We operate in a highly competitive global market for the </w:t>
      </w:r>
      <w:r>
        <w:rPr>
          <w:rFonts w:cs="Calibri"/>
          <w:sz w:val="22"/>
          <w:szCs w:val="22"/>
          <w:lang w:val="en-GB"/>
        </w:rPr>
        <w:t xml:space="preserve">digital </w:t>
      </w:r>
      <w:r w:rsidRPr="000037D3">
        <w:rPr>
          <w:rFonts w:cs="Calibri"/>
          <w:sz w:val="22"/>
          <w:szCs w:val="22"/>
          <w:lang w:val="en-GB"/>
        </w:rPr>
        <w:t xml:space="preserve">talent we need. To attract and retain the best and achieve our goals, we focus on pay for performance, encourage ownership and </w:t>
      </w:r>
      <w:r>
        <w:rPr>
          <w:rFonts w:cs="Calibri"/>
          <w:sz w:val="22"/>
          <w:szCs w:val="22"/>
          <w:lang w:val="en-GB"/>
        </w:rPr>
        <w:t xml:space="preserve">an </w:t>
      </w:r>
      <w:r w:rsidRPr="000037D3">
        <w:rPr>
          <w:rFonts w:cs="Calibri"/>
          <w:sz w:val="22"/>
          <w:szCs w:val="22"/>
          <w:lang w:val="en-GB"/>
        </w:rPr>
        <w:t>entrepreneurial</w:t>
      </w:r>
      <w:r>
        <w:rPr>
          <w:rFonts w:cs="Calibri"/>
          <w:sz w:val="22"/>
          <w:szCs w:val="22"/>
          <w:lang w:val="en-GB"/>
        </w:rPr>
        <w:t xml:space="preserve"> spirit</w:t>
      </w:r>
      <w:r w:rsidRPr="000037D3">
        <w:rPr>
          <w:rFonts w:cs="Calibri"/>
          <w:sz w:val="22"/>
          <w:szCs w:val="22"/>
          <w:lang w:val="en-GB"/>
        </w:rPr>
        <w:t xml:space="preserve"> in our teams around the world, and align management compensation with the creation of shareholder value over time. </w:t>
      </w:r>
    </w:p>
    <w:p w14:paraId="6EE37351" w14:textId="77777777" w:rsidR="008C7081" w:rsidRPr="000037D3" w:rsidRDefault="008C7081" w:rsidP="008C7081">
      <w:pPr>
        <w:jc w:val="both"/>
        <w:rPr>
          <w:rFonts w:cs="Calibri"/>
          <w:sz w:val="22"/>
          <w:szCs w:val="22"/>
          <w:lang w:val="en-GB"/>
        </w:rPr>
      </w:pPr>
    </w:p>
    <w:p w14:paraId="26CBE1DD" w14:textId="77777777" w:rsidR="008C7081" w:rsidRPr="009D2499" w:rsidRDefault="008C7081" w:rsidP="008C7081">
      <w:pPr>
        <w:rPr>
          <w:rFonts w:cs="Calibri"/>
          <w:sz w:val="22"/>
          <w:szCs w:val="22"/>
          <w:lang w:val="en-GB"/>
        </w:rPr>
      </w:pPr>
      <w:r w:rsidRPr="009D2499">
        <w:rPr>
          <w:rFonts w:cs="Calibri"/>
          <w:sz w:val="22"/>
          <w:szCs w:val="22"/>
          <w:lang w:val="en-GB"/>
        </w:rPr>
        <w:t xml:space="preserve">We successfully listed Prosus on the Euronext Amsterdam stock exchange in September 2019. As a strategic investor and </w:t>
      </w:r>
      <w:proofErr w:type="gramStart"/>
      <w:r w:rsidRPr="009D2499">
        <w:rPr>
          <w:rFonts w:cs="Calibri"/>
          <w:sz w:val="22"/>
          <w:szCs w:val="22"/>
          <w:lang w:val="en-GB"/>
        </w:rPr>
        <w:t>operator</w:t>
      </w:r>
      <w:proofErr w:type="gramEnd"/>
      <w:r w:rsidRPr="009D2499">
        <w:rPr>
          <w:rFonts w:cs="Calibri"/>
          <w:sz w:val="22"/>
          <w:szCs w:val="22"/>
          <w:lang w:val="en-GB"/>
        </w:rPr>
        <w:t xml:space="preserve"> we focus on long-term value creation by building leading technology companies that improve people’s daily lives in high-growth markets. As a global consumer internet group, we are one of the largest technology investors in the world. Our business moves fast as technology trends and consumer adoption change, and we seek to run businesses that have broad potential, can address big societal </w:t>
      </w:r>
      <w:proofErr w:type="gramStart"/>
      <w:r w:rsidRPr="009D2499">
        <w:rPr>
          <w:rFonts w:cs="Calibri"/>
          <w:sz w:val="22"/>
          <w:szCs w:val="22"/>
          <w:lang w:val="en-GB"/>
        </w:rPr>
        <w:t>needs</w:t>
      </w:r>
      <w:proofErr w:type="gramEnd"/>
      <w:r w:rsidRPr="009D2499">
        <w:rPr>
          <w:rFonts w:cs="Calibri"/>
          <w:sz w:val="22"/>
          <w:szCs w:val="22"/>
          <w:lang w:val="en-GB"/>
        </w:rPr>
        <w:t xml:space="preserve"> and can attain market leadership over time. </w:t>
      </w:r>
    </w:p>
    <w:p w14:paraId="76A4A370" w14:textId="3DC6497A" w:rsidR="008C7081" w:rsidRPr="000037D3" w:rsidRDefault="008C7081" w:rsidP="008C7081">
      <w:pPr>
        <w:jc w:val="both"/>
        <w:rPr>
          <w:rFonts w:cs="Calibri"/>
          <w:sz w:val="22"/>
          <w:szCs w:val="22"/>
          <w:lang w:val="en-GB"/>
        </w:rPr>
      </w:pPr>
      <w:r w:rsidRPr="000037D3">
        <w:rPr>
          <w:rFonts w:cs="Calibri"/>
          <w:sz w:val="22"/>
          <w:szCs w:val="22"/>
          <w:lang w:val="en-GB"/>
        </w:rPr>
        <w:lastRenderedPageBreak/>
        <w:t>Our executives continue to be compensated based on both Naspers and Prosus performance.</w:t>
      </w:r>
    </w:p>
    <w:p w14:paraId="251EFCD2" w14:textId="77777777" w:rsidR="008C7081" w:rsidRPr="000037D3" w:rsidRDefault="008C7081" w:rsidP="008C7081">
      <w:pPr>
        <w:jc w:val="both"/>
        <w:rPr>
          <w:rFonts w:cs="Calibri"/>
          <w:sz w:val="22"/>
          <w:szCs w:val="22"/>
          <w:lang w:val="en-GB"/>
        </w:rPr>
      </w:pPr>
    </w:p>
    <w:p w14:paraId="30D5C4F4" w14:textId="1D58A6F2" w:rsidR="008C7081" w:rsidRPr="000037D3" w:rsidRDefault="008C7081" w:rsidP="008C7081">
      <w:pPr>
        <w:jc w:val="both"/>
        <w:rPr>
          <w:rFonts w:cs="Calibri"/>
          <w:sz w:val="22"/>
          <w:szCs w:val="22"/>
          <w:lang w:val="en-GB"/>
        </w:rPr>
      </w:pPr>
      <w:r w:rsidRPr="000037D3">
        <w:rPr>
          <w:rFonts w:cs="Calibri"/>
          <w:sz w:val="22"/>
          <w:szCs w:val="22"/>
          <w:lang w:val="en-GB"/>
        </w:rPr>
        <w:t xml:space="preserve">This year, 60% of the longer-term incentive awards (LTIs) to senior executives will be made in performance share units (PSUs), which will vest after three years only if key performance metrics are met. </w:t>
      </w:r>
      <w:r>
        <w:rPr>
          <w:rFonts w:cs="Calibri"/>
          <w:sz w:val="22"/>
          <w:szCs w:val="22"/>
          <w:lang w:val="en-GB"/>
        </w:rPr>
        <w:t xml:space="preserve">PSUs, as part of our </w:t>
      </w:r>
      <w:r w:rsidRPr="000037D3">
        <w:rPr>
          <w:rFonts w:cs="Calibri"/>
          <w:sz w:val="22"/>
          <w:szCs w:val="22"/>
          <w:lang w:val="en-GB"/>
        </w:rPr>
        <w:t>remuneration toolkit</w:t>
      </w:r>
      <w:r>
        <w:rPr>
          <w:rFonts w:cs="Calibri"/>
          <w:sz w:val="22"/>
          <w:szCs w:val="22"/>
          <w:lang w:val="en-GB"/>
        </w:rPr>
        <w:t>, including</w:t>
      </w:r>
      <w:r w:rsidRPr="000037D3">
        <w:rPr>
          <w:rFonts w:cs="Calibri"/>
          <w:sz w:val="22"/>
          <w:szCs w:val="22"/>
          <w:lang w:val="en-GB"/>
        </w:rPr>
        <w:t xml:space="preserve"> share options (SOs) and share appreciation rights (SARs)</w:t>
      </w:r>
      <w:r>
        <w:rPr>
          <w:rFonts w:cs="Calibri"/>
          <w:sz w:val="22"/>
          <w:szCs w:val="22"/>
          <w:lang w:val="en-GB"/>
        </w:rPr>
        <w:t>,</w:t>
      </w:r>
      <w:r w:rsidRPr="000037D3">
        <w:rPr>
          <w:rFonts w:cs="Calibri"/>
          <w:sz w:val="22"/>
          <w:szCs w:val="22"/>
          <w:lang w:val="en-GB"/>
        </w:rPr>
        <w:t xml:space="preserve"> create a balanced mix of LTIs </w:t>
      </w:r>
      <w:r>
        <w:rPr>
          <w:rFonts w:cs="Calibri"/>
          <w:sz w:val="22"/>
          <w:szCs w:val="22"/>
          <w:lang w:val="en-GB"/>
        </w:rPr>
        <w:t xml:space="preserve">with value-based performance hurdles </w:t>
      </w:r>
      <w:r w:rsidRPr="000037D3">
        <w:rPr>
          <w:rFonts w:cs="Calibri"/>
          <w:sz w:val="22"/>
          <w:szCs w:val="22"/>
          <w:lang w:val="en-GB"/>
        </w:rPr>
        <w:t xml:space="preserve">that will help drive the right longer-term outcomes for stakeholders. </w:t>
      </w:r>
    </w:p>
    <w:p w14:paraId="13F1951E" w14:textId="77777777" w:rsidR="008C7081" w:rsidRPr="000037D3" w:rsidRDefault="008C7081" w:rsidP="008C7081">
      <w:pPr>
        <w:jc w:val="both"/>
        <w:rPr>
          <w:rFonts w:cs="Calibri"/>
          <w:sz w:val="22"/>
          <w:szCs w:val="22"/>
          <w:lang w:val="en-GB"/>
        </w:rPr>
      </w:pPr>
    </w:p>
    <w:p w14:paraId="35F25686" w14:textId="77777777" w:rsidR="008C7081" w:rsidRPr="000037D3" w:rsidRDefault="008C7081" w:rsidP="008C7081">
      <w:pPr>
        <w:jc w:val="both"/>
        <w:rPr>
          <w:rFonts w:cs="Calibri"/>
          <w:sz w:val="22"/>
          <w:szCs w:val="22"/>
          <w:lang w:val="en-GB"/>
        </w:rPr>
      </w:pPr>
      <w:r w:rsidRPr="000037D3">
        <w:rPr>
          <w:rFonts w:cs="Calibri"/>
          <w:sz w:val="22"/>
          <w:szCs w:val="22"/>
          <w:lang w:val="en-GB"/>
        </w:rPr>
        <w:t xml:space="preserve">Below the executive level, we are using restricted share units (RSUs) more broadly across the organisation, to better align our compensation practices with our peers and increase opportunity for employees to own shares in the company. RSUs will be complemented with SAR allocations on our unlisted assets, to further align incentives to performance delivery and value creation. </w:t>
      </w:r>
    </w:p>
    <w:p w14:paraId="65A214C8" w14:textId="2CEE161E" w:rsidR="00112278" w:rsidRPr="000037D3" w:rsidRDefault="008C7081" w:rsidP="008C7081">
      <w:pPr>
        <w:jc w:val="both"/>
        <w:rPr>
          <w:rFonts w:cs="Calibri"/>
          <w:sz w:val="22"/>
          <w:szCs w:val="22"/>
          <w:lang w:val="en-GB"/>
        </w:rPr>
      </w:pPr>
      <w:r w:rsidRPr="009D2499">
        <w:rPr>
          <w:rFonts w:cs="Calibri"/>
          <w:sz w:val="22"/>
          <w:szCs w:val="22"/>
        </w:rPr>
        <w:t>Societal fairness is very important to us, particularly as we operate in developing economies were socioeconomic disparity can be large. We take our responsibilities in that respect seriously and ensure that our pay practices around the world are fair and competitive.</w:t>
      </w:r>
      <w:r w:rsidRPr="009D2499">
        <w:rPr>
          <w:rFonts w:cs="Calibri"/>
          <w:sz w:val="22"/>
          <w:szCs w:val="22"/>
          <w:lang w:val="en-GB"/>
        </w:rPr>
        <w:t xml:space="preserve"> </w:t>
      </w:r>
      <w:r w:rsidRPr="009D2499">
        <w:rPr>
          <w:rFonts w:cs="Calibri"/>
          <w:sz w:val="22"/>
          <w:szCs w:val="22"/>
        </w:rPr>
        <w:t>And pay is an important aspect, but not the only consideration.</w:t>
      </w:r>
      <w:r w:rsidRPr="009D2499">
        <w:rPr>
          <w:rFonts w:cs="Calibri"/>
          <w:sz w:val="22"/>
          <w:szCs w:val="22"/>
          <w:lang w:val="en-GB"/>
        </w:rPr>
        <w:t xml:space="preserve"> </w:t>
      </w:r>
      <w:r w:rsidRPr="009D2499">
        <w:rPr>
          <w:rFonts w:cs="Calibri"/>
          <w:sz w:val="22"/>
          <w:szCs w:val="22"/>
        </w:rPr>
        <w:t>In general, our people join us because of the opportunity to do meaningful work where they have the opportunity to make a difference, to learn and grow.</w:t>
      </w:r>
    </w:p>
    <w:p w14:paraId="16042BC7" w14:textId="77777777" w:rsidR="00112278" w:rsidRPr="000037D3" w:rsidRDefault="00112278" w:rsidP="000037D3">
      <w:pPr>
        <w:jc w:val="both"/>
        <w:rPr>
          <w:rFonts w:cs="Calibri"/>
          <w:sz w:val="22"/>
          <w:szCs w:val="22"/>
          <w:lang w:val="en-GB"/>
        </w:rPr>
      </w:pPr>
    </w:p>
    <w:p w14:paraId="39103315" w14:textId="0D6EF010" w:rsidR="00112278" w:rsidRPr="000037D3" w:rsidRDefault="00112278" w:rsidP="000037D3">
      <w:pPr>
        <w:jc w:val="both"/>
        <w:rPr>
          <w:rFonts w:cs="Calibri"/>
          <w:sz w:val="22"/>
          <w:szCs w:val="22"/>
          <w:lang w:val="en-GB"/>
        </w:rPr>
      </w:pPr>
      <w:r w:rsidRPr="000037D3">
        <w:rPr>
          <w:rFonts w:cs="Calibri"/>
          <w:sz w:val="22"/>
          <w:szCs w:val="22"/>
          <w:lang w:val="en-GB"/>
        </w:rPr>
        <w:t>We will continue to engage closely with our investors and advisers – listening and responding to feedback and above all, focusing on strongly aligning our HR and remuneration to Prosus’s strategy and performance.</w:t>
      </w:r>
    </w:p>
    <w:p w14:paraId="6D74D46B" w14:textId="62995510" w:rsidR="000037D3" w:rsidRDefault="000037D3" w:rsidP="000037D3">
      <w:pPr>
        <w:jc w:val="both"/>
        <w:rPr>
          <w:sz w:val="22"/>
          <w:szCs w:val="22"/>
          <w:lang w:val="en-GB"/>
        </w:rPr>
      </w:pPr>
    </w:p>
    <w:p w14:paraId="66786B1F" w14:textId="77777777" w:rsidR="005607E7" w:rsidRPr="005607E7" w:rsidRDefault="005607E7" w:rsidP="005607E7">
      <w:pPr>
        <w:keepNext/>
        <w:jc w:val="both"/>
        <w:rPr>
          <w:b/>
          <w:sz w:val="22"/>
          <w:szCs w:val="22"/>
          <w:lang w:val="en-GB"/>
        </w:rPr>
      </w:pPr>
      <w:r w:rsidRPr="005607E7">
        <w:rPr>
          <w:b/>
          <w:sz w:val="22"/>
          <w:szCs w:val="22"/>
          <w:lang w:val="en-GB"/>
        </w:rPr>
        <w:t>Dividend declaration</w:t>
      </w:r>
    </w:p>
    <w:p w14:paraId="3CA81C66" w14:textId="4537D5AE" w:rsidR="005607E7" w:rsidRPr="005607E7" w:rsidRDefault="005607E7" w:rsidP="005607E7">
      <w:pPr>
        <w:jc w:val="both"/>
        <w:rPr>
          <w:sz w:val="22"/>
          <w:szCs w:val="22"/>
          <w:lang w:val="en-GB"/>
        </w:rPr>
      </w:pPr>
      <w:r>
        <w:rPr>
          <w:sz w:val="22"/>
          <w:szCs w:val="22"/>
          <w:lang w:val="en-GB"/>
        </w:rPr>
        <w:t xml:space="preserve">The dividend proposed by the </w:t>
      </w:r>
      <w:r w:rsidRPr="005607E7">
        <w:rPr>
          <w:sz w:val="22"/>
          <w:szCs w:val="22"/>
          <w:lang w:val="en-GB"/>
        </w:rPr>
        <w:t xml:space="preserve">company’s board of directors (“the board”) </w:t>
      </w:r>
      <w:r>
        <w:rPr>
          <w:sz w:val="22"/>
          <w:szCs w:val="22"/>
          <w:lang w:val="en-GB"/>
        </w:rPr>
        <w:t xml:space="preserve">has been approved by the shareholders.  On this basis, </w:t>
      </w:r>
      <w:r w:rsidRPr="005607E7">
        <w:rPr>
          <w:sz w:val="22"/>
          <w:szCs w:val="22"/>
          <w:lang w:val="en-GB"/>
        </w:rPr>
        <w:t xml:space="preserve">holders of ordinary shares </w:t>
      </w:r>
      <w:r>
        <w:rPr>
          <w:sz w:val="22"/>
          <w:szCs w:val="22"/>
          <w:lang w:val="en-GB"/>
        </w:rPr>
        <w:t xml:space="preserve">N </w:t>
      </w:r>
      <w:r w:rsidRPr="005607E7">
        <w:rPr>
          <w:sz w:val="22"/>
          <w:szCs w:val="22"/>
          <w:lang w:val="en-GB"/>
        </w:rPr>
        <w:t xml:space="preserve">are entitled to a gross payment, in the form of a capital repayment, of </w:t>
      </w:r>
      <w:r w:rsidRPr="00BB0061">
        <w:rPr>
          <w:sz w:val="22"/>
          <w:szCs w:val="22"/>
          <w:lang w:val="en-GB"/>
        </w:rPr>
        <w:t>11 euro</w:t>
      </w:r>
      <w:r w:rsidRPr="005607E7">
        <w:rPr>
          <w:sz w:val="22"/>
          <w:szCs w:val="22"/>
          <w:lang w:val="en-GB"/>
        </w:rPr>
        <w:t xml:space="preserve"> cents per share and holders of ordinary shares A1 will receive a distribution of </w:t>
      </w:r>
      <w:r w:rsidRPr="00BB0061">
        <w:rPr>
          <w:sz w:val="22"/>
          <w:szCs w:val="22"/>
          <w:lang w:val="en-GB"/>
        </w:rPr>
        <w:t>0.602 euro cent</w:t>
      </w:r>
      <w:r w:rsidRPr="005607E7">
        <w:rPr>
          <w:sz w:val="22"/>
          <w:szCs w:val="22"/>
          <w:lang w:val="en-GB"/>
        </w:rPr>
        <w:t xml:space="preserve"> per share</w:t>
      </w:r>
      <w:r w:rsidR="009C30E7">
        <w:rPr>
          <w:sz w:val="22"/>
          <w:szCs w:val="22"/>
          <w:lang w:val="en-GB"/>
        </w:rPr>
        <w:t xml:space="preserve"> for the year ended 31 March 2020</w:t>
      </w:r>
      <w:r w:rsidRPr="005607E7">
        <w:rPr>
          <w:sz w:val="22"/>
          <w:szCs w:val="22"/>
          <w:lang w:val="en-GB"/>
        </w:rPr>
        <w:t xml:space="preserve">. </w:t>
      </w:r>
    </w:p>
    <w:p w14:paraId="185647A1" w14:textId="77777777" w:rsidR="005607E7" w:rsidRPr="005607E7" w:rsidRDefault="005607E7" w:rsidP="005607E7">
      <w:pPr>
        <w:jc w:val="both"/>
        <w:rPr>
          <w:sz w:val="22"/>
          <w:szCs w:val="22"/>
          <w:lang w:val="en-GB"/>
        </w:rPr>
      </w:pPr>
    </w:p>
    <w:p w14:paraId="4106A568" w14:textId="6212837B" w:rsidR="005607E7" w:rsidRPr="005607E7" w:rsidRDefault="005607E7" w:rsidP="005607E7">
      <w:pPr>
        <w:jc w:val="both"/>
        <w:rPr>
          <w:sz w:val="22"/>
          <w:szCs w:val="22"/>
          <w:lang w:val="en-GB"/>
        </w:rPr>
      </w:pPr>
      <w:r>
        <w:rPr>
          <w:sz w:val="22"/>
          <w:szCs w:val="22"/>
          <w:lang w:val="en-GB"/>
        </w:rPr>
        <w:t>H</w:t>
      </w:r>
      <w:r w:rsidRPr="005607E7">
        <w:rPr>
          <w:sz w:val="22"/>
          <w:szCs w:val="22"/>
          <w:lang w:val="en-GB"/>
        </w:rPr>
        <w:t xml:space="preserve">olders of ordinary shares </w:t>
      </w:r>
      <w:r>
        <w:rPr>
          <w:sz w:val="22"/>
          <w:szCs w:val="22"/>
          <w:lang w:val="en-GB"/>
        </w:rPr>
        <w:t xml:space="preserve">N </w:t>
      </w:r>
      <w:r w:rsidRPr="005607E7">
        <w:rPr>
          <w:sz w:val="22"/>
          <w:szCs w:val="22"/>
          <w:lang w:val="en-GB"/>
        </w:rPr>
        <w:t xml:space="preserve">as at </w:t>
      </w:r>
      <w:r w:rsidR="00C87234">
        <w:rPr>
          <w:sz w:val="22"/>
          <w:szCs w:val="22"/>
          <w:lang w:val="en-GB"/>
        </w:rPr>
        <w:t xml:space="preserve">Friday, </w:t>
      </w:r>
      <w:r w:rsidR="009C7F89">
        <w:rPr>
          <w:sz w:val="22"/>
          <w:szCs w:val="22"/>
          <w:lang w:val="en-GB"/>
        </w:rPr>
        <w:t>23 October 2020</w:t>
      </w:r>
      <w:r w:rsidRPr="005607E7">
        <w:rPr>
          <w:sz w:val="22"/>
          <w:szCs w:val="22"/>
          <w:lang w:val="en-GB"/>
        </w:rPr>
        <w:t xml:space="preserve"> (the dividend record date) who do not wish to receive a capital repayment can elect to receive a dividend instead. A choice for one option implies an opt-out of the other option. </w:t>
      </w:r>
      <w:r>
        <w:rPr>
          <w:sz w:val="22"/>
          <w:szCs w:val="22"/>
          <w:lang w:val="en-GB"/>
        </w:rPr>
        <w:t>E</w:t>
      </w:r>
      <w:r w:rsidRPr="005607E7">
        <w:rPr>
          <w:sz w:val="22"/>
          <w:szCs w:val="22"/>
          <w:lang w:val="en-GB"/>
        </w:rPr>
        <w:t>lections to receive a dividend instead of a capital repayment will need to be made by holders of ordinary shares N by Monday, 9 November 2020. Capital repayments and dividends will be payable to shareholders recorded in the books on the dividend record date and paid on or after Tuesday, 17 November 2020.</w:t>
      </w:r>
    </w:p>
    <w:p w14:paraId="7CB73FDC" w14:textId="195E3AB7" w:rsidR="005607E7" w:rsidRPr="005607E7" w:rsidRDefault="005607E7" w:rsidP="005607E7">
      <w:pPr>
        <w:jc w:val="both"/>
        <w:rPr>
          <w:sz w:val="22"/>
          <w:szCs w:val="22"/>
          <w:lang w:val="en-GB"/>
        </w:rPr>
      </w:pPr>
    </w:p>
    <w:p w14:paraId="1D19D116" w14:textId="5BD008AD" w:rsidR="005607E7" w:rsidRPr="009C30E7" w:rsidRDefault="005607E7" w:rsidP="005607E7">
      <w:pPr>
        <w:jc w:val="both"/>
        <w:rPr>
          <w:b/>
          <w:bCs/>
          <w:sz w:val="22"/>
          <w:szCs w:val="22"/>
          <w:lang w:val="en-GB"/>
        </w:rPr>
      </w:pPr>
      <w:r w:rsidRPr="005607E7">
        <w:rPr>
          <w:sz w:val="22"/>
          <w:szCs w:val="22"/>
          <w:lang w:val="en-GB"/>
        </w:rPr>
        <w:t xml:space="preserve">Dividends and capital repayments are declared and paid in euros. For those holders holding their ordinary shares N in South Africa via </w:t>
      </w:r>
      <w:proofErr w:type="spellStart"/>
      <w:r w:rsidRPr="005607E7">
        <w:rPr>
          <w:sz w:val="22"/>
          <w:szCs w:val="22"/>
          <w:lang w:val="en-GB"/>
        </w:rPr>
        <w:t>Strate</w:t>
      </w:r>
      <w:proofErr w:type="spellEnd"/>
      <w:r w:rsidRPr="005607E7">
        <w:rPr>
          <w:sz w:val="22"/>
          <w:szCs w:val="22"/>
          <w:lang w:val="en-GB"/>
        </w:rPr>
        <w:t xml:space="preserve"> </w:t>
      </w:r>
      <w:r w:rsidR="00DD46B2" w:rsidRPr="00DD46B2">
        <w:rPr>
          <w:sz w:val="22"/>
          <w:szCs w:val="22"/>
          <w:lang w:val="en-GB"/>
        </w:rPr>
        <w:t xml:space="preserve">will receive a distribution of </w:t>
      </w:r>
      <w:r w:rsidR="00027A6E">
        <w:rPr>
          <w:sz w:val="22"/>
          <w:szCs w:val="22"/>
          <w:lang w:val="en-GB"/>
        </w:rPr>
        <w:t>ZAR</w:t>
      </w:r>
      <w:r w:rsidR="00027A6E" w:rsidRPr="00027A6E">
        <w:rPr>
          <w:sz w:val="22"/>
          <w:szCs w:val="22"/>
          <w:lang w:val="en-GB"/>
        </w:rPr>
        <w:t>228</w:t>
      </w:r>
      <w:r w:rsidR="00027A6E">
        <w:rPr>
          <w:sz w:val="22"/>
          <w:szCs w:val="22"/>
          <w:lang w:val="en-GB"/>
        </w:rPr>
        <w:t xml:space="preserve"> cents</w:t>
      </w:r>
      <w:r w:rsidR="00027A6E" w:rsidRPr="00027A6E">
        <w:rPr>
          <w:sz w:val="22"/>
          <w:szCs w:val="22"/>
          <w:lang w:val="en-GB"/>
        </w:rPr>
        <w:t xml:space="preserve"> </w:t>
      </w:r>
      <w:r w:rsidR="00DD46B2" w:rsidRPr="00DD46B2">
        <w:rPr>
          <w:sz w:val="22"/>
          <w:szCs w:val="22"/>
          <w:lang w:val="en-GB"/>
        </w:rPr>
        <w:t xml:space="preserve">per ordinary share N and </w:t>
      </w:r>
      <w:r w:rsidRPr="005607E7">
        <w:rPr>
          <w:sz w:val="22"/>
          <w:szCs w:val="22"/>
          <w:lang w:val="en-GB"/>
        </w:rPr>
        <w:t>South Africa holders of ordinary shares A1</w:t>
      </w:r>
      <w:r w:rsidR="00DD46B2">
        <w:rPr>
          <w:sz w:val="22"/>
          <w:szCs w:val="22"/>
          <w:lang w:val="en-GB"/>
        </w:rPr>
        <w:t xml:space="preserve"> will receive a dividend of </w:t>
      </w:r>
      <w:r w:rsidR="00027A6E">
        <w:rPr>
          <w:sz w:val="22"/>
          <w:szCs w:val="22"/>
          <w:lang w:val="en-GB"/>
        </w:rPr>
        <w:t>ZAR12,5 cents</w:t>
      </w:r>
      <w:r w:rsidR="00DD46B2">
        <w:rPr>
          <w:sz w:val="22"/>
          <w:szCs w:val="22"/>
          <w:lang w:val="en-GB"/>
        </w:rPr>
        <w:t xml:space="preserve"> per ordinary share A1.  This is based on an </w:t>
      </w:r>
      <w:r w:rsidR="00027A6E">
        <w:rPr>
          <w:sz w:val="22"/>
          <w:szCs w:val="22"/>
          <w:lang w:val="en-GB"/>
        </w:rPr>
        <w:t xml:space="preserve">EUR/ZAR </w:t>
      </w:r>
      <w:r w:rsidR="00DD46B2">
        <w:rPr>
          <w:sz w:val="22"/>
          <w:szCs w:val="22"/>
          <w:lang w:val="en-GB"/>
        </w:rPr>
        <w:t xml:space="preserve">exchange rate of </w:t>
      </w:r>
      <w:r w:rsidR="00027A6E" w:rsidRPr="00027A6E">
        <w:rPr>
          <w:sz w:val="22"/>
          <w:szCs w:val="22"/>
          <w:lang w:val="en-GB"/>
        </w:rPr>
        <w:t>20,7111</w:t>
      </w:r>
      <w:r w:rsidR="00027A6E">
        <w:rPr>
          <w:sz w:val="22"/>
          <w:szCs w:val="22"/>
          <w:lang w:val="en-GB"/>
        </w:rPr>
        <w:t xml:space="preserve"> as at 18 August 2020</w:t>
      </w:r>
      <w:r w:rsidR="007B3F95">
        <w:rPr>
          <w:sz w:val="22"/>
          <w:szCs w:val="22"/>
          <w:lang w:val="en-GB"/>
        </w:rPr>
        <w:t>.</w:t>
      </w:r>
    </w:p>
    <w:p w14:paraId="7F839BD4" w14:textId="77777777" w:rsidR="005607E7" w:rsidRPr="005607E7" w:rsidRDefault="005607E7" w:rsidP="005607E7">
      <w:pPr>
        <w:jc w:val="both"/>
        <w:rPr>
          <w:sz w:val="22"/>
          <w:szCs w:val="22"/>
          <w:lang w:val="en-GB"/>
        </w:rPr>
      </w:pPr>
    </w:p>
    <w:p w14:paraId="76FE1903" w14:textId="173964B1" w:rsidR="005607E7" w:rsidRPr="005607E7" w:rsidRDefault="005607E7" w:rsidP="005607E7">
      <w:pPr>
        <w:jc w:val="both"/>
        <w:rPr>
          <w:sz w:val="22"/>
          <w:szCs w:val="22"/>
          <w:lang w:val="en-GB"/>
        </w:rPr>
      </w:pPr>
      <w:r w:rsidRPr="005607E7">
        <w:rPr>
          <w:sz w:val="22"/>
          <w:szCs w:val="22"/>
          <w:lang w:val="en-GB"/>
        </w:rPr>
        <w:lastRenderedPageBreak/>
        <w:t>Holders of Prosus American Depositary Receipts which trade on an over-the-counter basis in the United States will receive a</w:t>
      </w:r>
      <w:r w:rsidR="00944651">
        <w:rPr>
          <w:sz w:val="22"/>
          <w:szCs w:val="22"/>
          <w:lang w:val="en-GB"/>
        </w:rPr>
        <w:t xml:space="preserve"> dividend</w:t>
      </w:r>
      <w:r w:rsidRPr="005607E7">
        <w:rPr>
          <w:sz w:val="22"/>
          <w:szCs w:val="22"/>
          <w:lang w:val="en-GB"/>
        </w:rPr>
        <w:t>.</w:t>
      </w:r>
    </w:p>
    <w:p w14:paraId="0D1271D1" w14:textId="77777777" w:rsidR="005607E7" w:rsidRPr="005607E7" w:rsidRDefault="005607E7" w:rsidP="005607E7">
      <w:pPr>
        <w:jc w:val="both"/>
        <w:rPr>
          <w:sz w:val="22"/>
          <w:szCs w:val="22"/>
          <w:lang w:val="en-GB"/>
        </w:rPr>
      </w:pPr>
    </w:p>
    <w:p w14:paraId="3474B76F" w14:textId="77777777" w:rsidR="005607E7" w:rsidRPr="005607E7" w:rsidRDefault="005607E7" w:rsidP="005607E7">
      <w:pPr>
        <w:keepNext/>
        <w:jc w:val="both"/>
        <w:rPr>
          <w:sz w:val="22"/>
          <w:szCs w:val="22"/>
          <w:lang w:val="en-GB"/>
        </w:rPr>
      </w:pPr>
      <w:r w:rsidRPr="005607E7">
        <w:rPr>
          <w:sz w:val="22"/>
          <w:szCs w:val="22"/>
          <w:lang w:val="en-GB"/>
        </w:rPr>
        <w:t>Salient dates:</w:t>
      </w:r>
    </w:p>
    <w:tbl>
      <w:tblPr>
        <w:tblStyle w:val="TableGrid1"/>
        <w:tblW w:w="0" w:type="auto"/>
        <w:jc w:val="right"/>
        <w:tblLook w:val="04A0" w:firstRow="1" w:lastRow="0" w:firstColumn="1" w:lastColumn="0" w:noHBand="0" w:noVBand="1"/>
      </w:tblPr>
      <w:tblGrid>
        <w:gridCol w:w="3539"/>
        <w:gridCol w:w="6900"/>
      </w:tblGrid>
      <w:tr w:rsidR="005607E7" w:rsidRPr="005607E7" w14:paraId="237E63C5" w14:textId="77777777" w:rsidTr="00326DE5">
        <w:trPr>
          <w:jc w:val="right"/>
        </w:trPr>
        <w:tc>
          <w:tcPr>
            <w:tcW w:w="3539" w:type="dxa"/>
          </w:tcPr>
          <w:p w14:paraId="0F0F78B1" w14:textId="77777777"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Tuesday, 18 August 2020</w:t>
            </w:r>
          </w:p>
        </w:tc>
        <w:tc>
          <w:tcPr>
            <w:tcW w:w="6900" w:type="dxa"/>
            <w:vAlign w:val="bottom"/>
          </w:tcPr>
          <w:p w14:paraId="5F95DF0A" w14:textId="77777777"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Annual general meeting (including resolution to approve the dividend/capital payment)</w:t>
            </w:r>
          </w:p>
          <w:p w14:paraId="139A5A14" w14:textId="77777777"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Results of annual general meeting and currency conversion announcement</w:t>
            </w:r>
          </w:p>
        </w:tc>
      </w:tr>
      <w:tr w:rsidR="005607E7" w:rsidRPr="005607E7" w14:paraId="0C1390AE" w14:textId="77777777" w:rsidTr="00326DE5">
        <w:trPr>
          <w:jc w:val="right"/>
        </w:trPr>
        <w:tc>
          <w:tcPr>
            <w:tcW w:w="3539" w:type="dxa"/>
          </w:tcPr>
          <w:p w14:paraId="42C64060" w14:textId="77777777"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Wednesday, 14 October 2020</w:t>
            </w:r>
          </w:p>
        </w:tc>
        <w:tc>
          <w:tcPr>
            <w:tcW w:w="6900" w:type="dxa"/>
            <w:vAlign w:val="bottom"/>
          </w:tcPr>
          <w:p w14:paraId="4AA08B79" w14:textId="77777777"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 xml:space="preserve">Dividend/capital payment </w:t>
            </w:r>
            <w:proofErr w:type="spellStart"/>
            <w:r w:rsidRPr="005607E7">
              <w:rPr>
                <w:rFonts w:asciiTheme="minorHAnsi" w:eastAsiaTheme="minorEastAsia" w:hAnsiTheme="minorHAnsi" w:cstheme="minorHAnsi"/>
                <w:sz w:val="22"/>
                <w:szCs w:val="22"/>
              </w:rPr>
              <w:t>finalisation</w:t>
            </w:r>
            <w:proofErr w:type="spellEnd"/>
            <w:r w:rsidRPr="005607E7">
              <w:rPr>
                <w:rFonts w:asciiTheme="minorHAnsi" w:eastAsiaTheme="minorEastAsia" w:hAnsiTheme="minorHAnsi" w:cstheme="minorHAnsi"/>
                <w:sz w:val="22"/>
                <w:szCs w:val="22"/>
              </w:rPr>
              <w:t xml:space="preserve"> date</w:t>
            </w:r>
          </w:p>
        </w:tc>
      </w:tr>
      <w:tr w:rsidR="005607E7" w:rsidRPr="005607E7" w14:paraId="53AD7CCB" w14:textId="77777777" w:rsidTr="00326DE5">
        <w:trPr>
          <w:jc w:val="right"/>
        </w:trPr>
        <w:tc>
          <w:tcPr>
            <w:tcW w:w="3539" w:type="dxa"/>
          </w:tcPr>
          <w:p w14:paraId="65A21004" w14:textId="77777777"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Tuesday, 20 October 2020</w:t>
            </w:r>
          </w:p>
        </w:tc>
        <w:tc>
          <w:tcPr>
            <w:tcW w:w="6900" w:type="dxa"/>
            <w:vAlign w:val="bottom"/>
          </w:tcPr>
          <w:p w14:paraId="154D5B1F" w14:textId="77777777"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Last date to trade on the JSE in order to appear in the shareholder register and participate in the dividend/capital repayment</w:t>
            </w:r>
          </w:p>
        </w:tc>
      </w:tr>
      <w:tr w:rsidR="005607E7" w:rsidRPr="005607E7" w14:paraId="6D26F344" w14:textId="77777777" w:rsidTr="00326DE5">
        <w:trPr>
          <w:jc w:val="right"/>
        </w:trPr>
        <w:tc>
          <w:tcPr>
            <w:tcW w:w="3539" w:type="dxa"/>
          </w:tcPr>
          <w:p w14:paraId="41994AFE" w14:textId="77777777"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Wednesday, 21 October 2020</w:t>
            </w:r>
          </w:p>
        </w:tc>
        <w:tc>
          <w:tcPr>
            <w:tcW w:w="6900" w:type="dxa"/>
            <w:vAlign w:val="bottom"/>
          </w:tcPr>
          <w:p w14:paraId="30DEC48C" w14:textId="77777777"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Ex-dividend/capital repayment date for JSE. Last date to trade on the Euronext Amsterdam in order to appear in the shareholder register and participate in the dividend/capital repayment.</w:t>
            </w:r>
          </w:p>
        </w:tc>
      </w:tr>
      <w:tr w:rsidR="005607E7" w:rsidRPr="005607E7" w14:paraId="5703A51B" w14:textId="77777777" w:rsidTr="00326DE5">
        <w:trPr>
          <w:jc w:val="right"/>
        </w:trPr>
        <w:tc>
          <w:tcPr>
            <w:tcW w:w="3539" w:type="dxa"/>
          </w:tcPr>
          <w:p w14:paraId="0A4F71B1" w14:textId="77777777"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Thursday, 22 October 2020</w:t>
            </w:r>
          </w:p>
        </w:tc>
        <w:tc>
          <w:tcPr>
            <w:tcW w:w="6900" w:type="dxa"/>
            <w:vAlign w:val="bottom"/>
          </w:tcPr>
          <w:p w14:paraId="24C93BB0" w14:textId="77777777"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Ex-dividend/capital repayment date for Euronext Amsterdam</w:t>
            </w:r>
          </w:p>
        </w:tc>
      </w:tr>
      <w:tr w:rsidR="005607E7" w:rsidRPr="005607E7" w14:paraId="3384A58D" w14:textId="77777777" w:rsidTr="00326DE5">
        <w:trPr>
          <w:jc w:val="right"/>
        </w:trPr>
        <w:tc>
          <w:tcPr>
            <w:tcW w:w="3539" w:type="dxa"/>
          </w:tcPr>
          <w:p w14:paraId="41E1D24D" w14:textId="7B4AF699" w:rsidR="005607E7" w:rsidRPr="005607E7" w:rsidRDefault="00C87234" w:rsidP="00BE5FF8">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Friday, </w:t>
            </w:r>
            <w:r w:rsidR="009C7F89">
              <w:rPr>
                <w:rFonts w:asciiTheme="minorHAnsi" w:eastAsiaTheme="minorEastAsia" w:hAnsiTheme="minorHAnsi" w:cstheme="minorHAnsi"/>
                <w:sz w:val="22"/>
                <w:szCs w:val="22"/>
              </w:rPr>
              <w:t>23 October 2020</w:t>
            </w:r>
          </w:p>
        </w:tc>
        <w:tc>
          <w:tcPr>
            <w:tcW w:w="6900" w:type="dxa"/>
            <w:vAlign w:val="bottom"/>
          </w:tcPr>
          <w:p w14:paraId="0F4DB77B" w14:textId="77777777"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Record date to appear in the shareholder register and participate in the dividend/capital repayment</w:t>
            </w:r>
          </w:p>
        </w:tc>
      </w:tr>
      <w:tr w:rsidR="005607E7" w:rsidRPr="005607E7" w14:paraId="58BA6C1D" w14:textId="77777777" w:rsidTr="00326DE5">
        <w:trPr>
          <w:jc w:val="right"/>
        </w:trPr>
        <w:tc>
          <w:tcPr>
            <w:tcW w:w="3539" w:type="dxa"/>
          </w:tcPr>
          <w:p w14:paraId="02CFF116" w14:textId="77777777"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Monday, 26 October 2020 – Monday, 9 November 2020</w:t>
            </w:r>
          </w:p>
        </w:tc>
        <w:tc>
          <w:tcPr>
            <w:tcW w:w="6900" w:type="dxa"/>
            <w:vAlign w:val="bottom"/>
          </w:tcPr>
          <w:p w14:paraId="7E608AD1" w14:textId="77777777"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Dividend/capital repayment election period</w:t>
            </w:r>
          </w:p>
        </w:tc>
      </w:tr>
      <w:tr w:rsidR="005607E7" w:rsidRPr="005607E7" w14:paraId="4B9028E0" w14:textId="77777777" w:rsidTr="00326DE5">
        <w:trPr>
          <w:jc w:val="right"/>
        </w:trPr>
        <w:tc>
          <w:tcPr>
            <w:tcW w:w="3539" w:type="dxa"/>
          </w:tcPr>
          <w:p w14:paraId="02D26C94" w14:textId="62625D2E" w:rsidR="005607E7" w:rsidRPr="005607E7" w:rsidRDefault="005607E7" w:rsidP="00BE5FF8">
            <w:pPr>
              <w:rPr>
                <w:rFonts w:asciiTheme="minorHAnsi" w:eastAsiaTheme="minorEastAsia" w:hAnsiTheme="minorHAnsi" w:cstheme="minorHAnsi"/>
                <w:sz w:val="22"/>
                <w:szCs w:val="22"/>
              </w:rPr>
            </w:pPr>
            <w:bookmarkStart w:id="1" w:name="_Hlk46243819"/>
            <w:r w:rsidRPr="005607E7">
              <w:rPr>
                <w:rFonts w:asciiTheme="minorHAnsi" w:eastAsiaTheme="minorEastAsia" w:hAnsiTheme="minorHAnsi" w:cstheme="minorHAnsi"/>
                <w:sz w:val="22"/>
                <w:szCs w:val="22"/>
              </w:rPr>
              <w:t>Tuesday, 17 November 2020</w:t>
            </w:r>
            <w:bookmarkEnd w:id="1"/>
          </w:p>
        </w:tc>
        <w:tc>
          <w:tcPr>
            <w:tcW w:w="6900" w:type="dxa"/>
            <w:vAlign w:val="bottom"/>
          </w:tcPr>
          <w:p w14:paraId="5D9C2DA6" w14:textId="2891D208" w:rsidR="005607E7" w:rsidRPr="005607E7" w:rsidRDefault="005607E7" w:rsidP="00BE5FF8">
            <w:pPr>
              <w:rPr>
                <w:rFonts w:asciiTheme="minorHAnsi" w:eastAsiaTheme="minorEastAsia" w:hAnsiTheme="minorHAnsi" w:cstheme="minorHAnsi"/>
                <w:sz w:val="22"/>
                <w:szCs w:val="22"/>
              </w:rPr>
            </w:pPr>
            <w:r w:rsidRPr="005607E7">
              <w:rPr>
                <w:rFonts w:asciiTheme="minorHAnsi" w:eastAsiaTheme="minorEastAsia" w:hAnsiTheme="minorHAnsi" w:cstheme="minorHAnsi"/>
                <w:sz w:val="22"/>
                <w:szCs w:val="22"/>
              </w:rPr>
              <w:t xml:space="preserve">Dividend/capital </w:t>
            </w:r>
            <w:r w:rsidR="00D727AA">
              <w:rPr>
                <w:rFonts w:asciiTheme="minorHAnsi" w:eastAsiaTheme="minorEastAsia" w:hAnsiTheme="minorHAnsi" w:cstheme="minorHAnsi"/>
                <w:sz w:val="22"/>
                <w:szCs w:val="22"/>
              </w:rPr>
              <w:t>(</w:t>
            </w:r>
            <w:r w:rsidRPr="005607E7">
              <w:rPr>
                <w:rFonts w:asciiTheme="minorHAnsi" w:eastAsiaTheme="minorEastAsia" w:hAnsiTheme="minorHAnsi" w:cstheme="minorHAnsi"/>
                <w:sz w:val="22"/>
                <w:szCs w:val="22"/>
              </w:rPr>
              <w:t>re</w:t>
            </w:r>
            <w:r w:rsidR="00D727AA">
              <w:rPr>
                <w:rFonts w:asciiTheme="minorHAnsi" w:eastAsiaTheme="minorEastAsia" w:hAnsiTheme="minorHAnsi" w:cstheme="minorHAnsi"/>
                <w:sz w:val="22"/>
                <w:szCs w:val="22"/>
              </w:rPr>
              <w:t>)</w:t>
            </w:r>
            <w:r w:rsidRPr="005607E7">
              <w:rPr>
                <w:rFonts w:asciiTheme="minorHAnsi" w:eastAsiaTheme="minorEastAsia" w:hAnsiTheme="minorHAnsi" w:cstheme="minorHAnsi"/>
                <w:sz w:val="22"/>
                <w:szCs w:val="22"/>
              </w:rPr>
              <w:t>payment date</w:t>
            </w:r>
          </w:p>
        </w:tc>
      </w:tr>
      <w:tr w:rsidR="001D02F7" w:rsidRPr="005607E7" w14:paraId="627371C4" w14:textId="77777777" w:rsidTr="00326DE5">
        <w:trPr>
          <w:jc w:val="right"/>
        </w:trPr>
        <w:tc>
          <w:tcPr>
            <w:tcW w:w="3539" w:type="dxa"/>
          </w:tcPr>
          <w:p w14:paraId="7219265A" w14:textId="5A99E292" w:rsidR="001D02F7" w:rsidRPr="005607E7" w:rsidRDefault="001D02F7" w:rsidP="001D02F7">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Tuesday 8 December 2020</w:t>
            </w:r>
          </w:p>
        </w:tc>
        <w:tc>
          <w:tcPr>
            <w:tcW w:w="6900" w:type="dxa"/>
            <w:vAlign w:val="bottom"/>
          </w:tcPr>
          <w:p w14:paraId="49E14727" w14:textId="7FC54D34" w:rsidR="001D02F7" w:rsidRPr="005607E7" w:rsidRDefault="001D02F7" w:rsidP="001D02F7">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Final date for intermediaries to upload </w:t>
            </w:r>
            <w:r w:rsidRPr="00034F3B">
              <w:rPr>
                <w:rFonts w:asciiTheme="minorHAnsi" w:eastAsiaTheme="minorEastAsia" w:hAnsiTheme="minorHAnsi" w:cstheme="minorHAnsi"/>
                <w:sz w:val="22"/>
                <w:szCs w:val="22"/>
              </w:rPr>
              <w:t>Dutch DWT</w:t>
            </w:r>
            <w:r>
              <w:rPr>
                <w:rFonts w:asciiTheme="minorHAnsi" w:eastAsiaTheme="minorEastAsia" w:hAnsiTheme="minorHAnsi" w:cstheme="minorHAnsi"/>
                <w:sz w:val="22"/>
                <w:szCs w:val="22"/>
              </w:rPr>
              <w:t xml:space="preserve"> reclaims</w:t>
            </w:r>
          </w:p>
        </w:tc>
      </w:tr>
    </w:tbl>
    <w:p w14:paraId="7CADEA1F" w14:textId="77777777" w:rsidR="005607E7" w:rsidRPr="005607E7" w:rsidRDefault="005607E7" w:rsidP="005607E7">
      <w:pPr>
        <w:jc w:val="both"/>
        <w:rPr>
          <w:sz w:val="22"/>
          <w:szCs w:val="22"/>
          <w:lang w:val="en-GB"/>
        </w:rPr>
      </w:pPr>
    </w:p>
    <w:p w14:paraId="23E0766F" w14:textId="49E26E89" w:rsidR="005607E7" w:rsidRPr="005607E7" w:rsidRDefault="005607E7" w:rsidP="005607E7">
      <w:pPr>
        <w:jc w:val="both"/>
        <w:rPr>
          <w:sz w:val="22"/>
          <w:szCs w:val="22"/>
          <w:lang w:val="en-GB"/>
        </w:rPr>
      </w:pPr>
      <w:r w:rsidRPr="005607E7">
        <w:rPr>
          <w:sz w:val="22"/>
          <w:szCs w:val="22"/>
          <w:lang w:val="en-GB"/>
        </w:rPr>
        <w:t xml:space="preserve">Due to the differing ex-dividend dates between the JSE and Euronext Amsterdam, transfers of N ordinary shares between the JSE and the Euronext Amsterdam between </w:t>
      </w:r>
      <w:r w:rsidR="0068619F">
        <w:rPr>
          <w:sz w:val="22"/>
          <w:szCs w:val="22"/>
          <w:lang w:val="en-GB"/>
        </w:rPr>
        <w:t>Tuesday</w:t>
      </w:r>
      <w:r w:rsidRPr="005607E7">
        <w:rPr>
          <w:sz w:val="22"/>
          <w:szCs w:val="22"/>
          <w:lang w:val="en-GB"/>
        </w:rPr>
        <w:t xml:space="preserve"> 20 October 2020 and Friday, </w:t>
      </w:r>
      <w:r w:rsidR="00205723">
        <w:rPr>
          <w:sz w:val="22"/>
          <w:szCs w:val="22"/>
          <w:lang w:val="en-GB"/>
        </w:rPr>
        <w:t>23</w:t>
      </w:r>
      <w:r w:rsidR="00205723" w:rsidRPr="005607E7">
        <w:rPr>
          <w:sz w:val="22"/>
          <w:szCs w:val="22"/>
          <w:lang w:val="en-GB"/>
        </w:rPr>
        <w:t xml:space="preserve"> </w:t>
      </w:r>
      <w:r w:rsidRPr="005607E7">
        <w:rPr>
          <w:sz w:val="22"/>
          <w:szCs w:val="22"/>
          <w:lang w:val="en-GB"/>
        </w:rPr>
        <w:t>October 2020, both dates inclusive, will not be permitted.</w:t>
      </w:r>
    </w:p>
    <w:p w14:paraId="752C458E" w14:textId="77777777" w:rsidR="005607E7" w:rsidRPr="005607E7" w:rsidRDefault="005607E7" w:rsidP="005607E7">
      <w:pPr>
        <w:jc w:val="both"/>
        <w:rPr>
          <w:sz w:val="22"/>
          <w:szCs w:val="22"/>
          <w:lang w:val="en-GB"/>
        </w:rPr>
      </w:pPr>
    </w:p>
    <w:p w14:paraId="45EE3053" w14:textId="23F20295" w:rsidR="00C46B6F" w:rsidRPr="00C46B6F" w:rsidRDefault="00C46B6F" w:rsidP="005607E7">
      <w:pPr>
        <w:jc w:val="both"/>
        <w:rPr>
          <w:b/>
          <w:bCs/>
          <w:sz w:val="22"/>
          <w:szCs w:val="22"/>
          <w:lang w:val="en-GB"/>
        </w:rPr>
      </w:pPr>
      <w:r w:rsidRPr="00C46B6F">
        <w:rPr>
          <w:b/>
          <w:bCs/>
          <w:sz w:val="22"/>
          <w:szCs w:val="22"/>
          <w:lang w:val="en-GB"/>
        </w:rPr>
        <w:t>Tax Implications</w:t>
      </w:r>
    </w:p>
    <w:p w14:paraId="67724426" w14:textId="0005DF5F" w:rsidR="00143C32" w:rsidRDefault="003E63DF" w:rsidP="00C46B6F">
      <w:pPr>
        <w:pStyle w:val="ListParagraph"/>
        <w:numPr>
          <w:ilvl w:val="0"/>
          <w:numId w:val="8"/>
        </w:numPr>
        <w:ind w:left="426" w:hanging="426"/>
        <w:jc w:val="both"/>
        <w:rPr>
          <w:b/>
          <w:bCs/>
          <w:sz w:val="22"/>
          <w:szCs w:val="22"/>
          <w:lang w:val="en-GB"/>
        </w:rPr>
      </w:pPr>
      <w:bookmarkStart w:id="2" w:name="_Ref46250861"/>
      <w:r w:rsidRPr="00143C32">
        <w:rPr>
          <w:b/>
          <w:bCs/>
          <w:sz w:val="22"/>
          <w:szCs w:val="22"/>
          <w:lang w:val="en-GB"/>
        </w:rPr>
        <w:t>Dutch Tax Implications</w:t>
      </w:r>
      <w:bookmarkEnd w:id="2"/>
    </w:p>
    <w:p w14:paraId="57FD6785" w14:textId="35FDDF74" w:rsidR="00143C32" w:rsidRPr="003E63DF" w:rsidRDefault="00143C32" w:rsidP="00C46B6F">
      <w:pPr>
        <w:pStyle w:val="ListParagraph"/>
        <w:numPr>
          <w:ilvl w:val="1"/>
          <w:numId w:val="8"/>
        </w:numPr>
        <w:ind w:left="851" w:hanging="851"/>
        <w:jc w:val="both"/>
        <w:rPr>
          <w:b/>
          <w:bCs/>
          <w:sz w:val="22"/>
          <w:szCs w:val="22"/>
          <w:lang w:val="en-GB"/>
        </w:rPr>
      </w:pPr>
      <w:r w:rsidRPr="003E63DF">
        <w:rPr>
          <w:b/>
          <w:bCs/>
          <w:sz w:val="22"/>
          <w:szCs w:val="22"/>
          <w:lang w:val="en-GB"/>
        </w:rPr>
        <w:t>General</w:t>
      </w:r>
    </w:p>
    <w:p w14:paraId="062A8A06" w14:textId="53DC86C4" w:rsidR="007B3F95" w:rsidRDefault="007B3F95" w:rsidP="00BE5FF8">
      <w:pPr>
        <w:ind w:left="851"/>
        <w:jc w:val="both"/>
        <w:rPr>
          <w:sz w:val="22"/>
          <w:szCs w:val="22"/>
          <w:lang w:val="en-GB"/>
        </w:rPr>
      </w:pPr>
      <w:r w:rsidRPr="00AF7648">
        <w:rPr>
          <w:sz w:val="22"/>
          <w:szCs w:val="22"/>
          <w:lang w:val="en-GB"/>
        </w:rPr>
        <w:t xml:space="preserve">Capital repayments will be paid from share capital. No </w:t>
      </w:r>
      <w:r>
        <w:rPr>
          <w:sz w:val="22"/>
          <w:szCs w:val="22"/>
          <w:lang w:val="en-GB"/>
        </w:rPr>
        <w:t xml:space="preserve">Dutch </w:t>
      </w:r>
      <w:r w:rsidR="00143C32" w:rsidRPr="00143C32">
        <w:rPr>
          <w:sz w:val="22"/>
          <w:szCs w:val="22"/>
          <w:lang w:val="en-GB"/>
        </w:rPr>
        <w:t>dividend withholding tax ("</w:t>
      </w:r>
      <w:r w:rsidR="00615A98">
        <w:rPr>
          <w:sz w:val="22"/>
          <w:szCs w:val="22"/>
          <w:lang w:val="en-GB"/>
        </w:rPr>
        <w:t>DWT</w:t>
      </w:r>
      <w:r w:rsidR="00143C32" w:rsidRPr="00143C32">
        <w:rPr>
          <w:sz w:val="22"/>
          <w:szCs w:val="22"/>
          <w:lang w:val="en-GB"/>
        </w:rPr>
        <w:t xml:space="preserve">") </w:t>
      </w:r>
      <w:r w:rsidRPr="007B3F95">
        <w:rPr>
          <w:sz w:val="22"/>
          <w:szCs w:val="22"/>
          <w:lang w:val="en-GB"/>
        </w:rPr>
        <w:t>will be withheld on the amounts of capital repayments paid to shareholders.</w:t>
      </w:r>
    </w:p>
    <w:p w14:paraId="26F2C647" w14:textId="77777777" w:rsidR="007B3F95" w:rsidRDefault="007B3F95" w:rsidP="00BE5FF8">
      <w:pPr>
        <w:ind w:left="851"/>
        <w:jc w:val="both"/>
        <w:rPr>
          <w:sz w:val="22"/>
          <w:szCs w:val="22"/>
          <w:lang w:val="en-GB"/>
        </w:rPr>
      </w:pPr>
    </w:p>
    <w:p w14:paraId="68F8AA4C" w14:textId="05E5AD60" w:rsidR="003E63DF" w:rsidRDefault="007B3F95" w:rsidP="00BE5FF8">
      <w:pPr>
        <w:ind w:left="851"/>
        <w:jc w:val="both"/>
        <w:rPr>
          <w:sz w:val="22"/>
          <w:szCs w:val="22"/>
          <w:lang w:val="en-GB"/>
        </w:rPr>
      </w:pPr>
      <w:r>
        <w:rPr>
          <w:sz w:val="22"/>
          <w:szCs w:val="22"/>
          <w:lang w:val="en-GB"/>
        </w:rPr>
        <w:t xml:space="preserve">Where a shareholder elects to receive a dividend, </w:t>
      </w:r>
      <w:r w:rsidR="001D1780">
        <w:rPr>
          <w:sz w:val="22"/>
          <w:szCs w:val="22"/>
          <w:lang w:val="en-GB"/>
        </w:rPr>
        <w:t>generally</w:t>
      </w:r>
      <w:r w:rsidRPr="00143C32">
        <w:rPr>
          <w:sz w:val="22"/>
          <w:szCs w:val="22"/>
          <w:lang w:val="en-GB"/>
        </w:rPr>
        <w:t xml:space="preserve">, </w:t>
      </w:r>
      <w:r w:rsidRPr="00BB0061">
        <w:rPr>
          <w:sz w:val="22"/>
          <w:szCs w:val="22"/>
          <w:lang w:val="en-GB"/>
        </w:rPr>
        <w:t>15% DWT</w:t>
      </w:r>
      <w:r w:rsidRPr="00143C32">
        <w:rPr>
          <w:sz w:val="22"/>
          <w:szCs w:val="22"/>
          <w:lang w:val="en-GB"/>
        </w:rPr>
        <w:t xml:space="preserve"> </w:t>
      </w:r>
      <w:r w:rsidR="00143C32" w:rsidRPr="00143C32">
        <w:rPr>
          <w:sz w:val="22"/>
          <w:szCs w:val="22"/>
          <w:lang w:val="en-GB"/>
        </w:rPr>
        <w:t xml:space="preserve">will be withheld by </w:t>
      </w:r>
      <w:r w:rsidR="00143C32">
        <w:rPr>
          <w:sz w:val="22"/>
          <w:szCs w:val="22"/>
          <w:lang w:val="en-GB"/>
        </w:rPr>
        <w:t>Prosus</w:t>
      </w:r>
      <w:r w:rsidR="00143C32" w:rsidRPr="00143C32">
        <w:rPr>
          <w:sz w:val="22"/>
          <w:szCs w:val="22"/>
          <w:lang w:val="en-GB"/>
        </w:rPr>
        <w:t xml:space="preserve"> on the cash</w:t>
      </w:r>
      <w:r w:rsidR="00143C32">
        <w:rPr>
          <w:sz w:val="22"/>
          <w:szCs w:val="22"/>
          <w:lang w:val="en-GB"/>
        </w:rPr>
        <w:t xml:space="preserve"> </w:t>
      </w:r>
      <w:r w:rsidR="00143C32" w:rsidRPr="00143C32">
        <w:rPr>
          <w:sz w:val="22"/>
          <w:szCs w:val="22"/>
          <w:lang w:val="en-GB"/>
        </w:rPr>
        <w:t xml:space="preserve">dividend, leaving a distribution amount per share net of Dutch </w:t>
      </w:r>
      <w:r w:rsidR="00615A98">
        <w:rPr>
          <w:sz w:val="22"/>
          <w:szCs w:val="22"/>
          <w:lang w:val="en-GB"/>
        </w:rPr>
        <w:t>DWT</w:t>
      </w:r>
      <w:r>
        <w:rPr>
          <w:sz w:val="22"/>
          <w:szCs w:val="22"/>
          <w:lang w:val="en-GB"/>
        </w:rPr>
        <w:t>, unless</w:t>
      </w:r>
      <w:r w:rsidR="00143C32" w:rsidRPr="00143C32">
        <w:rPr>
          <w:sz w:val="22"/>
          <w:szCs w:val="22"/>
          <w:lang w:val="en-GB"/>
        </w:rPr>
        <w:t>:</w:t>
      </w:r>
    </w:p>
    <w:p w14:paraId="145220B6" w14:textId="77777777" w:rsidR="00BE5FF8" w:rsidRPr="00143C32" w:rsidRDefault="00BE5FF8" w:rsidP="00BE5FF8">
      <w:pPr>
        <w:ind w:left="851"/>
        <w:jc w:val="both"/>
        <w:rPr>
          <w:sz w:val="22"/>
          <w:szCs w:val="22"/>
          <w:lang w:val="en-GB"/>
        </w:rPr>
      </w:pPr>
    </w:p>
    <w:p w14:paraId="4F28ED70" w14:textId="5B9D69C4" w:rsidR="003E63DF" w:rsidRDefault="00143C32" w:rsidP="00BE5FF8">
      <w:pPr>
        <w:pStyle w:val="ListParagraph"/>
        <w:numPr>
          <w:ilvl w:val="2"/>
          <w:numId w:val="8"/>
        </w:numPr>
        <w:ind w:hanging="1224"/>
        <w:jc w:val="both"/>
        <w:rPr>
          <w:sz w:val="22"/>
          <w:szCs w:val="22"/>
          <w:lang w:val="en-GB"/>
        </w:rPr>
      </w:pPr>
      <w:bookmarkStart w:id="3" w:name="_Ref46243127"/>
      <w:r w:rsidRPr="003E63DF">
        <w:rPr>
          <w:sz w:val="22"/>
          <w:szCs w:val="22"/>
          <w:lang w:val="en-GB"/>
        </w:rPr>
        <w:lastRenderedPageBreak/>
        <w:t xml:space="preserve">a shareholder qualifies for an exemption from or a reduction of Dutch </w:t>
      </w:r>
      <w:r w:rsidR="00615A98">
        <w:rPr>
          <w:sz w:val="22"/>
          <w:szCs w:val="22"/>
          <w:lang w:val="en-GB"/>
        </w:rPr>
        <w:t>DWT</w:t>
      </w:r>
      <w:r w:rsidRPr="003E63DF">
        <w:rPr>
          <w:sz w:val="22"/>
          <w:szCs w:val="22"/>
          <w:lang w:val="en-GB"/>
        </w:rPr>
        <w:t xml:space="preserve"> </w:t>
      </w:r>
      <w:proofErr w:type="gramStart"/>
      <w:r w:rsidRPr="003E63DF">
        <w:rPr>
          <w:sz w:val="22"/>
          <w:szCs w:val="22"/>
          <w:lang w:val="en-GB"/>
        </w:rPr>
        <w:t>on the basis of</w:t>
      </w:r>
      <w:proofErr w:type="gramEnd"/>
      <w:r w:rsidRPr="003E63DF">
        <w:rPr>
          <w:sz w:val="22"/>
          <w:szCs w:val="22"/>
          <w:lang w:val="en-GB"/>
        </w:rPr>
        <w:t xml:space="preserve"> Dutch domestic law (including implementation of EU Directives) and/or a tax treaty concluded by the Netherlands; and</w:t>
      </w:r>
      <w:bookmarkEnd w:id="3"/>
    </w:p>
    <w:p w14:paraId="40EF6FBA" w14:textId="77777777" w:rsidR="00BE5FF8" w:rsidRPr="00BE5FF8" w:rsidRDefault="00BE5FF8" w:rsidP="00BE5FF8">
      <w:pPr>
        <w:pStyle w:val="ListParagraph"/>
        <w:ind w:left="1224"/>
        <w:jc w:val="both"/>
        <w:rPr>
          <w:sz w:val="22"/>
          <w:szCs w:val="22"/>
          <w:lang w:val="en-GB"/>
        </w:rPr>
      </w:pPr>
    </w:p>
    <w:p w14:paraId="10CEDC06" w14:textId="47A3F250" w:rsidR="00143C32" w:rsidRPr="003E63DF" w:rsidRDefault="00143C32" w:rsidP="00615A98">
      <w:pPr>
        <w:pStyle w:val="ListParagraph"/>
        <w:numPr>
          <w:ilvl w:val="2"/>
          <w:numId w:val="8"/>
        </w:numPr>
        <w:ind w:hanging="1224"/>
        <w:jc w:val="both"/>
        <w:rPr>
          <w:sz w:val="22"/>
          <w:szCs w:val="22"/>
          <w:lang w:val="en-GB"/>
        </w:rPr>
      </w:pPr>
      <w:bookmarkStart w:id="4" w:name="_Ref46243131"/>
      <w:r w:rsidRPr="003E63DF">
        <w:rPr>
          <w:sz w:val="22"/>
          <w:szCs w:val="22"/>
          <w:lang w:val="en-GB"/>
        </w:rPr>
        <w:t xml:space="preserve">the formal requirements to apply such exemption from or reduction of Dutch </w:t>
      </w:r>
      <w:r w:rsidR="00615A98">
        <w:rPr>
          <w:sz w:val="22"/>
          <w:szCs w:val="22"/>
          <w:lang w:val="en-GB"/>
        </w:rPr>
        <w:t>DWT</w:t>
      </w:r>
      <w:r w:rsidRPr="003E63DF">
        <w:rPr>
          <w:sz w:val="22"/>
          <w:szCs w:val="22"/>
          <w:lang w:val="en-GB"/>
        </w:rPr>
        <w:t xml:space="preserve"> are satisfied (insofar applicable).</w:t>
      </w:r>
      <w:bookmarkEnd w:id="4"/>
    </w:p>
    <w:p w14:paraId="096257AA" w14:textId="77777777" w:rsidR="00143C32" w:rsidRDefault="00143C32" w:rsidP="00615A98">
      <w:pPr>
        <w:ind w:left="851"/>
        <w:jc w:val="both"/>
        <w:rPr>
          <w:sz w:val="22"/>
          <w:szCs w:val="22"/>
          <w:lang w:val="en-GB"/>
        </w:rPr>
      </w:pPr>
    </w:p>
    <w:p w14:paraId="4C995C7F" w14:textId="7E2F95BE" w:rsidR="00143C32" w:rsidRPr="00143C32" w:rsidRDefault="00143C32" w:rsidP="00615A98">
      <w:pPr>
        <w:ind w:left="851"/>
        <w:jc w:val="both"/>
        <w:rPr>
          <w:sz w:val="22"/>
          <w:szCs w:val="22"/>
          <w:lang w:val="en-GB"/>
        </w:rPr>
      </w:pPr>
      <w:r>
        <w:rPr>
          <w:sz w:val="22"/>
          <w:szCs w:val="22"/>
          <w:lang w:val="en-GB"/>
        </w:rPr>
        <w:t>Prosus</w:t>
      </w:r>
      <w:r w:rsidRPr="00143C32">
        <w:rPr>
          <w:sz w:val="22"/>
          <w:szCs w:val="22"/>
          <w:lang w:val="en-GB"/>
        </w:rPr>
        <w:t xml:space="preserve"> will initially withhold </w:t>
      </w:r>
      <w:r w:rsidRPr="00BB0061">
        <w:rPr>
          <w:sz w:val="22"/>
          <w:szCs w:val="22"/>
          <w:lang w:val="en-GB"/>
        </w:rPr>
        <w:t>15%</w:t>
      </w:r>
      <w:r w:rsidRPr="00143C32">
        <w:rPr>
          <w:sz w:val="22"/>
          <w:szCs w:val="22"/>
          <w:lang w:val="en-GB"/>
        </w:rPr>
        <w:t xml:space="preserve"> on ALL </w:t>
      </w:r>
      <w:r w:rsidR="003E63DF">
        <w:rPr>
          <w:sz w:val="22"/>
          <w:szCs w:val="22"/>
          <w:lang w:val="en-GB"/>
        </w:rPr>
        <w:t xml:space="preserve">cash </w:t>
      </w:r>
      <w:r w:rsidRPr="00143C32">
        <w:rPr>
          <w:sz w:val="22"/>
          <w:szCs w:val="22"/>
          <w:lang w:val="en-GB"/>
        </w:rPr>
        <w:t xml:space="preserve">dividends distributed on </w:t>
      </w:r>
      <w:r w:rsidR="003E63DF" w:rsidRPr="003E63DF">
        <w:rPr>
          <w:sz w:val="22"/>
          <w:szCs w:val="22"/>
          <w:lang w:val="en-GB"/>
        </w:rPr>
        <w:t>Tuesday, 17 November 2020</w:t>
      </w:r>
      <w:r w:rsidRPr="00143C32">
        <w:rPr>
          <w:sz w:val="22"/>
          <w:szCs w:val="22"/>
          <w:lang w:val="en-GB"/>
        </w:rPr>
        <w:t>. As a</w:t>
      </w:r>
      <w:r>
        <w:rPr>
          <w:sz w:val="22"/>
          <w:szCs w:val="22"/>
          <w:lang w:val="en-GB"/>
        </w:rPr>
        <w:t xml:space="preserve"> </w:t>
      </w:r>
      <w:r w:rsidRPr="00143C32">
        <w:rPr>
          <w:sz w:val="22"/>
          <w:szCs w:val="22"/>
          <w:lang w:val="en-GB"/>
        </w:rPr>
        <w:t xml:space="preserve">subsequent step, if and to the extent </w:t>
      </w:r>
      <w:r>
        <w:rPr>
          <w:sz w:val="22"/>
          <w:szCs w:val="22"/>
          <w:lang w:val="en-GB"/>
        </w:rPr>
        <w:t>Prosus</w:t>
      </w:r>
      <w:r w:rsidRPr="00143C32">
        <w:rPr>
          <w:sz w:val="22"/>
          <w:szCs w:val="22"/>
          <w:lang w:val="en-GB"/>
        </w:rPr>
        <w:t xml:space="preserve"> has been provided </w:t>
      </w:r>
      <w:r w:rsidR="0068619F">
        <w:rPr>
          <w:sz w:val="22"/>
          <w:szCs w:val="22"/>
          <w:lang w:val="en-GB"/>
        </w:rPr>
        <w:t xml:space="preserve">before 8 December </w:t>
      </w:r>
      <w:r w:rsidRPr="00143C32">
        <w:rPr>
          <w:sz w:val="22"/>
          <w:szCs w:val="22"/>
          <w:lang w:val="en-GB"/>
        </w:rPr>
        <w:t>with proof that a shareholder qualifies for an</w:t>
      </w:r>
      <w:r>
        <w:rPr>
          <w:sz w:val="22"/>
          <w:szCs w:val="22"/>
          <w:lang w:val="en-GB"/>
        </w:rPr>
        <w:t xml:space="preserve"> </w:t>
      </w:r>
      <w:r w:rsidRPr="00143C32">
        <w:rPr>
          <w:sz w:val="22"/>
          <w:szCs w:val="22"/>
          <w:lang w:val="en-GB"/>
        </w:rPr>
        <w:t xml:space="preserve">exemption from or a reduction of Dutch </w:t>
      </w:r>
      <w:r w:rsidR="00615A98">
        <w:rPr>
          <w:sz w:val="22"/>
          <w:szCs w:val="22"/>
          <w:lang w:val="en-GB"/>
        </w:rPr>
        <w:t>DWT</w:t>
      </w:r>
      <w:r w:rsidR="0068619F">
        <w:rPr>
          <w:sz w:val="22"/>
          <w:szCs w:val="22"/>
          <w:lang w:val="en-GB"/>
        </w:rPr>
        <w:t xml:space="preserve"> on the basis of Dutch domestic law</w:t>
      </w:r>
      <w:r w:rsidRPr="00143C32">
        <w:rPr>
          <w:sz w:val="22"/>
          <w:szCs w:val="22"/>
          <w:lang w:val="en-GB"/>
        </w:rPr>
        <w:t>, the</w:t>
      </w:r>
      <w:r>
        <w:rPr>
          <w:sz w:val="22"/>
          <w:szCs w:val="22"/>
          <w:lang w:val="en-GB"/>
        </w:rPr>
        <w:t xml:space="preserve"> </w:t>
      </w:r>
      <w:r w:rsidRPr="00143C32">
        <w:rPr>
          <w:sz w:val="22"/>
          <w:szCs w:val="22"/>
          <w:lang w:val="en-GB"/>
        </w:rPr>
        <w:t xml:space="preserve">difference between </w:t>
      </w:r>
      <w:r w:rsidRPr="00BB0061">
        <w:rPr>
          <w:sz w:val="22"/>
          <w:szCs w:val="22"/>
          <w:lang w:val="en-GB"/>
        </w:rPr>
        <w:t>15%</w:t>
      </w:r>
      <w:r w:rsidRPr="00143C32">
        <w:rPr>
          <w:sz w:val="22"/>
          <w:szCs w:val="22"/>
          <w:lang w:val="en-GB"/>
        </w:rPr>
        <w:t xml:space="preserve"> and the Dutch </w:t>
      </w:r>
      <w:r w:rsidR="00615A98">
        <w:rPr>
          <w:sz w:val="22"/>
          <w:szCs w:val="22"/>
          <w:lang w:val="en-GB"/>
        </w:rPr>
        <w:t>DWT</w:t>
      </w:r>
      <w:r w:rsidRPr="00143C32">
        <w:rPr>
          <w:sz w:val="22"/>
          <w:szCs w:val="22"/>
          <w:lang w:val="en-GB"/>
        </w:rPr>
        <w:t xml:space="preserve"> to be withheld will be paid out to the shareholder, after the</w:t>
      </w:r>
      <w:r>
        <w:rPr>
          <w:sz w:val="22"/>
          <w:szCs w:val="22"/>
          <w:lang w:val="en-GB"/>
        </w:rPr>
        <w:t xml:space="preserve"> </w:t>
      </w:r>
      <w:r w:rsidRPr="00143C32">
        <w:rPr>
          <w:sz w:val="22"/>
          <w:szCs w:val="22"/>
          <w:lang w:val="en-GB"/>
        </w:rPr>
        <w:t xml:space="preserve">Dutch </w:t>
      </w:r>
      <w:r w:rsidR="00615A98">
        <w:rPr>
          <w:sz w:val="22"/>
          <w:szCs w:val="22"/>
          <w:lang w:val="en-GB"/>
        </w:rPr>
        <w:t>DWT</w:t>
      </w:r>
      <w:r w:rsidRPr="00143C32">
        <w:rPr>
          <w:sz w:val="22"/>
          <w:szCs w:val="22"/>
          <w:lang w:val="en-GB"/>
        </w:rPr>
        <w:t xml:space="preserve"> return and/or Dutch </w:t>
      </w:r>
      <w:r w:rsidR="00615A98">
        <w:rPr>
          <w:sz w:val="22"/>
          <w:szCs w:val="22"/>
          <w:lang w:val="en-GB"/>
        </w:rPr>
        <w:t>DWT</w:t>
      </w:r>
      <w:r w:rsidRPr="00143C32">
        <w:rPr>
          <w:sz w:val="22"/>
          <w:szCs w:val="22"/>
          <w:lang w:val="en-GB"/>
        </w:rPr>
        <w:t xml:space="preserve"> notification has been filed by </w:t>
      </w:r>
      <w:r>
        <w:rPr>
          <w:sz w:val="22"/>
          <w:szCs w:val="22"/>
          <w:lang w:val="en-GB"/>
        </w:rPr>
        <w:t>Prosus</w:t>
      </w:r>
      <w:r w:rsidRPr="00143C32">
        <w:rPr>
          <w:sz w:val="22"/>
          <w:szCs w:val="22"/>
          <w:lang w:val="en-GB"/>
        </w:rPr>
        <w:t xml:space="preserve"> with the Dutch tax</w:t>
      </w:r>
      <w:r>
        <w:rPr>
          <w:sz w:val="22"/>
          <w:szCs w:val="22"/>
          <w:lang w:val="en-GB"/>
        </w:rPr>
        <w:t xml:space="preserve"> </w:t>
      </w:r>
      <w:r w:rsidRPr="00143C32">
        <w:rPr>
          <w:sz w:val="22"/>
          <w:szCs w:val="22"/>
          <w:lang w:val="en-GB"/>
        </w:rPr>
        <w:t xml:space="preserve">authorities. </w:t>
      </w:r>
      <w:r>
        <w:rPr>
          <w:sz w:val="22"/>
          <w:szCs w:val="22"/>
          <w:lang w:val="en-GB"/>
        </w:rPr>
        <w:t>Prosus</w:t>
      </w:r>
      <w:r w:rsidRPr="00143C32">
        <w:rPr>
          <w:sz w:val="22"/>
          <w:szCs w:val="22"/>
          <w:lang w:val="en-GB"/>
        </w:rPr>
        <w:t xml:space="preserve"> will remit the Dutch </w:t>
      </w:r>
      <w:r w:rsidR="00615A98">
        <w:rPr>
          <w:sz w:val="22"/>
          <w:szCs w:val="22"/>
          <w:lang w:val="en-GB"/>
        </w:rPr>
        <w:t>DWT</w:t>
      </w:r>
      <w:r w:rsidRPr="00143C32">
        <w:rPr>
          <w:sz w:val="22"/>
          <w:szCs w:val="22"/>
          <w:lang w:val="en-GB"/>
        </w:rPr>
        <w:t xml:space="preserve"> to be withheld to the Dutch tax authorities based on the</w:t>
      </w:r>
      <w:r>
        <w:rPr>
          <w:sz w:val="22"/>
          <w:szCs w:val="22"/>
          <w:lang w:val="en-GB"/>
        </w:rPr>
        <w:t xml:space="preserve"> </w:t>
      </w:r>
      <w:r w:rsidRPr="00143C32">
        <w:rPr>
          <w:sz w:val="22"/>
          <w:szCs w:val="22"/>
          <w:lang w:val="en-GB"/>
        </w:rPr>
        <w:t xml:space="preserve">Dutch </w:t>
      </w:r>
      <w:r w:rsidR="00615A98">
        <w:rPr>
          <w:sz w:val="22"/>
          <w:szCs w:val="22"/>
          <w:lang w:val="en-GB"/>
        </w:rPr>
        <w:t>DWT</w:t>
      </w:r>
      <w:r w:rsidRPr="00143C32">
        <w:rPr>
          <w:sz w:val="22"/>
          <w:szCs w:val="22"/>
          <w:lang w:val="en-GB"/>
        </w:rPr>
        <w:t xml:space="preserve"> return. </w:t>
      </w:r>
    </w:p>
    <w:p w14:paraId="327E5C70" w14:textId="77777777" w:rsidR="00143C32" w:rsidRPr="00143C32" w:rsidRDefault="00143C32" w:rsidP="00143C32">
      <w:pPr>
        <w:jc w:val="both"/>
        <w:rPr>
          <w:sz w:val="22"/>
          <w:szCs w:val="22"/>
          <w:lang w:val="en-GB"/>
        </w:rPr>
      </w:pPr>
    </w:p>
    <w:p w14:paraId="7557F103" w14:textId="77777777" w:rsidR="007B3F95" w:rsidRPr="007B3F95" w:rsidRDefault="007B3F95" w:rsidP="007B3F95">
      <w:pPr>
        <w:pStyle w:val="ListParagraph"/>
        <w:numPr>
          <w:ilvl w:val="1"/>
          <w:numId w:val="8"/>
        </w:numPr>
        <w:ind w:left="851" w:hanging="851"/>
        <w:jc w:val="both"/>
        <w:rPr>
          <w:b/>
          <w:bCs/>
          <w:sz w:val="22"/>
          <w:szCs w:val="22"/>
          <w:lang w:val="en-GB"/>
        </w:rPr>
      </w:pPr>
      <w:r w:rsidRPr="007B3F95">
        <w:rPr>
          <w:b/>
          <w:bCs/>
          <w:sz w:val="22"/>
          <w:szCs w:val="22"/>
          <w:lang w:val="en-GB"/>
        </w:rPr>
        <w:t xml:space="preserve">Domestic exemptions from Dutch DWT </w:t>
      </w:r>
    </w:p>
    <w:p w14:paraId="7CC7CD74" w14:textId="77777777" w:rsidR="00EE2D9C" w:rsidRDefault="00EE2D9C" w:rsidP="00EE2D9C">
      <w:pPr>
        <w:pStyle w:val="ListParagraph"/>
        <w:numPr>
          <w:ilvl w:val="2"/>
          <w:numId w:val="8"/>
        </w:numPr>
        <w:ind w:hanging="1224"/>
        <w:jc w:val="both"/>
        <w:rPr>
          <w:b/>
          <w:bCs/>
          <w:sz w:val="22"/>
          <w:szCs w:val="22"/>
          <w:lang w:val="en-GB"/>
        </w:rPr>
      </w:pPr>
      <w:r>
        <w:rPr>
          <w:b/>
          <w:bCs/>
          <w:sz w:val="22"/>
          <w:szCs w:val="22"/>
          <w:lang w:val="en-GB"/>
        </w:rPr>
        <w:t>General</w:t>
      </w:r>
    </w:p>
    <w:p w14:paraId="1821D8A6" w14:textId="230C1442" w:rsidR="00EE2D9C" w:rsidRDefault="00EE2D9C" w:rsidP="00244D61">
      <w:pPr>
        <w:ind w:left="1276"/>
        <w:jc w:val="both"/>
        <w:rPr>
          <w:sz w:val="22"/>
          <w:szCs w:val="22"/>
          <w:lang w:val="en-GB"/>
        </w:rPr>
      </w:pPr>
      <w:r>
        <w:rPr>
          <w:sz w:val="22"/>
          <w:szCs w:val="22"/>
          <w:lang w:val="en-GB"/>
        </w:rPr>
        <w:t>Corporate</w:t>
      </w:r>
      <w:r w:rsidRPr="001B16CB">
        <w:rPr>
          <w:sz w:val="22"/>
          <w:lang w:val="en-GB"/>
        </w:rPr>
        <w:t xml:space="preserve"> shareholders</w:t>
      </w:r>
      <w:r>
        <w:rPr>
          <w:sz w:val="22"/>
          <w:szCs w:val="22"/>
          <w:lang w:val="en-GB"/>
        </w:rPr>
        <w:t xml:space="preserve"> may be exempt</w:t>
      </w:r>
      <w:r w:rsidRPr="00143C32">
        <w:rPr>
          <w:sz w:val="22"/>
          <w:szCs w:val="22"/>
          <w:lang w:val="en-GB"/>
        </w:rPr>
        <w:t xml:space="preserve"> from Dutch</w:t>
      </w:r>
      <w:r>
        <w:rPr>
          <w:sz w:val="22"/>
          <w:szCs w:val="22"/>
          <w:lang w:val="en-GB"/>
        </w:rPr>
        <w:t xml:space="preserve"> DWT in terms of Dutch domestic law, if:</w:t>
      </w:r>
    </w:p>
    <w:p w14:paraId="6581155F" w14:textId="77777777" w:rsidR="00EE2D9C" w:rsidRDefault="00EE2D9C" w:rsidP="00EE2D9C">
      <w:pPr>
        <w:pStyle w:val="ListParagraph"/>
        <w:numPr>
          <w:ilvl w:val="3"/>
          <w:numId w:val="8"/>
        </w:numPr>
        <w:ind w:hanging="1728"/>
        <w:jc w:val="both"/>
        <w:rPr>
          <w:sz w:val="22"/>
          <w:szCs w:val="22"/>
          <w:lang w:val="en-GB"/>
        </w:rPr>
      </w:pPr>
      <w:r>
        <w:rPr>
          <w:sz w:val="22"/>
          <w:szCs w:val="22"/>
          <w:lang w:val="en-GB"/>
        </w:rPr>
        <w:t>The shareholder is</w:t>
      </w:r>
      <w:r w:rsidRPr="00D616E4">
        <w:rPr>
          <w:sz w:val="22"/>
          <w:szCs w:val="22"/>
          <w:lang w:val="en-GB"/>
        </w:rPr>
        <w:t xml:space="preserve"> tax resident in the Netherlands </w:t>
      </w:r>
      <w:r>
        <w:rPr>
          <w:sz w:val="22"/>
          <w:szCs w:val="22"/>
          <w:lang w:val="en-GB"/>
        </w:rPr>
        <w:t>and</w:t>
      </w:r>
      <w:r w:rsidRPr="00D616E4">
        <w:rPr>
          <w:sz w:val="22"/>
          <w:szCs w:val="22"/>
          <w:lang w:val="en-GB"/>
        </w:rPr>
        <w:t xml:space="preserve"> owns 5% or more of the share capital of Prosus</w:t>
      </w:r>
      <w:r>
        <w:rPr>
          <w:sz w:val="22"/>
          <w:szCs w:val="22"/>
          <w:lang w:val="en-GB"/>
        </w:rPr>
        <w:t xml:space="preserve">, provided that the further requirements for </w:t>
      </w:r>
      <w:r w:rsidRPr="001B16CB">
        <w:rPr>
          <w:sz w:val="22"/>
          <w:lang w:val="en-GB"/>
        </w:rPr>
        <w:t xml:space="preserve">the </w:t>
      </w:r>
      <w:r>
        <w:rPr>
          <w:sz w:val="22"/>
          <w:szCs w:val="22"/>
          <w:lang w:val="en-GB"/>
        </w:rPr>
        <w:t xml:space="preserve">application of </w:t>
      </w:r>
      <w:r w:rsidRPr="00143C32">
        <w:rPr>
          <w:sz w:val="22"/>
          <w:szCs w:val="22"/>
          <w:lang w:val="en-GB"/>
        </w:rPr>
        <w:t>the Dutch participation</w:t>
      </w:r>
      <w:r>
        <w:rPr>
          <w:sz w:val="22"/>
          <w:szCs w:val="22"/>
          <w:lang w:val="en-GB"/>
        </w:rPr>
        <w:t xml:space="preserve"> </w:t>
      </w:r>
      <w:r w:rsidRPr="00143C32">
        <w:rPr>
          <w:sz w:val="22"/>
          <w:szCs w:val="22"/>
          <w:lang w:val="en-GB"/>
        </w:rPr>
        <w:t>exemption are met</w:t>
      </w:r>
      <w:r>
        <w:rPr>
          <w:sz w:val="22"/>
          <w:szCs w:val="22"/>
          <w:lang w:val="en-GB"/>
        </w:rPr>
        <w:t xml:space="preserve">.  </w:t>
      </w:r>
      <w:r w:rsidRPr="00D616E4">
        <w:rPr>
          <w:sz w:val="22"/>
          <w:szCs w:val="22"/>
          <w:lang w:val="en-GB"/>
        </w:rPr>
        <w:t>Special rules may apply for corporate shareholders that are considered tax transparent in their country of residence, or considered tax transparent from a Dutch tax perspective;</w:t>
      </w:r>
      <w:r>
        <w:rPr>
          <w:sz w:val="22"/>
          <w:szCs w:val="22"/>
          <w:lang w:val="en-GB"/>
        </w:rPr>
        <w:t xml:space="preserve"> or</w:t>
      </w:r>
    </w:p>
    <w:p w14:paraId="241DB8C7" w14:textId="77777777" w:rsidR="00EE2D9C" w:rsidRDefault="00EE2D9C" w:rsidP="00EE2D9C">
      <w:pPr>
        <w:pStyle w:val="ListParagraph"/>
        <w:ind w:left="1224"/>
        <w:jc w:val="both"/>
        <w:rPr>
          <w:sz w:val="22"/>
          <w:szCs w:val="22"/>
          <w:lang w:val="en-GB"/>
        </w:rPr>
      </w:pPr>
    </w:p>
    <w:p w14:paraId="234666E9" w14:textId="77777777" w:rsidR="00EE2D9C" w:rsidRPr="00393C89" w:rsidRDefault="00EE2D9C" w:rsidP="00EE2D9C">
      <w:pPr>
        <w:pStyle w:val="ListParagraph"/>
        <w:numPr>
          <w:ilvl w:val="3"/>
          <w:numId w:val="8"/>
        </w:numPr>
        <w:ind w:hanging="1728"/>
        <w:jc w:val="both"/>
        <w:rPr>
          <w:sz w:val="22"/>
          <w:szCs w:val="22"/>
        </w:rPr>
      </w:pPr>
      <w:r>
        <w:rPr>
          <w:sz w:val="22"/>
          <w:szCs w:val="22"/>
          <w:lang w:val="en-GB"/>
        </w:rPr>
        <w:t>A shareholder is considered</w:t>
      </w:r>
      <w:r w:rsidRPr="006F38CF">
        <w:rPr>
          <w:sz w:val="22"/>
          <w:szCs w:val="22"/>
          <w:lang w:val="en-GB"/>
        </w:rPr>
        <w:t xml:space="preserve"> tax resident within th</w:t>
      </w:r>
      <w:r>
        <w:rPr>
          <w:sz w:val="22"/>
          <w:szCs w:val="22"/>
          <w:lang w:val="en-GB"/>
        </w:rPr>
        <w:t>e EU or EEA</w:t>
      </w:r>
      <w:r w:rsidRPr="006F38CF">
        <w:rPr>
          <w:sz w:val="22"/>
          <w:szCs w:val="22"/>
          <w:lang w:val="en-GB"/>
        </w:rPr>
        <w:t xml:space="preserve"> or is a tax resident of</w:t>
      </w:r>
      <w:r>
        <w:rPr>
          <w:sz w:val="22"/>
          <w:szCs w:val="22"/>
          <w:lang w:val="en-GB"/>
        </w:rPr>
        <w:t xml:space="preserve"> a country</w:t>
      </w:r>
      <w:r w:rsidRPr="006F38CF">
        <w:rPr>
          <w:sz w:val="22"/>
          <w:szCs w:val="22"/>
          <w:lang w:val="en-GB"/>
        </w:rPr>
        <w:t xml:space="preserve"> with which the Netherlands has concluded a tax treaty containing an article on </w:t>
      </w:r>
      <w:r>
        <w:rPr>
          <w:sz w:val="22"/>
          <w:szCs w:val="22"/>
          <w:lang w:val="en-GB"/>
        </w:rPr>
        <w:t>taxation of dividends (such as</w:t>
      </w:r>
      <w:r w:rsidRPr="006F38CF">
        <w:rPr>
          <w:sz w:val="22"/>
          <w:szCs w:val="22"/>
          <w:lang w:val="en-GB"/>
        </w:rPr>
        <w:t xml:space="preserve"> South Afric</w:t>
      </w:r>
      <w:r>
        <w:rPr>
          <w:sz w:val="22"/>
          <w:szCs w:val="22"/>
          <w:lang w:val="en-GB"/>
        </w:rPr>
        <w:t>a), and</w:t>
      </w:r>
      <w:r w:rsidRPr="006F38CF">
        <w:rPr>
          <w:sz w:val="22"/>
          <w:szCs w:val="22"/>
          <w:lang w:val="en-GB"/>
        </w:rPr>
        <w:t xml:space="preserve">, as a general rule, this corporate shareholder </w:t>
      </w:r>
      <w:r>
        <w:rPr>
          <w:sz w:val="22"/>
          <w:szCs w:val="22"/>
          <w:lang w:val="en-GB"/>
        </w:rPr>
        <w:t xml:space="preserve">is the beneficial owner of the dividends distributed by Prosus and </w:t>
      </w:r>
      <w:r w:rsidRPr="006F38CF">
        <w:rPr>
          <w:sz w:val="22"/>
          <w:szCs w:val="22"/>
          <w:lang w:val="en-GB"/>
        </w:rPr>
        <w:t xml:space="preserve">owns 5% or more of </w:t>
      </w:r>
      <w:r>
        <w:rPr>
          <w:sz w:val="22"/>
          <w:szCs w:val="22"/>
          <w:lang w:val="en-GB"/>
        </w:rPr>
        <w:t>the share capital of Prosus.</w:t>
      </w:r>
      <w:r w:rsidRPr="00393C89">
        <w:rPr>
          <w:sz w:val="22"/>
        </w:rPr>
        <w:t xml:space="preserve"> </w:t>
      </w:r>
      <w:r>
        <w:rPr>
          <w:sz w:val="22"/>
        </w:rPr>
        <w:t xml:space="preserve"> In addition to the shareholding requirement, the shareholder is also required to meet </w:t>
      </w:r>
      <w:r w:rsidRPr="00393C89">
        <w:rPr>
          <w:sz w:val="22"/>
          <w:szCs w:val="22"/>
        </w:rPr>
        <w:t>c</w:t>
      </w:r>
      <w:r>
        <w:rPr>
          <w:sz w:val="22"/>
          <w:szCs w:val="22"/>
        </w:rPr>
        <w:t>ertain other conditions relating to the application of</w:t>
      </w:r>
      <w:r w:rsidRPr="00393C89">
        <w:rPr>
          <w:sz w:val="22"/>
          <w:szCs w:val="22"/>
        </w:rPr>
        <w:t xml:space="preserve"> the Dutch participation exemption</w:t>
      </w:r>
      <w:r>
        <w:rPr>
          <w:sz w:val="22"/>
          <w:szCs w:val="22"/>
        </w:rPr>
        <w:t>, determined as if the corporate shareholder is</w:t>
      </w:r>
      <w:r w:rsidRPr="00393C89">
        <w:rPr>
          <w:sz w:val="22"/>
          <w:szCs w:val="22"/>
        </w:rPr>
        <w:t xml:space="preserve"> a Dutch tax resid</w:t>
      </w:r>
      <w:r>
        <w:rPr>
          <w:sz w:val="22"/>
          <w:szCs w:val="22"/>
        </w:rPr>
        <w:t>ent</w:t>
      </w:r>
      <w:r w:rsidRPr="00393C89">
        <w:rPr>
          <w:sz w:val="22"/>
          <w:szCs w:val="22"/>
        </w:rPr>
        <w:t>.</w:t>
      </w:r>
    </w:p>
    <w:p w14:paraId="5EE6D075" w14:textId="77777777" w:rsidR="00EE2D9C" w:rsidRDefault="00EE2D9C" w:rsidP="00EE2D9C">
      <w:pPr>
        <w:pStyle w:val="ListParagraph"/>
        <w:ind w:left="851"/>
        <w:jc w:val="both"/>
        <w:rPr>
          <w:sz w:val="22"/>
          <w:szCs w:val="22"/>
          <w:lang w:val="en-GB"/>
        </w:rPr>
      </w:pPr>
    </w:p>
    <w:p w14:paraId="57D81436" w14:textId="77777777" w:rsidR="00EE2D9C" w:rsidRDefault="00EE2D9C" w:rsidP="00244D61">
      <w:pPr>
        <w:ind w:left="1276"/>
        <w:jc w:val="both"/>
        <w:rPr>
          <w:sz w:val="22"/>
          <w:szCs w:val="22"/>
          <w:lang w:val="en-GB"/>
        </w:rPr>
      </w:pPr>
      <w:r w:rsidRPr="00143C32">
        <w:rPr>
          <w:sz w:val="22"/>
          <w:szCs w:val="22"/>
          <w:lang w:val="en-GB"/>
        </w:rPr>
        <w:t xml:space="preserve">The </w:t>
      </w:r>
      <w:r>
        <w:rPr>
          <w:sz w:val="22"/>
          <w:szCs w:val="22"/>
          <w:lang w:val="en-GB"/>
        </w:rPr>
        <w:t xml:space="preserve">above </w:t>
      </w:r>
      <w:r w:rsidRPr="00143C32">
        <w:rPr>
          <w:sz w:val="22"/>
          <w:szCs w:val="22"/>
          <w:lang w:val="en-GB"/>
        </w:rPr>
        <w:t>exemption</w:t>
      </w:r>
      <w:r>
        <w:rPr>
          <w:sz w:val="22"/>
          <w:szCs w:val="22"/>
          <w:lang w:val="en-GB"/>
        </w:rPr>
        <w:t>s are</w:t>
      </w:r>
      <w:r w:rsidRPr="00143C32">
        <w:rPr>
          <w:sz w:val="22"/>
          <w:szCs w:val="22"/>
          <w:lang w:val="en-GB"/>
        </w:rPr>
        <w:t xml:space="preserve"> not available in cases of abuse, for which a main purposes test and artificial arrangement test applies.</w:t>
      </w:r>
      <w:r>
        <w:rPr>
          <w:sz w:val="22"/>
          <w:szCs w:val="22"/>
          <w:lang w:val="en-GB"/>
        </w:rPr>
        <w:t xml:space="preserve">  </w:t>
      </w:r>
    </w:p>
    <w:p w14:paraId="178C3130" w14:textId="77777777" w:rsidR="00EE2D9C" w:rsidRPr="001B16CB" w:rsidRDefault="00EE2D9C" w:rsidP="00EE2D9C">
      <w:pPr>
        <w:ind w:left="851"/>
        <w:jc w:val="both"/>
        <w:rPr>
          <w:sz w:val="22"/>
          <w:lang w:val="en-GB"/>
        </w:rPr>
      </w:pPr>
    </w:p>
    <w:p w14:paraId="7847C28B" w14:textId="573900E2" w:rsidR="00EE2D9C" w:rsidRDefault="00EE2D9C" w:rsidP="00244D61">
      <w:pPr>
        <w:ind w:left="1276"/>
        <w:jc w:val="both"/>
        <w:rPr>
          <w:sz w:val="22"/>
          <w:szCs w:val="22"/>
          <w:lang w:val="en-GB"/>
        </w:rPr>
      </w:pPr>
      <w:r w:rsidRPr="00BB62C7">
        <w:rPr>
          <w:sz w:val="22"/>
          <w:szCs w:val="22"/>
          <w:lang w:val="en-GB"/>
        </w:rPr>
        <w:t>If a shareholder is eligible</w:t>
      </w:r>
      <w:r w:rsidRPr="00B365E2">
        <w:rPr>
          <w:sz w:val="22"/>
          <w:szCs w:val="22"/>
          <w:lang w:val="en-GB"/>
        </w:rPr>
        <w:t xml:space="preserve"> for </w:t>
      </w:r>
      <w:r>
        <w:rPr>
          <w:sz w:val="22"/>
          <w:szCs w:val="22"/>
          <w:lang w:val="en-GB"/>
        </w:rPr>
        <w:t>an</w:t>
      </w:r>
      <w:r w:rsidRPr="00BB62C7">
        <w:rPr>
          <w:sz w:val="22"/>
          <w:szCs w:val="22"/>
          <w:lang w:val="en-GB"/>
        </w:rPr>
        <w:t xml:space="preserve"> exemption from Dutch </w:t>
      </w:r>
      <w:r w:rsidR="001D1780">
        <w:rPr>
          <w:sz w:val="22"/>
          <w:szCs w:val="22"/>
          <w:lang w:val="en-GB"/>
        </w:rPr>
        <w:t>DWT</w:t>
      </w:r>
      <w:r w:rsidRPr="008E7AE3">
        <w:rPr>
          <w:sz w:val="22"/>
          <w:szCs w:val="22"/>
          <w:lang w:val="en-GB"/>
        </w:rPr>
        <w:t xml:space="preserve">, </w:t>
      </w:r>
      <w:proofErr w:type="gramStart"/>
      <w:r>
        <w:rPr>
          <w:sz w:val="22"/>
          <w:szCs w:val="22"/>
          <w:lang w:val="en-GB"/>
        </w:rPr>
        <w:t>in order to</w:t>
      </w:r>
      <w:proofErr w:type="gramEnd"/>
      <w:r>
        <w:rPr>
          <w:sz w:val="22"/>
          <w:szCs w:val="22"/>
          <w:lang w:val="en-GB"/>
        </w:rPr>
        <w:t xml:space="preserve"> place reliance on such exemption, the</w:t>
      </w:r>
      <w:r w:rsidRPr="00BB62C7">
        <w:rPr>
          <w:sz w:val="22"/>
          <w:szCs w:val="22"/>
          <w:lang w:val="en-GB"/>
        </w:rPr>
        <w:t xml:space="preserve"> shareholder is require</w:t>
      </w:r>
      <w:r>
        <w:rPr>
          <w:sz w:val="22"/>
          <w:szCs w:val="22"/>
          <w:lang w:val="en-GB"/>
        </w:rPr>
        <w:t>d</w:t>
      </w:r>
      <w:r w:rsidRPr="00BB62C7">
        <w:rPr>
          <w:sz w:val="22"/>
          <w:szCs w:val="22"/>
          <w:lang w:val="en-GB"/>
        </w:rPr>
        <w:t xml:space="preserve"> to </w:t>
      </w:r>
      <w:r>
        <w:rPr>
          <w:sz w:val="22"/>
          <w:szCs w:val="22"/>
          <w:lang w:val="en-GB"/>
        </w:rPr>
        <w:t xml:space="preserve">submit certain information to ABN AMRO as set-out below </w:t>
      </w:r>
    </w:p>
    <w:p w14:paraId="015AD003" w14:textId="40AF5692" w:rsidR="00EE2D9C" w:rsidRDefault="00EE2D9C" w:rsidP="00A730D5">
      <w:pPr>
        <w:pStyle w:val="ListParagraph"/>
        <w:ind w:left="1224"/>
        <w:jc w:val="both"/>
        <w:rPr>
          <w:sz w:val="22"/>
          <w:szCs w:val="22"/>
          <w:lang w:val="en-GB"/>
        </w:rPr>
      </w:pPr>
    </w:p>
    <w:p w14:paraId="44ADBE3D" w14:textId="77777777" w:rsidR="00EE2D9C" w:rsidRPr="00BB62C7" w:rsidRDefault="00EE2D9C" w:rsidP="00EE2D9C">
      <w:pPr>
        <w:pStyle w:val="ListParagraph"/>
        <w:numPr>
          <w:ilvl w:val="2"/>
          <w:numId w:val="8"/>
        </w:numPr>
        <w:ind w:hanging="1224"/>
        <w:jc w:val="both"/>
        <w:rPr>
          <w:b/>
          <w:bCs/>
          <w:sz w:val="22"/>
          <w:szCs w:val="22"/>
          <w:lang w:val="en-GB"/>
        </w:rPr>
      </w:pPr>
      <w:r w:rsidRPr="00BB62C7">
        <w:rPr>
          <w:b/>
          <w:bCs/>
          <w:sz w:val="22"/>
          <w:szCs w:val="22"/>
          <w:lang w:val="en-GB"/>
        </w:rPr>
        <w:t>Dutch corporate shareholders owning 5% or more of Prosus' share capital</w:t>
      </w:r>
    </w:p>
    <w:p w14:paraId="0D5BF451" w14:textId="029093C9" w:rsidR="00EE2D9C" w:rsidRDefault="00EE2D9C" w:rsidP="00EE2D9C">
      <w:pPr>
        <w:pStyle w:val="ListParagraph"/>
        <w:ind w:left="1224"/>
        <w:jc w:val="both"/>
        <w:rPr>
          <w:sz w:val="22"/>
          <w:szCs w:val="22"/>
          <w:lang w:val="en-GB"/>
        </w:rPr>
      </w:pPr>
      <w:r w:rsidRPr="00CB5971">
        <w:rPr>
          <w:sz w:val="22"/>
          <w:szCs w:val="22"/>
          <w:lang w:val="en-GB"/>
        </w:rPr>
        <w:t>In order to rely on this domestic exemption from Dutch DWT described in paragraph 1.2.1</w:t>
      </w:r>
      <w:r>
        <w:rPr>
          <w:sz w:val="22"/>
          <w:szCs w:val="22"/>
          <w:lang w:val="en-GB"/>
        </w:rPr>
        <w:t>.1</w:t>
      </w:r>
      <w:r w:rsidRPr="00CB5971">
        <w:rPr>
          <w:sz w:val="22"/>
          <w:szCs w:val="22"/>
          <w:lang w:val="en-GB"/>
        </w:rPr>
        <w:t xml:space="preserve"> above, the shareholder should provide ABN AMRO </w:t>
      </w:r>
      <w:r w:rsidR="001D02F7">
        <w:rPr>
          <w:sz w:val="22"/>
          <w:szCs w:val="22"/>
          <w:lang w:val="en-GB"/>
        </w:rPr>
        <w:t xml:space="preserve">via its own intermediary bank </w:t>
      </w:r>
      <w:r w:rsidR="00143C32" w:rsidRPr="00143C32">
        <w:rPr>
          <w:sz w:val="22"/>
          <w:szCs w:val="22"/>
          <w:lang w:val="en-GB"/>
        </w:rPr>
        <w:t>with: (i) its name, address and place of</w:t>
      </w:r>
      <w:r w:rsidR="00143C32">
        <w:rPr>
          <w:sz w:val="22"/>
          <w:szCs w:val="22"/>
          <w:lang w:val="en-GB"/>
        </w:rPr>
        <w:t xml:space="preserve"> </w:t>
      </w:r>
      <w:r w:rsidR="00143C32" w:rsidRPr="00143C32">
        <w:rPr>
          <w:sz w:val="22"/>
          <w:szCs w:val="22"/>
          <w:lang w:val="en-GB"/>
        </w:rPr>
        <w:t xml:space="preserve"> residency, and corresponding extract from the Dutch Chamber of Commerce; (ii) the number and percentage of shares owned in </w:t>
      </w:r>
      <w:r w:rsidR="00143C32">
        <w:rPr>
          <w:sz w:val="22"/>
          <w:szCs w:val="22"/>
          <w:lang w:val="en-GB"/>
        </w:rPr>
        <w:t>Prosus</w:t>
      </w:r>
      <w:r w:rsidR="00143C32" w:rsidRPr="00143C32">
        <w:rPr>
          <w:sz w:val="22"/>
          <w:szCs w:val="22"/>
          <w:lang w:val="en-GB"/>
        </w:rPr>
        <w:t>; (iii) its bank account details; and (iv) a statement</w:t>
      </w:r>
      <w:r w:rsidR="00143C32">
        <w:rPr>
          <w:sz w:val="22"/>
          <w:szCs w:val="22"/>
          <w:lang w:val="en-GB"/>
        </w:rPr>
        <w:t xml:space="preserve"> </w:t>
      </w:r>
      <w:r w:rsidR="00143C32" w:rsidRPr="00143C32">
        <w:rPr>
          <w:sz w:val="22"/>
          <w:szCs w:val="22"/>
          <w:lang w:val="en-GB"/>
        </w:rPr>
        <w:t>confirming that the Dutch participation exemption applies to the dividend at the level of the Dutch corporate shareholder</w:t>
      </w:r>
      <w:r w:rsidR="001D02F7">
        <w:rPr>
          <w:sz w:val="22"/>
          <w:szCs w:val="22"/>
          <w:lang w:val="en-GB"/>
        </w:rPr>
        <w:t>. This information should be submitted before Tuesday 8 December 2020.</w:t>
      </w:r>
    </w:p>
    <w:p w14:paraId="5C65213D" w14:textId="77777777" w:rsidR="00EE2D9C" w:rsidRDefault="00EE2D9C" w:rsidP="00A730D5">
      <w:pPr>
        <w:pStyle w:val="ListParagraph"/>
        <w:ind w:left="1224"/>
        <w:jc w:val="both"/>
        <w:rPr>
          <w:sz w:val="22"/>
          <w:szCs w:val="22"/>
          <w:lang w:val="en-GB"/>
        </w:rPr>
      </w:pPr>
    </w:p>
    <w:p w14:paraId="4815F963" w14:textId="3A87CA5D" w:rsidR="00143C32" w:rsidRPr="00143C32" w:rsidRDefault="00143C32" w:rsidP="00A730D5">
      <w:pPr>
        <w:pStyle w:val="ListParagraph"/>
        <w:ind w:left="1224"/>
        <w:jc w:val="both"/>
        <w:rPr>
          <w:sz w:val="22"/>
          <w:szCs w:val="22"/>
          <w:lang w:val="en-GB"/>
        </w:rPr>
      </w:pPr>
      <w:r w:rsidRPr="00143C32">
        <w:rPr>
          <w:sz w:val="22"/>
          <w:szCs w:val="22"/>
          <w:lang w:val="en-GB"/>
        </w:rPr>
        <w:t xml:space="preserve">As indicated above, </w:t>
      </w:r>
      <w:r>
        <w:rPr>
          <w:sz w:val="22"/>
          <w:szCs w:val="22"/>
          <w:lang w:val="en-GB"/>
        </w:rPr>
        <w:t>Prosus</w:t>
      </w:r>
      <w:r w:rsidRPr="00143C32">
        <w:rPr>
          <w:sz w:val="22"/>
          <w:szCs w:val="22"/>
          <w:lang w:val="en-GB"/>
        </w:rPr>
        <w:t xml:space="preserve"> will, </w:t>
      </w:r>
      <w:proofErr w:type="gramStart"/>
      <w:r w:rsidRPr="00143C32">
        <w:rPr>
          <w:sz w:val="22"/>
          <w:szCs w:val="22"/>
          <w:lang w:val="en-GB"/>
        </w:rPr>
        <w:t>as a general rule</w:t>
      </w:r>
      <w:proofErr w:type="gramEnd"/>
      <w:r w:rsidRPr="00143C32">
        <w:rPr>
          <w:sz w:val="22"/>
          <w:szCs w:val="22"/>
          <w:lang w:val="en-GB"/>
        </w:rPr>
        <w:t xml:space="preserve">, initially withhold 15% on ALL dividends distributed on </w:t>
      </w:r>
      <w:r w:rsidR="00C836E9">
        <w:rPr>
          <w:sz w:val="22"/>
          <w:szCs w:val="22"/>
          <w:lang w:val="en-GB"/>
        </w:rPr>
        <w:t>Tuesday, 17 November 2020</w:t>
      </w:r>
      <w:r w:rsidRPr="00143C32">
        <w:rPr>
          <w:sz w:val="22"/>
          <w:szCs w:val="22"/>
          <w:lang w:val="en-GB"/>
        </w:rPr>
        <w:t>. If</w:t>
      </w:r>
      <w:r w:rsidR="00EE2D9C">
        <w:rPr>
          <w:sz w:val="22"/>
          <w:szCs w:val="22"/>
          <w:lang w:val="en-GB"/>
        </w:rPr>
        <w:t>, however,</w:t>
      </w:r>
      <w:r w:rsidR="00D727AA">
        <w:rPr>
          <w:sz w:val="22"/>
          <w:szCs w:val="22"/>
          <w:lang w:val="en-GB"/>
        </w:rPr>
        <w:t xml:space="preserve"> </w:t>
      </w:r>
      <w:r>
        <w:rPr>
          <w:sz w:val="22"/>
          <w:szCs w:val="22"/>
          <w:lang w:val="en-GB"/>
        </w:rPr>
        <w:t>Prosus</w:t>
      </w:r>
      <w:r w:rsidRPr="00143C32">
        <w:rPr>
          <w:sz w:val="22"/>
          <w:szCs w:val="22"/>
          <w:lang w:val="en-GB"/>
        </w:rPr>
        <w:t xml:space="preserve"> has been provided with proof, to its satisfaction, </w:t>
      </w:r>
      <w:r w:rsidR="00D727AA">
        <w:rPr>
          <w:sz w:val="22"/>
          <w:szCs w:val="22"/>
          <w:lang w:val="en-GB"/>
        </w:rPr>
        <w:t>ultimately 8 December</w:t>
      </w:r>
      <w:r w:rsidR="00034F3B">
        <w:rPr>
          <w:sz w:val="22"/>
          <w:szCs w:val="22"/>
          <w:lang w:val="en-GB"/>
        </w:rPr>
        <w:t xml:space="preserve"> 2020</w:t>
      </w:r>
      <w:r w:rsidRPr="00143C32">
        <w:rPr>
          <w:sz w:val="22"/>
          <w:szCs w:val="22"/>
          <w:lang w:val="en-GB"/>
        </w:rPr>
        <w:t xml:space="preserve">, that the relevant shareholder qualifies for </w:t>
      </w:r>
      <w:r w:rsidR="00EE2D9C">
        <w:rPr>
          <w:sz w:val="22"/>
          <w:szCs w:val="22"/>
          <w:lang w:val="en-GB"/>
        </w:rPr>
        <w:t>an exemption</w:t>
      </w:r>
      <w:r w:rsidR="00EE2D9C" w:rsidRPr="00143C32">
        <w:rPr>
          <w:sz w:val="22"/>
          <w:szCs w:val="22"/>
          <w:lang w:val="en-GB"/>
        </w:rPr>
        <w:t xml:space="preserve"> from Dutch </w:t>
      </w:r>
      <w:r w:rsidR="00EE2D9C">
        <w:rPr>
          <w:sz w:val="22"/>
          <w:szCs w:val="22"/>
          <w:lang w:val="en-GB"/>
        </w:rPr>
        <w:t>DWT, no amount of DWT will be withheld, and</w:t>
      </w:r>
      <w:r w:rsidR="00EE2D9C" w:rsidRPr="00143C32">
        <w:rPr>
          <w:sz w:val="22"/>
          <w:szCs w:val="22"/>
          <w:lang w:val="en-GB"/>
        </w:rPr>
        <w:t xml:space="preserve"> the 15% </w:t>
      </w:r>
      <w:r w:rsidR="00EE2D9C">
        <w:rPr>
          <w:sz w:val="22"/>
          <w:szCs w:val="22"/>
          <w:lang w:val="en-GB"/>
        </w:rPr>
        <w:t xml:space="preserve">DWT that otherwise would have been withheld </w:t>
      </w:r>
      <w:r w:rsidR="00EE2D9C" w:rsidRPr="00143C32">
        <w:rPr>
          <w:sz w:val="22"/>
          <w:szCs w:val="22"/>
          <w:lang w:val="en-GB"/>
        </w:rPr>
        <w:t xml:space="preserve">will be paid out by </w:t>
      </w:r>
      <w:r w:rsidR="00EE2D9C">
        <w:rPr>
          <w:sz w:val="22"/>
          <w:szCs w:val="22"/>
          <w:lang w:val="en-GB"/>
        </w:rPr>
        <w:t>Prosus</w:t>
      </w:r>
      <w:r w:rsidR="00EE2D9C" w:rsidRPr="00143C32">
        <w:rPr>
          <w:sz w:val="22"/>
          <w:szCs w:val="22"/>
          <w:lang w:val="en-GB"/>
        </w:rPr>
        <w:t xml:space="preserve"> to the relevant shareholder directly, after the </w:t>
      </w:r>
      <w:r w:rsidR="00EE2D9C">
        <w:rPr>
          <w:sz w:val="22"/>
          <w:szCs w:val="22"/>
          <w:lang w:val="en-GB"/>
        </w:rPr>
        <w:t>DWT</w:t>
      </w:r>
      <w:r w:rsidR="00EE2D9C" w:rsidRPr="00143C32">
        <w:rPr>
          <w:sz w:val="22"/>
          <w:szCs w:val="22"/>
          <w:lang w:val="en-GB"/>
        </w:rPr>
        <w:t xml:space="preserve"> return has been filed by </w:t>
      </w:r>
      <w:r w:rsidR="00EE2D9C">
        <w:rPr>
          <w:sz w:val="22"/>
          <w:szCs w:val="22"/>
          <w:lang w:val="en-GB"/>
        </w:rPr>
        <w:t>Prosus</w:t>
      </w:r>
      <w:r w:rsidR="00EE2D9C" w:rsidRPr="00143C32">
        <w:rPr>
          <w:sz w:val="22"/>
          <w:szCs w:val="22"/>
          <w:lang w:val="en-GB"/>
        </w:rPr>
        <w:t xml:space="preserve"> with the Dutch tax authorities.</w:t>
      </w:r>
    </w:p>
    <w:p w14:paraId="0E0D1AC4" w14:textId="77777777" w:rsidR="00143C32" w:rsidRPr="00143C32" w:rsidRDefault="00143C32" w:rsidP="00615A98">
      <w:pPr>
        <w:pStyle w:val="ListParagraph"/>
        <w:ind w:left="1224"/>
        <w:jc w:val="both"/>
        <w:rPr>
          <w:sz w:val="22"/>
          <w:szCs w:val="22"/>
          <w:lang w:val="en-GB"/>
        </w:rPr>
      </w:pPr>
    </w:p>
    <w:p w14:paraId="372F7CA9" w14:textId="77777777" w:rsidR="00A730D5" w:rsidRPr="00A730D5" w:rsidRDefault="00143C32" w:rsidP="00A730D5">
      <w:pPr>
        <w:pStyle w:val="ListParagraph"/>
        <w:keepNext/>
        <w:numPr>
          <w:ilvl w:val="2"/>
          <w:numId w:val="8"/>
        </w:numPr>
        <w:ind w:left="1225" w:hanging="1225"/>
        <w:jc w:val="both"/>
        <w:rPr>
          <w:b/>
          <w:bCs/>
          <w:sz w:val="22"/>
          <w:szCs w:val="22"/>
          <w:lang w:val="en-GB"/>
        </w:rPr>
      </w:pPr>
      <w:bookmarkStart w:id="5" w:name="_Ref46251011"/>
      <w:bookmarkStart w:id="6" w:name="_Ref46245272"/>
      <w:r w:rsidRPr="00A730D5">
        <w:rPr>
          <w:b/>
          <w:bCs/>
          <w:sz w:val="22"/>
          <w:szCs w:val="22"/>
          <w:lang w:val="en-GB"/>
        </w:rPr>
        <w:t>EU/EEA or tax treaty country resident corporate shareholders owning 5% or more</w:t>
      </w:r>
      <w:bookmarkEnd w:id="5"/>
      <w:r w:rsidRPr="00A730D5">
        <w:rPr>
          <w:b/>
          <w:bCs/>
          <w:sz w:val="22"/>
          <w:szCs w:val="22"/>
          <w:lang w:val="en-GB"/>
        </w:rPr>
        <w:t xml:space="preserve"> </w:t>
      </w:r>
    </w:p>
    <w:p w14:paraId="2883AD3D" w14:textId="3C19ECD8" w:rsidR="00143C32" w:rsidRPr="00143C32" w:rsidRDefault="00EE2D9C" w:rsidP="00EE2D9C">
      <w:pPr>
        <w:pStyle w:val="ListParagraph"/>
        <w:ind w:left="1224"/>
        <w:jc w:val="both"/>
        <w:rPr>
          <w:sz w:val="22"/>
          <w:szCs w:val="22"/>
          <w:lang w:val="en-GB"/>
        </w:rPr>
      </w:pPr>
      <w:r w:rsidRPr="00EE2D9C">
        <w:rPr>
          <w:sz w:val="22"/>
          <w:szCs w:val="22"/>
          <w:lang w:val="en-GB"/>
        </w:rPr>
        <w:t xml:space="preserve">In order for a corporate shareholder to rely on the domestic exemption from Dutch DWT described in in paragraph 1.2.1.2 above, the shareholder should provide ABN AMRO </w:t>
      </w:r>
      <w:bookmarkEnd w:id="6"/>
      <w:r w:rsidR="00D727AA">
        <w:rPr>
          <w:sz w:val="22"/>
          <w:szCs w:val="22"/>
          <w:lang w:val="en-GB"/>
        </w:rPr>
        <w:t xml:space="preserve">via its own intermediary bank </w:t>
      </w:r>
      <w:r w:rsidR="00143C32" w:rsidRPr="00143C32">
        <w:rPr>
          <w:sz w:val="22"/>
          <w:szCs w:val="22"/>
          <w:lang w:val="en-GB"/>
        </w:rPr>
        <w:t xml:space="preserve">with: (i) its name, address and place of residency; (ii) the number and percentage of shares owned in </w:t>
      </w:r>
      <w:r w:rsidR="00143C32">
        <w:rPr>
          <w:sz w:val="22"/>
          <w:szCs w:val="22"/>
          <w:lang w:val="en-GB"/>
        </w:rPr>
        <w:t>Prosus</w:t>
      </w:r>
      <w:r w:rsidR="00143C32" w:rsidRPr="00143C32">
        <w:rPr>
          <w:sz w:val="22"/>
          <w:szCs w:val="22"/>
          <w:lang w:val="en-GB"/>
        </w:rPr>
        <w:t xml:space="preserve">; (iii) a tax residency certificate issued by its country of residence; (iv) its bank account details; and (v) a statement confirming that all relevant conditions of the </w:t>
      </w:r>
      <w:r w:rsidR="00615A98">
        <w:rPr>
          <w:sz w:val="22"/>
          <w:szCs w:val="22"/>
          <w:lang w:val="en-GB"/>
        </w:rPr>
        <w:t>DWT</w:t>
      </w:r>
      <w:r w:rsidR="00143C32" w:rsidRPr="00143C32">
        <w:rPr>
          <w:sz w:val="22"/>
          <w:szCs w:val="22"/>
          <w:lang w:val="en-GB"/>
        </w:rPr>
        <w:t xml:space="preserve"> exemption are met</w:t>
      </w:r>
      <w:r w:rsidR="00D727AA">
        <w:rPr>
          <w:sz w:val="22"/>
          <w:szCs w:val="22"/>
          <w:lang w:val="en-GB"/>
        </w:rPr>
        <w:t xml:space="preserve">. This information should be submitted before 8 December 2020. </w:t>
      </w:r>
      <w:r w:rsidR="00143C32" w:rsidRPr="00143C32">
        <w:rPr>
          <w:sz w:val="22"/>
          <w:szCs w:val="22"/>
          <w:lang w:val="en-GB"/>
        </w:rPr>
        <w:t xml:space="preserve"> Subsequently, </w:t>
      </w:r>
      <w:r w:rsidR="00143C32">
        <w:rPr>
          <w:sz w:val="22"/>
          <w:szCs w:val="22"/>
          <w:lang w:val="en-GB"/>
        </w:rPr>
        <w:t>Prosus</w:t>
      </w:r>
      <w:r w:rsidR="00143C32" w:rsidRPr="00143C32">
        <w:rPr>
          <w:sz w:val="22"/>
          <w:szCs w:val="22"/>
          <w:lang w:val="en-GB"/>
        </w:rPr>
        <w:t xml:space="preserve"> will need to file a Dutch </w:t>
      </w:r>
      <w:r w:rsidR="00615A98">
        <w:rPr>
          <w:sz w:val="22"/>
          <w:szCs w:val="22"/>
          <w:lang w:val="en-GB"/>
        </w:rPr>
        <w:t>DWT</w:t>
      </w:r>
      <w:r w:rsidR="00143C32" w:rsidRPr="00143C32">
        <w:rPr>
          <w:sz w:val="22"/>
          <w:szCs w:val="22"/>
          <w:lang w:val="en-GB"/>
        </w:rPr>
        <w:t xml:space="preserve"> notification with the Dutch tax authorities.</w:t>
      </w:r>
    </w:p>
    <w:p w14:paraId="5E99C936" w14:textId="77777777" w:rsidR="00143C32" w:rsidRPr="00143C32" w:rsidRDefault="00143C32" w:rsidP="00615A98">
      <w:pPr>
        <w:ind w:left="851"/>
        <w:jc w:val="both"/>
        <w:rPr>
          <w:sz w:val="22"/>
          <w:szCs w:val="22"/>
          <w:lang w:val="en-GB"/>
        </w:rPr>
      </w:pPr>
    </w:p>
    <w:p w14:paraId="239EEAD4" w14:textId="7CC88B3D" w:rsidR="00143C32" w:rsidRPr="00143C32" w:rsidRDefault="00143C32" w:rsidP="00EE2D9C">
      <w:pPr>
        <w:pStyle w:val="ListParagraph"/>
        <w:ind w:left="1224"/>
        <w:jc w:val="both"/>
        <w:rPr>
          <w:sz w:val="22"/>
          <w:szCs w:val="22"/>
          <w:lang w:val="en-GB"/>
        </w:rPr>
      </w:pPr>
      <w:r w:rsidRPr="00143C32">
        <w:rPr>
          <w:sz w:val="22"/>
          <w:szCs w:val="22"/>
          <w:lang w:val="en-GB"/>
        </w:rPr>
        <w:t xml:space="preserve">Shareholders are advised that </w:t>
      </w:r>
      <w:r>
        <w:rPr>
          <w:sz w:val="22"/>
          <w:szCs w:val="22"/>
          <w:lang w:val="en-GB"/>
        </w:rPr>
        <w:t>Prosus</w:t>
      </w:r>
      <w:r w:rsidRPr="00143C32">
        <w:rPr>
          <w:sz w:val="22"/>
          <w:szCs w:val="22"/>
          <w:lang w:val="en-GB"/>
        </w:rPr>
        <w:t xml:space="preserve"> will, </w:t>
      </w:r>
      <w:proofErr w:type="gramStart"/>
      <w:r w:rsidRPr="00143C32">
        <w:rPr>
          <w:sz w:val="22"/>
          <w:szCs w:val="22"/>
          <w:lang w:val="en-GB"/>
        </w:rPr>
        <w:t>as a general rule</w:t>
      </w:r>
      <w:proofErr w:type="gramEnd"/>
      <w:r w:rsidRPr="00143C32">
        <w:rPr>
          <w:sz w:val="22"/>
          <w:szCs w:val="22"/>
          <w:lang w:val="en-GB"/>
        </w:rPr>
        <w:t xml:space="preserve">, initially withhold 15% on ALL dividends distributed on the dividend payment date, being </w:t>
      </w:r>
      <w:r w:rsidR="00C836E9">
        <w:rPr>
          <w:sz w:val="22"/>
          <w:szCs w:val="22"/>
          <w:lang w:val="en-GB"/>
        </w:rPr>
        <w:t>Tuesday, 17 November 2020</w:t>
      </w:r>
      <w:r w:rsidRPr="00143C32">
        <w:rPr>
          <w:sz w:val="22"/>
          <w:szCs w:val="22"/>
          <w:lang w:val="en-GB"/>
        </w:rPr>
        <w:t>. If</w:t>
      </w:r>
      <w:r w:rsidR="00EE2D9C">
        <w:rPr>
          <w:sz w:val="22"/>
          <w:szCs w:val="22"/>
          <w:lang w:val="en-GB"/>
        </w:rPr>
        <w:t>,</w:t>
      </w:r>
      <w:r w:rsidRPr="00143C32">
        <w:rPr>
          <w:sz w:val="22"/>
          <w:szCs w:val="22"/>
          <w:lang w:val="en-GB"/>
        </w:rPr>
        <w:t xml:space="preserve"> </w:t>
      </w:r>
      <w:r w:rsidR="00EE2D9C" w:rsidRPr="00B54385">
        <w:rPr>
          <w:sz w:val="22"/>
          <w:szCs w:val="22"/>
          <w:lang w:val="en-GB"/>
        </w:rPr>
        <w:t>however</w:t>
      </w:r>
      <w:r w:rsidR="00EE2D9C">
        <w:rPr>
          <w:sz w:val="22"/>
          <w:szCs w:val="22"/>
          <w:lang w:val="en-GB"/>
        </w:rPr>
        <w:t>,</w:t>
      </w:r>
      <w:r w:rsidR="00EE2D9C" w:rsidRPr="00B54385">
        <w:rPr>
          <w:sz w:val="22"/>
          <w:szCs w:val="22"/>
          <w:lang w:val="en-GB"/>
        </w:rPr>
        <w:t xml:space="preserve"> </w:t>
      </w:r>
      <w:r w:rsidR="00EE2D9C">
        <w:rPr>
          <w:sz w:val="22"/>
          <w:szCs w:val="22"/>
          <w:lang w:val="en-GB"/>
        </w:rPr>
        <w:t>ABN AMRO</w:t>
      </w:r>
      <w:r w:rsidR="00EE2D9C" w:rsidRPr="00B54385">
        <w:rPr>
          <w:sz w:val="22"/>
          <w:szCs w:val="22"/>
          <w:lang w:val="en-GB"/>
        </w:rPr>
        <w:t xml:space="preserve"> </w:t>
      </w:r>
      <w:r w:rsidRPr="00143C32">
        <w:rPr>
          <w:sz w:val="22"/>
          <w:szCs w:val="22"/>
          <w:lang w:val="en-GB"/>
        </w:rPr>
        <w:t xml:space="preserve">has been provided with proof, to its satisfaction, </w:t>
      </w:r>
      <w:r w:rsidR="00D727AA">
        <w:rPr>
          <w:sz w:val="22"/>
          <w:szCs w:val="22"/>
          <w:lang w:val="en-GB"/>
        </w:rPr>
        <w:t>ultimately 8 December</w:t>
      </w:r>
      <w:r w:rsidR="00034F3B">
        <w:rPr>
          <w:sz w:val="22"/>
          <w:szCs w:val="22"/>
          <w:lang w:val="en-GB"/>
        </w:rPr>
        <w:t xml:space="preserve"> </w:t>
      </w:r>
      <w:r w:rsidR="009C7F89">
        <w:rPr>
          <w:sz w:val="22"/>
          <w:szCs w:val="22"/>
          <w:lang w:val="en-GB"/>
        </w:rPr>
        <w:t>2020</w:t>
      </w:r>
      <w:r w:rsidRPr="00143C32">
        <w:rPr>
          <w:sz w:val="22"/>
          <w:szCs w:val="22"/>
          <w:lang w:val="en-GB"/>
        </w:rPr>
        <w:t xml:space="preserve">, that the relevant shareholder qualifies for </w:t>
      </w:r>
      <w:r w:rsidR="00EE2D9C">
        <w:rPr>
          <w:sz w:val="22"/>
          <w:szCs w:val="22"/>
          <w:lang w:val="en-GB"/>
        </w:rPr>
        <w:t>an exemption</w:t>
      </w:r>
      <w:r w:rsidR="00EE2D9C" w:rsidRPr="00143C32">
        <w:rPr>
          <w:sz w:val="22"/>
          <w:szCs w:val="22"/>
          <w:lang w:val="en-GB"/>
        </w:rPr>
        <w:t xml:space="preserve"> </w:t>
      </w:r>
      <w:r w:rsidRPr="00143C32">
        <w:rPr>
          <w:sz w:val="22"/>
          <w:szCs w:val="22"/>
          <w:lang w:val="en-GB"/>
        </w:rPr>
        <w:t xml:space="preserve">from Dutch </w:t>
      </w:r>
      <w:r w:rsidR="00615A98">
        <w:rPr>
          <w:sz w:val="22"/>
          <w:szCs w:val="22"/>
          <w:lang w:val="en-GB"/>
        </w:rPr>
        <w:t>DWT</w:t>
      </w:r>
      <w:r w:rsidR="00EE2D9C" w:rsidRPr="00B54385">
        <w:rPr>
          <w:sz w:val="22"/>
          <w:szCs w:val="22"/>
          <w:lang w:val="en-GB"/>
        </w:rPr>
        <w:t>, no amount of DWT will be withheld, and the 15% DWT that otherwise would have been withheld will be paid out by Prosus to the relevant shareholder directly, after the DWT return has been filed by Prosus with the Dutch tax authorities.</w:t>
      </w:r>
    </w:p>
    <w:p w14:paraId="22A3868F" w14:textId="77777777" w:rsidR="00143C32" w:rsidRPr="00143C32" w:rsidRDefault="00143C32" w:rsidP="00615A98">
      <w:pPr>
        <w:ind w:left="851"/>
        <w:jc w:val="both"/>
        <w:rPr>
          <w:sz w:val="22"/>
          <w:szCs w:val="22"/>
          <w:lang w:val="en-GB"/>
        </w:rPr>
      </w:pPr>
    </w:p>
    <w:p w14:paraId="766DD09F" w14:textId="253620DB" w:rsidR="00143C32" w:rsidRPr="003E63DF" w:rsidRDefault="00143C32" w:rsidP="00615A98">
      <w:pPr>
        <w:pStyle w:val="ListParagraph"/>
        <w:keepNext/>
        <w:numPr>
          <w:ilvl w:val="1"/>
          <w:numId w:val="8"/>
        </w:numPr>
        <w:ind w:hanging="792"/>
        <w:jc w:val="both"/>
        <w:rPr>
          <w:b/>
          <w:bCs/>
          <w:sz w:val="22"/>
          <w:szCs w:val="22"/>
          <w:lang w:val="en-GB"/>
        </w:rPr>
      </w:pPr>
      <w:bookmarkStart w:id="7" w:name="_Hlk48036770"/>
      <w:r w:rsidRPr="003E63DF">
        <w:rPr>
          <w:b/>
          <w:bCs/>
          <w:sz w:val="22"/>
          <w:szCs w:val="22"/>
          <w:lang w:val="en-GB"/>
        </w:rPr>
        <w:t>Tax treaty relief</w:t>
      </w:r>
    </w:p>
    <w:p w14:paraId="0559CC6B" w14:textId="66321B29" w:rsidR="00143C32" w:rsidRPr="00143C32" w:rsidRDefault="00EE2D9C" w:rsidP="00BB0061">
      <w:pPr>
        <w:ind w:left="792"/>
        <w:jc w:val="both"/>
        <w:rPr>
          <w:sz w:val="22"/>
          <w:szCs w:val="22"/>
          <w:lang w:val="en-GB"/>
        </w:rPr>
      </w:pPr>
      <w:r>
        <w:rPr>
          <w:sz w:val="22"/>
          <w:szCs w:val="22"/>
          <w:lang w:val="en-GB"/>
        </w:rPr>
        <w:t>S</w:t>
      </w:r>
      <w:r w:rsidRPr="00143C32">
        <w:rPr>
          <w:sz w:val="22"/>
          <w:szCs w:val="22"/>
          <w:lang w:val="en-GB"/>
        </w:rPr>
        <w:t>hareholder</w:t>
      </w:r>
      <w:r>
        <w:rPr>
          <w:sz w:val="22"/>
          <w:szCs w:val="22"/>
          <w:lang w:val="en-GB"/>
        </w:rPr>
        <w:t>s</w:t>
      </w:r>
      <w:r w:rsidR="00AF6133">
        <w:rPr>
          <w:sz w:val="22"/>
          <w:szCs w:val="22"/>
          <w:lang w:val="en-GB"/>
        </w:rPr>
        <w:t xml:space="preserve"> </w:t>
      </w:r>
      <w:r>
        <w:rPr>
          <w:sz w:val="22"/>
          <w:szCs w:val="22"/>
          <w:lang w:val="en-GB"/>
        </w:rPr>
        <w:t>that do</w:t>
      </w:r>
      <w:r w:rsidRPr="00143C32">
        <w:rPr>
          <w:sz w:val="22"/>
          <w:szCs w:val="22"/>
          <w:lang w:val="en-GB"/>
        </w:rPr>
        <w:t xml:space="preserve"> not qualify for </w:t>
      </w:r>
      <w:r>
        <w:rPr>
          <w:sz w:val="22"/>
          <w:szCs w:val="22"/>
          <w:lang w:val="en-GB"/>
        </w:rPr>
        <w:t>the</w:t>
      </w:r>
      <w:r w:rsidRPr="00143C32">
        <w:rPr>
          <w:sz w:val="22"/>
          <w:szCs w:val="22"/>
          <w:lang w:val="en-GB"/>
        </w:rPr>
        <w:t xml:space="preserve"> domestic exemption from Dutch </w:t>
      </w:r>
      <w:r>
        <w:rPr>
          <w:sz w:val="22"/>
          <w:szCs w:val="22"/>
          <w:lang w:val="en-GB"/>
        </w:rPr>
        <w:t>DWT</w:t>
      </w:r>
      <w:r w:rsidRPr="00143C32">
        <w:rPr>
          <w:sz w:val="22"/>
          <w:szCs w:val="22"/>
          <w:lang w:val="en-GB"/>
        </w:rPr>
        <w:t xml:space="preserve"> as outlined in paragraph</w:t>
      </w:r>
      <w:r>
        <w:rPr>
          <w:sz w:val="22"/>
          <w:szCs w:val="22"/>
          <w:lang w:val="en-GB"/>
        </w:rPr>
        <w:t xml:space="preserve"> 1.2</w:t>
      </w:r>
      <w:r w:rsidR="00AF6133">
        <w:rPr>
          <w:sz w:val="22"/>
          <w:szCs w:val="22"/>
          <w:lang w:val="en-GB"/>
        </w:rPr>
        <w:t>,</w:t>
      </w:r>
      <w:r w:rsidR="00141834">
        <w:rPr>
          <w:sz w:val="22"/>
          <w:szCs w:val="22"/>
          <w:lang w:val="en-GB"/>
        </w:rPr>
        <w:t xml:space="preserve"> </w:t>
      </w:r>
      <w:r>
        <w:rPr>
          <w:sz w:val="22"/>
          <w:szCs w:val="22"/>
          <w:lang w:val="en-GB"/>
        </w:rPr>
        <w:t>may</w:t>
      </w:r>
      <w:r w:rsidRPr="00143C32">
        <w:rPr>
          <w:sz w:val="22"/>
          <w:szCs w:val="22"/>
          <w:lang w:val="en-GB"/>
        </w:rPr>
        <w:t xml:space="preserve"> qualif</w:t>
      </w:r>
      <w:r>
        <w:rPr>
          <w:sz w:val="22"/>
          <w:szCs w:val="22"/>
          <w:lang w:val="en-GB"/>
        </w:rPr>
        <w:t>y</w:t>
      </w:r>
      <w:r w:rsidRPr="00143C32">
        <w:rPr>
          <w:sz w:val="22"/>
          <w:szCs w:val="22"/>
          <w:lang w:val="en-GB"/>
        </w:rPr>
        <w:t xml:space="preserve"> for an exemption from or reduction of Dutch </w:t>
      </w:r>
      <w:r>
        <w:rPr>
          <w:sz w:val="22"/>
          <w:szCs w:val="22"/>
          <w:lang w:val="en-GB"/>
        </w:rPr>
        <w:t>DWT</w:t>
      </w:r>
      <w:r w:rsidRPr="00143C32">
        <w:rPr>
          <w:sz w:val="22"/>
          <w:szCs w:val="22"/>
          <w:lang w:val="en-GB"/>
        </w:rPr>
        <w:t xml:space="preserve"> </w:t>
      </w:r>
      <w:proofErr w:type="gramStart"/>
      <w:r w:rsidRPr="00143C32">
        <w:rPr>
          <w:sz w:val="22"/>
          <w:szCs w:val="22"/>
          <w:lang w:val="en-GB"/>
        </w:rPr>
        <w:t>on the basis of</w:t>
      </w:r>
      <w:proofErr w:type="gramEnd"/>
      <w:r w:rsidRPr="00143C32">
        <w:rPr>
          <w:sz w:val="22"/>
          <w:szCs w:val="22"/>
          <w:lang w:val="en-GB"/>
        </w:rPr>
        <w:t xml:space="preserve"> a </w:t>
      </w:r>
      <w:r>
        <w:rPr>
          <w:sz w:val="22"/>
          <w:szCs w:val="22"/>
          <w:lang w:val="en-GB"/>
        </w:rPr>
        <w:t xml:space="preserve">relevant </w:t>
      </w:r>
      <w:r w:rsidRPr="00143C32">
        <w:rPr>
          <w:sz w:val="22"/>
          <w:szCs w:val="22"/>
          <w:lang w:val="en-GB"/>
        </w:rPr>
        <w:t>tax treaty concluded by the Netherlands</w:t>
      </w:r>
      <w:r w:rsidR="00141834">
        <w:rPr>
          <w:sz w:val="22"/>
          <w:szCs w:val="22"/>
          <w:lang w:val="en-GB"/>
        </w:rPr>
        <w:t xml:space="preserve">. The claiming of tax treaty relief or a credit will </w:t>
      </w:r>
      <w:r w:rsidR="00141834" w:rsidRPr="00143C32">
        <w:rPr>
          <w:sz w:val="22"/>
          <w:szCs w:val="22"/>
          <w:lang w:val="en-GB"/>
        </w:rPr>
        <w:t xml:space="preserve">generally </w:t>
      </w:r>
      <w:r w:rsidR="00141834">
        <w:rPr>
          <w:sz w:val="22"/>
          <w:szCs w:val="22"/>
          <w:lang w:val="en-GB"/>
        </w:rPr>
        <w:t xml:space="preserve">be subject to </w:t>
      </w:r>
      <w:r w:rsidR="00141834" w:rsidRPr="00143C32">
        <w:rPr>
          <w:sz w:val="22"/>
          <w:szCs w:val="22"/>
          <w:lang w:val="en-GB"/>
        </w:rPr>
        <w:t xml:space="preserve">formal </w:t>
      </w:r>
      <w:r w:rsidR="00141834" w:rsidRPr="00143C32">
        <w:rPr>
          <w:sz w:val="22"/>
          <w:szCs w:val="22"/>
          <w:lang w:val="en-GB"/>
        </w:rPr>
        <w:lastRenderedPageBreak/>
        <w:t>requirements</w:t>
      </w:r>
      <w:r w:rsidR="00141834">
        <w:rPr>
          <w:sz w:val="22"/>
          <w:szCs w:val="22"/>
          <w:lang w:val="en-GB"/>
        </w:rPr>
        <w:t xml:space="preserve">. </w:t>
      </w:r>
      <w:r w:rsidR="00D57904">
        <w:rPr>
          <w:sz w:val="22"/>
          <w:szCs w:val="22"/>
          <w:lang w:val="en-GB"/>
        </w:rPr>
        <w:t>Shareholders could consult their tax advisor to determine if such an exemption or reduction is applicable to their situation</w:t>
      </w:r>
      <w:r w:rsidR="00141834">
        <w:rPr>
          <w:sz w:val="22"/>
          <w:szCs w:val="22"/>
          <w:lang w:val="en-GB"/>
        </w:rPr>
        <w:t xml:space="preserve"> and in which </w:t>
      </w:r>
      <w:r w:rsidR="00AF6133">
        <w:rPr>
          <w:sz w:val="22"/>
          <w:szCs w:val="22"/>
          <w:lang w:val="en-GB"/>
        </w:rPr>
        <w:t>way,</w:t>
      </w:r>
      <w:r w:rsidR="00141834">
        <w:rPr>
          <w:sz w:val="22"/>
          <w:szCs w:val="22"/>
          <w:lang w:val="en-GB"/>
        </w:rPr>
        <w:t xml:space="preserve"> they can claim this back</w:t>
      </w:r>
      <w:bookmarkEnd w:id="7"/>
    </w:p>
    <w:p w14:paraId="6103E6E2" w14:textId="4D66700E" w:rsidR="00143C32" w:rsidRPr="00C46B6F" w:rsidRDefault="00C46B6F" w:rsidP="00C46B6F">
      <w:pPr>
        <w:pStyle w:val="ListParagraph"/>
        <w:numPr>
          <w:ilvl w:val="0"/>
          <w:numId w:val="8"/>
        </w:numPr>
        <w:jc w:val="both"/>
        <w:rPr>
          <w:b/>
          <w:bCs/>
          <w:sz w:val="22"/>
          <w:szCs w:val="22"/>
          <w:lang w:val="en-GB"/>
        </w:rPr>
      </w:pPr>
      <w:bookmarkStart w:id="8" w:name="_Ref46250870"/>
      <w:r w:rsidRPr="00C46B6F">
        <w:rPr>
          <w:b/>
          <w:bCs/>
          <w:sz w:val="22"/>
          <w:szCs w:val="22"/>
          <w:lang w:val="en-GB"/>
        </w:rPr>
        <w:t>South African Tax Implications</w:t>
      </w:r>
      <w:bookmarkEnd w:id="8"/>
      <w:r w:rsidRPr="00C46B6F">
        <w:rPr>
          <w:b/>
          <w:bCs/>
          <w:sz w:val="22"/>
          <w:szCs w:val="22"/>
          <w:lang w:val="en-GB"/>
        </w:rPr>
        <w:t xml:space="preserve"> </w:t>
      </w:r>
    </w:p>
    <w:p w14:paraId="11565E8B" w14:textId="264FD0B8" w:rsidR="00143C32" w:rsidRPr="00C46B6F" w:rsidRDefault="00143C32" w:rsidP="00C46B6F">
      <w:pPr>
        <w:pStyle w:val="ListParagraph"/>
        <w:numPr>
          <w:ilvl w:val="1"/>
          <w:numId w:val="8"/>
        </w:numPr>
        <w:ind w:hanging="792"/>
        <w:jc w:val="both"/>
        <w:rPr>
          <w:b/>
          <w:bCs/>
          <w:sz w:val="22"/>
          <w:szCs w:val="22"/>
          <w:lang w:val="en-GB"/>
        </w:rPr>
      </w:pPr>
      <w:r w:rsidRPr="00C46B6F">
        <w:rPr>
          <w:b/>
          <w:bCs/>
          <w:sz w:val="22"/>
          <w:szCs w:val="22"/>
          <w:lang w:val="en-GB"/>
        </w:rPr>
        <w:t>General</w:t>
      </w:r>
    </w:p>
    <w:p w14:paraId="38126D79" w14:textId="77777777" w:rsidR="00E91B75" w:rsidRDefault="00E91B75" w:rsidP="00E91B75">
      <w:pPr>
        <w:ind w:left="851"/>
        <w:jc w:val="both"/>
        <w:rPr>
          <w:sz w:val="22"/>
          <w:szCs w:val="22"/>
          <w:lang w:val="en-GB"/>
        </w:rPr>
      </w:pPr>
      <w:r>
        <w:rPr>
          <w:sz w:val="22"/>
          <w:szCs w:val="22"/>
          <w:lang w:val="en-GB"/>
        </w:rPr>
        <w:t>A capital repayment</w:t>
      </w:r>
      <w:r w:rsidRPr="00165E68">
        <w:rPr>
          <w:sz w:val="22"/>
          <w:szCs w:val="22"/>
          <w:lang w:val="en-GB"/>
        </w:rPr>
        <w:t xml:space="preserve"> </w:t>
      </w:r>
      <w:r w:rsidRPr="00143C32">
        <w:rPr>
          <w:sz w:val="22"/>
          <w:szCs w:val="22"/>
          <w:lang w:val="en-GB"/>
        </w:rPr>
        <w:t xml:space="preserve">in respect of a </w:t>
      </w:r>
      <w:r>
        <w:rPr>
          <w:sz w:val="22"/>
          <w:szCs w:val="22"/>
          <w:lang w:val="en-GB"/>
        </w:rPr>
        <w:t xml:space="preserve">Prosus </w:t>
      </w:r>
      <w:r w:rsidRPr="00143C32">
        <w:rPr>
          <w:sz w:val="22"/>
          <w:szCs w:val="22"/>
          <w:lang w:val="en-GB"/>
        </w:rPr>
        <w:t>share</w:t>
      </w:r>
      <w:r>
        <w:rPr>
          <w:sz w:val="22"/>
          <w:szCs w:val="22"/>
          <w:lang w:val="en-GB"/>
        </w:rPr>
        <w:t xml:space="preserve"> that is</w:t>
      </w:r>
      <w:r w:rsidRPr="00143C32">
        <w:rPr>
          <w:sz w:val="22"/>
          <w:szCs w:val="22"/>
          <w:lang w:val="en-GB"/>
        </w:rPr>
        <w:t xml:space="preserve"> listed on the</w:t>
      </w:r>
      <w:r>
        <w:rPr>
          <w:sz w:val="22"/>
          <w:szCs w:val="22"/>
          <w:lang w:val="en-GB"/>
        </w:rPr>
        <w:t xml:space="preserve"> JSE will be regarded as a "foreign return of capital" for South African tax purposes.  No South African</w:t>
      </w:r>
      <w:r w:rsidRPr="00165E68">
        <w:rPr>
          <w:sz w:val="22"/>
          <w:szCs w:val="22"/>
          <w:lang w:val="en-GB"/>
        </w:rPr>
        <w:t xml:space="preserve"> dividend withholding tax ("</w:t>
      </w:r>
      <w:r>
        <w:rPr>
          <w:sz w:val="22"/>
          <w:szCs w:val="22"/>
          <w:lang w:val="en-GB"/>
        </w:rPr>
        <w:t>SA</w:t>
      </w:r>
      <w:r w:rsidRPr="00165E68">
        <w:rPr>
          <w:sz w:val="22"/>
          <w:szCs w:val="22"/>
          <w:lang w:val="en-GB"/>
        </w:rPr>
        <w:t>DWT") will be withheld on the amounts paid to shareholders</w:t>
      </w:r>
      <w:r>
        <w:rPr>
          <w:sz w:val="22"/>
          <w:szCs w:val="22"/>
          <w:lang w:val="en-GB"/>
        </w:rPr>
        <w:t xml:space="preserve"> as a capital repayment</w:t>
      </w:r>
      <w:r w:rsidRPr="00165E68">
        <w:rPr>
          <w:sz w:val="22"/>
          <w:szCs w:val="22"/>
          <w:lang w:val="en-GB"/>
        </w:rPr>
        <w:t>.</w:t>
      </w:r>
      <w:r>
        <w:rPr>
          <w:sz w:val="22"/>
          <w:szCs w:val="22"/>
          <w:lang w:val="en-GB"/>
        </w:rPr>
        <w:t xml:space="preserve">  </w:t>
      </w:r>
    </w:p>
    <w:p w14:paraId="35FE8224" w14:textId="77777777" w:rsidR="00E91B75" w:rsidRPr="001B16CB" w:rsidRDefault="00E91B75" w:rsidP="00E91B75">
      <w:pPr>
        <w:ind w:left="851"/>
        <w:jc w:val="both"/>
        <w:rPr>
          <w:sz w:val="22"/>
          <w:lang w:val="en-GB"/>
        </w:rPr>
      </w:pPr>
    </w:p>
    <w:p w14:paraId="7FD367FB" w14:textId="77777777" w:rsidR="00E91B75" w:rsidRDefault="00E91B75" w:rsidP="00E91B75">
      <w:pPr>
        <w:ind w:left="851"/>
        <w:jc w:val="both"/>
        <w:rPr>
          <w:sz w:val="22"/>
          <w:szCs w:val="22"/>
          <w:lang w:val="en-GB"/>
        </w:rPr>
      </w:pPr>
      <w:r>
        <w:rPr>
          <w:sz w:val="22"/>
          <w:szCs w:val="22"/>
          <w:lang w:val="en-GB"/>
        </w:rPr>
        <w:t xml:space="preserve">For shareholders holding Prosus shares as a capital investment, the capital repayment will reduce the South African tax base cost of the Prosus shares in the hands of the shareholder by an amount equal to the capital repayment.  To the extent that the capital repayment may exceed the tax base cost of the Prosus shares, taxable gains may result shareholders subject to South African capital gains tax. </w:t>
      </w:r>
    </w:p>
    <w:p w14:paraId="6C48FE45" w14:textId="77777777" w:rsidR="00E91B75" w:rsidRDefault="00E91B75" w:rsidP="00E91B75">
      <w:pPr>
        <w:ind w:left="851"/>
        <w:jc w:val="both"/>
        <w:rPr>
          <w:sz w:val="22"/>
          <w:szCs w:val="22"/>
          <w:lang w:val="en-GB"/>
        </w:rPr>
      </w:pPr>
    </w:p>
    <w:p w14:paraId="6B51CA06" w14:textId="5561C9AB" w:rsidR="00143C32" w:rsidRPr="00143C32" w:rsidRDefault="00E91B75" w:rsidP="00E91B75">
      <w:pPr>
        <w:ind w:left="851"/>
        <w:jc w:val="both"/>
        <w:rPr>
          <w:sz w:val="22"/>
          <w:szCs w:val="22"/>
          <w:lang w:val="en-GB"/>
        </w:rPr>
      </w:pPr>
      <w:r>
        <w:rPr>
          <w:sz w:val="22"/>
          <w:szCs w:val="22"/>
          <w:lang w:val="en-GB"/>
        </w:rPr>
        <w:t xml:space="preserve">Where a shareholder elects to receive a </w:t>
      </w:r>
      <w:r w:rsidRPr="00143C32">
        <w:rPr>
          <w:sz w:val="22"/>
          <w:szCs w:val="22"/>
          <w:lang w:val="en-GB"/>
        </w:rPr>
        <w:t xml:space="preserve">dividend in respect of a </w:t>
      </w:r>
      <w:r>
        <w:rPr>
          <w:sz w:val="22"/>
          <w:szCs w:val="22"/>
          <w:lang w:val="en-GB"/>
        </w:rPr>
        <w:t xml:space="preserve">Prosus </w:t>
      </w:r>
      <w:r w:rsidRPr="00143C32">
        <w:rPr>
          <w:sz w:val="22"/>
          <w:szCs w:val="22"/>
          <w:lang w:val="en-GB"/>
        </w:rPr>
        <w:t>share that is listed on the</w:t>
      </w:r>
      <w:r>
        <w:rPr>
          <w:sz w:val="22"/>
          <w:szCs w:val="22"/>
          <w:lang w:val="en-GB"/>
        </w:rPr>
        <w:t xml:space="preserve"> </w:t>
      </w:r>
      <w:r w:rsidRPr="00143C32">
        <w:rPr>
          <w:sz w:val="22"/>
          <w:szCs w:val="22"/>
          <w:lang w:val="en-GB"/>
        </w:rPr>
        <w:t>JSE</w:t>
      </w:r>
      <w:r>
        <w:rPr>
          <w:sz w:val="22"/>
          <w:szCs w:val="22"/>
          <w:lang w:val="en-GB"/>
        </w:rPr>
        <w:t>, such distribution will be reg</w:t>
      </w:r>
      <w:r w:rsidRPr="00143C32">
        <w:rPr>
          <w:sz w:val="22"/>
          <w:szCs w:val="22"/>
          <w:lang w:val="en-GB"/>
        </w:rPr>
        <w:t xml:space="preserve">arded as </w:t>
      </w:r>
      <w:r>
        <w:rPr>
          <w:sz w:val="22"/>
          <w:szCs w:val="22"/>
          <w:lang w:val="en-GB"/>
        </w:rPr>
        <w:t>a "</w:t>
      </w:r>
      <w:r w:rsidRPr="00143C32">
        <w:rPr>
          <w:sz w:val="22"/>
          <w:szCs w:val="22"/>
          <w:lang w:val="en-GB"/>
        </w:rPr>
        <w:t>foreign dividend</w:t>
      </w:r>
      <w:r>
        <w:rPr>
          <w:sz w:val="22"/>
          <w:szCs w:val="22"/>
          <w:lang w:val="en-GB"/>
        </w:rPr>
        <w:t>"</w:t>
      </w:r>
      <w:r w:rsidRPr="00143C32">
        <w:rPr>
          <w:sz w:val="22"/>
          <w:szCs w:val="22"/>
          <w:lang w:val="en-GB"/>
        </w:rPr>
        <w:t xml:space="preserve"> for South African income tax</w:t>
      </w:r>
      <w:r>
        <w:rPr>
          <w:sz w:val="22"/>
          <w:szCs w:val="22"/>
          <w:lang w:val="en-GB"/>
        </w:rPr>
        <w:t xml:space="preserve"> purposes and should generally be exempt from normal tax in South Africa.  </w:t>
      </w:r>
      <w:proofErr w:type="gramStart"/>
      <w:r>
        <w:rPr>
          <w:sz w:val="22"/>
          <w:szCs w:val="22"/>
          <w:lang w:val="en-GB"/>
        </w:rPr>
        <w:t>However</w:t>
      </w:r>
      <w:proofErr w:type="gramEnd"/>
      <w:r>
        <w:rPr>
          <w:sz w:val="22"/>
          <w:szCs w:val="22"/>
          <w:lang w:val="en-GB"/>
        </w:rPr>
        <w:t xml:space="preserve"> such foreign dividends</w:t>
      </w:r>
      <w:r w:rsidRPr="00143C32">
        <w:rPr>
          <w:sz w:val="22"/>
          <w:szCs w:val="22"/>
          <w:lang w:val="en-GB"/>
        </w:rPr>
        <w:t xml:space="preserve"> </w:t>
      </w:r>
      <w:r>
        <w:rPr>
          <w:sz w:val="22"/>
          <w:szCs w:val="22"/>
          <w:lang w:val="en-GB"/>
        </w:rPr>
        <w:t xml:space="preserve">will, </w:t>
      </w:r>
      <w:r w:rsidR="001D1780">
        <w:rPr>
          <w:sz w:val="22"/>
          <w:szCs w:val="22"/>
          <w:lang w:val="en-GB"/>
        </w:rPr>
        <w:t>generally</w:t>
      </w:r>
      <w:r w:rsidRPr="00143C32">
        <w:rPr>
          <w:sz w:val="22"/>
          <w:szCs w:val="22"/>
          <w:lang w:val="en-GB"/>
        </w:rPr>
        <w:t xml:space="preserve">, </w:t>
      </w:r>
      <w:r>
        <w:rPr>
          <w:sz w:val="22"/>
          <w:szCs w:val="22"/>
          <w:lang w:val="en-GB"/>
        </w:rPr>
        <w:t xml:space="preserve">be subject to </w:t>
      </w:r>
      <w:r w:rsidRPr="00143C32">
        <w:rPr>
          <w:sz w:val="22"/>
          <w:szCs w:val="22"/>
          <w:lang w:val="en-GB"/>
        </w:rPr>
        <w:t>20% SADWT</w:t>
      </w:r>
      <w:r>
        <w:rPr>
          <w:sz w:val="22"/>
          <w:szCs w:val="22"/>
          <w:lang w:val="en-GB"/>
        </w:rPr>
        <w:t>,</w:t>
      </w:r>
      <w:r w:rsidRPr="00143C32">
        <w:rPr>
          <w:sz w:val="22"/>
          <w:szCs w:val="22"/>
          <w:lang w:val="en-GB"/>
        </w:rPr>
        <w:t xml:space="preserve"> </w:t>
      </w:r>
      <w:r>
        <w:rPr>
          <w:sz w:val="22"/>
          <w:szCs w:val="22"/>
          <w:lang w:val="en-GB"/>
        </w:rPr>
        <w:t>to</w:t>
      </w:r>
      <w:r w:rsidRPr="00143C32">
        <w:rPr>
          <w:sz w:val="22"/>
          <w:szCs w:val="22"/>
          <w:lang w:val="en-GB"/>
        </w:rPr>
        <w:t xml:space="preserve"> be withheld by the</w:t>
      </w:r>
      <w:r>
        <w:rPr>
          <w:sz w:val="22"/>
          <w:szCs w:val="22"/>
          <w:lang w:val="en-GB"/>
        </w:rPr>
        <w:t xml:space="preserve"> </w:t>
      </w:r>
      <w:r w:rsidRPr="00143C32">
        <w:rPr>
          <w:sz w:val="22"/>
          <w:szCs w:val="22"/>
          <w:lang w:val="en-GB"/>
        </w:rPr>
        <w:t>regulated intermediary in South Africa (CSDP), leaving a distribution amount per</w:t>
      </w:r>
      <w:r>
        <w:rPr>
          <w:sz w:val="22"/>
          <w:szCs w:val="22"/>
          <w:lang w:val="en-GB"/>
        </w:rPr>
        <w:t xml:space="preserve"> </w:t>
      </w:r>
      <w:r w:rsidRPr="00143C32">
        <w:rPr>
          <w:sz w:val="22"/>
          <w:szCs w:val="22"/>
          <w:lang w:val="en-GB"/>
        </w:rPr>
        <w:t>share net of SADWT</w:t>
      </w:r>
      <w:r>
        <w:rPr>
          <w:sz w:val="22"/>
          <w:szCs w:val="22"/>
          <w:lang w:val="en-GB"/>
        </w:rPr>
        <w:t>, unless</w:t>
      </w:r>
      <w:r w:rsidR="00143C32" w:rsidRPr="00143C32">
        <w:rPr>
          <w:sz w:val="22"/>
          <w:szCs w:val="22"/>
          <w:lang w:val="en-GB"/>
        </w:rPr>
        <w:t>:</w:t>
      </w:r>
    </w:p>
    <w:p w14:paraId="3BC042D6" w14:textId="77777777" w:rsidR="00143C32" w:rsidRPr="00143C32" w:rsidRDefault="00143C32" w:rsidP="00143C32">
      <w:pPr>
        <w:jc w:val="both"/>
        <w:rPr>
          <w:sz w:val="22"/>
          <w:szCs w:val="22"/>
          <w:lang w:val="en-GB"/>
        </w:rPr>
      </w:pPr>
    </w:p>
    <w:p w14:paraId="3C552163" w14:textId="591F88E7" w:rsidR="00C46B6F" w:rsidRDefault="00143C32" w:rsidP="00615A98">
      <w:pPr>
        <w:pStyle w:val="ListParagraph"/>
        <w:numPr>
          <w:ilvl w:val="2"/>
          <w:numId w:val="8"/>
        </w:numPr>
        <w:ind w:hanging="1224"/>
        <w:jc w:val="both"/>
        <w:rPr>
          <w:sz w:val="22"/>
          <w:szCs w:val="22"/>
          <w:lang w:val="en-GB"/>
        </w:rPr>
      </w:pPr>
      <w:r w:rsidRPr="00E91B75">
        <w:rPr>
          <w:sz w:val="22"/>
          <w:szCs w:val="22"/>
          <w:lang w:val="en-GB"/>
        </w:rPr>
        <w:t>a shareholder qualifies for an exemption from</w:t>
      </w:r>
      <w:r w:rsidR="00E91B75">
        <w:rPr>
          <w:sz w:val="22"/>
          <w:szCs w:val="22"/>
          <w:lang w:val="en-GB"/>
        </w:rPr>
        <w:t>, or a reduction of,</w:t>
      </w:r>
      <w:r w:rsidRPr="00E91B75">
        <w:rPr>
          <w:sz w:val="22"/>
          <w:szCs w:val="22"/>
          <w:lang w:val="en-GB"/>
        </w:rPr>
        <w:t xml:space="preserve"> SADWT</w:t>
      </w:r>
      <w:r w:rsidR="00E91B75">
        <w:rPr>
          <w:sz w:val="22"/>
          <w:szCs w:val="22"/>
          <w:lang w:val="en-GB"/>
        </w:rPr>
        <w:t>,</w:t>
      </w:r>
      <w:r w:rsidRPr="00E91B75">
        <w:rPr>
          <w:sz w:val="22"/>
          <w:szCs w:val="22"/>
          <w:lang w:val="en-GB"/>
        </w:rPr>
        <w:t xml:space="preserve"> on the basis of South African domestic law</w:t>
      </w:r>
      <w:r w:rsidR="00E91B75" w:rsidRPr="00E91B75">
        <w:rPr>
          <w:sz w:val="22"/>
          <w:szCs w:val="22"/>
          <w:lang w:val="en-GB"/>
        </w:rPr>
        <w:t xml:space="preserve"> </w:t>
      </w:r>
      <w:r w:rsidR="00E91B75" w:rsidRPr="003E63DF">
        <w:rPr>
          <w:sz w:val="22"/>
          <w:szCs w:val="22"/>
          <w:lang w:val="en-GB"/>
        </w:rPr>
        <w:t xml:space="preserve">or a tax treaty concluded by </w:t>
      </w:r>
      <w:r w:rsidR="00E91B75">
        <w:rPr>
          <w:sz w:val="22"/>
          <w:szCs w:val="22"/>
          <w:lang w:val="en-GB"/>
        </w:rPr>
        <w:t>South Africa</w:t>
      </w:r>
      <w:r w:rsidRPr="00E91B75">
        <w:rPr>
          <w:sz w:val="22"/>
          <w:szCs w:val="22"/>
          <w:lang w:val="en-GB"/>
        </w:rPr>
        <w:t xml:space="preserve"> and</w:t>
      </w:r>
      <w:r w:rsidR="00E91B75">
        <w:rPr>
          <w:sz w:val="22"/>
          <w:szCs w:val="22"/>
          <w:lang w:val="en-GB"/>
        </w:rPr>
        <w:t xml:space="preserve"> </w:t>
      </w:r>
      <w:r w:rsidR="00E91B75" w:rsidRPr="00804DF4">
        <w:rPr>
          <w:sz w:val="22"/>
          <w:szCs w:val="22"/>
          <w:lang w:val="en-GB"/>
        </w:rPr>
        <w:t xml:space="preserve">before the dividend is paid, </w:t>
      </w:r>
      <w:r w:rsidRPr="00C46B6F">
        <w:rPr>
          <w:sz w:val="22"/>
          <w:szCs w:val="22"/>
          <w:lang w:val="en-GB"/>
        </w:rPr>
        <w:t xml:space="preserve">the formal requirements to apply such exemption </w:t>
      </w:r>
      <w:r w:rsidR="00E91B75" w:rsidRPr="00804DF4">
        <w:rPr>
          <w:sz w:val="22"/>
          <w:szCs w:val="22"/>
          <w:lang w:val="en-GB"/>
        </w:rPr>
        <w:t xml:space="preserve">or reduction </w:t>
      </w:r>
      <w:r w:rsidRPr="00C46B6F">
        <w:rPr>
          <w:sz w:val="22"/>
          <w:szCs w:val="22"/>
          <w:lang w:val="en-GB"/>
        </w:rPr>
        <w:t>from SADWT are satisfied (insofar as applicable)</w:t>
      </w:r>
      <w:r w:rsidR="00E91B75">
        <w:rPr>
          <w:sz w:val="22"/>
          <w:szCs w:val="22"/>
          <w:lang w:val="en-GB"/>
        </w:rPr>
        <w:t>; or</w:t>
      </w:r>
      <w:r w:rsidR="00C46B6F">
        <w:rPr>
          <w:sz w:val="22"/>
          <w:szCs w:val="22"/>
          <w:lang w:val="en-GB"/>
        </w:rPr>
        <w:t xml:space="preserve"> </w:t>
      </w:r>
    </w:p>
    <w:p w14:paraId="15DC2624" w14:textId="77777777" w:rsidR="00E91B75" w:rsidRPr="00244D61" w:rsidRDefault="00E91B75" w:rsidP="00244D61">
      <w:pPr>
        <w:pStyle w:val="ListParagraph"/>
        <w:rPr>
          <w:sz w:val="22"/>
          <w:szCs w:val="22"/>
          <w:lang w:val="en-GB"/>
        </w:rPr>
      </w:pPr>
    </w:p>
    <w:p w14:paraId="07BE6C5C" w14:textId="77777777" w:rsidR="00E91B75" w:rsidRPr="00804DF4" w:rsidRDefault="00E91B75" w:rsidP="00E91B75">
      <w:pPr>
        <w:pStyle w:val="ListParagraph"/>
        <w:numPr>
          <w:ilvl w:val="2"/>
          <w:numId w:val="8"/>
        </w:numPr>
        <w:ind w:hanging="1224"/>
        <w:jc w:val="both"/>
        <w:rPr>
          <w:sz w:val="22"/>
          <w:szCs w:val="22"/>
          <w:lang w:val="en-GB"/>
        </w:rPr>
      </w:pPr>
      <w:r>
        <w:rPr>
          <w:sz w:val="22"/>
          <w:szCs w:val="22"/>
          <w:lang w:val="en-GB"/>
        </w:rPr>
        <w:t>The dividend is paid to another CSDP; or</w:t>
      </w:r>
    </w:p>
    <w:p w14:paraId="2F4FBBD2" w14:textId="77777777" w:rsidR="00E91B75" w:rsidRDefault="00E91B75" w:rsidP="00244D61">
      <w:pPr>
        <w:pStyle w:val="ListParagraph"/>
        <w:ind w:left="1224"/>
        <w:jc w:val="both"/>
        <w:rPr>
          <w:sz w:val="22"/>
          <w:szCs w:val="22"/>
          <w:lang w:val="en-GB"/>
        </w:rPr>
      </w:pPr>
    </w:p>
    <w:p w14:paraId="20E53C2F" w14:textId="77777777" w:rsidR="00E91B75" w:rsidRPr="00804DF4" w:rsidRDefault="00E91B75" w:rsidP="00E91B75">
      <w:pPr>
        <w:pStyle w:val="ListParagraph"/>
        <w:numPr>
          <w:ilvl w:val="2"/>
          <w:numId w:val="8"/>
        </w:numPr>
        <w:ind w:hanging="1224"/>
        <w:jc w:val="both"/>
        <w:rPr>
          <w:sz w:val="22"/>
          <w:szCs w:val="22"/>
          <w:lang w:val="en-GB"/>
        </w:rPr>
      </w:pPr>
      <w:r>
        <w:rPr>
          <w:sz w:val="22"/>
          <w:szCs w:val="22"/>
          <w:lang w:val="en-GB"/>
        </w:rPr>
        <w:t>The beneficial owner of such dividend is a natural person, deceased estate or insolvent estate in respect of a dividend paid in respect of a tax free investment as contemplated in section 12T(1) of the Income Tax Act 58 of 1962 (as amended).</w:t>
      </w:r>
    </w:p>
    <w:p w14:paraId="00BC77B3" w14:textId="77777777" w:rsidR="009A6BFA" w:rsidRDefault="009A6BFA" w:rsidP="00244D61">
      <w:pPr>
        <w:pStyle w:val="ListParagraph"/>
        <w:ind w:left="1224"/>
        <w:jc w:val="both"/>
        <w:rPr>
          <w:sz w:val="22"/>
          <w:szCs w:val="22"/>
          <w:lang w:val="en-GB"/>
        </w:rPr>
      </w:pPr>
    </w:p>
    <w:p w14:paraId="1F25F313" w14:textId="090D3164" w:rsidR="00143C32" w:rsidRDefault="00143C32" w:rsidP="00615A98">
      <w:pPr>
        <w:ind w:left="851"/>
        <w:jc w:val="both"/>
        <w:rPr>
          <w:sz w:val="22"/>
          <w:szCs w:val="22"/>
          <w:lang w:val="en-GB"/>
        </w:rPr>
      </w:pPr>
      <w:proofErr w:type="gramStart"/>
      <w:r w:rsidRPr="00C46B6F">
        <w:rPr>
          <w:sz w:val="22"/>
          <w:szCs w:val="22"/>
          <w:lang w:val="en-GB"/>
        </w:rPr>
        <w:t>In order to</w:t>
      </w:r>
      <w:proofErr w:type="gramEnd"/>
      <w:r w:rsidRPr="00C46B6F">
        <w:rPr>
          <w:sz w:val="22"/>
          <w:szCs w:val="22"/>
          <w:lang w:val="en-GB"/>
        </w:rPr>
        <w:t xml:space="preserve"> qualify for any exemption </w:t>
      </w:r>
      <w:r w:rsidR="00E91B75">
        <w:rPr>
          <w:sz w:val="22"/>
          <w:szCs w:val="22"/>
          <w:lang w:val="en-GB"/>
        </w:rPr>
        <w:t xml:space="preserve">or reduction </w:t>
      </w:r>
      <w:r w:rsidRPr="00C46B6F">
        <w:rPr>
          <w:sz w:val="22"/>
          <w:szCs w:val="22"/>
          <w:lang w:val="en-GB"/>
        </w:rPr>
        <w:t xml:space="preserve">from SADWT </w:t>
      </w:r>
      <w:r w:rsidR="00E91B75" w:rsidRPr="00E91B75">
        <w:rPr>
          <w:sz w:val="22"/>
          <w:szCs w:val="22"/>
          <w:lang w:val="en-GB"/>
        </w:rPr>
        <w:t xml:space="preserve">described in paragraph </w:t>
      </w:r>
      <w:r w:rsidR="00E91B75">
        <w:rPr>
          <w:sz w:val="22"/>
          <w:szCs w:val="22"/>
          <w:lang w:val="en-GB"/>
        </w:rPr>
        <w:t xml:space="preserve">2.1.1. </w:t>
      </w:r>
      <w:r w:rsidRPr="00C46B6F">
        <w:rPr>
          <w:sz w:val="22"/>
          <w:szCs w:val="22"/>
          <w:lang w:val="en-GB"/>
        </w:rPr>
        <w:t xml:space="preserve">the </w:t>
      </w:r>
      <w:r w:rsidR="00E91B75">
        <w:rPr>
          <w:sz w:val="22"/>
          <w:szCs w:val="22"/>
          <w:lang w:val="en-GB"/>
        </w:rPr>
        <w:t>person to whom</w:t>
      </w:r>
      <w:r w:rsidRPr="00C46B6F">
        <w:rPr>
          <w:sz w:val="22"/>
          <w:szCs w:val="22"/>
          <w:lang w:val="en-GB"/>
        </w:rPr>
        <w:t xml:space="preserve"> the dividend </w:t>
      </w:r>
      <w:r w:rsidR="00E91B75">
        <w:rPr>
          <w:sz w:val="22"/>
          <w:szCs w:val="22"/>
          <w:lang w:val="en-GB"/>
        </w:rPr>
        <w:t xml:space="preserve">is paid </w:t>
      </w:r>
      <w:r w:rsidRPr="00C46B6F">
        <w:rPr>
          <w:sz w:val="22"/>
          <w:szCs w:val="22"/>
          <w:lang w:val="en-GB"/>
        </w:rPr>
        <w:t>must provide the following documentation to the CSDP</w:t>
      </w:r>
      <w:r w:rsidR="00E91B75" w:rsidRPr="00E91B75">
        <w:rPr>
          <w:sz w:val="22"/>
          <w:szCs w:val="22"/>
          <w:lang w:val="en-GB"/>
        </w:rPr>
        <w:t xml:space="preserve"> </w:t>
      </w:r>
      <w:r w:rsidR="00E91B75">
        <w:rPr>
          <w:sz w:val="22"/>
          <w:szCs w:val="22"/>
          <w:lang w:val="en-GB"/>
        </w:rPr>
        <w:t>before the dividend is paid</w:t>
      </w:r>
      <w:r w:rsidRPr="00C46B6F">
        <w:rPr>
          <w:sz w:val="22"/>
          <w:szCs w:val="22"/>
          <w:lang w:val="en-GB"/>
        </w:rPr>
        <w:t>:</w:t>
      </w:r>
    </w:p>
    <w:p w14:paraId="13ACDC3D" w14:textId="77777777" w:rsidR="00C46B6F" w:rsidRPr="00C46B6F" w:rsidRDefault="00C46B6F" w:rsidP="00C46B6F">
      <w:pPr>
        <w:ind w:left="426"/>
        <w:jc w:val="both"/>
        <w:rPr>
          <w:sz w:val="22"/>
          <w:szCs w:val="22"/>
          <w:lang w:val="en-GB"/>
        </w:rPr>
      </w:pPr>
    </w:p>
    <w:p w14:paraId="4B3698DE" w14:textId="43A601D5" w:rsidR="00143C32" w:rsidRPr="00143C32" w:rsidRDefault="00143C32" w:rsidP="00615A98">
      <w:pPr>
        <w:pStyle w:val="ListParagraph"/>
        <w:numPr>
          <w:ilvl w:val="2"/>
          <w:numId w:val="8"/>
        </w:numPr>
        <w:ind w:hanging="1224"/>
        <w:jc w:val="both"/>
        <w:rPr>
          <w:sz w:val="22"/>
          <w:szCs w:val="22"/>
          <w:lang w:val="en-GB"/>
        </w:rPr>
      </w:pPr>
      <w:r w:rsidRPr="00143C32">
        <w:rPr>
          <w:sz w:val="22"/>
          <w:szCs w:val="22"/>
          <w:lang w:val="en-GB"/>
        </w:rPr>
        <w:t>a written declaration that the dividend is exempt from SADWT in terms of South African domestic</w:t>
      </w:r>
      <w:r>
        <w:rPr>
          <w:sz w:val="22"/>
          <w:szCs w:val="22"/>
          <w:lang w:val="en-GB"/>
        </w:rPr>
        <w:t xml:space="preserve"> </w:t>
      </w:r>
      <w:r w:rsidRPr="00143C32">
        <w:rPr>
          <w:sz w:val="22"/>
          <w:szCs w:val="22"/>
          <w:lang w:val="en-GB"/>
        </w:rPr>
        <w:t>law; and</w:t>
      </w:r>
    </w:p>
    <w:p w14:paraId="0893475B" w14:textId="77777777" w:rsidR="00143C32" w:rsidRPr="00143C32" w:rsidRDefault="00143C32" w:rsidP="00615A98">
      <w:pPr>
        <w:pStyle w:val="ListParagraph"/>
        <w:ind w:left="1224"/>
        <w:jc w:val="both"/>
        <w:rPr>
          <w:sz w:val="22"/>
          <w:szCs w:val="22"/>
          <w:lang w:val="en-GB"/>
        </w:rPr>
      </w:pPr>
    </w:p>
    <w:p w14:paraId="250D6B41" w14:textId="2E913EDC" w:rsidR="00143C32" w:rsidRPr="00143C32" w:rsidRDefault="00143C32" w:rsidP="00615A98">
      <w:pPr>
        <w:pStyle w:val="ListParagraph"/>
        <w:numPr>
          <w:ilvl w:val="2"/>
          <w:numId w:val="8"/>
        </w:numPr>
        <w:ind w:hanging="1224"/>
        <w:jc w:val="both"/>
        <w:rPr>
          <w:sz w:val="22"/>
          <w:szCs w:val="22"/>
          <w:lang w:val="en-GB"/>
        </w:rPr>
      </w:pPr>
      <w:r w:rsidRPr="00143C32">
        <w:rPr>
          <w:sz w:val="22"/>
          <w:szCs w:val="22"/>
          <w:lang w:val="en-GB"/>
        </w:rPr>
        <w:lastRenderedPageBreak/>
        <w:t>a written undertaking to inform the regulated intermediary in writing should the circumstances</w:t>
      </w:r>
      <w:r>
        <w:rPr>
          <w:sz w:val="22"/>
          <w:szCs w:val="22"/>
          <w:lang w:val="en-GB"/>
        </w:rPr>
        <w:t xml:space="preserve"> </w:t>
      </w:r>
      <w:r w:rsidRPr="00143C32">
        <w:rPr>
          <w:sz w:val="22"/>
          <w:szCs w:val="22"/>
          <w:lang w:val="en-GB"/>
        </w:rPr>
        <w:t xml:space="preserve"> affecting the exemption</w:t>
      </w:r>
      <w:r w:rsidR="00E91B75">
        <w:rPr>
          <w:sz w:val="22"/>
          <w:szCs w:val="22"/>
          <w:lang w:val="en-GB"/>
        </w:rPr>
        <w:t>/reduction</w:t>
      </w:r>
      <w:r w:rsidRPr="00143C32">
        <w:rPr>
          <w:sz w:val="22"/>
          <w:szCs w:val="22"/>
          <w:lang w:val="en-GB"/>
        </w:rPr>
        <w:t xml:space="preserve"> applicable change, or should the beneficial owner cease to be the beneficial</w:t>
      </w:r>
      <w:r>
        <w:rPr>
          <w:sz w:val="22"/>
          <w:szCs w:val="22"/>
          <w:lang w:val="en-GB"/>
        </w:rPr>
        <w:t xml:space="preserve"> </w:t>
      </w:r>
      <w:r w:rsidRPr="00143C32">
        <w:rPr>
          <w:sz w:val="22"/>
          <w:szCs w:val="22"/>
          <w:lang w:val="en-GB"/>
        </w:rPr>
        <w:t xml:space="preserve"> owner,</w:t>
      </w:r>
      <w:r>
        <w:rPr>
          <w:sz w:val="22"/>
          <w:szCs w:val="22"/>
          <w:lang w:val="en-GB"/>
        </w:rPr>
        <w:t xml:space="preserve">  </w:t>
      </w:r>
      <w:r w:rsidRPr="00143C32">
        <w:rPr>
          <w:sz w:val="22"/>
          <w:szCs w:val="22"/>
          <w:lang w:val="en-GB"/>
        </w:rPr>
        <w:t>by the date determined by the CSDP, or where no date is determined, by the date of payment of the</w:t>
      </w:r>
      <w:r>
        <w:rPr>
          <w:sz w:val="22"/>
          <w:szCs w:val="22"/>
          <w:lang w:val="en-GB"/>
        </w:rPr>
        <w:t xml:space="preserve"> </w:t>
      </w:r>
      <w:r w:rsidRPr="00143C32">
        <w:rPr>
          <w:sz w:val="22"/>
          <w:szCs w:val="22"/>
          <w:lang w:val="en-GB"/>
        </w:rPr>
        <w:t>dividend.</w:t>
      </w:r>
    </w:p>
    <w:p w14:paraId="7E743C3D" w14:textId="77777777" w:rsidR="00143C32" w:rsidRPr="00143C32" w:rsidRDefault="00143C32" w:rsidP="00C46B6F">
      <w:pPr>
        <w:ind w:left="426"/>
        <w:jc w:val="both"/>
        <w:rPr>
          <w:sz w:val="22"/>
          <w:szCs w:val="22"/>
          <w:lang w:val="en-GB"/>
        </w:rPr>
      </w:pPr>
    </w:p>
    <w:p w14:paraId="20DF2068" w14:textId="75846B26" w:rsidR="00143C32" w:rsidRPr="00C46B6F" w:rsidRDefault="00143C32" w:rsidP="00615A98">
      <w:pPr>
        <w:pStyle w:val="ListParagraph"/>
        <w:numPr>
          <w:ilvl w:val="1"/>
          <w:numId w:val="8"/>
        </w:numPr>
        <w:ind w:hanging="792"/>
        <w:jc w:val="both"/>
        <w:rPr>
          <w:b/>
          <w:bCs/>
          <w:sz w:val="22"/>
          <w:szCs w:val="22"/>
          <w:lang w:val="en-GB"/>
        </w:rPr>
      </w:pPr>
      <w:r w:rsidRPr="00C46B6F">
        <w:rPr>
          <w:b/>
          <w:bCs/>
          <w:sz w:val="22"/>
          <w:szCs w:val="22"/>
          <w:lang w:val="en-GB"/>
        </w:rPr>
        <w:t xml:space="preserve">Tax implications for </w:t>
      </w:r>
      <w:r w:rsidR="00E91B75">
        <w:rPr>
          <w:b/>
          <w:bCs/>
          <w:sz w:val="22"/>
          <w:szCs w:val="22"/>
          <w:lang w:val="en-GB"/>
        </w:rPr>
        <w:t xml:space="preserve">South African </w:t>
      </w:r>
      <w:r w:rsidRPr="00C46B6F">
        <w:rPr>
          <w:b/>
          <w:bCs/>
          <w:sz w:val="22"/>
          <w:szCs w:val="22"/>
          <w:lang w:val="en-GB"/>
        </w:rPr>
        <w:t>corporate shareholders</w:t>
      </w:r>
    </w:p>
    <w:p w14:paraId="40C62D0D" w14:textId="0DA4CBBD" w:rsidR="00143C32" w:rsidRPr="00143C32" w:rsidRDefault="00143C32" w:rsidP="00615A98">
      <w:pPr>
        <w:ind w:left="851"/>
        <w:jc w:val="both"/>
        <w:rPr>
          <w:sz w:val="22"/>
          <w:szCs w:val="22"/>
          <w:lang w:val="en-GB"/>
        </w:rPr>
      </w:pPr>
      <w:r w:rsidRPr="00143C32">
        <w:rPr>
          <w:sz w:val="22"/>
          <w:szCs w:val="22"/>
          <w:lang w:val="en-GB"/>
        </w:rPr>
        <w:t>Where the South African resident beneficial owner of the dividend is a company, the dividend will be</w:t>
      </w:r>
      <w:r>
        <w:rPr>
          <w:sz w:val="22"/>
          <w:szCs w:val="22"/>
          <w:lang w:val="en-GB"/>
        </w:rPr>
        <w:t xml:space="preserve"> </w:t>
      </w:r>
      <w:r w:rsidRPr="00143C32">
        <w:rPr>
          <w:sz w:val="22"/>
          <w:szCs w:val="22"/>
          <w:lang w:val="en-GB"/>
        </w:rPr>
        <w:t>exempt from SADWT in terms of domestic law, provided the documentary requirements set out above are</w:t>
      </w:r>
      <w:r>
        <w:rPr>
          <w:sz w:val="22"/>
          <w:szCs w:val="22"/>
          <w:lang w:val="en-GB"/>
        </w:rPr>
        <w:t xml:space="preserve"> </w:t>
      </w:r>
      <w:r w:rsidRPr="00143C32">
        <w:rPr>
          <w:sz w:val="22"/>
          <w:szCs w:val="22"/>
          <w:lang w:val="en-GB"/>
        </w:rPr>
        <w:t>complied with.</w:t>
      </w:r>
    </w:p>
    <w:p w14:paraId="0DBB2950" w14:textId="77777777" w:rsidR="00143C32" w:rsidRPr="00143C32" w:rsidRDefault="00143C32" w:rsidP="00143C32">
      <w:pPr>
        <w:jc w:val="both"/>
        <w:rPr>
          <w:sz w:val="22"/>
          <w:szCs w:val="22"/>
          <w:lang w:val="en-GB"/>
        </w:rPr>
      </w:pPr>
    </w:p>
    <w:p w14:paraId="602C9084" w14:textId="220B5A52" w:rsidR="00143C32" w:rsidRPr="00C46B6F" w:rsidRDefault="00143C32" w:rsidP="00615A98">
      <w:pPr>
        <w:pStyle w:val="ListParagraph"/>
        <w:numPr>
          <w:ilvl w:val="1"/>
          <w:numId w:val="8"/>
        </w:numPr>
        <w:ind w:hanging="792"/>
        <w:jc w:val="both"/>
        <w:rPr>
          <w:b/>
          <w:bCs/>
          <w:sz w:val="22"/>
          <w:szCs w:val="22"/>
          <w:lang w:val="en-GB"/>
        </w:rPr>
      </w:pPr>
      <w:r w:rsidRPr="00C46B6F">
        <w:rPr>
          <w:b/>
          <w:bCs/>
          <w:sz w:val="22"/>
          <w:szCs w:val="22"/>
          <w:lang w:val="en-GB"/>
        </w:rPr>
        <w:t xml:space="preserve">Tax implications for </w:t>
      </w:r>
      <w:r w:rsidR="00E91B75">
        <w:rPr>
          <w:b/>
          <w:bCs/>
          <w:sz w:val="22"/>
          <w:szCs w:val="22"/>
          <w:lang w:val="en-GB"/>
        </w:rPr>
        <w:t xml:space="preserve">South African </w:t>
      </w:r>
      <w:r w:rsidRPr="00C46B6F">
        <w:rPr>
          <w:b/>
          <w:bCs/>
          <w:sz w:val="22"/>
          <w:szCs w:val="22"/>
          <w:lang w:val="en-GB"/>
        </w:rPr>
        <w:t>non-corporate shareholders</w:t>
      </w:r>
    </w:p>
    <w:p w14:paraId="3F0C8CA4" w14:textId="23828B2D" w:rsidR="00143C32" w:rsidRPr="00143C32" w:rsidRDefault="00143C32" w:rsidP="00615A98">
      <w:pPr>
        <w:ind w:left="851"/>
        <w:jc w:val="both"/>
        <w:rPr>
          <w:sz w:val="22"/>
          <w:szCs w:val="22"/>
          <w:lang w:val="en-GB"/>
        </w:rPr>
      </w:pPr>
      <w:r w:rsidRPr="00143C32">
        <w:rPr>
          <w:sz w:val="22"/>
          <w:szCs w:val="22"/>
          <w:lang w:val="en-GB"/>
        </w:rPr>
        <w:t>Where the South African resident beneficial owner of the dividend is a non-corporate shareholder, the</w:t>
      </w:r>
      <w:r>
        <w:rPr>
          <w:sz w:val="22"/>
          <w:szCs w:val="22"/>
          <w:lang w:val="en-GB"/>
        </w:rPr>
        <w:t xml:space="preserve"> </w:t>
      </w:r>
      <w:r w:rsidRPr="00143C32">
        <w:rPr>
          <w:sz w:val="22"/>
          <w:szCs w:val="22"/>
          <w:lang w:val="en-GB"/>
        </w:rPr>
        <w:t>dividend may be exempt from SADWT in terms of domestic law. Where the dividend does not qualify for</w:t>
      </w:r>
      <w:r>
        <w:rPr>
          <w:sz w:val="22"/>
          <w:szCs w:val="22"/>
          <w:lang w:val="en-GB"/>
        </w:rPr>
        <w:t xml:space="preserve"> </w:t>
      </w:r>
      <w:r w:rsidRPr="00143C32">
        <w:rPr>
          <w:sz w:val="22"/>
          <w:szCs w:val="22"/>
          <w:lang w:val="en-GB"/>
        </w:rPr>
        <w:t xml:space="preserve">one of the domestic exemptions, SADWT will be </w:t>
      </w:r>
      <w:r w:rsidR="001D1780">
        <w:rPr>
          <w:sz w:val="22"/>
          <w:szCs w:val="22"/>
          <w:lang w:val="en-GB"/>
        </w:rPr>
        <w:t>paid</w:t>
      </w:r>
      <w:r w:rsidR="001D1780" w:rsidRPr="00143C32">
        <w:rPr>
          <w:sz w:val="22"/>
          <w:szCs w:val="22"/>
          <w:lang w:val="en-GB"/>
        </w:rPr>
        <w:t xml:space="preserve"> </w:t>
      </w:r>
      <w:r w:rsidRPr="00143C32">
        <w:rPr>
          <w:sz w:val="22"/>
          <w:szCs w:val="22"/>
          <w:lang w:val="en-GB"/>
        </w:rPr>
        <w:t>at an initial rate of 20</w:t>
      </w:r>
      <w:r w:rsidR="00E91B75" w:rsidRPr="00143C32">
        <w:rPr>
          <w:sz w:val="22"/>
          <w:szCs w:val="22"/>
          <w:lang w:val="en-GB"/>
        </w:rPr>
        <w:t>%</w:t>
      </w:r>
      <w:r w:rsidR="00E91B75">
        <w:rPr>
          <w:sz w:val="22"/>
          <w:szCs w:val="22"/>
          <w:lang w:val="en-GB"/>
        </w:rPr>
        <w:t>, subject to a rebate for Dutch DWT paid in respect of such dividend without any recovery by any person</w:t>
      </w:r>
      <w:r w:rsidRPr="00143C32">
        <w:rPr>
          <w:sz w:val="22"/>
          <w:szCs w:val="22"/>
          <w:lang w:val="en-GB"/>
        </w:rPr>
        <w:t>.</w:t>
      </w:r>
    </w:p>
    <w:p w14:paraId="5AEB1BC2" w14:textId="77777777" w:rsidR="00143C32" w:rsidRPr="00143C32" w:rsidRDefault="00143C32" w:rsidP="00C46B6F">
      <w:pPr>
        <w:ind w:left="426"/>
        <w:jc w:val="both"/>
        <w:rPr>
          <w:sz w:val="22"/>
          <w:szCs w:val="22"/>
          <w:lang w:val="en-GB"/>
        </w:rPr>
      </w:pPr>
    </w:p>
    <w:p w14:paraId="0894C536" w14:textId="6221FFF5" w:rsidR="00143C32" w:rsidRPr="00C46B6F" w:rsidRDefault="00143C32" w:rsidP="00615A98">
      <w:pPr>
        <w:pStyle w:val="ListParagraph"/>
        <w:numPr>
          <w:ilvl w:val="1"/>
          <w:numId w:val="8"/>
        </w:numPr>
        <w:ind w:hanging="792"/>
        <w:jc w:val="both"/>
        <w:rPr>
          <w:b/>
          <w:bCs/>
          <w:sz w:val="22"/>
          <w:szCs w:val="22"/>
          <w:lang w:val="en-GB"/>
        </w:rPr>
      </w:pPr>
      <w:r w:rsidRPr="00C46B6F">
        <w:rPr>
          <w:b/>
          <w:bCs/>
          <w:sz w:val="22"/>
          <w:szCs w:val="22"/>
          <w:lang w:val="en-GB"/>
        </w:rPr>
        <w:t xml:space="preserve">Rebate on SADWT </w:t>
      </w:r>
      <w:r w:rsidR="001D1780">
        <w:rPr>
          <w:b/>
          <w:bCs/>
          <w:sz w:val="22"/>
          <w:szCs w:val="22"/>
          <w:lang w:val="en-GB"/>
        </w:rPr>
        <w:t>paid</w:t>
      </w:r>
    </w:p>
    <w:p w14:paraId="2E53378C" w14:textId="37A053E1" w:rsidR="00143C32" w:rsidRPr="00143C32" w:rsidRDefault="00143C32" w:rsidP="00615A98">
      <w:pPr>
        <w:ind w:left="851"/>
        <w:jc w:val="both"/>
        <w:rPr>
          <w:sz w:val="22"/>
          <w:szCs w:val="22"/>
          <w:lang w:val="en-GB"/>
        </w:rPr>
      </w:pPr>
      <w:r w:rsidRPr="00143C32">
        <w:rPr>
          <w:sz w:val="22"/>
          <w:szCs w:val="22"/>
          <w:lang w:val="en-GB"/>
        </w:rPr>
        <w:t xml:space="preserve">A rebate </w:t>
      </w:r>
      <w:r w:rsidR="00E91B75">
        <w:rPr>
          <w:sz w:val="22"/>
          <w:szCs w:val="22"/>
          <w:lang w:val="en-GB"/>
        </w:rPr>
        <w:t>for</w:t>
      </w:r>
      <w:r w:rsidR="00E91B75" w:rsidRPr="00143C32">
        <w:rPr>
          <w:sz w:val="22"/>
          <w:szCs w:val="22"/>
          <w:lang w:val="en-GB"/>
        </w:rPr>
        <w:t xml:space="preserve"> </w:t>
      </w:r>
      <w:r w:rsidRPr="00143C32">
        <w:rPr>
          <w:sz w:val="22"/>
          <w:szCs w:val="22"/>
          <w:lang w:val="en-GB"/>
        </w:rPr>
        <w:t xml:space="preserve">foreign taxes </w:t>
      </w:r>
      <w:r w:rsidR="00E91B75">
        <w:rPr>
          <w:sz w:val="22"/>
          <w:szCs w:val="22"/>
          <w:lang w:val="en-GB"/>
        </w:rPr>
        <w:t>(i.e. Dutch DWT)</w:t>
      </w:r>
      <w:r w:rsidR="00E91B75" w:rsidRPr="00143C32">
        <w:rPr>
          <w:sz w:val="22"/>
          <w:szCs w:val="22"/>
          <w:lang w:val="en-GB"/>
        </w:rPr>
        <w:t xml:space="preserve"> </w:t>
      </w:r>
      <w:r w:rsidRPr="00143C32">
        <w:rPr>
          <w:sz w:val="22"/>
          <w:szCs w:val="22"/>
          <w:lang w:val="en-GB"/>
        </w:rPr>
        <w:t>imposed on the dividend paid is available to reduce the SADWT liability. This</w:t>
      </w:r>
      <w:r>
        <w:rPr>
          <w:sz w:val="22"/>
          <w:szCs w:val="22"/>
          <w:lang w:val="en-GB"/>
        </w:rPr>
        <w:t xml:space="preserve"> </w:t>
      </w:r>
      <w:r w:rsidRPr="00143C32">
        <w:rPr>
          <w:sz w:val="22"/>
          <w:szCs w:val="22"/>
          <w:lang w:val="en-GB"/>
        </w:rPr>
        <w:t xml:space="preserve">rebate is calculated </w:t>
      </w:r>
      <w:r w:rsidR="00E91B75">
        <w:rPr>
          <w:sz w:val="22"/>
          <w:szCs w:val="22"/>
          <w:lang w:val="en-GB"/>
        </w:rPr>
        <w:t xml:space="preserve">based on </w:t>
      </w:r>
      <w:r w:rsidR="00E91B75" w:rsidRPr="00143C32">
        <w:rPr>
          <w:sz w:val="22"/>
          <w:szCs w:val="22"/>
          <w:lang w:val="en-GB"/>
        </w:rPr>
        <w:t xml:space="preserve">the </w:t>
      </w:r>
      <w:r w:rsidR="00E91B75">
        <w:rPr>
          <w:sz w:val="22"/>
          <w:szCs w:val="22"/>
          <w:lang w:val="en-GB"/>
        </w:rPr>
        <w:t>Dutch DWT</w:t>
      </w:r>
      <w:r w:rsidR="00E91B75" w:rsidRPr="00143C32">
        <w:rPr>
          <w:sz w:val="22"/>
          <w:szCs w:val="22"/>
          <w:lang w:val="en-GB"/>
        </w:rPr>
        <w:t xml:space="preserve"> </w:t>
      </w:r>
      <w:r w:rsidR="00E91B75">
        <w:rPr>
          <w:sz w:val="22"/>
          <w:szCs w:val="22"/>
          <w:lang w:val="en-GB"/>
        </w:rPr>
        <w:t xml:space="preserve">paid without the right of recovery by any person.  In other words, the rebate is limited to the amount of Dutch DWT paid after taking into account relevant exemptions from, or reductions of, Dutch DWT that the shareholder may be eligible for as described </w:t>
      </w:r>
      <w:r w:rsidRPr="00143C32">
        <w:rPr>
          <w:sz w:val="22"/>
          <w:szCs w:val="22"/>
          <w:lang w:val="en-GB"/>
        </w:rPr>
        <w:t xml:space="preserve">in paragraph </w:t>
      </w:r>
      <w:r w:rsidR="00A90EF0">
        <w:rPr>
          <w:sz w:val="22"/>
          <w:szCs w:val="22"/>
          <w:lang w:val="en-GB"/>
        </w:rPr>
        <w:fldChar w:fldCharType="begin"/>
      </w:r>
      <w:r w:rsidR="00A90EF0">
        <w:rPr>
          <w:sz w:val="22"/>
          <w:szCs w:val="22"/>
          <w:lang w:val="en-GB"/>
        </w:rPr>
        <w:instrText xml:space="preserve"> REF _Ref46250861 \r \h </w:instrText>
      </w:r>
      <w:r w:rsidR="00A90EF0">
        <w:rPr>
          <w:sz w:val="22"/>
          <w:szCs w:val="22"/>
          <w:lang w:val="en-GB"/>
        </w:rPr>
      </w:r>
      <w:r w:rsidR="00A90EF0">
        <w:rPr>
          <w:sz w:val="22"/>
          <w:szCs w:val="22"/>
          <w:lang w:val="en-GB"/>
        </w:rPr>
        <w:fldChar w:fldCharType="separate"/>
      </w:r>
      <w:r w:rsidR="00A90EF0">
        <w:rPr>
          <w:sz w:val="22"/>
          <w:szCs w:val="22"/>
          <w:lang w:val="en-GB"/>
        </w:rPr>
        <w:t>1</w:t>
      </w:r>
      <w:r w:rsidR="00A90EF0">
        <w:rPr>
          <w:sz w:val="22"/>
          <w:szCs w:val="22"/>
          <w:lang w:val="en-GB"/>
        </w:rPr>
        <w:fldChar w:fldCharType="end"/>
      </w:r>
      <w:r w:rsidRPr="00143C32">
        <w:rPr>
          <w:sz w:val="22"/>
          <w:szCs w:val="22"/>
          <w:lang w:val="en-GB"/>
        </w:rPr>
        <w:t xml:space="preserve"> above.</w:t>
      </w:r>
    </w:p>
    <w:p w14:paraId="4986B3E6" w14:textId="77777777" w:rsidR="00143C32" w:rsidRPr="00143C32" w:rsidRDefault="00143C32" w:rsidP="00615A98">
      <w:pPr>
        <w:ind w:left="851"/>
        <w:jc w:val="both"/>
        <w:rPr>
          <w:sz w:val="22"/>
          <w:szCs w:val="22"/>
          <w:lang w:val="en-GB"/>
        </w:rPr>
      </w:pPr>
    </w:p>
    <w:p w14:paraId="61BCC6EF" w14:textId="7B44C7BC" w:rsidR="00143C32" w:rsidRPr="00143C32" w:rsidRDefault="00143C32" w:rsidP="00E91B75">
      <w:pPr>
        <w:ind w:left="851"/>
        <w:jc w:val="both"/>
        <w:rPr>
          <w:sz w:val="22"/>
          <w:szCs w:val="22"/>
          <w:lang w:val="en-GB"/>
        </w:rPr>
      </w:pPr>
      <w:r w:rsidRPr="00143C32">
        <w:rPr>
          <w:sz w:val="22"/>
          <w:szCs w:val="22"/>
          <w:lang w:val="en-GB"/>
        </w:rPr>
        <w:t xml:space="preserve">The rebate will </w:t>
      </w:r>
      <w:r w:rsidR="00E91B75">
        <w:rPr>
          <w:sz w:val="22"/>
          <w:szCs w:val="22"/>
          <w:lang w:val="en-GB"/>
        </w:rPr>
        <w:t xml:space="preserve">further </w:t>
      </w:r>
      <w:r w:rsidRPr="00143C32">
        <w:rPr>
          <w:sz w:val="22"/>
          <w:szCs w:val="22"/>
          <w:lang w:val="en-GB"/>
        </w:rPr>
        <w:t>be limited to the SADWT imposed.</w:t>
      </w:r>
      <w:r w:rsidR="00E91B75">
        <w:rPr>
          <w:sz w:val="22"/>
          <w:szCs w:val="22"/>
          <w:lang w:val="en-GB"/>
        </w:rPr>
        <w:t xml:space="preserve">  For example, if</w:t>
      </w:r>
      <w:r w:rsidRPr="00143C32">
        <w:rPr>
          <w:sz w:val="22"/>
          <w:szCs w:val="22"/>
          <w:lang w:val="en-GB"/>
        </w:rPr>
        <w:t xml:space="preserve"> the dividend is exempt from</w:t>
      </w:r>
      <w:r w:rsidR="00E91B75">
        <w:rPr>
          <w:sz w:val="22"/>
          <w:szCs w:val="22"/>
          <w:lang w:val="en-GB"/>
        </w:rPr>
        <w:t xml:space="preserve"> Dutch</w:t>
      </w:r>
      <w:r w:rsidRPr="00143C32">
        <w:rPr>
          <w:sz w:val="22"/>
          <w:szCs w:val="22"/>
          <w:lang w:val="en-GB"/>
        </w:rPr>
        <w:t xml:space="preserve"> </w:t>
      </w:r>
      <w:r w:rsidR="00615A98">
        <w:rPr>
          <w:sz w:val="22"/>
          <w:szCs w:val="22"/>
          <w:lang w:val="en-GB"/>
        </w:rPr>
        <w:t>DWT</w:t>
      </w:r>
      <w:r w:rsidRPr="00143C32">
        <w:rPr>
          <w:sz w:val="22"/>
          <w:szCs w:val="22"/>
          <w:lang w:val="en-GB"/>
        </w:rPr>
        <w:t xml:space="preserve"> in terms of Dutch domestic law </w:t>
      </w:r>
      <w:proofErr w:type="gramStart"/>
      <w:r w:rsidRPr="00143C32">
        <w:rPr>
          <w:sz w:val="22"/>
          <w:szCs w:val="22"/>
          <w:lang w:val="en-GB"/>
        </w:rPr>
        <w:t>as a result of</w:t>
      </w:r>
      <w:proofErr w:type="gramEnd"/>
      <w:r w:rsidRPr="00143C32">
        <w:rPr>
          <w:sz w:val="22"/>
          <w:szCs w:val="22"/>
          <w:lang w:val="en-GB"/>
        </w:rPr>
        <w:t xml:space="preserve"> the shareholder</w:t>
      </w:r>
      <w:r>
        <w:rPr>
          <w:sz w:val="22"/>
          <w:szCs w:val="22"/>
          <w:lang w:val="en-GB"/>
        </w:rPr>
        <w:t xml:space="preserve"> </w:t>
      </w:r>
      <w:r w:rsidRPr="00143C32">
        <w:rPr>
          <w:sz w:val="22"/>
          <w:szCs w:val="22"/>
          <w:lang w:val="en-GB"/>
        </w:rPr>
        <w:t xml:space="preserve">holding 5% or more of </w:t>
      </w:r>
      <w:r>
        <w:rPr>
          <w:sz w:val="22"/>
          <w:szCs w:val="22"/>
          <w:lang w:val="en-GB"/>
        </w:rPr>
        <w:t>Prosus</w:t>
      </w:r>
      <w:r w:rsidRPr="00143C32">
        <w:rPr>
          <w:sz w:val="22"/>
          <w:szCs w:val="22"/>
          <w:lang w:val="en-GB"/>
        </w:rPr>
        <w:t>’s shares, no rebate will be available.</w:t>
      </w:r>
    </w:p>
    <w:p w14:paraId="2228BB6F" w14:textId="77777777" w:rsidR="00143C32" w:rsidRPr="00143C32" w:rsidRDefault="00143C32" w:rsidP="00615A98">
      <w:pPr>
        <w:ind w:left="851"/>
        <w:jc w:val="both"/>
        <w:rPr>
          <w:sz w:val="22"/>
          <w:szCs w:val="22"/>
          <w:lang w:val="en-GB"/>
        </w:rPr>
      </w:pPr>
    </w:p>
    <w:p w14:paraId="38DFD99E" w14:textId="4645A27B" w:rsidR="00143C32" w:rsidRPr="00143C32" w:rsidRDefault="00143C32" w:rsidP="00615A98">
      <w:pPr>
        <w:ind w:left="851"/>
        <w:jc w:val="both"/>
        <w:rPr>
          <w:sz w:val="22"/>
          <w:szCs w:val="22"/>
          <w:lang w:val="en-GB"/>
        </w:rPr>
      </w:pPr>
      <w:r w:rsidRPr="00143C32">
        <w:rPr>
          <w:sz w:val="22"/>
          <w:szCs w:val="22"/>
          <w:lang w:val="en-GB"/>
        </w:rPr>
        <w:t>The CSDP is responsible for withholding SADWT from the dividend payable to shareholders on the South</w:t>
      </w:r>
      <w:r>
        <w:rPr>
          <w:sz w:val="22"/>
          <w:szCs w:val="22"/>
          <w:lang w:val="en-GB"/>
        </w:rPr>
        <w:t xml:space="preserve"> </w:t>
      </w:r>
      <w:r w:rsidRPr="00143C32">
        <w:rPr>
          <w:sz w:val="22"/>
          <w:szCs w:val="22"/>
          <w:lang w:val="en-GB"/>
        </w:rPr>
        <w:t>African register and paying such amounts to the South African Revenue Service.</w:t>
      </w:r>
    </w:p>
    <w:p w14:paraId="7EAC6500" w14:textId="77777777" w:rsidR="00143C32" w:rsidRPr="00143C32" w:rsidRDefault="00143C32" w:rsidP="00615A98">
      <w:pPr>
        <w:ind w:left="851"/>
        <w:jc w:val="both"/>
        <w:rPr>
          <w:sz w:val="22"/>
          <w:szCs w:val="22"/>
          <w:lang w:val="en-GB"/>
        </w:rPr>
      </w:pPr>
    </w:p>
    <w:p w14:paraId="36ABB2B4" w14:textId="66A54E3C" w:rsidR="00143C32" w:rsidRPr="00143C32" w:rsidRDefault="00143C32" w:rsidP="00615A98">
      <w:pPr>
        <w:ind w:left="851"/>
        <w:jc w:val="both"/>
        <w:rPr>
          <w:sz w:val="22"/>
          <w:szCs w:val="22"/>
          <w:lang w:val="en-GB"/>
        </w:rPr>
      </w:pPr>
      <w:proofErr w:type="gramStart"/>
      <w:r w:rsidRPr="00143C32">
        <w:rPr>
          <w:sz w:val="22"/>
          <w:szCs w:val="22"/>
          <w:lang w:val="en-GB"/>
        </w:rPr>
        <w:t>In order to</w:t>
      </w:r>
      <w:proofErr w:type="gramEnd"/>
      <w:r w:rsidRPr="00143C32">
        <w:rPr>
          <w:sz w:val="22"/>
          <w:szCs w:val="22"/>
          <w:lang w:val="en-GB"/>
        </w:rPr>
        <w:t xml:space="preserve"> apply a rebate, the CSDP must be satisfied:</w:t>
      </w:r>
    </w:p>
    <w:p w14:paraId="17974259" w14:textId="77777777" w:rsidR="00143C32" w:rsidRPr="00143C32" w:rsidRDefault="00143C32" w:rsidP="00615A98">
      <w:pPr>
        <w:ind w:left="851"/>
        <w:jc w:val="both"/>
        <w:rPr>
          <w:sz w:val="22"/>
          <w:szCs w:val="22"/>
          <w:lang w:val="en-GB"/>
        </w:rPr>
      </w:pPr>
    </w:p>
    <w:p w14:paraId="5BC53862" w14:textId="66310795" w:rsidR="00143C32" w:rsidRDefault="00143C32" w:rsidP="00615A98">
      <w:pPr>
        <w:pStyle w:val="ListParagraph"/>
        <w:numPr>
          <w:ilvl w:val="2"/>
          <w:numId w:val="8"/>
        </w:numPr>
        <w:ind w:hanging="1224"/>
        <w:jc w:val="both"/>
        <w:rPr>
          <w:sz w:val="22"/>
          <w:szCs w:val="22"/>
          <w:lang w:val="en-GB"/>
        </w:rPr>
      </w:pPr>
      <w:r w:rsidRPr="00143C32">
        <w:rPr>
          <w:sz w:val="22"/>
          <w:szCs w:val="22"/>
          <w:lang w:val="en-GB"/>
        </w:rPr>
        <w:t xml:space="preserve">that </w:t>
      </w:r>
      <w:r w:rsidR="00615A98">
        <w:rPr>
          <w:sz w:val="22"/>
          <w:szCs w:val="22"/>
          <w:lang w:val="en-GB"/>
        </w:rPr>
        <w:t>DWT</w:t>
      </w:r>
      <w:r w:rsidRPr="00143C32">
        <w:rPr>
          <w:sz w:val="22"/>
          <w:szCs w:val="22"/>
          <w:lang w:val="en-GB"/>
        </w:rPr>
        <w:t xml:space="preserve"> was applied; and</w:t>
      </w:r>
    </w:p>
    <w:p w14:paraId="4D6BFADC" w14:textId="77777777" w:rsidR="00615A98" w:rsidRPr="00143C32" w:rsidRDefault="00615A98" w:rsidP="00615A98">
      <w:pPr>
        <w:pStyle w:val="ListParagraph"/>
        <w:ind w:left="1224"/>
        <w:jc w:val="both"/>
        <w:rPr>
          <w:sz w:val="22"/>
          <w:szCs w:val="22"/>
          <w:lang w:val="en-GB"/>
        </w:rPr>
      </w:pPr>
    </w:p>
    <w:p w14:paraId="7F2EC979" w14:textId="01FCC0B1" w:rsidR="00143C32" w:rsidRPr="00143C32" w:rsidRDefault="00143C32" w:rsidP="00615A98">
      <w:pPr>
        <w:pStyle w:val="ListParagraph"/>
        <w:numPr>
          <w:ilvl w:val="2"/>
          <w:numId w:val="8"/>
        </w:numPr>
        <w:ind w:hanging="1224"/>
        <w:jc w:val="both"/>
        <w:rPr>
          <w:sz w:val="22"/>
          <w:szCs w:val="22"/>
          <w:lang w:val="en-GB"/>
        </w:rPr>
      </w:pPr>
      <w:r w:rsidRPr="00143C32">
        <w:rPr>
          <w:sz w:val="22"/>
          <w:szCs w:val="22"/>
          <w:lang w:val="en-GB"/>
        </w:rPr>
        <w:t xml:space="preserve">that the relevant shareholder qualifies for a reduced rate of </w:t>
      </w:r>
      <w:r w:rsidR="00615A98">
        <w:rPr>
          <w:sz w:val="22"/>
          <w:szCs w:val="22"/>
          <w:lang w:val="en-GB"/>
        </w:rPr>
        <w:t>DWT</w:t>
      </w:r>
      <w:r w:rsidRPr="00143C32">
        <w:rPr>
          <w:sz w:val="22"/>
          <w:szCs w:val="22"/>
          <w:lang w:val="en-GB"/>
        </w:rPr>
        <w:t>.</w:t>
      </w:r>
    </w:p>
    <w:p w14:paraId="40F4176D" w14:textId="77777777" w:rsidR="00143C32" w:rsidRPr="00143C32" w:rsidRDefault="00143C32" w:rsidP="00615A98">
      <w:pPr>
        <w:ind w:left="851"/>
        <w:jc w:val="both"/>
        <w:rPr>
          <w:sz w:val="22"/>
          <w:szCs w:val="22"/>
          <w:lang w:val="en-GB"/>
        </w:rPr>
      </w:pPr>
    </w:p>
    <w:p w14:paraId="254793E6" w14:textId="0FE4044B" w:rsidR="00143C32" w:rsidRPr="00143C32" w:rsidRDefault="00143C32" w:rsidP="00615A98">
      <w:pPr>
        <w:ind w:left="851"/>
        <w:jc w:val="both"/>
        <w:rPr>
          <w:sz w:val="22"/>
          <w:szCs w:val="22"/>
          <w:lang w:val="en-GB"/>
        </w:rPr>
      </w:pPr>
      <w:r w:rsidRPr="00143C32">
        <w:rPr>
          <w:sz w:val="22"/>
          <w:szCs w:val="22"/>
          <w:lang w:val="en-GB"/>
        </w:rPr>
        <w:lastRenderedPageBreak/>
        <w:t>The rebate for foreign taxes is determined in Rand by translating the foreign currency amount using the</w:t>
      </w:r>
      <w:r>
        <w:rPr>
          <w:sz w:val="22"/>
          <w:szCs w:val="22"/>
          <w:lang w:val="en-GB"/>
        </w:rPr>
        <w:t xml:space="preserve"> </w:t>
      </w:r>
      <w:r w:rsidRPr="00143C32">
        <w:rPr>
          <w:sz w:val="22"/>
          <w:szCs w:val="22"/>
          <w:lang w:val="en-GB"/>
        </w:rPr>
        <w:t>same rate used to translate the foreign dividend.</w:t>
      </w:r>
    </w:p>
    <w:p w14:paraId="4601A6B6" w14:textId="77777777" w:rsidR="00143C32" w:rsidRPr="00143C32" w:rsidRDefault="00143C32" w:rsidP="00C46B6F">
      <w:pPr>
        <w:ind w:left="426"/>
        <w:jc w:val="both"/>
        <w:rPr>
          <w:sz w:val="22"/>
          <w:szCs w:val="22"/>
          <w:lang w:val="en-GB"/>
        </w:rPr>
      </w:pPr>
    </w:p>
    <w:p w14:paraId="48656AE2" w14:textId="4AF8A87A" w:rsidR="00143C32" w:rsidRPr="00615A98" w:rsidRDefault="00143C32" w:rsidP="00615A98">
      <w:pPr>
        <w:pStyle w:val="ListParagraph"/>
        <w:numPr>
          <w:ilvl w:val="1"/>
          <w:numId w:val="8"/>
        </w:numPr>
        <w:ind w:hanging="792"/>
        <w:jc w:val="both"/>
        <w:rPr>
          <w:b/>
          <w:bCs/>
          <w:sz w:val="22"/>
          <w:szCs w:val="22"/>
          <w:lang w:val="en-GB"/>
        </w:rPr>
      </w:pPr>
      <w:r w:rsidRPr="00615A98">
        <w:rPr>
          <w:b/>
          <w:bCs/>
          <w:sz w:val="22"/>
          <w:szCs w:val="22"/>
          <w:lang w:val="en-GB"/>
        </w:rPr>
        <w:t>Refund mechanism</w:t>
      </w:r>
    </w:p>
    <w:p w14:paraId="113B556C" w14:textId="4142F775" w:rsidR="00143C32" w:rsidRPr="00143C32" w:rsidRDefault="007B3F95" w:rsidP="007B3F95">
      <w:pPr>
        <w:ind w:left="851"/>
        <w:jc w:val="both"/>
        <w:rPr>
          <w:sz w:val="22"/>
          <w:szCs w:val="22"/>
          <w:lang w:val="en-GB"/>
        </w:rPr>
      </w:pPr>
      <w:r w:rsidRPr="00C85BFB">
        <w:rPr>
          <w:sz w:val="22"/>
          <w:szCs w:val="22"/>
          <w:lang w:val="en-GB"/>
        </w:rPr>
        <w:t>The maximu</w:t>
      </w:r>
      <w:r>
        <w:rPr>
          <w:sz w:val="22"/>
          <w:szCs w:val="22"/>
          <w:lang w:val="en-GB"/>
        </w:rPr>
        <w:t>m effective dividend</w:t>
      </w:r>
      <w:r w:rsidRPr="00C85BFB">
        <w:rPr>
          <w:sz w:val="22"/>
          <w:szCs w:val="22"/>
          <w:lang w:val="en-GB"/>
        </w:rPr>
        <w:t xml:space="preserve"> tax to be </w:t>
      </w:r>
      <w:r w:rsidR="001D1780">
        <w:rPr>
          <w:sz w:val="22"/>
          <w:szCs w:val="22"/>
          <w:lang w:val="en-GB"/>
        </w:rPr>
        <w:t>paid</w:t>
      </w:r>
      <w:r w:rsidR="001D1780" w:rsidRPr="00C85BFB">
        <w:rPr>
          <w:sz w:val="22"/>
          <w:szCs w:val="22"/>
          <w:lang w:val="en-GB"/>
        </w:rPr>
        <w:t xml:space="preserve"> </w:t>
      </w:r>
      <w:r>
        <w:rPr>
          <w:sz w:val="22"/>
          <w:szCs w:val="22"/>
          <w:lang w:val="en-GB"/>
        </w:rPr>
        <w:t xml:space="preserve">by South African tax resident </w:t>
      </w:r>
      <w:r w:rsidR="00143C32" w:rsidRPr="00143C32">
        <w:rPr>
          <w:sz w:val="22"/>
          <w:szCs w:val="22"/>
          <w:lang w:val="en-GB"/>
        </w:rPr>
        <w:t>shareholders on the South African register</w:t>
      </w:r>
      <w:r>
        <w:rPr>
          <w:sz w:val="22"/>
          <w:szCs w:val="22"/>
          <w:lang w:val="en-GB"/>
        </w:rPr>
        <w:t>,</w:t>
      </w:r>
      <w:r w:rsidR="00143C32" w:rsidRPr="00143C32">
        <w:rPr>
          <w:sz w:val="22"/>
          <w:szCs w:val="22"/>
          <w:lang w:val="en-GB"/>
        </w:rPr>
        <w:t xml:space="preserve"> who are not exempt from SADWT</w:t>
      </w:r>
      <w:r w:rsidR="00143C32">
        <w:rPr>
          <w:sz w:val="22"/>
          <w:szCs w:val="22"/>
          <w:lang w:val="en-GB"/>
        </w:rPr>
        <w:t xml:space="preserve"> </w:t>
      </w:r>
      <w:r w:rsidR="00143C32" w:rsidRPr="00143C32">
        <w:rPr>
          <w:sz w:val="22"/>
          <w:szCs w:val="22"/>
          <w:lang w:val="en-GB"/>
        </w:rPr>
        <w:t>will be 20%</w:t>
      </w:r>
      <w:r w:rsidR="009A6BFA">
        <w:rPr>
          <w:sz w:val="22"/>
          <w:szCs w:val="22"/>
          <w:lang w:val="en-GB"/>
        </w:rPr>
        <w:t xml:space="preserve">. </w:t>
      </w:r>
      <w:r w:rsidRPr="007B3F95">
        <w:rPr>
          <w:sz w:val="22"/>
          <w:szCs w:val="22"/>
          <w:lang w:val="en-GB"/>
        </w:rPr>
        <w:t xml:space="preserve"> </w:t>
      </w:r>
      <w:r>
        <w:rPr>
          <w:sz w:val="22"/>
          <w:szCs w:val="22"/>
          <w:lang w:val="en-GB"/>
        </w:rPr>
        <w:t>For example, w</w:t>
      </w:r>
      <w:r w:rsidRPr="00E74480">
        <w:rPr>
          <w:sz w:val="22"/>
          <w:szCs w:val="22"/>
          <w:lang w:val="en-GB"/>
        </w:rPr>
        <w:t>here</w:t>
      </w:r>
      <w:r>
        <w:rPr>
          <w:sz w:val="22"/>
          <w:szCs w:val="22"/>
          <w:lang w:val="en-GB"/>
        </w:rPr>
        <w:t xml:space="preserve"> </w:t>
      </w:r>
      <w:r w:rsidR="00143C32" w:rsidRPr="00143C32">
        <w:rPr>
          <w:sz w:val="22"/>
          <w:szCs w:val="22"/>
          <w:lang w:val="en-GB"/>
        </w:rPr>
        <w:t xml:space="preserve">a CSDP is satisfied that a particular shareholder has </w:t>
      </w:r>
      <w:r w:rsidR="001D1780">
        <w:rPr>
          <w:sz w:val="22"/>
          <w:szCs w:val="22"/>
          <w:lang w:val="en-GB"/>
        </w:rPr>
        <w:t>paid</w:t>
      </w:r>
      <w:r w:rsidR="001D1780" w:rsidRPr="00143C32">
        <w:rPr>
          <w:sz w:val="22"/>
          <w:szCs w:val="22"/>
          <w:lang w:val="en-GB"/>
        </w:rPr>
        <w:t xml:space="preserve"> </w:t>
      </w:r>
      <w:r w:rsidR="00143C32" w:rsidRPr="00143C32">
        <w:rPr>
          <w:sz w:val="22"/>
          <w:szCs w:val="22"/>
          <w:lang w:val="en-GB"/>
        </w:rPr>
        <w:t xml:space="preserve">15% </w:t>
      </w:r>
      <w:r>
        <w:rPr>
          <w:sz w:val="22"/>
          <w:szCs w:val="22"/>
          <w:lang w:val="en-GB"/>
        </w:rPr>
        <w:t xml:space="preserve">Dutch </w:t>
      </w:r>
      <w:r w:rsidR="00615A98">
        <w:rPr>
          <w:sz w:val="22"/>
          <w:szCs w:val="22"/>
          <w:lang w:val="en-GB"/>
        </w:rPr>
        <w:t>DWT</w:t>
      </w:r>
      <w:r w:rsidR="00143C32" w:rsidRPr="00143C32">
        <w:rPr>
          <w:sz w:val="22"/>
          <w:szCs w:val="22"/>
          <w:lang w:val="en-GB"/>
        </w:rPr>
        <w:t>, which is not recoverable by that</w:t>
      </w:r>
      <w:r w:rsidR="00143C32">
        <w:rPr>
          <w:sz w:val="22"/>
          <w:szCs w:val="22"/>
          <w:lang w:val="en-GB"/>
        </w:rPr>
        <w:t xml:space="preserve"> </w:t>
      </w:r>
      <w:r w:rsidR="00143C32" w:rsidRPr="00143C32">
        <w:rPr>
          <w:sz w:val="22"/>
          <w:szCs w:val="22"/>
          <w:lang w:val="en-GB"/>
        </w:rPr>
        <w:t xml:space="preserve">shareholder from the Dutch tax authority, such CSDP should withhold </w:t>
      </w:r>
      <w:r>
        <w:rPr>
          <w:sz w:val="22"/>
          <w:szCs w:val="22"/>
          <w:lang w:val="en-GB"/>
        </w:rPr>
        <w:t xml:space="preserve">only </w:t>
      </w:r>
      <w:r w:rsidR="00143C32" w:rsidRPr="00143C32">
        <w:rPr>
          <w:sz w:val="22"/>
          <w:szCs w:val="22"/>
          <w:lang w:val="en-GB"/>
        </w:rPr>
        <w:t>5% SADWT</w:t>
      </w:r>
      <w:r>
        <w:rPr>
          <w:sz w:val="22"/>
          <w:szCs w:val="22"/>
          <w:lang w:val="en-GB"/>
        </w:rPr>
        <w:t>,</w:t>
      </w:r>
      <w:r w:rsidR="00143C32" w:rsidRPr="00143C32">
        <w:rPr>
          <w:sz w:val="22"/>
          <w:szCs w:val="22"/>
          <w:lang w:val="en-GB"/>
        </w:rPr>
        <w:t xml:space="preserve"> being the 20% SADWT less</w:t>
      </w:r>
      <w:r w:rsidR="00143C32">
        <w:rPr>
          <w:sz w:val="22"/>
          <w:szCs w:val="22"/>
          <w:lang w:val="en-GB"/>
        </w:rPr>
        <w:t xml:space="preserve"> </w:t>
      </w:r>
      <w:r w:rsidR="00143C32" w:rsidRPr="00143C32">
        <w:rPr>
          <w:sz w:val="22"/>
          <w:szCs w:val="22"/>
          <w:lang w:val="en-GB"/>
        </w:rPr>
        <w:t xml:space="preserve">15% DWT </w:t>
      </w:r>
      <w:r>
        <w:rPr>
          <w:sz w:val="22"/>
          <w:szCs w:val="22"/>
          <w:lang w:val="en-GB"/>
        </w:rPr>
        <w:t>(</w:t>
      </w:r>
      <w:r w:rsidR="00143C32" w:rsidRPr="00143C32">
        <w:rPr>
          <w:sz w:val="22"/>
          <w:szCs w:val="22"/>
          <w:lang w:val="en-GB"/>
        </w:rPr>
        <w:t>unless a specific South African domestic exemption applies and the required documentation as set out</w:t>
      </w:r>
      <w:r w:rsidR="00143C32">
        <w:rPr>
          <w:sz w:val="22"/>
          <w:szCs w:val="22"/>
          <w:lang w:val="en-GB"/>
        </w:rPr>
        <w:t xml:space="preserve"> </w:t>
      </w:r>
      <w:r w:rsidR="00143C32" w:rsidRPr="00143C32">
        <w:rPr>
          <w:sz w:val="22"/>
          <w:szCs w:val="22"/>
          <w:lang w:val="en-GB"/>
        </w:rPr>
        <w:t xml:space="preserve">in paragraph </w:t>
      </w:r>
      <w:r w:rsidR="00A90EF0">
        <w:rPr>
          <w:sz w:val="22"/>
          <w:szCs w:val="22"/>
          <w:lang w:val="en-GB"/>
        </w:rPr>
        <w:fldChar w:fldCharType="begin"/>
      </w:r>
      <w:r w:rsidR="00A90EF0">
        <w:rPr>
          <w:sz w:val="22"/>
          <w:szCs w:val="22"/>
          <w:lang w:val="en-GB"/>
        </w:rPr>
        <w:instrText xml:space="preserve"> REF _Ref46250870 \r \h </w:instrText>
      </w:r>
      <w:r w:rsidR="00A90EF0">
        <w:rPr>
          <w:sz w:val="22"/>
          <w:szCs w:val="22"/>
          <w:lang w:val="en-GB"/>
        </w:rPr>
      </w:r>
      <w:r w:rsidR="00A90EF0">
        <w:rPr>
          <w:sz w:val="22"/>
          <w:szCs w:val="22"/>
          <w:lang w:val="en-GB"/>
        </w:rPr>
        <w:fldChar w:fldCharType="separate"/>
      </w:r>
      <w:r w:rsidR="00A90EF0">
        <w:rPr>
          <w:sz w:val="22"/>
          <w:szCs w:val="22"/>
          <w:lang w:val="en-GB"/>
        </w:rPr>
        <w:t>2</w:t>
      </w:r>
      <w:r w:rsidR="00A90EF0">
        <w:rPr>
          <w:sz w:val="22"/>
          <w:szCs w:val="22"/>
          <w:lang w:val="en-GB"/>
        </w:rPr>
        <w:fldChar w:fldCharType="end"/>
      </w:r>
      <w:r w:rsidR="00143C32" w:rsidRPr="00143C32">
        <w:rPr>
          <w:sz w:val="22"/>
          <w:szCs w:val="22"/>
          <w:lang w:val="en-GB"/>
        </w:rPr>
        <w:t xml:space="preserve"> has been provided to the CSDP</w:t>
      </w:r>
      <w:r>
        <w:rPr>
          <w:sz w:val="22"/>
          <w:szCs w:val="22"/>
          <w:lang w:val="en-GB"/>
        </w:rPr>
        <w:t>)</w:t>
      </w:r>
      <w:r w:rsidR="00143C32" w:rsidRPr="00143C32">
        <w:rPr>
          <w:sz w:val="22"/>
          <w:szCs w:val="22"/>
          <w:lang w:val="en-GB"/>
        </w:rPr>
        <w:t>.</w:t>
      </w:r>
    </w:p>
    <w:p w14:paraId="7AA2576D" w14:textId="77777777" w:rsidR="007B3F95" w:rsidRDefault="007B3F95" w:rsidP="007B3F95">
      <w:pPr>
        <w:ind w:left="851"/>
        <w:jc w:val="both"/>
        <w:rPr>
          <w:sz w:val="22"/>
          <w:szCs w:val="22"/>
          <w:lang w:val="en-GB"/>
        </w:rPr>
      </w:pPr>
    </w:p>
    <w:p w14:paraId="4100E2A4" w14:textId="06BDA773" w:rsidR="007B3F95" w:rsidRPr="00143C32" w:rsidRDefault="007B3F95" w:rsidP="007B3F95">
      <w:pPr>
        <w:ind w:left="851"/>
        <w:jc w:val="both"/>
        <w:rPr>
          <w:sz w:val="22"/>
          <w:szCs w:val="22"/>
          <w:lang w:val="en-GB"/>
        </w:rPr>
      </w:pPr>
      <w:r>
        <w:rPr>
          <w:sz w:val="22"/>
          <w:szCs w:val="22"/>
          <w:lang w:val="en-GB"/>
        </w:rPr>
        <w:t xml:space="preserve">If such shareholder </w:t>
      </w:r>
      <w:r w:rsidR="001D1780">
        <w:rPr>
          <w:sz w:val="22"/>
          <w:szCs w:val="22"/>
          <w:lang w:val="en-GB"/>
        </w:rPr>
        <w:t>pay</w:t>
      </w:r>
      <w:r w:rsidR="001D1780">
        <w:rPr>
          <w:sz w:val="22"/>
          <w:szCs w:val="22"/>
          <w:lang w:val="en-GB"/>
        </w:rPr>
        <w:t>s</w:t>
      </w:r>
      <w:r w:rsidR="001D1780" w:rsidRPr="00143C32">
        <w:rPr>
          <w:sz w:val="22"/>
          <w:szCs w:val="22"/>
          <w:lang w:val="en-GB"/>
        </w:rPr>
        <w:t xml:space="preserve"> </w:t>
      </w:r>
      <w:r w:rsidRPr="00143C32">
        <w:rPr>
          <w:sz w:val="22"/>
          <w:szCs w:val="22"/>
          <w:lang w:val="en-GB"/>
        </w:rPr>
        <w:t>more than an aggregate 20% dividends withholding tax</w:t>
      </w:r>
      <w:r>
        <w:rPr>
          <w:sz w:val="22"/>
          <w:szCs w:val="22"/>
          <w:lang w:val="en-GB"/>
        </w:rPr>
        <w:t xml:space="preserve"> (being the total Dutch and South African dividend tax paid on the same dividend)</w:t>
      </w:r>
      <w:r w:rsidRPr="00143C32">
        <w:rPr>
          <w:sz w:val="22"/>
          <w:szCs w:val="22"/>
          <w:lang w:val="en-GB"/>
        </w:rPr>
        <w:t>, such shareholders are advised to follow</w:t>
      </w:r>
      <w:r>
        <w:rPr>
          <w:sz w:val="22"/>
          <w:szCs w:val="22"/>
          <w:lang w:val="en-GB"/>
        </w:rPr>
        <w:t xml:space="preserve"> </w:t>
      </w:r>
      <w:r w:rsidRPr="00143C32">
        <w:rPr>
          <w:sz w:val="22"/>
          <w:szCs w:val="22"/>
          <w:lang w:val="en-GB"/>
        </w:rPr>
        <w:t>the procedures set out paragraph</w:t>
      </w:r>
      <w:r>
        <w:rPr>
          <w:sz w:val="22"/>
          <w:szCs w:val="22"/>
          <w:lang w:val="en-GB"/>
        </w:rPr>
        <w:t>s</w:t>
      </w:r>
      <w:r w:rsidRPr="00143C32">
        <w:rPr>
          <w:sz w:val="22"/>
          <w:szCs w:val="22"/>
          <w:lang w:val="en-GB"/>
        </w:rPr>
        <w:t xml:space="preserve"> </w:t>
      </w:r>
      <w:r>
        <w:rPr>
          <w:sz w:val="22"/>
          <w:szCs w:val="22"/>
          <w:lang w:val="en-GB"/>
        </w:rPr>
        <w:fldChar w:fldCharType="begin"/>
      </w:r>
      <w:r>
        <w:rPr>
          <w:sz w:val="22"/>
          <w:szCs w:val="22"/>
          <w:lang w:val="en-GB"/>
        </w:rPr>
        <w:instrText xml:space="preserve"> REF _Ref46250861 \r \h  \* MERGEFORMAT </w:instrText>
      </w:r>
      <w:r>
        <w:rPr>
          <w:sz w:val="22"/>
          <w:szCs w:val="22"/>
          <w:lang w:val="en-GB"/>
        </w:rPr>
      </w:r>
      <w:r>
        <w:rPr>
          <w:sz w:val="22"/>
          <w:szCs w:val="22"/>
          <w:lang w:val="en-GB"/>
        </w:rPr>
        <w:fldChar w:fldCharType="separate"/>
      </w:r>
      <w:r>
        <w:rPr>
          <w:sz w:val="22"/>
          <w:szCs w:val="22"/>
          <w:lang w:val="en-GB"/>
        </w:rPr>
        <w:t>1</w:t>
      </w:r>
      <w:r>
        <w:rPr>
          <w:sz w:val="22"/>
          <w:szCs w:val="22"/>
          <w:lang w:val="en-GB"/>
        </w:rPr>
        <w:fldChar w:fldCharType="end"/>
      </w:r>
      <w:r>
        <w:rPr>
          <w:sz w:val="22"/>
          <w:szCs w:val="22"/>
          <w:lang w:val="en-GB"/>
        </w:rPr>
        <w:t>, if appropriate,</w:t>
      </w:r>
      <w:r w:rsidRPr="00143C32">
        <w:rPr>
          <w:sz w:val="22"/>
          <w:szCs w:val="22"/>
          <w:lang w:val="en-GB"/>
        </w:rPr>
        <w:t xml:space="preserve"> in order to claim a refund </w:t>
      </w:r>
      <w:r>
        <w:rPr>
          <w:sz w:val="22"/>
          <w:szCs w:val="22"/>
          <w:lang w:val="en-GB"/>
        </w:rPr>
        <w:t>of Dutch DWT taxes overpaid</w:t>
      </w:r>
      <w:r w:rsidRPr="00143C32">
        <w:rPr>
          <w:sz w:val="22"/>
          <w:szCs w:val="22"/>
          <w:lang w:val="en-GB"/>
        </w:rPr>
        <w:t>.</w:t>
      </w:r>
      <w:r>
        <w:rPr>
          <w:sz w:val="22"/>
          <w:szCs w:val="22"/>
          <w:lang w:val="en-GB"/>
        </w:rPr>
        <w:t xml:space="preserve">  W</w:t>
      </w:r>
      <w:r w:rsidR="001D1780">
        <w:rPr>
          <w:sz w:val="22"/>
          <w:szCs w:val="22"/>
          <w:lang w:val="en-GB"/>
        </w:rPr>
        <w:t>h</w:t>
      </w:r>
      <w:r>
        <w:rPr>
          <w:sz w:val="22"/>
          <w:szCs w:val="22"/>
          <w:lang w:val="en-GB"/>
        </w:rPr>
        <w:t>ere an amount of SADWT has been overpaid as a result of failure to comply with the requirements described in paragraphs 2.1.4 and 2.1.5, or the failure to deduct a rebate as described in paragraph 2.4, the shareholder may be entitled to claim a refund of the SADWT overpaid.  This refund must be claimed from the CSDP</w:t>
      </w:r>
      <w:r w:rsidRPr="00191A30">
        <w:t xml:space="preserve"> </w:t>
      </w:r>
      <w:r w:rsidRPr="00191A30">
        <w:rPr>
          <w:sz w:val="22"/>
          <w:szCs w:val="22"/>
          <w:lang w:val="en-GB"/>
        </w:rPr>
        <w:t>within a period of three years after the date of payment of the dividend</w:t>
      </w:r>
      <w:r>
        <w:rPr>
          <w:sz w:val="22"/>
          <w:szCs w:val="22"/>
          <w:lang w:val="en-GB"/>
        </w:rPr>
        <w:t xml:space="preserve">. </w:t>
      </w:r>
    </w:p>
    <w:p w14:paraId="5A0372BC" w14:textId="77777777" w:rsidR="007B3F95" w:rsidRPr="00143C32" w:rsidRDefault="007B3F95" w:rsidP="007B3F95">
      <w:pPr>
        <w:ind w:left="851"/>
        <w:jc w:val="both"/>
        <w:rPr>
          <w:sz w:val="22"/>
          <w:szCs w:val="22"/>
          <w:lang w:val="en-GB"/>
        </w:rPr>
      </w:pPr>
    </w:p>
    <w:p w14:paraId="5155893C" w14:textId="77777777" w:rsidR="007B3F95" w:rsidRPr="00143C32" w:rsidRDefault="007B3F95" w:rsidP="007B3F95">
      <w:pPr>
        <w:ind w:left="851"/>
        <w:jc w:val="both"/>
        <w:rPr>
          <w:sz w:val="22"/>
          <w:szCs w:val="22"/>
          <w:lang w:val="en-GB"/>
        </w:rPr>
      </w:pPr>
      <w:r w:rsidRPr="00143C32">
        <w:rPr>
          <w:sz w:val="22"/>
          <w:szCs w:val="22"/>
          <w:lang w:val="en-GB"/>
        </w:rPr>
        <w:t>Whether or not there is a refund due to the shareholder should be determined with reference to the specific</w:t>
      </w:r>
      <w:r>
        <w:rPr>
          <w:sz w:val="22"/>
          <w:szCs w:val="22"/>
          <w:lang w:val="en-GB"/>
        </w:rPr>
        <w:t xml:space="preserve"> </w:t>
      </w:r>
      <w:r w:rsidRPr="00143C32">
        <w:rPr>
          <w:sz w:val="22"/>
          <w:szCs w:val="22"/>
          <w:lang w:val="en-GB"/>
        </w:rPr>
        <w:t>facts applicable to that shareholder.</w:t>
      </w:r>
    </w:p>
    <w:p w14:paraId="2C48C4C3" w14:textId="77777777" w:rsidR="00143C32" w:rsidRPr="00143C32" w:rsidRDefault="00143C32" w:rsidP="00615A98">
      <w:pPr>
        <w:ind w:left="851"/>
        <w:jc w:val="both"/>
        <w:rPr>
          <w:sz w:val="22"/>
          <w:szCs w:val="22"/>
          <w:lang w:val="en-GB"/>
        </w:rPr>
      </w:pPr>
    </w:p>
    <w:p w14:paraId="4D08F765" w14:textId="44D3829F" w:rsidR="00143C32" w:rsidRPr="00143C32" w:rsidRDefault="00143C32" w:rsidP="00615A98">
      <w:pPr>
        <w:ind w:left="851"/>
        <w:jc w:val="both"/>
        <w:rPr>
          <w:sz w:val="22"/>
          <w:szCs w:val="22"/>
          <w:lang w:val="en-GB"/>
        </w:rPr>
      </w:pPr>
      <w:r w:rsidRPr="00143C32">
        <w:rPr>
          <w:sz w:val="22"/>
          <w:szCs w:val="22"/>
          <w:lang w:val="en-GB"/>
        </w:rPr>
        <w:t>The information provided above does not constitute tax advice and is only provided as a general guide on the South</w:t>
      </w:r>
      <w:r>
        <w:rPr>
          <w:sz w:val="22"/>
          <w:szCs w:val="22"/>
          <w:lang w:val="en-GB"/>
        </w:rPr>
        <w:t xml:space="preserve"> </w:t>
      </w:r>
      <w:r w:rsidRPr="00143C32">
        <w:rPr>
          <w:sz w:val="22"/>
          <w:szCs w:val="22"/>
          <w:lang w:val="en-GB"/>
        </w:rPr>
        <w:t xml:space="preserve">African tax treatment of the cash dividend declaration by </w:t>
      </w:r>
      <w:r>
        <w:rPr>
          <w:sz w:val="22"/>
          <w:szCs w:val="22"/>
          <w:lang w:val="en-GB"/>
        </w:rPr>
        <w:t>Prosus</w:t>
      </w:r>
      <w:r w:rsidRPr="00143C32">
        <w:rPr>
          <w:sz w:val="22"/>
          <w:szCs w:val="22"/>
          <w:lang w:val="en-GB"/>
        </w:rPr>
        <w:t xml:space="preserve"> to South African tax resident shareholders. For</w:t>
      </w:r>
      <w:r>
        <w:rPr>
          <w:sz w:val="22"/>
          <w:szCs w:val="22"/>
          <w:lang w:val="en-GB"/>
        </w:rPr>
        <w:t xml:space="preserve"> </w:t>
      </w:r>
      <w:r w:rsidRPr="00143C32">
        <w:rPr>
          <w:sz w:val="22"/>
          <w:szCs w:val="22"/>
          <w:lang w:val="en-GB"/>
        </w:rPr>
        <w:t>shareholders residing outside of South Africa, the dividend may have other legal or tax implications and such</w:t>
      </w:r>
      <w:r>
        <w:rPr>
          <w:sz w:val="22"/>
          <w:szCs w:val="22"/>
          <w:lang w:val="en-GB"/>
        </w:rPr>
        <w:t xml:space="preserve"> </w:t>
      </w:r>
      <w:r w:rsidRPr="00143C32">
        <w:rPr>
          <w:sz w:val="22"/>
          <w:szCs w:val="22"/>
          <w:lang w:val="en-GB"/>
        </w:rPr>
        <w:t>shareholders are advised to obtain appropriate advice from their professional advisers in this regard.</w:t>
      </w:r>
    </w:p>
    <w:p w14:paraId="67C3A537" w14:textId="57A62418" w:rsidR="005607E7" w:rsidRDefault="005607E7" w:rsidP="000037D3">
      <w:pPr>
        <w:jc w:val="both"/>
        <w:rPr>
          <w:sz w:val="22"/>
          <w:szCs w:val="22"/>
          <w:lang w:val="en-GB"/>
        </w:rPr>
      </w:pPr>
    </w:p>
    <w:p w14:paraId="6601B221" w14:textId="0117FC6E" w:rsidR="00112278" w:rsidRPr="000037D3" w:rsidRDefault="00112278" w:rsidP="00034F3B">
      <w:pPr>
        <w:keepNext/>
        <w:jc w:val="both"/>
        <w:rPr>
          <w:b/>
          <w:sz w:val="22"/>
          <w:szCs w:val="22"/>
          <w:lang w:val="en-GB"/>
        </w:rPr>
      </w:pPr>
      <w:r w:rsidRPr="000037D3">
        <w:rPr>
          <w:b/>
          <w:sz w:val="22"/>
          <w:szCs w:val="22"/>
          <w:lang w:val="en-GB"/>
        </w:rPr>
        <w:t>Looking forward</w:t>
      </w:r>
      <w:r w:rsidR="002751E5" w:rsidRPr="000037D3">
        <w:rPr>
          <w:b/>
          <w:sz w:val="22"/>
          <w:szCs w:val="22"/>
          <w:lang w:val="en-GB"/>
        </w:rPr>
        <w:t xml:space="preserve"> with confidence</w:t>
      </w:r>
    </w:p>
    <w:p w14:paraId="27D0134D" w14:textId="48D56E4A" w:rsidR="00112278" w:rsidRDefault="00112278" w:rsidP="000037D3">
      <w:pPr>
        <w:jc w:val="both"/>
        <w:rPr>
          <w:rFonts w:cs="Calibri"/>
          <w:sz w:val="22"/>
          <w:szCs w:val="22"/>
          <w:lang w:val="en-GB"/>
        </w:rPr>
      </w:pPr>
      <w:r w:rsidRPr="000037D3">
        <w:rPr>
          <w:rFonts w:cs="Calibri"/>
          <w:sz w:val="22"/>
          <w:szCs w:val="22"/>
          <w:lang w:val="en-GB"/>
        </w:rPr>
        <w:t>Our core objectives are unchanged and strong market dynamics underpin our structural growth. We are at the beginning of our Prosus journey, but we have made a great start and are clear about where we are heading in the interests of our shareholders and all our stakeholders. So</w:t>
      </w:r>
      <w:r w:rsidR="000037D3">
        <w:rPr>
          <w:rFonts w:cs="Calibri"/>
          <w:sz w:val="22"/>
          <w:szCs w:val="22"/>
          <w:lang w:val="en-GB"/>
        </w:rPr>
        <w:t>,</w:t>
      </w:r>
      <w:r w:rsidRPr="000037D3">
        <w:rPr>
          <w:rFonts w:cs="Calibri"/>
          <w:sz w:val="22"/>
          <w:szCs w:val="22"/>
          <w:lang w:val="en-GB"/>
        </w:rPr>
        <w:t xml:space="preserve"> the fundamentals are strong and we have real momentum.</w:t>
      </w:r>
    </w:p>
    <w:p w14:paraId="3EF4F0EA" w14:textId="55CB074A" w:rsidR="00256253" w:rsidRDefault="00256253" w:rsidP="000037D3">
      <w:pPr>
        <w:jc w:val="both"/>
        <w:rPr>
          <w:rFonts w:cs="Calibri"/>
          <w:sz w:val="22"/>
          <w:szCs w:val="22"/>
          <w:lang w:val="en-GB"/>
        </w:rPr>
      </w:pPr>
    </w:p>
    <w:p w14:paraId="6C12081A" w14:textId="2D4EA2AC" w:rsidR="00326DE5" w:rsidRDefault="00326DE5">
      <w:pPr>
        <w:spacing w:line="240" w:lineRule="auto"/>
        <w:rPr>
          <w:rFonts w:cs="Calibri"/>
          <w:sz w:val="22"/>
          <w:szCs w:val="22"/>
          <w:lang w:val="en-GB"/>
        </w:rPr>
      </w:pPr>
      <w:r>
        <w:rPr>
          <w:rFonts w:cs="Calibri"/>
          <w:sz w:val="22"/>
          <w:szCs w:val="22"/>
          <w:lang w:val="en-GB"/>
        </w:rPr>
        <w:br w:type="page"/>
      </w:r>
    </w:p>
    <w:p w14:paraId="3CC36F62" w14:textId="3094E6B5" w:rsidR="00315E62" w:rsidRDefault="00315E62" w:rsidP="00315E62">
      <w:pPr>
        <w:jc w:val="both"/>
        <w:rPr>
          <w:rFonts w:cs="Calibri"/>
          <w:sz w:val="22"/>
          <w:szCs w:val="22"/>
          <w:lang w:val="en-GB"/>
        </w:rPr>
      </w:pPr>
    </w:p>
    <w:p w14:paraId="5B637B01" w14:textId="77777777" w:rsidR="00326DE5" w:rsidRDefault="00326DE5" w:rsidP="00315E62">
      <w:pPr>
        <w:jc w:val="both"/>
        <w:rPr>
          <w:rFonts w:cs="Calibri"/>
          <w:sz w:val="22"/>
          <w:szCs w:val="22"/>
          <w:lang w:val="en-GB"/>
        </w:rPr>
      </w:pPr>
    </w:p>
    <w:p w14:paraId="2F80FB00" w14:textId="429BBF98" w:rsidR="00315E62" w:rsidRPr="00315E62" w:rsidRDefault="00315E62" w:rsidP="005607E7">
      <w:pPr>
        <w:keepNext/>
        <w:jc w:val="both"/>
        <w:rPr>
          <w:rFonts w:cs="Calibri"/>
          <w:sz w:val="22"/>
          <w:szCs w:val="22"/>
          <w:lang w:val="en-GB"/>
        </w:rPr>
      </w:pPr>
      <w:r w:rsidRPr="00315E62">
        <w:rPr>
          <w:rFonts w:cs="Calibri"/>
          <w:sz w:val="22"/>
          <w:szCs w:val="22"/>
          <w:lang w:val="en-GB"/>
        </w:rPr>
        <w:t>Amsterdam, the Netherlands</w:t>
      </w:r>
    </w:p>
    <w:p w14:paraId="0229F6C9" w14:textId="3DEFF4E4" w:rsidR="00315E62" w:rsidRPr="00315E62" w:rsidRDefault="00315E62" w:rsidP="00315E62">
      <w:pPr>
        <w:jc w:val="both"/>
        <w:rPr>
          <w:rFonts w:cs="Calibri"/>
          <w:sz w:val="22"/>
          <w:szCs w:val="22"/>
          <w:lang w:val="en-GB"/>
        </w:rPr>
      </w:pPr>
      <w:r>
        <w:rPr>
          <w:rFonts w:cs="Calibri"/>
          <w:sz w:val="22"/>
          <w:szCs w:val="22"/>
          <w:lang w:val="en-GB"/>
        </w:rPr>
        <w:t>18</w:t>
      </w:r>
      <w:r w:rsidRPr="00315E62">
        <w:rPr>
          <w:rFonts w:cs="Calibri"/>
          <w:sz w:val="22"/>
          <w:szCs w:val="22"/>
          <w:lang w:val="en-GB"/>
        </w:rPr>
        <w:t xml:space="preserve"> </w:t>
      </w:r>
      <w:r>
        <w:rPr>
          <w:rFonts w:cs="Calibri"/>
          <w:sz w:val="22"/>
          <w:szCs w:val="22"/>
          <w:lang w:val="en-GB"/>
        </w:rPr>
        <w:t xml:space="preserve">August </w:t>
      </w:r>
      <w:r w:rsidRPr="00315E62">
        <w:rPr>
          <w:rFonts w:cs="Calibri"/>
          <w:sz w:val="22"/>
          <w:szCs w:val="22"/>
          <w:lang w:val="en-GB"/>
        </w:rPr>
        <w:t>2020</w:t>
      </w:r>
    </w:p>
    <w:p w14:paraId="61E8A3CE" w14:textId="77777777" w:rsidR="00315E62" w:rsidRPr="00315E62" w:rsidRDefault="00315E62" w:rsidP="00315E62">
      <w:pPr>
        <w:jc w:val="both"/>
        <w:rPr>
          <w:rFonts w:cs="Calibri"/>
          <w:sz w:val="22"/>
          <w:szCs w:val="22"/>
          <w:lang w:val="en-GB"/>
        </w:rPr>
      </w:pPr>
    </w:p>
    <w:p w14:paraId="0C7B890A" w14:textId="77777777" w:rsidR="00315E62" w:rsidRPr="00315E62" w:rsidRDefault="00315E62" w:rsidP="00315E62">
      <w:pPr>
        <w:jc w:val="both"/>
        <w:rPr>
          <w:rFonts w:cs="Calibri"/>
          <w:b/>
          <w:bCs/>
          <w:sz w:val="22"/>
          <w:szCs w:val="22"/>
          <w:lang w:val="en-GB"/>
        </w:rPr>
      </w:pPr>
      <w:r w:rsidRPr="00315E62">
        <w:rPr>
          <w:rFonts w:cs="Calibri"/>
          <w:b/>
          <w:bCs/>
          <w:sz w:val="22"/>
          <w:szCs w:val="22"/>
          <w:lang w:val="en-GB"/>
        </w:rPr>
        <w:t>JSE sponsor to Prosus:</w:t>
      </w:r>
    </w:p>
    <w:p w14:paraId="7B774DDB" w14:textId="7A44F5EF" w:rsidR="002751E5" w:rsidRPr="000037D3" w:rsidRDefault="00315E62" w:rsidP="00315E62">
      <w:pPr>
        <w:jc w:val="both"/>
        <w:rPr>
          <w:rFonts w:cs="Calibri"/>
          <w:sz w:val="22"/>
          <w:szCs w:val="22"/>
          <w:lang w:val="en-GB"/>
        </w:rPr>
      </w:pPr>
      <w:r w:rsidRPr="00315E62">
        <w:rPr>
          <w:rFonts w:cs="Calibri"/>
          <w:sz w:val="22"/>
          <w:szCs w:val="22"/>
          <w:lang w:val="en-GB"/>
        </w:rPr>
        <w:t>Investec Bank Limited</w:t>
      </w:r>
    </w:p>
    <w:p w14:paraId="46E769D6" w14:textId="77777777" w:rsidR="00B5418C" w:rsidRDefault="00B5418C" w:rsidP="00BE5FF8">
      <w:pPr>
        <w:spacing w:line="240" w:lineRule="auto"/>
        <w:jc w:val="both"/>
        <w:rPr>
          <w:rFonts w:cstheme="minorHAnsi"/>
        </w:rPr>
      </w:pPr>
    </w:p>
    <w:p w14:paraId="36D401AC" w14:textId="77777777" w:rsidR="00B5418C" w:rsidRPr="00B5418C" w:rsidRDefault="00B5418C" w:rsidP="00B5418C">
      <w:pPr>
        <w:jc w:val="both"/>
        <w:rPr>
          <w:rFonts w:cs="Calibri"/>
          <w:b/>
          <w:bCs/>
          <w:sz w:val="22"/>
          <w:szCs w:val="22"/>
          <w:lang w:val="en-GB"/>
        </w:rPr>
      </w:pPr>
      <w:r w:rsidRPr="00B5418C">
        <w:rPr>
          <w:rFonts w:cs="Calibri"/>
          <w:b/>
          <w:bCs/>
          <w:sz w:val="22"/>
          <w:szCs w:val="22"/>
          <w:lang w:val="en-GB"/>
        </w:rPr>
        <w:t>Euronext listing agent</w:t>
      </w:r>
    </w:p>
    <w:p w14:paraId="7E50EF88" w14:textId="77777777" w:rsidR="00B5418C" w:rsidRPr="009C7728" w:rsidRDefault="00B5418C" w:rsidP="00B5418C">
      <w:pPr>
        <w:spacing w:line="240" w:lineRule="auto"/>
        <w:ind w:left="3974" w:hanging="3974"/>
        <w:jc w:val="both"/>
        <w:rPr>
          <w:rFonts w:cstheme="minorHAnsi"/>
        </w:rPr>
      </w:pPr>
      <w:r w:rsidRPr="009C7728">
        <w:rPr>
          <w:rFonts w:cstheme="minorHAnsi"/>
        </w:rPr>
        <w:t>ING Bank N.V.</w:t>
      </w:r>
    </w:p>
    <w:p w14:paraId="020242A0" w14:textId="77777777" w:rsidR="00B5418C" w:rsidRDefault="00B5418C" w:rsidP="00B5418C">
      <w:pPr>
        <w:spacing w:line="240" w:lineRule="auto"/>
        <w:ind w:left="3974" w:hanging="3974"/>
        <w:jc w:val="both"/>
        <w:rPr>
          <w:rFonts w:cstheme="minorHAnsi"/>
        </w:rPr>
      </w:pPr>
    </w:p>
    <w:p w14:paraId="2BC29E50" w14:textId="77777777" w:rsidR="00B5418C" w:rsidRPr="00B5418C" w:rsidRDefault="00B5418C" w:rsidP="00B5418C">
      <w:pPr>
        <w:jc w:val="both"/>
        <w:rPr>
          <w:rFonts w:cs="Calibri"/>
          <w:b/>
          <w:bCs/>
          <w:sz w:val="22"/>
          <w:szCs w:val="22"/>
          <w:lang w:val="en-GB"/>
        </w:rPr>
      </w:pPr>
      <w:r w:rsidRPr="00B5418C">
        <w:rPr>
          <w:rFonts w:cs="Calibri"/>
          <w:b/>
          <w:bCs/>
          <w:sz w:val="22"/>
          <w:szCs w:val="22"/>
          <w:lang w:val="en-GB"/>
        </w:rPr>
        <w:t>Euronext paying agent</w:t>
      </w:r>
    </w:p>
    <w:p w14:paraId="644020A7" w14:textId="77777777" w:rsidR="00B5418C" w:rsidRPr="00FA02E0" w:rsidRDefault="00B5418C" w:rsidP="00B5418C">
      <w:pPr>
        <w:spacing w:line="240" w:lineRule="auto"/>
        <w:ind w:left="3974" w:hanging="3974"/>
        <w:jc w:val="both"/>
        <w:rPr>
          <w:rFonts w:cstheme="minorHAnsi"/>
          <w:lang w:val="de-DE"/>
        </w:rPr>
      </w:pPr>
      <w:r w:rsidRPr="00FA02E0">
        <w:rPr>
          <w:rFonts w:cstheme="minorHAnsi"/>
          <w:lang w:val="de-DE"/>
        </w:rPr>
        <w:t>ABN AMRO Bank N.V.</w:t>
      </w:r>
    </w:p>
    <w:p w14:paraId="0B31A35A" w14:textId="77777777" w:rsidR="00B5418C" w:rsidRPr="00FA02E0" w:rsidRDefault="00B5418C" w:rsidP="00B5418C">
      <w:pPr>
        <w:spacing w:line="240" w:lineRule="auto"/>
        <w:ind w:left="3974" w:hanging="3974"/>
        <w:jc w:val="both"/>
        <w:rPr>
          <w:rFonts w:cstheme="minorHAnsi"/>
          <w:lang w:val="de-DE"/>
        </w:rPr>
      </w:pPr>
    </w:p>
    <w:p w14:paraId="53C1F2AF" w14:textId="77777777" w:rsidR="00B5418C" w:rsidRDefault="00B5418C" w:rsidP="00B5418C">
      <w:pPr>
        <w:pStyle w:val="DocText"/>
        <w:numPr>
          <w:ilvl w:val="0"/>
          <w:numId w:val="0"/>
        </w:numPr>
        <w:rPr>
          <w:rFonts w:cs="Arial"/>
          <w:b/>
          <w:szCs w:val="20"/>
        </w:rPr>
      </w:pPr>
      <w:r>
        <w:rPr>
          <w:rFonts w:cs="Arial"/>
          <w:b/>
          <w:szCs w:val="20"/>
        </w:rPr>
        <w:t xml:space="preserve">Enquiries: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790"/>
      </w:tblGrid>
      <w:tr w:rsidR="00B5418C" w14:paraId="112E655B" w14:textId="77777777" w:rsidTr="00B5418C">
        <w:tc>
          <w:tcPr>
            <w:tcW w:w="6237" w:type="dxa"/>
            <w:hideMark/>
          </w:tcPr>
          <w:p w14:paraId="5287FE9C" w14:textId="77777777" w:rsidR="00B5418C" w:rsidRDefault="00B5418C" w:rsidP="00B5418C">
            <w:pPr>
              <w:pStyle w:val="DocText"/>
              <w:rPr>
                <w:rFonts w:cs="Arial"/>
                <w:b/>
                <w:szCs w:val="20"/>
              </w:rPr>
            </w:pPr>
            <w:r>
              <w:rPr>
                <w:rFonts w:cs="Arial"/>
                <w:b/>
                <w:szCs w:val="20"/>
              </w:rPr>
              <w:t>Investor Enquiries</w:t>
            </w:r>
          </w:p>
        </w:tc>
        <w:tc>
          <w:tcPr>
            <w:tcW w:w="2790" w:type="dxa"/>
            <w:hideMark/>
          </w:tcPr>
          <w:p w14:paraId="463F9B1C" w14:textId="77777777" w:rsidR="00B5418C" w:rsidRDefault="00B5418C" w:rsidP="00B5418C">
            <w:pPr>
              <w:pStyle w:val="DocText"/>
              <w:rPr>
                <w:rFonts w:cs="Arial"/>
                <w:b/>
                <w:szCs w:val="20"/>
              </w:rPr>
            </w:pPr>
            <w:r>
              <w:rPr>
                <w:rFonts w:cs="Arial"/>
                <w:b/>
                <w:szCs w:val="20"/>
              </w:rPr>
              <w:t xml:space="preserve">+1 347 210 4305 </w:t>
            </w:r>
          </w:p>
        </w:tc>
      </w:tr>
      <w:tr w:rsidR="00B5418C" w14:paraId="51CB96A4" w14:textId="77777777" w:rsidTr="00B5418C">
        <w:tc>
          <w:tcPr>
            <w:tcW w:w="6237" w:type="dxa"/>
            <w:hideMark/>
          </w:tcPr>
          <w:p w14:paraId="3BF301EA" w14:textId="77777777" w:rsidR="00B5418C" w:rsidRDefault="00B5418C" w:rsidP="00B5418C">
            <w:pPr>
              <w:pStyle w:val="DocText"/>
              <w:spacing w:before="0"/>
              <w:rPr>
                <w:rFonts w:cs="Arial"/>
                <w:szCs w:val="20"/>
              </w:rPr>
            </w:pPr>
            <w:r>
              <w:rPr>
                <w:rFonts w:cs="Arial"/>
                <w:szCs w:val="20"/>
              </w:rPr>
              <w:t>Eoin Ryan, Head of Investor Relations</w:t>
            </w:r>
          </w:p>
        </w:tc>
        <w:tc>
          <w:tcPr>
            <w:tcW w:w="2790" w:type="dxa"/>
          </w:tcPr>
          <w:p w14:paraId="749D4E23" w14:textId="77777777" w:rsidR="00B5418C" w:rsidRDefault="00B5418C" w:rsidP="00B5418C">
            <w:pPr>
              <w:pStyle w:val="DocText"/>
              <w:spacing w:before="0"/>
              <w:rPr>
                <w:rFonts w:cs="Arial"/>
                <w:b/>
                <w:szCs w:val="20"/>
              </w:rPr>
            </w:pPr>
          </w:p>
        </w:tc>
      </w:tr>
      <w:tr w:rsidR="00B5418C" w14:paraId="6597C4A2" w14:textId="77777777" w:rsidTr="00B5418C">
        <w:tc>
          <w:tcPr>
            <w:tcW w:w="6237" w:type="dxa"/>
          </w:tcPr>
          <w:p w14:paraId="0A5EEA39" w14:textId="77777777" w:rsidR="00B5418C" w:rsidRDefault="00B5418C" w:rsidP="00B5418C">
            <w:pPr>
              <w:pStyle w:val="DocText"/>
              <w:spacing w:before="0"/>
              <w:rPr>
                <w:rFonts w:cs="Arial"/>
                <w:szCs w:val="20"/>
              </w:rPr>
            </w:pPr>
          </w:p>
        </w:tc>
        <w:tc>
          <w:tcPr>
            <w:tcW w:w="2790" w:type="dxa"/>
          </w:tcPr>
          <w:p w14:paraId="764C3B9C" w14:textId="77777777" w:rsidR="00B5418C" w:rsidRDefault="00B5418C" w:rsidP="00B5418C">
            <w:pPr>
              <w:pStyle w:val="DocText"/>
              <w:spacing w:before="0"/>
              <w:rPr>
                <w:rFonts w:cs="Arial"/>
                <w:b/>
                <w:szCs w:val="20"/>
              </w:rPr>
            </w:pPr>
          </w:p>
        </w:tc>
      </w:tr>
      <w:tr w:rsidR="00B5418C" w14:paraId="41BAB673" w14:textId="77777777" w:rsidTr="00B5418C">
        <w:tc>
          <w:tcPr>
            <w:tcW w:w="6237" w:type="dxa"/>
            <w:hideMark/>
          </w:tcPr>
          <w:p w14:paraId="0A5F6986" w14:textId="77777777" w:rsidR="00B5418C" w:rsidRDefault="00B5418C" w:rsidP="00B5418C">
            <w:pPr>
              <w:pStyle w:val="DocText"/>
              <w:spacing w:before="0"/>
              <w:rPr>
                <w:rFonts w:cs="Arial"/>
                <w:szCs w:val="20"/>
              </w:rPr>
            </w:pPr>
            <w:r>
              <w:rPr>
                <w:rFonts w:cs="Arial"/>
                <w:b/>
                <w:szCs w:val="20"/>
              </w:rPr>
              <w:t>Media Enquiries</w:t>
            </w:r>
          </w:p>
        </w:tc>
        <w:tc>
          <w:tcPr>
            <w:tcW w:w="2790" w:type="dxa"/>
            <w:hideMark/>
          </w:tcPr>
          <w:p w14:paraId="095FF806" w14:textId="77777777" w:rsidR="00B5418C" w:rsidRDefault="00B5418C" w:rsidP="00B5418C">
            <w:pPr>
              <w:pStyle w:val="DocText"/>
              <w:spacing w:before="0"/>
              <w:rPr>
                <w:rFonts w:cs="Arial"/>
                <w:b/>
                <w:szCs w:val="20"/>
              </w:rPr>
            </w:pPr>
            <w:r>
              <w:rPr>
                <w:rFonts w:cs="Arial"/>
                <w:b/>
                <w:szCs w:val="20"/>
              </w:rPr>
              <w:t>+44 207 251 3801</w:t>
            </w:r>
          </w:p>
        </w:tc>
      </w:tr>
      <w:tr w:rsidR="00B5418C" w14:paraId="1A2A00DC" w14:textId="77777777" w:rsidTr="00B5418C">
        <w:tc>
          <w:tcPr>
            <w:tcW w:w="6237" w:type="dxa"/>
            <w:hideMark/>
          </w:tcPr>
          <w:p w14:paraId="32F6436D" w14:textId="77777777" w:rsidR="00B5418C" w:rsidRDefault="00B5418C" w:rsidP="00B5418C">
            <w:pPr>
              <w:pStyle w:val="DocText"/>
              <w:spacing w:before="0"/>
              <w:rPr>
                <w:rFonts w:cs="Arial"/>
                <w:szCs w:val="20"/>
              </w:rPr>
            </w:pPr>
            <w:r>
              <w:rPr>
                <w:rFonts w:cs="Arial"/>
                <w:szCs w:val="20"/>
              </w:rPr>
              <w:t>Sarah Ryan, International Media Relations</w:t>
            </w:r>
          </w:p>
        </w:tc>
        <w:tc>
          <w:tcPr>
            <w:tcW w:w="2790" w:type="dxa"/>
          </w:tcPr>
          <w:p w14:paraId="2C858AC9" w14:textId="77777777" w:rsidR="00B5418C" w:rsidRDefault="00B5418C" w:rsidP="00B5418C">
            <w:pPr>
              <w:pStyle w:val="DocText"/>
              <w:spacing w:before="0"/>
              <w:rPr>
                <w:rFonts w:cs="Arial"/>
                <w:b/>
                <w:szCs w:val="20"/>
              </w:rPr>
            </w:pPr>
          </w:p>
        </w:tc>
      </w:tr>
    </w:tbl>
    <w:p w14:paraId="586FC878" w14:textId="77777777" w:rsidR="00B5418C" w:rsidRPr="00315E62" w:rsidRDefault="00B5418C" w:rsidP="00B5418C">
      <w:pPr>
        <w:jc w:val="both"/>
        <w:rPr>
          <w:rFonts w:cs="Calibri"/>
          <w:sz w:val="22"/>
          <w:szCs w:val="22"/>
        </w:rPr>
      </w:pPr>
    </w:p>
    <w:p w14:paraId="2BA99877" w14:textId="77777777" w:rsidR="00B5418C" w:rsidRDefault="00B5418C" w:rsidP="00B5418C">
      <w:pPr>
        <w:jc w:val="both"/>
        <w:rPr>
          <w:rFonts w:cstheme="minorHAnsi"/>
        </w:rPr>
      </w:pPr>
    </w:p>
    <w:p w14:paraId="244AD52A" w14:textId="09B35B24" w:rsidR="00B5418C" w:rsidRPr="00B5418C" w:rsidRDefault="00B5418C" w:rsidP="00B5418C">
      <w:pPr>
        <w:jc w:val="both"/>
        <w:rPr>
          <w:b/>
          <w:i/>
          <w:iCs/>
          <w:sz w:val="22"/>
          <w:szCs w:val="22"/>
          <w:lang w:val="en-GB"/>
        </w:rPr>
      </w:pPr>
      <w:r w:rsidRPr="00B5418C">
        <w:rPr>
          <w:b/>
          <w:i/>
          <w:iCs/>
          <w:sz w:val="22"/>
          <w:szCs w:val="22"/>
          <w:lang w:val="en-GB"/>
        </w:rPr>
        <w:t xml:space="preserve">About Prosus </w:t>
      </w:r>
    </w:p>
    <w:p w14:paraId="65E06E1E" w14:textId="0E93B542" w:rsidR="00B5418C" w:rsidRPr="00B5418C" w:rsidRDefault="00B5418C" w:rsidP="00B5418C">
      <w:pPr>
        <w:jc w:val="both"/>
        <w:rPr>
          <w:rFonts w:cs="Calibri"/>
          <w:i/>
          <w:iCs/>
          <w:sz w:val="18"/>
          <w:szCs w:val="18"/>
          <w:lang w:val="en-ZA" w:eastAsia="en-GB"/>
        </w:rPr>
      </w:pPr>
      <w:r w:rsidRPr="00B5418C">
        <w:rPr>
          <w:rFonts w:cs="Calibri"/>
          <w:i/>
          <w:iCs/>
          <w:sz w:val="18"/>
          <w:szCs w:val="18"/>
          <w:lang w:val="en-ZA" w:eastAsia="en-GB"/>
        </w:rPr>
        <w:t xml:space="preserve">Prosus is a global consumer internet group and one of the largest technology investors in the world. Operating and investing globally in markets with long-term growth potential, Prosus builds leading consumer internet companies that empower people and enrich </w:t>
      </w:r>
      <w:proofErr w:type="spellStart"/>
      <w:r w:rsidRPr="00B5418C">
        <w:rPr>
          <w:rFonts w:cs="Calibri"/>
          <w:i/>
          <w:iCs/>
          <w:sz w:val="18"/>
          <w:szCs w:val="18"/>
          <w:lang w:val="en-ZA" w:eastAsia="en-GB"/>
        </w:rPr>
        <w:t>communities.The</w:t>
      </w:r>
      <w:proofErr w:type="spellEnd"/>
      <w:r w:rsidRPr="00B5418C">
        <w:rPr>
          <w:rFonts w:cs="Calibri"/>
          <w:i/>
          <w:iCs/>
          <w:sz w:val="18"/>
          <w:szCs w:val="18"/>
          <w:lang w:val="en-ZA" w:eastAsia="en-GB"/>
        </w:rPr>
        <w:t xml:space="preserve"> group is focused on building meaningful businesses in the online classifieds, payments and fintech, and food delivery sectors in markets including India, Russia and Brazil. Through its ventures team investments, in areas including </w:t>
      </w:r>
      <w:proofErr w:type="spellStart"/>
      <w:r w:rsidRPr="00B5418C">
        <w:rPr>
          <w:rFonts w:cs="Calibri"/>
          <w:i/>
          <w:iCs/>
          <w:sz w:val="18"/>
          <w:szCs w:val="18"/>
          <w:lang w:val="en-ZA" w:eastAsia="en-GB"/>
        </w:rPr>
        <w:t>edtech</w:t>
      </w:r>
      <w:proofErr w:type="spellEnd"/>
      <w:r w:rsidRPr="00B5418C">
        <w:rPr>
          <w:rFonts w:cs="Calibri"/>
          <w:i/>
          <w:iCs/>
          <w:sz w:val="18"/>
          <w:szCs w:val="18"/>
          <w:lang w:val="en-ZA" w:eastAsia="en-GB"/>
        </w:rPr>
        <w:t xml:space="preserve"> and health, Prosus actively seeks new opportunities to partner with exceptional entrepreneurs who are using technology to address big societal </w:t>
      </w:r>
      <w:proofErr w:type="spellStart"/>
      <w:r w:rsidRPr="00B5418C">
        <w:rPr>
          <w:rFonts w:cs="Calibri"/>
          <w:i/>
          <w:iCs/>
          <w:sz w:val="18"/>
          <w:szCs w:val="18"/>
          <w:lang w:val="en-ZA" w:eastAsia="en-GB"/>
        </w:rPr>
        <w:t>needs.Every</w:t>
      </w:r>
      <w:proofErr w:type="spellEnd"/>
      <w:r w:rsidRPr="00B5418C">
        <w:rPr>
          <w:rFonts w:cs="Calibri"/>
          <w:i/>
          <w:iCs/>
          <w:sz w:val="18"/>
          <w:szCs w:val="18"/>
          <w:lang w:val="en-ZA" w:eastAsia="en-GB"/>
        </w:rPr>
        <w:t xml:space="preserve"> day, millions of people use the products and services of companies that Prosus has invested in, acquired or built, including </w:t>
      </w:r>
      <w:proofErr w:type="spellStart"/>
      <w:r w:rsidRPr="00B5418C">
        <w:rPr>
          <w:rFonts w:cs="Calibri"/>
          <w:i/>
          <w:iCs/>
          <w:sz w:val="18"/>
          <w:szCs w:val="18"/>
          <w:lang w:val="en-ZA" w:eastAsia="en-GB"/>
        </w:rPr>
        <w:t>Avito</w:t>
      </w:r>
      <w:proofErr w:type="spellEnd"/>
      <w:r w:rsidRPr="00B5418C">
        <w:rPr>
          <w:rFonts w:cs="Calibri"/>
          <w:i/>
          <w:iCs/>
          <w:sz w:val="18"/>
          <w:szCs w:val="18"/>
          <w:lang w:val="en-ZA" w:eastAsia="en-GB"/>
        </w:rPr>
        <w:t xml:space="preserve">, Brainly, BYJU’S, </w:t>
      </w:r>
      <w:proofErr w:type="spellStart"/>
      <w:r w:rsidRPr="00B5418C">
        <w:rPr>
          <w:rFonts w:cs="Calibri"/>
          <w:i/>
          <w:iCs/>
          <w:sz w:val="18"/>
          <w:szCs w:val="18"/>
          <w:lang w:val="en-ZA" w:eastAsia="en-GB"/>
        </w:rPr>
        <w:t>Codecademy</w:t>
      </w:r>
      <w:proofErr w:type="spellEnd"/>
      <w:r w:rsidRPr="00B5418C">
        <w:rPr>
          <w:rFonts w:cs="Calibri"/>
          <w:i/>
          <w:iCs/>
          <w:sz w:val="18"/>
          <w:szCs w:val="18"/>
          <w:lang w:val="en-ZA" w:eastAsia="en-GB"/>
        </w:rPr>
        <w:t xml:space="preserve">, eMAG, </w:t>
      </w:r>
      <w:proofErr w:type="spellStart"/>
      <w:r w:rsidRPr="00B5418C">
        <w:rPr>
          <w:rFonts w:cs="Calibri"/>
          <w:i/>
          <w:iCs/>
          <w:sz w:val="18"/>
          <w:szCs w:val="18"/>
          <w:lang w:val="en-ZA" w:eastAsia="en-GB"/>
        </w:rPr>
        <w:t>Honor</w:t>
      </w:r>
      <w:proofErr w:type="spellEnd"/>
      <w:r w:rsidRPr="00B5418C">
        <w:rPr>
          <w:rFonts w:cs="Calibri"/>
          <w:i/>
          <w:iCs/>
          <w:sz w:val="18"/>
          <w:szCs w:val="18"/>
          <w:lang w:val="en-ZA" w:eastAsia="en-GB"/>
        </w:rPr>
        <w:t xml:space="preserve">, </w:t>
      </w:r>
      <w:proofErr w:type="spellStart"/>
      <w:r w:rsidRPr="00B5418C">
        <w:rPr>
          <w:rFonts w:cs="Calibri"/>
          <w:i/>
          <w:iCs/>
          <w:sz w:val="18"/>
          <w:szCs w:val="18"/>
          <w:lang w:val="en-ZA" w:eastAsia="en-GB"/>
        </w:rPr>
        <w:t>iFood</w:t>
      </w:r>
      <w:proofErr w:type="spellEnd"/>
      <w:r w:rsidRPr="00B5418C">
        <w:rPr>
          <w:rFonts w:cs="Calibri"/>
          <w:i/>
          <w:iCs/>
          <w:sz w:val="18"/>
          <w:szCs w:val="18"/>
          <w:lang w:val="en-ZA" w:eastAsia="en-GB"/>
        </w:rPr>
        <w:t xml:space="preserve">, </w:t>
      </w:r>
      <w:proofErr w:type="spellStart"/>
      <w:r w:rsidRPr="00B5418C">
        <w:rPr>
          <w:rFonts w:cs="Calibri"/>
          <w:i/>
          <w:iCs/>
          <w:sz w:val="18"/>
          <w:szCs w:val="18"/>
          <w:lang w:val="en-ZA" w:eastAsia="en-GB"/>
        </w:rPr>
        <w:t>LazyPay</w:t>
      </w:r>
      <w:proofErr w:type="spellEnd"/>
      <w:r w:rsidRPr="00B5418C">
        <w:rPr>
          <w:rFonts w:cs="Calibri"/>
          <w:i/>
          <w:iCs/>
          <w:sz w:val="18"/>
          <w:szCs w:val="18"/>
          <w:lang w:val="en-ZA" w:eastAsia="en-GB"/>
        </w:rPr>
        <w:t xml:space="preserve">, </w:t>
      </w:r>
      <w:proofErr w:type="spellStart"/>
      <w:r w:rsidRPr="00B5418C">
        <w:rPr>
          <w:rFonts w:cs="Calibri"/>
          <w:i/>
          <w:iCs/>
          <w:sz w:val="18"/>
          <w:szCs w:val="18"/>
          <w:lang w:val="en-ZA" w:eastAsia="en-GB"/>
        </w:rPr>
        <w:t>letgo</w:t>
      </w:r>
      <w:proofErr w:type="spellEnd"/>
      <w:r w:rsidRPr="00B5418C">
        <w:rPr>
          <w:rFonts w:cs="Calibri"/>
          <w:i/>
          <w:iCs/>
          <w:sz w:val="18"/>
          <w:szCs w:val="18"/>
          <w:lang w:val="en-ZA" w:eastAsia="en-GB"/>
        </w:rPr>
        <w:t xml:space="preserve">, </w:t>
      </w:r>
      <w:proofErr w:type="spellStart"/>
      <w:r w:rsidRPr="00B5418C">
        <w:rPr>
          <w:rFonts w:cs="Calibri"/>
          <w:i/>
          <w:iCs/>
          <w:sz w:val="18"/>
          <w:szCs w:val="18"/>
          <w:lang w:val="en-ZA" w:eastAsia="en-GB"/>
        </w:rPr>
        <w:t>Meesho</w:t>
      </w:r>
      <w:proofErr w:type="spellEnd"/>
      <w:r w:rsidRPr="00B5418C">
        <w:rPr>
          <w:rFonts w:cs="Calibri"/>
          <w:i/>
          <w:iCs/>
          <w:sz w:val="18"/>
          <w:szCs w:val="18"/>
          <w:lang w:val="en-ZA" w:eastAsia="en-GB"/>
        </w:rPr>
        <w:t xml:space="preserve">, </w:t>
      </w:r>
      <w:proofErr w:type="spellStart"/>
      <w:r w:rsidRPr="00B5418C">
        <w:rPr>
          <w:rFonts w:cs="Calibri"/>
          <w:i/>
          <w:iCs/>
          <w:sz w:val="18"/>
          <w:szCs w:val="18"/>
          <w:lang w:val="en-ZA" w:eastAsia="en-GB"/>
        </w:rPr>
        <w:t>Movile</w:t>
      </w:r>
      <w:proofErr w:type="spellEnd"/>
      <w:r w:rsidRPr="00B5418C">
        <w:rPr>
          <w:rFonts w:cs="Calibri"/>
          <w:i/>
          <w:iCs/>
          <w:sz w:val="18"/>
          <w:szCs w:val="18"/>
          <w:lang w:val="en-ZA" w:eastAsia="en-GB"/>
        </w:rPr>
        <w:t>, OLX, PayU, Red Dot Payments, Remitly, SimilarWeb, SoloLearn, Swiggy, and Udemy.</w:t>
      </w:r>
    </w:p>
    <w:p w14:paraId="3E3CD951" w14:textId="3F3D2220" w:rsidR="002751E5" w:rsidRDefault="002751E5" w:rsidP="000037D3">
      <w:pPr>
        <w:jc w:val="both"/>
        <w:rPr>
          <w:rFonts w:cs="Calibri"/>
          <w:sz w:val="22"/>
          <w:szCs w:val="22"/>
          <w:lang w:val="en-GB"/>
        </w:rPr>
      </w:pPr>
    </w:p>
    <w:p w14:paraId="30C5C92C" w14:textId="77777777" w:rsidR="00315E62" w:rsidRPr="000037D3" w:rsidRDefault="00315E62" w:rsidP="000037D3">
      <w:pPr>
        <w:jc w:val="both"/>
        <w:rPr>
          <w:rFonts w:cs="Calibri"/>
          <w:sz w:val="22"/>
          <w:szCs w:val="22"/>
          <w:lang w:val="en-GB"/>
        </w:rPr>
      </w:pPr>
    </w:p>
    <w:p w14:paraId="2E1D01F2" w14:textId="7CFBB223" w:rsidR="00315E62" w:rsidRPr="00B5418C" w:rsidRDefault="00B5418C" w:rsidP="00315E62">
      <w:pPr>
        <w:jc w:val="both"/>
        <w:rPr>
          <w:b/>
          <w:i/>
          <w:iCs/>
          <w:sz w:val="22"/>
          <w:szCs w:val="22"/>
          <w:lang w:val="en-GB"/>
        </w:rPr>
      </w:pPr>
      <w:r w:rsidRPr="00B5418C">
        <w:rPr>
          <w:b/>
          <w:i/>
          <w:iCs/>
          <w:sz w:val="22"/>
          <w:szCs w:val="22"/>
          <w:lang w:val="en-GB"/>
        </w:rPr>
        <w:t>Disclaimer</w:t>
      </w:r>
    </w:p>
    <w:p w14:paraId="34CE1769" w14:textId="44678EEE" w:rsidR="008C7081" w:rsidRDefault="008C7081" w:rsidP="008C7081">
      <w:pPr>
        <w:jc w:val="both"/>
        <w:rPr>
          <w:rFonts w:cs="Calibri"/>
          <w:i/>
          <w:iCs/>
          <w:sz w:val="18"/>
          <w:szCs w:val="18"/>
          <w:lang w:val="en-GB" w:eastAsia="en-GB"/>
        </w:rPr>
      </w:pPr>
      <w:r w:rsidRPr="008C7081">
        <w:rPr>
          <w:rFonts w:cs="Calibri"/>
          <w:b/>
          <w:bCs/>
          <w:i/>
          <w:iCs/>
          <w:sz w:val="18"/>
          <w:szCs w:val="18"/>
          <w:lang w:val="en-GB" w:eastAsia="en-GB"/>
        </w:rPr>
        <w:t xml:space="preserve">Market Abuse Regulation. </w:t>
      </w:r>
      <w:r w:rsidRPr="008C7081">
        <w:rPr>
          <w:rFonts w:cs="Calibri"/>
          <w:i/>
          <w:iCs/>
          <w:sz w:val="18"/>
          <w:szCs w:val="18"/>
          <w:lang w:val="en-GB" w:eastAsia="en-GB"/>
        </w:rPr>
        <w:t>These materials contain inside information within the meaning of Article 7(1) of the EU Market Abuse Regulation No 596/2014.</w:t>
      </w:r>
    </w:p>
    <w:p w14:paraId="53E31DE5" w14:textId="77777777" w:rsidR="00313A5F" w:rsidRPr="008C7081" w:rsidRDefault="00313A5F" w:rsidP="008C7081">
      <w:pPr>
        <w:jc w:val="both"/>
        <w:rPr>
          <w:rFonts w:cs="Calibri"/>
          <w:i/>
          <w:iCs/>
          <w:sz w:val="18"/>
          <w:szCs w:val="18"/>
          <w:lang w:val="en-GB" w:eastAsia="en-GB"/>
        </w:rPr>
      </w:pPr>
    </w:p>
    <w:p w14:paraId="6164F913" w14:textId="4AFEC770" w:rsidR="008C7081" w:rsidRDefault="008C7081" w:rsidP="008C7081">
      <w:pPr>
        <w:jc w:val="both"/>
        <w:rPr>
          <w:rFonts w:cs="Calibri"/>
          <w:i/>
          <w:iCs/>
          <w:sz w:val="18"/>
          <w:szCs w:val="18"/>
          <w:lang w:val="en-GB" w:eastAsia="en-GB"/>
        </w:rPr>
      </w:pPr>
      <w:r w:rsidRPr="008C7081">
        <w:rPr>
          <w:rFonts w:cs="Calibri"/>
          <w:b/>
          <w:bCs/>
          <w:i/>
          <w:iCs/>
          <w:sz w:val="18"/>
          <w:szCs w:val="18"/>
          <w:lang w:val="en-GB" w:eastAsia="en-GB"/>
        </w:rPr>
        <w:t xml:space="preserve">Presentation. </w:t>
      </w:r>
      <w:r w:rsidRPr="008C7081">
        <w:rPr>
          <w:rFonts w:cs="Calibri"/>
          <w:i/>
          <w:iCs/>
          <w:sz w:val="18"/>
          <w:szCs w:val="18"/>
          <w:lang w:val="en-GB" w:eastAsia="en-GB"/>
        </w:rPr>
        <w:t xml:space="preserve">The consolidated and company financial statements of the Company for the year ended 31 March 2020, and the undertakings included in the consolidation taken as a whole, have been prepared in accordance with International Financial Reporting Standards as adopted by the European Union (IFRS) and additional disclosure requirements for financial statements as required by Dutch law. In preparing the financial information included in these materials, most numerical figures are presented in millions of United States dollar. Certain figures in these materials, including financial data, have been rounded. </w:t>
      </w:r>
    </w:p>
    <w:p w14:paraId="2B35E716" w14:textId="77777777" w:rsidR="00313A5F" w:rsidRPr="008C7081" w:rsidRDefault="00313A5F" w:rsidP="008C7081">
      <w:pPr>
        <w:jc w:val="both"/>
        <w:rPr>
          <w:rFonts w:cs="Calibri"/>
          <w:b/>
          <w:bCs/>
          <w:i/>
          <w:iCs/>
          <w:sz w:val="18"/>
          <w:szCs w:val="18"/>
          <w:lang w:val="en-GB" w:eastAsia="en-GB"/>
        </w:rPr>
      </w:pPr>
    </w:p>
    <w:p w14:paraId="11B87AEE" w14:textId="4DEEF0D6" w:rsidR="008C7081" w:rsidRDefault="008C7081" w:rsidP="008C7081">
      <w:pPr>
        <w:jc w:val="both"/>
        <w:rPr>
          <w:rFonts w:cs="Calibri"/>
          <w:i/>
          <w:iCs/>
          <w:sz w:val="18"/>
          <w:szCs w:val="18"/>
          <w:lang w:val="en-GB" w:eastAsia="en-GB"/>
        </w:rPr>
      </w:pPr>
      <w:r w:rsidRPr="008C7081">
        <w:rPr>
          <w:rFonts w:cs="Calibri"/>
          <w:b/>
          <w:bCs/>
          <w:i/>
          <w:iCs/>
          <w:sz w:val="18"/>
          <w:szCs w:val="18"/>
          <w:lang w:val="en-GB" w:eastAsia="en-GB"/>
        </w:rPr>
        <w:lastRenderedPageBreak/>
        <w:t xml:space="preserve">Non-IFRS Measures. </w:t>
      </w:r>
      <w:r w:rsidRPr="008C7081">
        <w:rPr>
          <w:rFonts w:cs="Calibri"/>
          <w:i/>
          <w:iCs/>
          <w:sz w:val="18"/>
          <w:szCs w:val="18"/>
          <w:lang w:val="en-GB" w:eastAsia="en-GB"/>
        </w:rPr>
        <w:t>These materials contain non-IFRS financial measures (Non-IFRS Measures), which are not liquidity or performance measures under IFRS. These Non-IFRS Measures are presented in addition to the figures that are prepared in accordance with IFRS. The Group's use of Non-IFRS Measures may vary significantly from the use of other companies in its industry. The measures used should not be considered as an alternative to profit (loss), revenue or any other performance measure derived in accordance with IFRS or to net cash provided by operating activities as a measure of liquidity. For further information on Non-IFRS Measures, see "Other information – Non-IFRS financial measures and alternative performance indicators" in the Company’s annual report for the year ended 31 March 2020.</w:t>
      </w:r>
    </w:p>
    <w:p w14:paraId="629A2445" w14:textId="77777777" w:rsidR="00313A5F" w:rsidRPr="008C7081" w:rsidRDefault="00313A5F" w:rsidP="008C7081">
      <w:pPr>
        <w:jc w:val="both"/>
        <w:rPr>
          <w:rFonts w:cs="Calibri"/>
          <w:i/>
          <w:iCs/>
          <w:sz w:val="18"/>
          <w:szCs w:val="18"/>
          <w:lang w:val="en-GB" w:eastAsia="en-GB"/>
        </w:rPr>
      </w:pPr>
    </w:p>
    <w:p w14:paraId="6D50A67E" w14:textId="4E6E65CC" w:rsidR="008C7081" w:rsidRDefault="008C7081" w:rsidP="008C7081">
      <w:pPr>
        <w:jc w:val="both"/>
        <w:rPr>
          <w:rFonts w:cs="Calibri"/>
          <w:i/>
          <w:iCs/>
          <w:sz w:val="18"/>
          <w:szCs w:val="18"/>
          <w:lang w:val="en-GB" w:eastAsia="en-GB"/>
        </w:rPr>
      </w:pPr>
      <w:r w:rsidRPr="008C7081">
        <w:rPr>
          <w:rFonts w:cs="Calibri"/>
          <w:b/>
          <w:bCs/>
          <w:i/>
          <w:iCs/>
          <w:sz w:val="18"/>
          <w:szCs w:val="18"/>
          <w:lang w:val="en-GB" w:eastAsia="en-GB"/>
        </w:rPr>
        <w:t>Forward-looking statements</w:t>
      </w:r>
      <w:r w:rsidRPr="008C7081">
        <w:rPr>
          <w:rFonts w:cs="Calibri"/>
          <w:i/>
          <w:iCs/>
          <w:sz w:val="18"/>
          <w:szCs w:val="18"/>
          <w:lang w:val="en-GB" w:eastAsia="en-GB"/>
        </w:rPr>
        <w:t xml:space="preserve"> These materials contain forward-looking statements as defined in the United States Private Securities Litigation Reform Act of 1995 concerning the Company’s financial condition, results of operations and businesses. These forward-looking statements are subject to </w:t>
      </w:r>
      <w:proofErr w:type="gramStart"/>
      <w:r w:rsidRPr="008C7081">
        <w:rPr>
          <w:rFonts w:cs="Calibri"/>
          <w:i/>
          <w:iCs/>
          <w:sz w:val="18"/>
          <w:szCs w:val="18"/>
          <w:lang w:val="en-GB" w:eastAsia="en-GB"/>
        </w:rPr>
        <w:t>a number of</w:t>
      </w:r>
      <w:proofErr w:type="gramEnd"/>
      <w:r w:rsidRPr="008C7081">
        <w:rPr>
          <w:rFonts w:cs="Calibri"/>
          <w:i/>
          <w:iCs/>
          <w:sz w:val="18"/>
          <w:szCs w:val="18"/>
          <w:lang w:val="en-GB" w:eastAsia="en-GB"/>
        </w:rPr>
        <w:t xml:space="preserve"> risks and uncertainties, many of which are beyond the Company’s control and all of which are based on its current beliefs and expectations about future events. Forward-looking statements are typically identified by the use of forward-looking terminology such as “believes”, “expects”, “may”, “will”, “could”, “should”, “intends”, “estimates”, “plans”, “assumes” or “anticipates”, or the negative thereof, or other variations thereon or comparable terminology, or by discussions of strategy that involve risks and uncertainties. These forward-looking statements and other statements contained in these materials regarding matters that are not historical facts involve predictions. No assurance can be given that such future results will be achieved. Actual events or results may differ materially </w:t>
      </w:r>
      <w:proofErr w:type="gramStart"/>
      <w:r w:rsidRPr="008C7081">
        <w:rPr>
          <w:rFonts w:cs="Calibri"/>
          <w:i/>
          <w:iCs/>
          <w:sz w:val="18"/>
          <w:szCs w:val="18"/>
          <w:lang w:val="en-GB" w:eastAsia="en-GB"/>
        </w:rPr>
        <w:t>as a result of</w:t>
      </w:r>
      <w:proofErr w:type="gramEnd"/>
      <w:r w:rsidRPr="008C7081">
        <w:rPr>
          <w:rFonts w:cs="Calibri"/>
          <w:i/>
          <w:iCs/>
          <w:sz w:val="18"/>
          <w:szCs w:val="18"/>
          <w:lang w:val="en-GB" w:eastAsia="en-GB"/>
        </w:rPr>
        <w:t xml:space="preserve"> risks and uncertainties facing us and our subsidiaries. Such risks and uncertainties could cause actual results to vary materially from the future results indicated, </w:t>
      </w:r>
      <w:proofErr w:type="gramStart"/>
      <w:r w:rsidRPr="008C7081">
        <w:rPr>
          <w:rFonts w:cs="Calibri"/>
          <w:i/>
          <w:iCs/>
          <w:sz w:val="18"/>
          <w:szCs w:val="18"/>
          <w:lang w:val="en-GB" w:eastAsia="en-GB"/>
        </w:rPr>
        <w:t>expressed</w:t>
      </w:r>
      <w:proofErr w:type="gramEnd"/>
      <w:r w:rsidRPr="008C7081">
        <w:rPr>
          <w:rFonts w:cs="Calibri"/>
          <w:i/>
          <w:iCs/>
          <w:sz w:val="18"/>
          <w:szCs w:val="18"/>
          <w:lang w:val="en-GB" w:eastAsia="en-GB"/>
        </w:rPr>
        <w:t xml:space="preserve"> or implied in such forward-looking statements. There are a number of factors that could affect the Company’s future operations and could cause those results to differ materially from those expressed in the forward-looking statements including (without limitation): (a) changes to IFRS and associated interpretations, applications and practices as they apply to past, present and future periods; (b) ongoing and future acquisitions, changes to domestic and international business and market conditions such as exchange rate and interest rate movements; (c) changes in domestic and international regulatory and legislative environments; (d) changes to domestic and international operational, social, economic and political conditions; (e) labour disruptions and industrial action; and (f) the effects of both current and future litigation. The forward-looking statements contained in these materials speak only as of the date of these materials. The Company is not under any obligation to (and expressly disclaims any such obligation to) revise or update any forward-looking statements to reflect events or circumstances after the date of these materials or to reflect the occurrence of unanticipated events. The Company cannot give any assurance that forward-looking statements will prove correct and investors are cautioned not to place undue reliance on any forward-looking statements. Further details of potential risks and uncertainties affecting the Company are described in its filings with the Netherlands Authority for the Financial Markets (</w:t>
      </w:r>
      <w:proofErr w:type="spellStart"/>
      <w:r w:rsidRPr="008C7081">
        <w:rPr>
          <w:rFonts w:cs="Calibri"/>
          <w:i/>
          <w:iCs/>
          <w:sz w:val="18"/>
          <w:szCs w:val="18"/>
          <w:lang w:val="en-GB" w:eastAsia="en-GB"/>
        </w:rPr>
        <w:t>Stichting</w:t>
      </w:r>
      <w:proofErr w:type="spellEnd"/>
      <w:r w:rsidRPr="008C7081">
        <w:rPr>
          <w:rFonts w:cs="Calibri"/>
          <w:i/>
          <w:iCs/>
          <w:sz w:val="18"/>
          <w:szCs w:val="18"/>
          <w:lang w:val="en-GB" w:eastAsia="en-GB"/>
        </w:rPr>
        <w:t xml:space="preserve"> </w:t>
      </w:r>
      <w:proofErr w:type="spellStart"/>
      <w:r w:rsidRPr="008C7081">
        <w:rPr>
          <w:rFonts w:cs="Calibri"/>
          <w:i/>
          <w:iCs/>
          <w:sz w:val="18"/>
          <w:szCs w:val="18"/>
          <w:lang w:val="en-GB" w:eastAsia="en-GB"/>
        </w:rPr>
        <w:t>Autoriteit</w:t>
      </w:r>
      <w:proofErr w:type="spellEnd"/>
      <w:r w:rsidRPr="008C7081">
        <w:rPr>
          <w:rFonts w:cs="Calibri"/>
          <w:i/>
          <w:iCs/>
          <w:sz w:val="18"/>
          <w:szCs w:val="18"/>
          <w:lang w:val="en-GB" w:eastAsia="en-GB"/>
        </w:rPr>
        <w:t xml:space="preserve"> </w:t>
      </w:r>
      <w:proofErr w:type="spellStart"/>
      <w:r w:rsidRPr="008C7081">
        <w:rPr>
          <w:rFonts w:cs="Calibri"/>
          <w:i/>
          <w:iCs/>
          <w:sz w:val="18"/>
          <w:szCs w:val="18"/>
          <w:lang w:val="en-GB" w:eastAsia="en-GB"/>
        </w:rPr>
        <w:t>Financiële</w:t>
      </w:r>
      <w:proofErr w:type="spellEnd"/>
      <w:r w:rsidRPr="008C7081">
        <w:rPr>
          <w:rFonts w:cs="Calibri"/>
          <w:i/>
          <w:iCs/>
          <w:sz w:val="18"/>
          <w:szCs w:val="18"/>
          <w:lang w:val="en-GB" w:eastAsia="en-GB"/>
        </w:rPr>
        <w:t xml:space="preserve"> </w:t>
      </w:r>
      <w:proofErr w:type="spellStart"/>
      <w:r w:rsidRPr="008C7081">
        <w:rPr>
          <w:rFonts w:cs="Calibri"/>
          <w:i/>
          <w:iCs/>
          <w:sz w:val="18"/>
          <w:szCs w:val="18"/>
          <w:lang w:val="en-GB" w:eastAsia="en-GB"/>
        </w:rPr>
        <w:t>Markten</w:t>
      </w:r>
      <w:proofErr w:type="spellEnd"/>
      <w:r w:rsidRPr="008C7081">
        <w:rPr>
          <w:rFonts w:cs="Calibri"/>
          <w:i/>
          <w:iCs/>
          <w:sz w:val="18"/>
          <w:szCs w:val="18"/>
          <w:lang w:val="en-GB" w:eastAsia="en-GB"/>
        </w:rPr>
        <w:t>) and JSE Limited.</w:t>
      </w:r>
    </w:p>
    <w:p w14:paraId="7C44312D" w14:textId="77777777" w:rsidR="00313A5F" w:rsidRPr="008C7081" w:rsidRDefault="00313A5F" w:rsidP="008C7081">
      <w:pPr>
        <w:jc w:val="both"/>
        <w:rPr>
          <w:rFonts w:cs="Calibri"/>
          <w:i/>
          <w:iCs/>
          <w:sz w:val="18"/>
          <w:szCs w:val="18"/>
          <w:lang w:val="en-GB" w:eastAsia="en-GB"/>
        </w:rPr>
      </w:pPr>
    </w:p>
    <w:p w14:paraId="57898555" w14:textId="2D5E9907" w:rsidR="002751E5" w:rsidRPr="00315E62" w:rsidRDefault="008C7081" w:rsidP="000037D3">
      <w:pPr>
        <w:jc w:val="both"/>
        <w:rPr>
          <w:rFonts w:cs="Calibri"/>
        </w:rPr>
      </w:pPr>
      <w:r w:rsidRPr="008C7081">
        <w:rPr>
          <w:rFonts w:cs="Calibri"/>
          <w:b/>
          <w:bCs/>
          <w:i/>
          <w:iCs/>
          <w:sz w:val="18"/>
          <w:szCs w:val="18"/>
          <w:lang w:val="en-GB" w:eastAsia="en-GB"/>
        </w:rPr>
        <w:t>No Offer.</w:t>
      </w:r>
      <w:r w:rsidRPr="008C7081">
        <w:rPr>
          <w:rFonts w:cs="Calibri"/>
          <w:i/>
          <w:iCs/>
          <w:sz w:val="18"/>
          <w:szCs w:val="18"/>
          <w:lang w:val="en-GB" w:eastAsia="en-GB"/>
        </w:rPr>
        <w:t xml:space="preserve"> These materials do not constitute an offer to sell or issue, or a solicitation of an offer to purchase or subscribe for, any securities in any jurisdiction.</w:t>
      </w:r>
    </w:p>
    <w:sectPr w:rsidR="002751E5" w:rsidRPr="00315E62" w:rsidSect="00BE5FF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A109C" w14:textId="77777777" w:rsidR="001209FA" w:rsidRDefault="001209FA" w:rsidP="00112278">
      <w:pPr>
        <w:spacing w:line="240" w:lineRule="auto"/>
      </w:pPr>
      <w:r>
        <w:separator/>
      </w:r>
    </w:p>
  </w:endnote>
  <w:endnote w:type="continuationSeparator" w:id="0">
    <w:p w14:paraId="5A5246FA" w14:textId="77777777" w:rsidR="001209FA" w:rsidRDefault="001209FA" w:rsidP="00112278">
      <w:pPr>
        <w:spacing w:line="240" w:lineRule="auto"/>
      </w:pPr>
      <w:r>
        <w:continuationSeparator/>
      </w:r>
    </w:p>
  </w:endnote>
  <w:endnote w:type="continuationNotice" w:id="1">
    <w:p w14:paraId="5AA1DC61" w14:textId="77777777" w:rsidR="001209FA" w:rsidRDefault="001209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5604252"/>
      <w:docPartObj>
        <w:docPartGallery w:val="Page Numbers (Bottom of Page)"/>
        <w:docPartUnique/>
      </w:docPartObj>
    </w:sdtPr>
    <w:sdtEndPr>
      <w:rPr>
        <w:rStyle w:val="PageNumber"/>
      </w:rPr>
    </w:sdtEndPr>
    <w:sdtContent>
      <w:p w14:paraId="2062E966" w14:textId="6B18F9C2" w:rsidR="007F59B7" w:rsidRDefault="007F59B7" w:rsidP="00B541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356BA" w14:textId="77777777" w:rsidR="007F59B7" w:rsidRDefault="007F5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3874648"/>
      <w:docPartObj>
        <w:docPartGallery w:val="Page Numbers (Bottom of Page)"/>
        <w:docPartUnique/>
      </w:docPartObj>
    </w:sdtPr>
    <w:sdtEndPr>
      <w:rPr>
        <w:rStyle w:val="PageNumber"/>
      </w:rPr>
    </w:sdtEndPr>
    <w:sdtContent>
      <w:p w14:paraId="40C0DFAD" w14:textId="1D58B530" w:rsidR="007F59B7" w:rsidRDefault="007F59B7" w:rsidP="00B541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7A2D8E81" w14:textId="77777777" w:rsidR="007F59B7" w:rsidRDefault="007F5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B3CD3" w14:textId="77777777" w:rsidR="001209FA" w:rsidRDefault="001209FA" w:rsidP="00112278">
      <w:pPr>
        <w:spacing w:line="240" w:lineRule="auto"/>
      </w:pPr>
      <w:r>
        <w:separator/>
      </w:r>
    </w:p>
  </w:footnote>
  <w:footnote w:type="continuationSeparator" w:id="0">
    <w:p w14:paraId="33382636" w14:textId="77777777" w:rsidR="001209FA" w:rsidRDefault="001209FA" w:rsidP="00112278">
      <w:pPr>
        <w:spacing w:line="240" w:lineRule="auto"/>
      </w:pPr>
      <w:r>
        <w:continuationSeparator/>
      </w:r>
    </w:p>
  </w:footnote>
  <w:footnote w:type="continuationNotice" w:id="1">
    <w:p w14:paraId="0F14862D" w14:textId="77777777" w:rsidR="001209FA" w:rsidRDefault="001209FA">
      <w:pPr>
        <w:spacing w:line="240" w:lineRule="auto"/>
      </w:pPr>
    </w:p>
  </w:footnote>
  <w:footnote w:id="2">
    <w:p w14:paraId="7A65F079" w14:textId="6043667C" w:rsidR="007F59B7" w:rsidRPr="004B4DFC" w:rsidRDefault="007F59B7">
      <w:pPr>
        <w:pStyle w:val="FootnoteText"/>
        <w:rPr>
          <w:sz w:val="16"/>
          <w:szCs w:val="16"/>
          <w:lang w:val="en-GB"/>
        </w:rPr>
      </w:pPr>
      <w:r>
        <w:rPr>
          <w:rStyle w:val="FootnoteReference"/>
        </w:rPr>
        <w:footnoteRef/>
      </w:r>
      <w:r>
        <w:t xml:space="preserve"> </w:t>
      </w:r>
      <w:r w:rsidRPr="004B4DFC">
        <w:rPr>
          <w:sz w:val="16"/>
          <w:szCs w:val="16"/>
        </w:rPr>
        <w:t>In accordance with the Virtual Annual General Meeting of Shareholders Policy, the company confirms that it encountered a technical difficulty with some shareholders being unable to login at the virtual annual general meeting as a result of which they could not ask follow-on questions or vote.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36A81"/>
    <w:multiLevelType w:val="multilevel"/>
    <w:tmpl w:val="2CD4276C"/>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1" w15:restartNumberingAfterBreak="0">
    <w:nsid w:val="3B7E14E9"/>
    <w:multiLevelType w:val="hybridMultilevel"/>
    <w:tmpl w:val="618A5F72"/>
    <w:lvl w:ilvl="0" w:tplc="853E0F9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E095B"/>
    <w:multiLevelType w:val="hybridMultilevel"/>
    <w:tmpl w:val="808A8C24"/>
    <w:lvl w:ilvl="0" w:tplc="A80A1464">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073E4"/>
    <w:multiLevelType w:val="hybridMultilevel"/>
    <w:tmpl w:val="7C9614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5CE875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6A6756"/>
    <w:multiLevelType w:val="hybridMultilevel"/>
    <w:tmpl w:val="4EB611A8"/>
    <w:lvl w:ilvl="0" w:tplc="B178D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922F9"/>
    <w:multiLevelType w:val="hybridMultilevel"/>
    <w:tmpl w:val="C57C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78"/>
    <w:rsid w:val="000037D3"/>
    <w:rsid w:val="00027A6E"/>
    <w:rsid w:val="0003391B"/>
    <w:rsid w:val="00034F3B"/>
    <w:rsid w:val="000A2148"/>
    <w:rsid w:val="000C0418"/>
    <w:rsid w:val="000D3A5C"/>
    <w:rsid w:val="000F59BC"/>
    <w:rsid w:val="00112278"/>
    <w:rsid w:val="001209FA"/>
    <w:rsid w:val="00141834"/>
    <w:rsid w:val="001418BE"/>
    <w:rsid w:val="00143C32"/>
    <w:rsid w:val="00155973"/>
    <w:rsid w:val="001922CE"/>
    <w:rsid w:val="001C395F"/>
    <w:rsid w:val="001D02F7"/>
    <w:rsid w:val="001D1780"/>
    <w:rsid w:val="001E5956"/>
    <w:rsid w:val="00205723"/>
    <w:rsid w:val="0021286D"/>
    <w:rsid w:val="0021726D"/>
    <w:rsid w:val="00217E6D"/>
    <w:rsid w:val="0022187B"/>
    <w:rsid w:val="00234B91"/>
    <w:rsid w:val="00237273"/>
    <w:rsid w:val="00244D61"/>
    <w:rsid w:val="00256253"/>
    <w:rsid w:val="00256D98"/>
    <w:rsid w:val="00264CB2"/>
    <w:rsid w:val="002751E5"/>
    <w:rsid w:val="0028198A"/>
    <w:rsid w:val="002D75D7"/>
    <w:rsid w:val="003045D9"/>
    <w:rsid w:val="00304CBF"/>
    <w:rsid w:val="00313A5F"/>
    <w:rsid w:val="00315E62"/>
    <w:rsid w:val="00316B00"/>
    <w:rsid w:val="00326DE5"/>
    <w:rsid w:val="00337BF0"/>
    <w:rsid w:val="00352765"/>
    <w:rsid w:val="003C1EB6"/>
    <w:rsid w:val="003E63DF"/>
    <w:rsid w:val="003F6C3A"/>
    <w:rsid w:val="004304D6"/>
    <w:rsid w:val="0048741C"/>
    <w:rsid w:val="00491455"/>
    <w:rsid w:val="004B4DFC"/>
    <w:rsid w:val="004B7A4C"/>
    <w:rsid w:val="004C38CF"/>
    <w:rsid w:val="004D6AC9"/>
    <w:rsid w:val="00511398"/>
    <w:rsid w:val="0053460D"/>
    <w:rsid w:val="005578E4"/>
    <w:rsid w:val="005607E7"/>
    <w:rsid w:val="00573807"/>
    <w:rsid w:val="00573DC5"/>
    <w:rsid w:val="00615A98"/>
    <w:rsid w:val="00626B27"/>
    <w:rsid w:val="00640B9A"/>
    <w:rsid w:val="00642906"/>
    <w:rsid w:val="00645F24"/>
    <w:rsid w:val="00666F8D"/>
    <w:rsid w:val="0068619F"/>
    <w:rsid w:val="006C1FD3"/>
    <w:rsid w:val="006C3AAD"/>
    <w:rsid w:val="006F39BF"/>
    <w:rsid w:val="006F5B0B"/>
    <w:rsid w:val="00701A7D"/>
    <w:rsid w:val="007A6D1A"/>
    <w:rsid w:val="007B3F95"/>
    <w:rsid w:val="007B4021"/>
    <w:rsid w:val="007F2190"/>
    <w:rsid w:val="007F3524"/>
    <w:rsid w:val="007F59B7"/>
    <w:rsid w:val="00804127"/>
    <w:rsid w:val="00810752"/>
    <w:rsid w:val="00872C87"/>
    <w:rsid w:val="008A6C0D"/>
    <w:rsid w:val="008C7081"/>
    <w:rsid w:val="008F5158"/>
    <w:rsid w:val="00943BEB"/>
    <w:rsid w:val="00944651"/>
    <w:rsid w:val="00954448"/>
    <w:rsid w:val="009779BF"/>
    <w:rsid w:val="009830A5"/>
    <w:rsid w:val="009A6BFA"/>
    <w:rsid w:val="009C30E7"/>
    <w:rsid w:val="009C733E"/>
    <w:rsid w:val="009C7F89"/>
    <w:rsid w:val="009D691B"/>
    <w:rsid w:val="00A171F1"/>
    <w:rsid w:val="00A45253"/>
    <w:rsid w:val="00A64425"/>
    <w:rsid w:val="00A730D5"/>
    <w:rsid w:val="00A77A2D"/>
    <w:rsid w:val="00A90363"/>
    <w:rsid w:val="00A90EF0"/>
    <w:rsid w:val="00A9153C"/>
    <w:rsid w:val="00AA6E1D"/>
    <w:rsid w:val="00AC598F"/>
    <w:rsid w:val="00AF6133"/>
    <w:rsid w:val="00B36C37"/>
    <w:rsid w:val="00B5418C"/>
    <w:rsid w:val="00B70EC0"/>
    <w:rsid w:val="00B77193"/>
    <w:rsid w:val="00B83F1C"/>
    <w:rsid w:val="00B913E3"/>
    <w:rsid w:val="00B930AD"/>
    <w:rsid w:val="00BB0061"/>
    <w:rsid w:val="00BC037B"/>
    <w:rsid w:val="00BE5FF8"/>
    <w:rsid w:val="00C225FC"/>
    <w:rsid w:val="00C3011E"/>
    <w:rsid w:val="00C46B6F"/>
    <w:rsid w:val="00C6319C"/>
    <w:rsid w:val="00C836E9"/>
    <w:rsid w:val="00C87234"/>
    <w:rsid w:val="00C91187"/>
    <w:rsid w:val="00C96E05"/>
    <w:rsid w:val="00CF21F1"/>
    <w:rsid w:val="00CF79EC"/>
    <w:rsid w:val="00D215A5"/>
    <w:rsid w:val="00D23038"/>
    <w:rsid w:val="00D37211"/>
    <w:rsid w:val="00D57904"/>
    <w:rsid w:val="00D727AA"/>
    <w:rsid w:val="00D91B8C"/>
    <w:rsid w:val="00DA2ADF"/>
    <w:rsid w:val="00DD46B2"/>
    <w:rsid w:val="00DF77D9"/>
    <w:rsid w:val="00E03DE2"/>
    <w:rsid w:val="00E15076"/>
    <w:rsid w:val="00E2363C"/>
    <w:rsid w:val="00E40431"/>
    <w:rsid w:val="00E91B75"/>
    <w:rsid w:val="00EB11D8"/>
    <w:rsid w:val="00EB2429"/>
    <w:rsid w:val="00ED7304"/>
    <w:rsid w:val="00EE2D9C"/>
    <w:rsid w:val="00F400D2"/>
    <w:rsid w:val="00F66BC6"/>
    <w:rsid w:val="00FA02E0"/>
    <w:rsid w:val="00FA6731"/>
    <w:rsid w:val="00FC0AD9"/>
    <w:rsid w:val="00FC10B3"/>
    <w:rsid w:val="00FD0F2E"/>
    <w:rsid w:val="00FE288E"/>
    <w:rsid w:val="00FF2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55AE"/>
  <w15:chartTrackingRefBased/>
  <w15:docId w15:val="{8CD0A7A5-4240-684D-86F9-3D8F0F22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278"/>
    <w:pPr>
      <w:spacing w:line="360"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uiPriority w:val="1"/>
    <w:qFormat/>
    <w:rsid w:val="00112278"/>
    <w:pPr>
      <w:numPr>
        <w:numId w:val="2"/>
      </w:numPr>
      <w:tabs>
        <w:tab w:val="num" w:pos="720"/>
      </w:tabs>
      <w:spacing w:after="60"/>
    </w:pPr>
    <w:rPr>
      <w:rFonts w:eastAsia="Calibri"/>
      <w:sz w:val="20"/>
      <w:szCs w:val="22"/>
      <w:lang w:val="en-GB"/>
    </w:rPr>
  </w:style>
  <w:style w:type="paragraph" w:styleId="Footer">
    <w:name w:val="footer"/>
    <w:basedOn w:val="Normal"/>
    <w:link w:val="FooterChar"/>
    <w:uiPriority w:val="99"/>
    <w:unhideWhenUsed/>
    <w:rsid w:val="00112278"/>
    <w:pPr>
      <w:tabs>
        <w:tab w:val="center" w:pos="4680"/>
        <w:tab w:val="right" w:pos="9360"/>
      </w:tabs>
      <w:spacing w:line="240" w:lineRule="auto"/>
    </w:pPr>
  </w:style>
  <w:style w:type="character" w:customStyle="1" w:styleId="FooterChar">
    <w:name w:val="Footer Char"/>
    <w:basedOn w:val="DefaultParagraphFont"/>
    <w:link w:val="Footer"/>
    <w:uiPriority w:val="99"/>
    <w:rsid w:val="00112278"/>
    <w:rPr>
      <w:rFonts w:ascii="Calibri" w:eastAsia="Times New Roman" w:hAnsi="Calibri" w:cs="Times New Roman"/>
      <w:lang w:val="en-US"/>
    </w:rPr>
  </w:style>
  <w:style w:type="character" w:styleId="PageNumber">
    <w:name w:val="page number"/>
    <w:basedOn w:val="DefaultParagraphFont"/>
    <w:uiPriority w:val="99"/>
    <w:semiHidden/>
    <w:unhideWhenUsed/>
    <w:rsid w:val="00112278"/>
  </w:style>
  <w:style w:type="paragraph" w:customStyle="1" w:styleId="Title16">
    <w:name w:val="Title16"/>
    <w:basedOn w:val="Normal"/>
    <w:rsid w:val="00155973"/>
    <w:pPr>
      <w:keepNext/>
      <w:keepLines/>
      <w:suppressAutoHyphens/>
      <w:spacing w:after="120" w:line="290" w:lineRule="auto"/>
      <w:jc w:val="center"/>
      <w:outlineLvl w:val="0"/>
    </w:pPr>
    <w:rPr>
      <w:rFonts w:ascii="Times New Roman" w:hAnsi="Times New Roman"/>
      <w:b/>
      <w:kern w:val="20"/>
      <w:sz w:val="32"/>
      <w:lang w:val="en-GB" w:eastAsia="en-GB"/>
    </w:rPr>
  </w:style>
  <w:style w:type="paragraph" w:styleId="NoSpacing">
    <w:name w:val="No Spacing"/>
    <w:qFormat/>
    <w:rsid w:val="00315E62"/>
    <w:pPr>
      <w:suppressAutoHyphens/>
    </w:pPr>
    <w:rPr>
      <w:rFonts w:ascii="Arial" w:eastAsia="Times New Roman" w:hAnsi="Arial" w:cs="Times New Roman"/>
      <w:sz w:val="22"/>
      <w:lang w:eastAsia="en-GB"/>
    </w:rPr>
  </w:style>
  <w:style w:type="paragraph" w:customStyle="1" w:styleId="DocText">
    <w:name w:val="DocText"/>
    <w:basedOn w:val="Normal"/>
    <w:qFormat/>
    <w:rsid w:val="00315E62"/>
    <w:pPr>
      <w:numPr>
        <w:numId w:val="3"/>
      </w:numPr>
      <w:spacing w:before="240" w:line="260" w:lineRule="atLeast"/>
      <w:jc w:val="both"/>
    </w:pPr>
    <w:rPr>
      <w:rFonts w:ascii="Arial" w:eastAsiaTheme="minorHAnsi" w:hAnsi="Arial"/>
      <w:sz w:val="20"/>
      <w:szCs w:val="22"/>
      <w:lang w:val="en-GB"/>
    </w:rPr>
  </w:style>
  <w:style w:type="paragraph" w:customStyle="1" w:styleId="DocTextL1">
    <w:name w:val="DocTextL1"/>
    <w:basedOn w:val="DocText"/>
    <w:qFormat/>
    <w:rsid w:val="00315E62"/>
    <w:pPr>
      <w:numPr>
        <w:ilvl w:val="1"/>
      </w:numPr>
    </w:pPr>
  </w:style>
  <w:style w:type="paragraph" w:customStyle="1" w:styleId="DocTextL2">
    <w:name w:val="DocTextL2"/>
    <w:basedOn w:val="DocText"/>
    <w:qFormat/>
    <w:rsid w:val="00315E62"/>
    <w:pPr>
      <w:numPr>
        <w:ilvl w:val="2"/>
      </w:numPr>
    </w:pPr>
  </w:style>
  <w:style w:type="paragraph" w:customStyle="1" w:styleId="DocTextL3">
    <w:name w:val="DocTextL3"/>
    <w:basedOn w:val="DocText"/>
    <w:qFormat/>
    <w:rsid w:val="00315E62"/>
    <w:pPr>
      <w:numPr>
        <w:ilvl w:val="3"/>
      </w:numPr>
    </w:pPr>
  </w:style>
  <w:style w:type="paragraph" w:customStyle="1" w:styleId="DocTextL4">
    <w:name w:val="DocTextL4"/>
    <w:basedOn w:val="DocText"/>
    <w:rsid w:val="00315E62"/>
    <w:pPr>
      <w:numPr>
        <w:ilvl w:val="4"/>
      </w:numPr>
    </w:pPr>
  </w:style>
  <w:style w:type="paragraph" w:customStyle="1" w:styleId="DocTextL5">
    <w:name w:val="DocTextL5"/>
    <w:basedOn w:val="DocText"/>
    <w:rsid w:val="00315E62"/>
    <w:pPr>
      <w:numPr>
        <w:ilvl w:val="5"/>
      </w:numPr>
    </w:pPr>
  </w:style>
  <w:style w:type="paragraph" w:customStyle="1" w:styleId="DocTextL6">
    <w:name w:val="DocTextL6"/>
    <w:basedOn w:val="DocText"/>
    <w:qFormat/>
    <w:rsid w:val="00315E62"/>
    <w:pPr>
      <w:numPr>
        <w:ilvl w:val="6"/>
      </w:numPr>
    </w:pPr>
  </w:style>
  <w:style w:type="paragraph" w:customStyle="1" w:styleId="DocTextL7">
    <w:name w:val="DocTextL7"/>
    <w:basedOn w:val="DocText"/>
    <w:qFormat/>
    <w:rsid w:val="00315E62"/>
    <w:pPr>
      <w:numPr>
        <w:ilvl w:val="7"/>
      </w:numPr>
    </w:pPr>
  </w:style>
  <w:style w:type="paragraph" w:customStyle="1" w:styleId="DocTextL8">
    <w:name w:val="DocTextL8"/>
    <w:basedOn w:val="DocText"/>
    <w:qFormat/>
    <w:rsid w:val="00315E62"/>
    <w:pPr>
      <w:numPr>
        <w:ilvl w:val="8"/>
      </w:numPr>
    </w:pPr>
  </w:style>
  <w:style w:type="table" w:styleId="TableGrid">
    <w:name w:val="Table Grid"/>
    <w:basedOn w:val="TableNormal"/>
    <w:uiPriority w:val="59"/>
    <w:qFormat/>
    <w:rsid w:val="00315E62"/>
    <w:rPr>
      <w:rFonts w:ascii="Times New Roman" w:hAnsi="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qFormat/>
    <w:rsid w:val="005607E7"/>
    <w:rPr>
      <w:rFonts w:eastAsiaTheme="minorEastAsia"/>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5418C"/>
    <w:pPr>
      <w:autoSpaceDE w:val="0"/>
      <w:autoSpaceDN w:val="0"/>
      <w:adjustRightInd w:val="0"/>
    </w:pPr>
    <w:rPr>
      <w:rFonts w:ascii="Calibri" w:hAnsi="Calibri" w:cs="Calibri"/>
      <w:color w:val="000000"/>
      <w:lang w:val="en-ZA"/>
    </w:rPr>
  </w:style>
  <w:style w:type="paragraph" w:styleId="BalloonText">
    <w:name w:val="Balloon Text"/>
    <w:basedOn w:val="Normal"/>
    <w:link w:val="BalloonTextChar"/>
    <w:uiPriority w:val="99"/>
    <w:semiHidden/>
    <w:unhideWhenUsed/>
    <w:rsid w:val="008C7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08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8C7081"/>
    <w:rPr>
      <w:sz w:val="16"/>
      <w:szCs w:val="16"/>
    </w:rPr>
  </w:style>
  <w:style w:type="paragraph" w:styleId="CommentText">
    <w:name w:val="annotation text"/>
    <w:basedOn w:val="Normal"/>
    <w:link w:val="CommentTextChar"/>
    <w:uiPriority w:val="99"/>
    <w:semiHidden/>
    <w:unhideWhenUsed/>
    <w:rsid w:val="008C7081"/>
    <w:pPr>
      <w:spacing w:line="240" w:lineRule="auto"/>
    </w:pPr>
    <w:rPr>
      <w:sz w:val="20"/>
      <w:szCs w:val="20"/>
    </w:rPr>
  </w:style>
  <w:style w:type="character" w:customStyle="1" w:styleId="CommentTextChar">
    <w:name w:val="Comment Text Char"/>
    <w:basedOn w:val="DefaultParagraphFont"/>
    <w:link w:val="CommentText"/>
    <w:uiPriority w:val="99"/>
    <w:semiHidden/>
    <w:rsid w:val="008C7081"/>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C30E7"/>
    <w:rPr>
      <w:b/>
      <w:bCs/>
    </w:rPr>
  </w:style>
  <w:style w:type="character" w:customStyle="1" w:styleId="CommentSubjectChar">
    <w:name w:val="Comment Subject Char"/>
    <w:basedOn w:val="CommentTextChar"/>
    <w:link w:val="CommentSubject"/>
    <w:uiPriority w:val="99"/>
    <w:semiHidden/>
    <w:rsid w:val="009C30E7"/>
    <w:rPr>
      <w:rFonts w:ascii="Calibri" w:eastAsia="Times New Roman" w:hAnsi="Calibri" w:cs="Times New Roman"/>
      <w:b/>
      <w:bCs/>
      <w:sz w:val="20"/>
      <w:szCs w:val="20"/>
      <w:lang w:val="en-US"/>
    </w:rPr>
  </w:style>
  <w:style w:type="paragraph" w:styleId="ListParagraph">
    <w:name w:val="List Paragraph"/>
    <w:basedOn w:val="Normal"/>
    <w:uiPriority w:val="34"/>
    <w:qFormat/>
    <w:rsid w:val="00143C32"/>
    <w:pPr>
      <w:ind w:left="720"/>
      <w:contextualSpacing/>
    </w:pPr>
  </w:style>
  <w:style w:type="character" w:styleId="Hyperlink">
    <w:name w:val="Hyperlink"/>
    <w:basedOn w:val="DefaultParagraphFont"/>
    <w:uiPriority w:val="99"/>
    <w:unhideWhenUsed/>
    <w:rsid w:val="00A90EF0"/>
    <w:rPr>
      <w:color w:val="0563C1" w:themeColor="hyperlink"/>
      <w:u w:val="single"/>
    </w:rPr>
  </w:style>
  <w:style w:type="character" w:customStyle="1" w:styleId="UnresolvedMention1">
    <w:name w:val="Unresolved Mention1"/>
    <w:basedOn w:val="DefaultParagraphFont"/>
    <w:uiPriority w:val="99"/>
    <w:semiHidden/>
    <w:unhideWhenUsed/>
    <w:rsid w:val="00A90EF0"/>
    <w:rPr>
      <w:color w:val="605E5C"/>
      <w:shd w:val="clear" w:color="auto" w:fill="E1DFDD"/>
    </w:rPr>
  </w:style>
  <w:style w:type="character" w:styleId="FollowedHyperlink">
    <w:name w:val="FollowedHyperlink"/>
    <w:basedOn w:val="DefaultParagraphFont"/>
    <w:uiPriority w:val="99"/>
    <w:semiHidden/>
    <w:unhideWhenUsed/>
    <w:rsid w:val="00A90EF0"/>
    <w:rPr>
      <w:color w:val="954F72" w:themeColor="followedHyperlink"/>
      <w:u w:val="single"/>
    </w:rPr>
  </w:style>
  <w:style w:type="paragraph" w:styleId="FootnoteText">
    <w:name w:val="footnote text"/>
    <w:basedOn w:val="Normal"/>
    <w:link w:val="FootnoteTextChar"/>
    <w:uiPriority w:val="99"/>
    <w:semiHidden/>
    <w:unhideWhenUsed/>
    <w:rsid w:val="00AC598F"/>
    <w:pPr>
      <w:spacing w:line="240" w:lineRule="auto"/>
    </w:pPr>
    <w:rPr>
      <w:sz w:val="20"/>
      <w:szCs w:val="20"/>
    </w:rPr>
  </w:style>
  <w:style w:type="character" w:customStyle="1" w:styleId="FootnoteTextChar">
    <w:name w:val="Footnote Text Char"/>
    <w:basedOn w:val="DefaultParagraphFont"/>
    <w:link w:val="FootnoteText"/>
    <w:uiPriority w:val="99"/>
    <w:semiHidden/>
    <w:rsid w:val="00AC598F"/>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AC598F"/>
    <w:rPr>
      <w:vertAlign w:val="superscript"/>
    </w:rPr>
  </w:style>
  <w:style w:type="paragraph" w:styleId="Header">
    <w:name w:val="header"/>
    <w:basedOn w:val="Normal"/>
    <w:link w:val="HeaderChar"/>
    <w:uiPriority w:val="99"/>
    <w:semiHidden/>
    <w:unhideWhenUsed/>
    <w:rsid w:val="005578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45F24"/>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91117">
      <w:bodyDiv w:val="1"/>
      <w:marLeft w:val="0"/>
      <w:marRight w:val="0"/>
      <w:marTop w:val="0"/>
      <w:marBottom w:val="0"/>
      <w:divBdr>
        <w:top w:val="none" w:sz="0" w:space="0" w:color="auto"/>
        <w:left w:val="none" w:sz="0" w:space="0" w:color="auto"/>
        <w:bottom w:val="none" w:sz="0" w:space="0" w:color="auto"/>
        <w:right w:val="none" w:sz="0" w:space="0" w:color="auto"/>
      </w:divBdr>
    </w:div>
    <w:div w:id="788939715">
      <w:bodyDiv w:val="1"/>
      <w:marLeft w:val="0"/>
      <w:marRight w:val="0"/>
      <w:marTop w:val="0"/>
      <w:marBottom w:val="0"/>
      <w:divBdr>
        <w:top w:val="none" w:sz="0" w:space="0" w:color="auto"/>
        <w:left w:val="none" w:sz="0" w:space="0" w:color="auto"/>
        <w:bottom w:val="none" w:sz="0" w:space="0" w:color="auto"/>
        <w:right w:val="none" w:sz="0" w:space="0" w:color="auto"/>
      </w:divBdr>
    </w:div>
    <w:div w:id="927805699">
      <w:bodyDiv w:val="1"/>
      <w:marLeft w:val="0"/>
      <w:marRight w:val="0"/>
      <w:marTop w:val="0"/>
      <w:marBottom w:val="0"/>
      <w:divBdr>
        <w:top w:val="none" w:sz="0" w:space="0" w:color="auto"/>
        <w:left w:val="none" w:sz="0" w:space="0" w:color="auto"/>
        <w:bottom w:val="none" w:sz="0" w:space="0" w:color="auto"/>
        <w:right w:val="none" w:sz="0" w:space="0" w:color="auto"/>
      </w:divBdr>
    </w:div>
    <w:div w:id="12273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78892C98B868449327CFB8C8130573" ma:contentTypeVersion="12" ma:contentTypeDescription="Create a new document." ma:contentTypeScope="" ma:versionID="c32a0554c71752c60df61f6c1f4d60dc">
  <xsd:schema xmlns:xsd="http://www.w3.org/2001/XMLSchema" xmlns:xs="http://www.w3.org/2001/XMLSchema" xmlns:p="http://schemas.microsoft.com/office/2006/metadata/properties" xmlns:ns2="491fff8c-b0f7-4246-ad84-3a754cc6578c" xmlns:ns3="d830a163-2bd2-4904-a356-455e0fdb518a" targetNamespace="http://schemas.microsoft.com/office/2006/metadata/properties" ma:root="true" ma:fieldsID="cc3dccbaa35a70edcf86841d46e35b4c" ns2:_="" ns3:_="">
    <xsd:import namespace="491fff8c-b0f7-4246-ad84-3a754cc6578c"/>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fff8c-b0f7-4246-ad84-3a754cc6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AE15B-3F50-4831-81C7-C0ECC7F62424}">
  <ds:schemaRefs>
    <ds:schemaRef ds:uri="http://schemas.microsoft.com/sharepoint/v3/contenttype/forms"/>
  </ds:schemaRefs>
</ds:datastoreItem>
</file>

<file path=customXml/itemProps2.xml><?xml version="1.0" encoding="utf-8"?>
<ds:datastoreItem xmlns:ds="http://schemas.openxmlformats.org/officeDocument/2006/customXml" ds:itemID="{4907AF56-61F7-4612-B0E3-7C29F83E6F87}">
  <ds:schemaRefs>
    <ds:schemaRef ds:uri="http://schemas.microsoft.com/office/2006/documentManagement/types"/>
    <ds:schemaRef ds:uri="http://schemas.microsoft.com/office/infopath/2007/PartnerControls"/>
    <ds:schemaRef ds:uri="http://schemas.openxmlformats.org/package/2006/metadata/core-properties"/>
    <ds:schemaRef ds:uri="d830a163-2bd2-4904-a356-455e0fdb518a"/>
    <ds:schemaRef ds:uri="http://purl.org/dc/dcmitype/"/>
    <ds:schemaRef ds:uri="http://purl.org/dc/terms/"/>
    <ds:schemaRef ds:uri="http://www.w3.org/XML/1998/namespace"/>
    <ds:schemaRef ds:uri="491fff8c-b0f7-4246-ad84-3a754cc6578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A6D7ADC-D56A-404A-93C6-346732D5A9A0}">
  <ds:schemaRefs>
    <ds:schemaRef ds:uri="http://schemas.openxmlformats.org/officeDocument/2006/bibliography"/>
  </ds:schemaRefs>
</ds:datastoreItem>
</file>

<file path=customXml/itemProps4.xml><?xml version="1.0" encoding="utf-8"?>
<ds:datastoreItem xmlns:ds="http://schemas.openxmlformats.org/officeDocument/2006/customXml" ds:itemID="{3A24D39C-840D-47D5-B5FD-1AB14FB1B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fff8c-b0f7-4246-ad84-3a754cc6578c"/>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4888</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Prosus</vt:lpstr>
    </vt:vector>
  </TitlesOfParts>
  <Manager/>
  <Company/>
  <LinksUpToDate>false</LinksUpToDate>
  <CharactersWithSpaces>32691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Prosus</dc:title>
  <dc:subject/>
  <dc:creator>Nick Hanson</dc:creator>
  <cp:keywords/>
  <dc:description/>
  <cp:lastModifiedBy>Pieter Carnelley</cp:lastModifiedBy>
  <cp:revision>3</cp:revision>
  <cp:lastPrinted>2020-07-14T14:50:00Z</cp:lastPrinted>
  <dcterms:created xsi:type="dcterms:W3CDTF">2020-08-18T15:22:00Z</dcterms:created>
  <dcterms:modified xsi:type="dcterms:W3CDTF">2020-08-18T15:23:00Z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0x0101001E78892C98B868449327CFB8C8130573</vt:lpwstr>
  </property>
</Properties>
</file>