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2B" w:rsidRDefault="00F52C40">
      <w:pPr>
        <w:rPr>
          <w:rFonts w:ascii="Arial" w:hAnsi="Arial" w:cs="Arial"/>
          <w:b/>
          <w:bCs/>
          <w:color w:val="333333"/>
          <w:sz w:val="16"/>
          <w:szCs w:val="16"/>
          <w:lang w:val="en-US"/>
        </w:rPr>
      </w:pPr>
      <w:proofErr w:type="spellStart"/>
      <w:proofErr w:type="gramStart"/>
      <w:r w:rsidRPr="00F52C40">
        <w:rPr>
          <w:rFonts w:ascii="Arial" w:hAnsi="Arial" w:cs="Arial"/>
          <w:b/>
          <w:bCs/>
          <w:color w:val="333333"/>
          <w:sz w:val="16"/>
          <w:szCs w:val="16"/>
          <w:lang w:val="en-US"/>
        </w:rPr>
        <w:t>argenx</w:t>
      </w:r>
      <w:proofErr w:type="spellEnd"/>
      <w:proofErr w:type="gramEnd"/>
      <w:r w:rsidRPr="00F52C40">
        <w:rPr>
          <w:rFonts w:ascii="Arial" w:hAnsi="Arial" w:cs="Arial"/>
          <w:b/>
          <w:bCs/>
          <w:color w:val="333333"/>
          <w:sz w:val="16"/>
          <w:szCs w:val="16"/>
          <w:lang w:val="en-US"/>
        </w:rPr>
        <w:t xml:space="preserve"> announces data from Phase 1 study of </w:t>
      </w:r>
      <w:proofErr w:type="spellStart"/>
      <w:r w:rsidRPr="00F52C40">
        <w:rPr>
          <w:rFonts w:ascii="Arial" w:hAnsi="Arial" w:cs="Arial"/>
          <w:b/>
          <w:bCs/>
          <w:color w:val="333333"/>
          <w:sz w:val="16"/>
          <w:szCs w:val="16"/>
          <w:lang w:val="en-US"/>
        </w:rPr>
        <w:t>efgartigimod</w:t>
      </w:r>
      <w:proofErr w:type="spellEnd"/>
      <w:r w:rsidRPr="00F52C40">
        <w:rPr>
          <w:rFonts w:ascii="Arial" w:hAnsi="Arial" w:cs="Arial"/>
          <w:b/>
          <w:bCs/>
          <w:color w:val="333333"/>
          <w:sz w:val="16"/>
          <w:szCs w:val="16"/>
          <w:lang w:val="en-US"/>
        </w:rPr>
        <w:t xml:space="preserve"> (ARGX-113) subcutaneous formulation demonstrating comparable characteristics to intravenous formulation</w:t>
      </w:r>
    </w:p>
    <w:p w:rsidR="00F52C40" w:rsidRDefault="00F52C40">
      <w:pPr>
        <w:rPr>
          <w:rFonts w:ascii="Arial" w:hAnsi="Arial" w:cs="Arial"/>
          <w:b/>
          <w:bCs/>
          <w:color w:val="333333"/>
          <w:sz w:val="16"/>
          <w:szCs w:val="16"/>
          <w:lang w:val="en-US"/>
        </w:rPr>
      </w:pPr>
    </w:p>
    <w:p w:rsidR="00F52C40" w:rsidRDefault="00F52C40" w:rsidP="00F52C40">
      <w:pPr>
        <w:pStyle w:val="hugin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-          Subcutaneous formulation offers potential for increased patient convenience and acceptance -  </w:t>
      </w:r>
    </w:p>
    <w:p w:rsidR="00F52C40" w:rsidRDefault="00F52C40" w:rsidP="00F52C40">
      <w:pPr>
        <w:pStyle w:val="hugin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June 14, 2018</w:t>
      </w:r>
    </w:p>
    <w:p w:rsidR="00F52C40" w:rsidRDefault="00F52C40" w:rsidP="00F52C40">
      <w:pPr>
        <w:pStyle w:val="hugin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Breda, the Netherlands/Ghent, Belgium</w:t>
      </w:r>
      <w:r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argenx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(Euronext &amp; Nasdaq: ARGX), a clinical-stage biotechnology company developing a deep pipeline of differentiated antibody-based therapies for the treatment of severe autoimmune diseases and cancer, today announced results from its Phase 1 clinical trial evaluating a subcutaneous (SC) formulation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(ARGX-113) in healthy volunteers. The data show that at the same dose level the SC formulation was comparable across key measures, including half-life, pharmacodynamics and tolerability, to the intravenous (IV) formulation used in clinical studies to date.</w:t>
      </w:r>
    </w:p>
    <w:p w:rsidR="00F52C40" w:rsidRDefault="00F52C40" w:rsidP="00F52C40">
      <w:pPr>
        <w:pStyle w:val="hugin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argenx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intends to use the data from the Phase 1 study to further explore SC dosing schedules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as a more convenient administration option for patients, including the potential of a loading dose of IV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followed by SC maintenance. </w:t>
      </w:r>
    </w:p>
    <w:p w:rsidR="00F52C40" w:rsidRDefault="00F52C40" w:rsidP="00F52C40">
      <w:pPr>
        <w:pStyle w:val="hugin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"We believe the development of a SC formulation could offer a more tailored therapy by providing flexible dosing options and greater convenience for patients. With a SC formulation, we also plan to explore the potential for an off-the-shelf delivery system using a fine bore needle size to allow patients additional optionality around administration," said Keith Woods, Chief Operating Officer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argenx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"Based on the data presented today showing that SC dosing can maintain IgG suppression, we intend to further develop this product candidate within our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portfolio."</w:t>
      </w:r>
    </w:p>
    <w:p w:rsidR="00F52C40" w:rsidRDefault="00F52C40" w:rsidP="00F52C40">
      <w:pPr>
        <w:pStyle w:val="hugin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open-label, Phase 1 study enrolled 32 healthy volunteers and included three treatment arms: one each of single dose SC and IV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and one evaluating an IV induction followed by a SC maintenance dose. In the single dose treatment arms, the data showed the SC formulation to have comparable half-life, pharmacodynamics and tolerability to the IV formulation, and a bioavailability of approximately 50%. In addition, initial IV dosing followed by weekly 300 mg (2 ml) SC administration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provided sufficient exposure to maintain IgG suppression at a steady state IgG reduction of approximately 50%. The data also suggest a favorable tolerability profile and no meaningful anti-drug antibody signals were reported. The SC formulation supports key manufacturing improvements, including a high product concentration (150mg/ml), low viscosity and optimal stability.</w:t>
      </w:r>
    </w:p>
    <w:p w:rsidR="00F52C40" w:rsidRDefault="00F52C40" w:rsidP="00F52C40">
      <w:pPr>
        <w:pStyle w:val="hugin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About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Phase 2 Trials </w:t>
      </w:r>
      <w:r>
        <w:rPr>
          <w:rFonts w:ascii="Arial" w:hAnsi="Arial" w:cs="Arial"/>
          <w:sz w:val="20"/>
          <w:szCs w:val="20"/>
          <w:lang w:val="en-US"/>
        </w:rPr>
        <w:br/>
      </w:r>
      <w:proofErr w:type="spellStart"/>
      <w:r>
        <w:rPr>
          <w:rFonts w:ascii="Arial" w:hAnsi="Arial" w:cs="Arial"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is currently being tested in two Phase 2 clinical trials for immune thrombocytopenia (ITP) and pemphigus vulgaris (PV).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argenx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is also preparing for a potential Phase 3 clinical trial in myasthenia gravis (MG) using the IV formulation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In a Phase 2 clinical trial with MG patients, the IV formulation was well-tolerated and showed promising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pharmacodynamic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effects relating to speed, depth and duration of total IgG and pathogenic IgG reduction. </w:t>
      </w:r>
    </w:p>
    <w:p w:rsidR="00F52C40" w:rsidRDefault="00F52C40" w:rsidP="00F52C40">
      <w:pPr>
        <w:pStyle w:val="hugin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About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sz w:val="20"/>
          <w:szCs w:val="20"/>
          <w:lang w:val="en-US"/>
        </w:rPr>
        <w:br/>
      </w:r>
      <w:proofErr w:type="spellStart"/>
      <w:r>
        <w:rPr>
          <w:rFonts w:ascii="Arial" w:hAnsi="Arial" w:cs="Arial"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(ARGX-113) is an investigational therapy for IgG-mediated autoimmune diseases and was designed to exploit the natural interaction between IgG antibodies and the recycling receptor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FcRn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is the Fc-portion of an antibody that has been modified by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argenx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proprietary ABDEG(TM) technology to increase its affinity for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FcRn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beyond that of normal IgG antibodies. As a result,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blocks antibody recycling through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FcRn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binding and leads to fast depletion of the autoimmune disease-causing IgG autoantibodies. The development work on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is conducted in close collaboration with Prof. E. Sally Ward (University of Texas Southwestern Medical and Texas A&amp;M University Health Science Center, a part of Texas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A&amp;M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University (TAMHSC)).</w:t>
      </w:r>
    </w:p>
    <w:p w:rsidR="00F52C40" w:rsidRDefault="00F52C40" w:rsidP="00F52C40">
      <w:pPr>
        <w:pStyle w:val="hugin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About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argenx</w:t>
      </w:r>
      <w:proofErr w:type="spellEnd"/>
      <w:r>
        <w:rPr>
          <w:rFonts w:ascii="Arial" w:hAnsi="Arial" w:cs="Arial"/>
          <w:sz w:val="20"/>
          <w:szCs w:val="20"/>
          <w:lang w:val="en-US"/>
        </w:rPr>
        <w:br/>
      </w:r>
      <w:proofErr w:type="spellStart"/>
      <w:r>
        <w:rPr>
          <w:rFonts w:ascii="Arial" w:hAnsi="Arial" w:cs="Arial"/>
          <w:sz w:val="20"/>
          <w:szCs w:val="20"/>
          <w:lang w:val="en-US"/>
        </w:rPr>
        <w:t>argenx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is a clinical-stage biotechnology company developing a deep pipeline of differentiated antibody-based therapies for the treatment of severe auto-immune diseases and cancer. The </w:t>
      </w:r>
      <w:r>
        <w:rPr>
          <w:rFonts w:ascii="Arial" w:hAnsi="Arial" w:cs="Arial"/>
          <w:sz w:val="20"/>
          <w:szCs w:val="20"/>
          <w:lang w:val="en-US"/>
        </w:rPr>
        <w:lastRenderedPageBreak/>
        <w:t xml:space="preserve">company is focused on developing product candidates with the potential to be either first-in-class against novel targets or best-in-class against known, but complex, targets in order to treat diseases with a significant unmet medical need.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argenx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' ability to execute on this focus is enabled by its suite of differentiated technologies. The SIMPLE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Antibody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TM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Platform, based on the powerful llama immune system, allows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argenx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 exploit novel and complex targets, and the three antibody engineering technologies are designed to enable the expansion of the therapeutic index of the company's product candidates.  </w:t>
      </w:r>
    </w:p>
    <w:p w:rsidR="00F52C40" w:rsidRDefault="00F52C40" w:rsidP="00F52C40">
      <w:pPr>
        <w:pStyle w:val="hugin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www.argenx.com</w:t>
      </w:r>
    </w:p>
    <w:p w:rsidR="00F52C40" w:rsidRDefault="00F52C40" w:rsidP="00F52C40">
      <w:pPr>
        <w:pStyle w:val="hugin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For further information, please contact: </w:t>
      </w:r>
    </w:p>
    <w:p w:rsidR="00F52C40" w:rsidRDefault="00F52C40" w:rsidP="00F52C40">
      <w:pPr>
        <w:pStyle w:val="hugin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Joke Comijn, Director Corporate Communications &amp; Investor Relations (EU</w:t>
      </w:r>
      <w:proofErr w:type="gramStart"/>
      <w:r>
        <w:rPr>
          <w:rFonts w:ascii="Arial" w:hAnsi="Arial" w:cs="Arial"/>
          <w:sz w:val="20"/>
          <w:szCs w:val="20"/>
          <w:lang w:val="en-US"/>
        </w:rPr>
        <w:t>)</w:t>
      </w:r>
      <w:proofErr w:type="gramEnd"/>
      <w:r>
        <w:rPr>
          <w:rFonts w:ascii="Arial" w:hAnsi="Arial" w:cs="Arial"/>
          <w:sz w:val="20"/>
          <w:szCs w:val="20"/>
          <w:lang w:val="en-US"/>
        </w:rPr>
        <w:br/>
        <w:t>+32 (0)477 77 29 44</w:t>
      </w:r>
      <w:r>
        <w:rPr>
          <w:rFonts w:ascii="Arial" w:hAnsi="Arial" w:cs="Arial"/>
          <w:sz w:val="20"/>
          <w:szCs w:val="20"/>
          <w:lang w:val="en-US"/>
        </w:rPr>
        <w:br/>
        <w:t>+32 (0)9 310 34 19</w:t>
      </w:r>
      <w:r>
        <w:rPr>
          <w:rFonts w:ascii="Arial" w:hAnsi="Arial" w:cs="Arial"/>
          <w:sz w:val="20"/>
          <w:szCs w:val="20"/>
          <w:lang w:val="en-US"/>
        </w:rPr>
        <w:br/>
        <w:t xml:space="preserve">info@argenx.com </w:t>
      </w:r>
    </w:p>
    <w:p w:rsidR="00F52C40" w:rsidRDefault="00F52C40" w:rsidP="00F52C40">
      <w:pPr>
        <w:pStyle w:val="hugin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DelGiacco</w:t>
      </w:r>
      <w:proofErr w:type="spellEnd"/>
      <w:r>
        <w:rPr>
          <w:rFonts w:ascii="Arial" w:hAnsi="Arial" w:cs="Arial"/>
          <w:sz w:val="20"/>
          <w:szCs w:val="20"/>
          <w:lang w:val="en-US"/>
        </w:rPr>
        <w:t>, VP Investor Relations (US</w:t>
      </w:r>
      <w:proofErr w:type="gramStart"/>
      <w:r>
        <w:rPr>
          <w:rFonts w:ascii="Arial" w:hAnsi="Arial" w:cs="Arial"/>
          <w:sz w:val="20"/>
          <w:szCs w:val="20"/>
          <w:lang w:val="en-US"/>
        </w:rPr>
        <w:t>)</w:t>
      </w:r>
      <w:proofErr w:type="gramEnd"/>
      <w:r>
        <w:rPr>
          <w:rFonts w:ascii="Arial" w:hAnsi="Arial" w:cs="Arial"/>
          <w:sz w:val="20"/>
          <w:szCs w:val="20"/>
          <w:lang w:val="en-US"/>
        </w:rPr>
        <w:br/>
        <w:t>+1 518 424 4980</w:t>
      </w:r>
      <w:r>
        <w:rPr>
          <w:rFonts w:ascii="Arial" w:hAnsi="Arial" w:cs="Arial"/>
          <w:sz w:val="20"/>
          <w:szCs w:val="20"/>
          <w:lang w:val="en-US"/>
        </w:rPr>
        <w:br/>
        <w:t xml:space="preserve">bdelgiacco@argenx.com </w:t>
      </w:r>
    </w:p>
    <w:p w:rsidR="00F52C40" w:rsidRDefault="00F52C40" w:rsidP="00F52C40">
      <w:pPr>
        <w:pStyle w:val="hugin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Forward-looking Statements</w:t>
      </w:r>
    </w:p>
    <w:p w:rsidR="00F52C40" w:rsidRDefault="00F52C40" w:rsidP="00F52C40">
      <w:pPr>
        <w:pStyle w:val="hugin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The contents of this announcement include statements that are, or may be deemed to be, "forward-looking statements." These forward-looking statements can be identified by the use of forward-looking terminology, including the terms "believes," "estimates," "anticipates," "expects," "intends," "may," "will," or "should," and include statements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argenx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makes concerning the intended results of its strategy and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argenx's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advancement of, and anticipated clinical development and regulatory milestones and plans, including the Phase 1 program to evaluate a subcutaneous formulation of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(including additional dosing schedules), including its potential manufacturing characteristics and convenience of administration; the progress of its Phase 2 clinical trials of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in ITP and PV; the potential of a Phase 3 clinical trial of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in MG; the timing of expected data readouts related to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; and the commercial potential of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efgartigimod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By their nature, forward-looking statements involve risks and uncertainties and readers are cautioned that any such forward-looking statements are not guarantees of future performance.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argenx's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actual results may differ materially from those predicted by the forward-looking statements as a result of various important factors, including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argenx's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expectations regarding its the inherent uncertainties associated with competitive developments, preclinical and clinical trial and product development activities and regulatory approval requirements;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argenx's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reliance on collaborations with third parties; estimating the commercial potential of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argenx's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product candidates;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argenx's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ability to obtain and maintain protection of intellectual property for its technologies and drugs;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argenx's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limited operating history; and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argenx's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ability to obtain additional funding for operations and to complete the development and commercialization of its product candidates. A further list and description of these risks, uncertainties and other risks can be found in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argenx's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U.S. Securities and Exchange Commission (SEC) filings and reports, including in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argenx's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most recent annual report on Form 20-F filed with the SEC as well as subsequent filings and reports filed by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argenx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with the SEC. Given these uncertainties, the reader is advised not to place any undue reliance on such forward-looking statements. These forward-looking statements speak only as of the date of publication of this document.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argenx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undertakes no obligation to publicly update or revise the information in this press release, including any forward-looking statements, except as may be required by law.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52C40" w:rsidRPr="00F52C40" w:rsidRDefault="00F52C40">
      <w:pPr>
        <w:rPr>
          <w:lang w:val="en-US"/>
        </w:rPr>
      </w:pPr>
      <w:bookmarkStart w:id="0" w:name="_GoBack"/>
      <w:bookmarkEnd w:id="0"/>
    </w:p>
    <w:sectPr w:rsidR="00F52C40" w:rsidRPr="00F52C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40"/>
    <w:rsid w:val="00E6712B"/>
    <w:rsid w:val="00F5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gin">
    <w:name w:val="hugin"/>
    <w:basedOn w:val="Normal"/>
    <w:rsid w:val="00F5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gin">
    <w:name w:val="hugin"/>
    <w:basedOn w:val="Normal"/>
    <w:rsid w:val="00F5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Ringailė Rinkūnaitė</dc:creator>
  <cp:lastModifiedBy>Ringailė Rinkūnaitė</cp:lastModifiedBy>
  <cp:revision>1</cp:revision>
  <dcterms:created xsi:type="dcterms:W3CDTF">2018-06-14T05:03:00Z</dcterms:created>
  <dcterms:modified xsi:type="dcterms:W3CDTF">2018-06-14T05:04:00Z</dcterms:modified>
</cp:coreProperties>
</file>