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5B016B" w:rsidRDefault="003F2DFC">
      <w:pPr>
        <w:pBdr>
          <w:top w:val="nil"/>
          <w:left w:val="nil"/>
          <w:bottom w:val="nil"/>
          <w:right w:val="nil"/>
          <w:between w:val="nil"/>
        </w:pBdr>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Disclosure of an inside information</w:t>
      </w:r>
    </w:p>
    <w:p w14:paraId="00000002" w14:textId="77777777" w:rsidR="005B016B" w:rsidRDefault="003F2DFC">
      <w:pPr>
        <w:pBdr>
          <w:top w:val="nil"/>
          <w:left w:val="nil"/>
          <w:bottom w:val="nil"/>
          <w:right w:val="nil"/>
          <w:between w:val="nil"/>
        </w:pBdr>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according to Article 17 EU Market Abuse Regulation (MAR)</w:t>
      </w:r>
    </w:p>
    <w:p w14:paraId="00000003" w14:textId="77777777" w:rsidR="005B016B" w:rsidRDefault="005B016B">
      <w:pPr>
        <w:pBdr>
          <w:top w:val="nil"/>
          <w:left w:val="nil"/>
          <w:bottom w:val="nil"/>
          <w:right w:val="nil"/>
          <w:between w:val="nil"/>
        </w:pBdr>
        <w:jc w:val="center"/>
        <w:rPr>
          <w:rFonts w:ascii="Helvetica Neue" w:eastAsia="Helvetica Neue" w:hAnsi="Helvetica Neue" w:cs="Helvetica Neue"/>
          <w:b/>
          <w:sz w:val="20"/>
          <w:szCs w:val="20"/>
        </w:rPr>
      </w:pPr>
    </w:p>
    <w:p w14:paraId="00000004" w14:textId="77777777" w:rsidR="005B016B" w:rsidRDefault="003F2DFC">
      <w:pPr>
        <w:pBdr>
          <w:top w:val="nil"/>
          <w:left w:val="nil"/>
          <w:bottom w:val="nil"/>
          <w:right w:val="nil"/>
          <w:between w:val="nil"/>
        </w:pBdr>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FYBER N.V.</w:t>
      </w:r>
    </w:p>
    <w:p w14:paraId="00000005" w14:textId="77777777" w:rsidR="005B016B" w:rsidRDefault="005B016B">
      <w:pPr>
        <w:pBdr>
          <w:top w:val="nil"/>
          <w:left w:val="nil"/>
          <w:bottom w:val="nil"/>
          <w:right w:val="nil"/>
          <w:between w:val="nil"/>
        </w:pBdr>
        <w:jc w:val="center"/>
        <w:rPr>
          <w:rFonts w:ascii="Helvetica Neue" w:eastAsia="Helvetica Neue" w:hAnsi="Helvetica Neue" w:cs="Helvetica Neue"/>
          <w:b/>
          <w:sz w:val="20"/>
          <w:szCs w:val="20"/>
        </w:rPr>
      </w:pPr>
    </w:p>
    <w:p w14:paraId="00000006" w14:textId="77777777" w:rsidR="005B016B" w:rsidRDefault="003F2DFC">
      <w:pPr>
        <w:pBdr>
          <w:top w:val="nil"/>
          <w:left w:val="nil"/>
          <w:bottom w:val="nil"/>
          <w:right w:val="nil"/>
          <w:between w:val="nil"/>
        </w:pBdr>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Guidance update for full year 2019</w:t>
      </w:r>
    </w:p>
    <w:p w14:paraId="00000007" w14:textId="77777777" w:rsidR="005B016B" w:rsidRDefault="005B016B">
      <w:pPr>
        <w:rPr>
          <w:rFonts w:ascii="Helvetica Neue" w:eastAsia="Helvetica Neue" w:hAnsi="Helvetica Neue" w:cs="Helvetica Neue"/>
          <w:b/>
          <w:sz w:val="20"/>
          <w:szCs w:val="20"/>
        </w:rPr>
      </w:pPr>
    </w:p>
    <w:p w14:paraId="00000008" w14:textId="6477B018" w:rsidR="005B016B" w:rsidRDefault="003F2DFC">
      <w:pPr>
        <w:jc w:val="both"/>
        <w:rPr>
          <w:rFonts w:ascii="Helvetica Neue Light" w:eastAsia="Helvetica Neue Light" w:hAnsi="Helvetica Neue Light" w:cs="Helvetica Neue Light"/>
          <w:sz w:val="20"/>
          <w:szCs w:val="20"/>
        </w:rPr>
      </w:pPr>
      <w:r>
        <w:rPr>
          <w:rFonts w:ascii="Helvetica Neue" w:eastAsia="Helvetica Neue" w:hAnsi="Helvetica Neue" w:cs="Helvetica Neue"/>
          <w:b/>
          <w:sz w:val="20"/>
          <w:szCs w:val="20"/>
        </w:rPr>
        <w:t>Berlin, 22</w:t>
      </w:r>
      <w:bookmarkStart w:id="0" w:name="_GoBack"/>
      <w:bookmarkEnd w:id="0"/>
      <w:r>
        <w:rPr>
          <w:rFonts w:ascii="Helvetica Neue" w:eastAsia="Helvetica Neue" w:hAnsi="Helvetica Neue" w:cs="Helvetica Neue"/>
          <w:b/>
          <w:sz w:val="20"/>
          <w:szCs w:val="20"/>
        </w:rPr>
        <w:t xml:space="preserve"> August 2019 - </w:t>
      </w:r>
      <w:proofErr w:type="spellStart"/>
      <w:r>
        <w:rPr>
          <w:rFonts w:ascii="Helvetica Neue" w:eastAsia="Helvetica Neue" w:hAnsi="Helvetica Neue" w:cs="Helvetica Neue"/>
          <w:b/>
          <w:sz w:val="20"/>
          <w:szCs w:val="20"/>
        </w:rPr>
        <w:t>Fyber</w:t>
      </w:r>
      <w:proofErr w:type="spellEnd"/>
      <w:r>
        <w:rPr>
          <w:rFonts w:ascii="Helvetica Neue" w:eastAsia="Helvetica Neue" w:hAnsi="Helvetica Neue" w:cs="Helvetica Neue"/>
          <w:b/>
          <w:sz w:val="20"/>
          <w:szCs w:val="20"/>
        </w:rPr>
        <w:t xml:space="preserve"> N.V. (“</w:t>
      </w:r>
      <w:proofErr w:type="spellStart"/>
      <w:r>
        <w:rPr>
          <w:rFonts w:ascii="Helvetica Neue" w:eastAsia="Helvetica Neue" w:hAnsi="Helvetica Neue" w:cs="Helvetica Neue"/>
          <w:b/>
          <w:sz w:val="20"/>
          <w:szCs w:val="20"/>
        </w:rPr>
        <w:t>Fyber</w:t>
      </w:r>
      <w:proofErr w:type="spellEnd"/>
      <w:r>
        <w:rPr>
          <w:rFonts w:ascii="Helvetica Neue" w:eastAsia="Helvetica Neue" w:hAnsi="Helvetica Neue" w:cs="Helvetica Neue"/>
          <w:b/>
          <w:sz w:val="20"/>
          <w:szCs w:val="20"/>
        </w:rPr>
        <w:t>” or the “Company”, FSE:FBEN)</w:t>
      </w:r>
      <w:r>
        <w:rPr>
          <w:rFonts w:ascii="Helvetica Neue Light" w:eastAsia="Helvetica Neue Light" w:hAnsi="Helvetica Neue Light" w:cs="Helvetica Neue Light"/>
          <w:sz w:val="20"/>
          <w:szCs w:val="20"/>
        </w:rPr>
        <w:t xml:space="preserve"> is announcing a change to its revenue and adjusted EBITDA guidance for 2019. The change comes mainly as a result of the decline in revenue stemming from the Offer Wall ad format, the biggest co</w:t>
      </w:r>
      <w:r>
        <w:rPr>
          <w:rFonts w:ascii="Helvetica Neue Light" w:eastAsia="Helvetica Neue Light" w:hAnsi="Helvetica Neue Light" w:cs="Helvetica Neue Light"/>
          <w:sz w:val="20"/>
          <w:szCs w:val="20"/>
        </w:rPr>
        <w:t xml:space="preserve">ntributor to </w:t>
      </w:r>
      <w:proofErr w:type="spellStart"/>
      <w:r>
        <w:rPr>
          <w:rFonts w:ascii="Helvetica Neue Light" w:eastAsia="Helvetica Neue Light" w:hAnsi="Helvetica Neue Light" w:cs="Helvetica Neue Light"/>
          <w:sz w:val="20"/>
          <w:szCs w:val="20"/>
        </w:rPr>
        <w:t>Fyber’s</w:t>
      </w:r>
      <w:proofErr w:type="spellEnd"/>
      <w:r>
        <w:rPr>
          <w:rFonts w:ascii="Helvetica Neue Light" w:eastAsia="Helvetica Neue Light" w:hAnsi="Helvetica Neue Light" w:cs="Helvetica Neue Light"/>
          <w:sz w:val="20"/>
          <w:szCs w:val="20"/>
        </w:rPr>
        <w:t xml:space="preserve"> non-programmatic business. The decrease results from a recent change in Apple's App Store policies banning app install ad campaigns within the Offer Wall format for apps published through their store. The ban went into effect in the co</w:t>
      </w:r>
      <w:r>
        <w:rPr>
          <w:rFonts w:ascii="Helvetica Neue Light" w:eastAsia="Helvetica Neue Light" w:hAnsi="Helvetica Neue Light" w:cs="Helvetica Neue Light"/>
          <w:sz w:val="20"/>
          <w:szCs w:val="20"/>
        </w:rPr>
        <w:t>urse of the first half of 2019. Furthermore, although the core programmatic business with existing clients is in line with yearly expectations, the Company experienced delays in the ramp up of business with new clients during the first half of the year.</w:t>
      </w:r>
    </w:p>
    <w:p w14:paraId="00000009" w14:textId="77777777" w:rsidR="005B016B" w:rsidRDefault="005B016B">
      <w:pPr>
        <w:spacing w:line="240" w:lineRule="auto"/>
        <w:jc w:val="both"/>
        <w:rPr>
          <w:b/>
          <w:sz w:val="20"/>
          <w:szCs w:val="20"/>
        </w:rPr>
      </w:pPr>
      <w:bookmarkStart w:id="1" w:name="_26in1rg" w:colFirst="0" w:colLast="0"/>
      <w:bookmarkEnd w:id="1"/>
    </w:p>
    <w:p w14:paraId="0000000A" w14:textId="77777777" w:rsidR="005B016B" w:rsidRDefault="003F2DFC">
      <w:pPr>
        <w:jc w:val="both"/>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A</w:t>
      </w:r>
      <w:r>
        <w:rPr>
          <w:rFonts w:ascii="Helvetica Neue Light" w:eastAsia="Helvetica Neue Light" w:hAnsi="Helvetica Neue Light" w:cs="Helvetica Neue Light"/>
          <w:sz w:val="20"/>
          <w:szCs w:val="20"/>
        </w:rPr>
        <w:t>s a result of both the external and internal factors, the Company is updating the previously communicated revenue guidance from €155 to €175 million to a range of €130 to €135 million for the full year 2019. Despite the change in revenue outlook, the Compa</w:t>
      </w:r>
      <w:r>
        <w:rPr>
          <w:rFonts w:ascii="Helvetica Neue Light" w:eastAsia="Helvetica Neue Light" w:hAnsi="Helvetica Neue Light" w:cs="Helvetica Neue Light"/>
          <w:sz w:val="20"/>
          <w:szCs w:val="20"/>
        </w:rPr>
        <w:t>ny still expects to achieve an adjusted EBITDA above break-even (previously: break-even to €5 million) largely based on the Company’s careful management of cost and resource allocation and realized cost saving initiatives.</w:t>
      </w:r>
    </w:p>
    <w:p w14:paraId="0000000B" w14:textId="77777777" w:rsidR="005B016B" w:rsidRDefault="005B016B">
      <w:pPr>
        <w:jc w:val="both"/>
        <w:rPr>
          <w:rFonts w:ascii="Helvetica Neue Light" w:eastAsia="Helvetica Neue Light" w:hAnsi="Helvetica Neue Light" w:cs="Helvetica Neue Light"/>
          <w:sz w:val="20"/>
          <w:szCs w:val="20"/>
        </w:rPr>
      </w:pPr>
    </w:p>
    <w:p w14:paraId="0000000C" w14:textId="77777777" w:rsidR="005B016B" w:rsidRDefault="003F2DFC">
      <w:pPr>
        <w:jc w:val="both"/>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Further details will be provided</w:t>
      </w:r>
      <w:r>
        <w:rPr>
          <w:rFonts w:ascii="Helvetica Neue Light" w:eastAsia="Helvetica Neue Light" w:hAnsi="Helvetica Neue Light" w:cs="Helvetica Neue Light"/>
          <w:sz w:val="20"/>
          <w:szCs w:val="20"/>
        </w:rPr>
        <w:t xml:space="preserve"> with the release of the interim financial statements for the first half of 2019 on 28 August 2019.</w:t>
      </w:r>
    </w:p>
    <w:p w14:paraId="0000000D" w14:textId="77777777" w:rsidR="005B016B" w:rsidRDefault="005B016B">
      <w:pPr>
        <w:jc w:val="both"/>
        <w:rPr>
          <w:rFonts w:ascii="Helvetica Neue Light" w:eastAsia="Helvetica Neue Light" w:hAnsi="Helvetica Neue Light" w:cs="Helvetica Neue Light"/>
          <w:sz w:val="20"/>
          <w:szCs w:val="20"/>
        </w:rPr>
      </w:pPr>
    </w:p>
    <w:p w14:paraId="0000000E" w14:textId="77777777" w:rsidR="005B016B" w:rsidRDefault="005B016B">
      <w:pPr>
        <w:jc w:val="both"/>
        <w:rPr>
          <w:rFonts w:ascii="Helvetica Neue Light" w:eastAsia="Helvetica Neue Light" w:hAnsi="Helvetica Neue Light" w:cs="Helvetica Neue Light"/>
          <w:sz w:val="20"/>
          <w:szCs w:val="20"/>
        </w:rPr>
      </w:pPr>
    </w:p>
    <w:p w14:paraId="0000000F" w14:textId="77777777" w:rsidR="005B016B" w:rsidRDefault="003F2DFC">
      <w:pPr>
        <w:pBdr>
          <w:top w:val="nil"/>
          <w:left w:val="nil"/>
          <w:bottom w:val="nil"/>
          <w:right w:val="nil"/>
          <w:between w:val="nil"/>
        </w:pBdr>
        <w:rPr>
          <w:rFonts w:ascii="Helvetica Neue" w:eastAsia="Helvetica Neue" w:hAnsi="Helvetica Neue" w:cs="Helvetica Neue"/>
          <w:b/>
          <w:sz w:val="20"/>
          <w:szCs w:val="20"/>
        </w:rPr>
      </w:pPr>
      <w:r>
        <w:rPr>
          <w:rFonts w:ascii="Helvetica Neue" w:eastAsia="Helvetica Neue" w:hAnsi="Helvetica Neue" w:cs="Helvetica Neue"/>
          <w:b/>
          <w:sz w:val="20"/>
          <w:szCs w:val="20"/>
        </w:rPr>
        <w:t>Notifying person</w:t>
      </w:r>
    </w:p>
    <w:p w14:paraId="00000010" w14:textId="77777777" w:rsidR="005B016B" w:rsidRDefault="003F2DFC">
      <w:pPr>
        <w:rPr>
          <w:rFonts w:ascii="Helvetica Neue Light" w:eastAsia="Helvetica Neue Light" w:hAnsi="Helvetica Neue Light" w:cs="Helvetica Neue Light"/>
          <w:sz w:val="20"/>
          <w:szCs w:val="20"/>
        </w:rPr>
      </w:pPr>
      <w:proofErr w:type="spellStart"/>
      <w:r>
        <w:rPr>
          <w:rFonts w:ascii="Helvetica Neue Light" w:eastAsia="Helvetica Neue Light" w:hAnsi="Helvetica Neue Light" w:cs="Helvetica Neue Light"/>
          <w:sz w:val="20"/>
          <w:szCs w:val="20"/>
        </w:rPr>
        <w:t>Yaron</w:t>
      </w:r>
      <w:proofErr w:type="spellEnd"/>
      <w:r>
        <w:rPr>
          <w:rFonts w:ascii="Helvetica Neue Light" w:eastAsia="Helvetica Neue Light" w:hAnsi="Helvetica Neue Light" w:cs="Helvetica Neue Light"/>
          <w:sz w:val="20"/>
          <w:szCs w:val="20"/>
        </w:rPr>
        <w:t xml:space="preserve"> </w:t>
      </w:r>
      <w:proofErr w:type="spellStart"/>
      <w:r>
        <w:rPr>
          <w:rFonts w:ascii="Helvetica Neue Light" w:eastAsia="Helvetica Neue Light" w:hAnsi="Helvetica Neue Light" w:cs="Helvetica Neue Light"/>
          <w:sz w:val="20"/>
          <w:szCs w:val="20"/>
        </w:rPr>
        <w:t>Zaltsman</w:t>
      </w:r>
      <w:proofErr w:type="spellEnd"/>
      <w:r>
        <w:rPr>
          <w:rFonts w:ascii="Helvetica Neue Light" w:eastAsia="Helvetica Neue Light" w:hAnsi="Helvetica Neue Light" w:cs="Helvetica Neue Light"/>
          <w:sz w:val="20"/>
          <w:szCs w:val="20"/>
        </w:rPr>
        <w:t xml:space="preserve">, CFO </w:t>
      </w:r>
    </w:p>
    <w:p w14:paraId="00000011" w14:textId="77777777" w:rsidR="005B016B" w:rsidRDefault="005B016B">
      <w:pPr>
        <w:rPr>
          <w:sz w:val="20"/>
          <w:szCs w:val="20"/>
        </w:rPr>
      </w:pPr>
    </w:p>
    <w:p w14:paraId="00000012" w14:textId="77777777" w:rsidR="005B016B" w:rsidRDefault="003F2DFC">
      <w:pPr>
        <w:rPr>
          <w:b/>
          <w:sz w:val="20"/>
          <w:szCs w:val="20"/>
        </w:rPr>
      </w:pPr>
      <w:r>
        <w:rPr>
          <w:rFonts w:ascii="Helvetica Neue" w:eastAsia="Helvetica Neue" w:hAnsi="Helvetica Neue" w:cs="Helvetica Neue"/>
          <w:b/>
          <w:sz w:val="20"/>
          <w:szCs w:val="20"/>
        </w:rPr>
        <w:t xml:space="preserve">Investor Contact </w:t>
      </w:r>
    </w:p>
    <w:p w14:paraId="00000013" w14:textId="77777777" w:rsidR="005B016B" w:rsidRPr="003F2DFC" w:rsidRDefault="003F2DFC">
      <w:pPr>
        <w:rPr>
          <w:rFonts w:ascii="Helvetica Neue Light" w:eastAsia="Helvetica Neue Light" w:hAnsi="Helvetica Neue Light" w:cs="Helvetica Neue Light"/>
          <w:sz w:val="20"/>
          <w:szCs w:val="20"/>
          <w:lang w:val="de-DE"/>
        </w:rPr>
      </w:pPr>
      <w:r w:rsidRPr="003F2DFC">
        <w:rPr>
          <w:rFonts w:ascii="Helvetica Neue Light" w:eastAsia="Helvetica Neue Light" w:hAnsi="Helvetica Neue Light" w:cs="Helvetica Neue Light"/>
          <w:sz w:val="20"/>
          <w:szCs w:val="20"/>
          <w:lang w:val="de-DE"/>
        </w:rPr>
        <w:t xml:space="preserve">Sabrina </w:t>
      </w:r>
      <w:proofErr w:type="spellStart"/>
      <w:r w:rsidRPr="003F2DFC">
        <w:rPr>
          <w:rFonts w:ascii="Helvetica Neue Light" w:eastAsia="Helvetica Neue Light" w:hAnsi="Helvetica Neue Light" w:cs="Helvetica Neue Light"/>
          <w:sz w:val="20"/>
          <w:szCs w:val="20"/>
          <w:lang w:val="de-DE"/>
        </w:rPr>
        <w:t>Kassmannhuber</w:t>
      </w:r>
      <w:proofErr w:type="spellEnd"/>
      <w:r w:rsidRPr="003F2DFC">
        <w:rPr>
          <w:rFonts w:ascii="Helvetica Neue Light" w:eastAsia="Helvetica Neue Light" w:hAnsi="Helvetica Neue Light" w:cs="Helvetica Neue Light"/>
          <w:sz w:val="20"/>
          <w:szCs w:val="20"/>
          <w:lang w:val="de-DE"/>
        </w:rPr>
        <w:t xml:space="preserve"> </w:t>
      </w:r>
    </w:p>
    <w:p w14:paraId="00000014" w14:textId="77777777" w:rsidR="005B016B" w:rsidRPr="003F2DFC" w:rsidRDefault="003F2DFC">
      <w:pPr>
        <w:rPr>
          <w:rFonts w:ascii="Helvetica Neue Light" w:eastAsia="Helvetica Neue Light" w:hAnsi="Helvetica Neue Light" w:cs="Helvetica Neue Light"/>
          <w:sz w:val="20"/>
          <w:szCs w:val="20"/>
          <w:lang w:val="de-DE"/>
        </w:rPr>
      </w:pPr>
      <w:r w:rsidRPr="003F2DFC">
        <w:rPr>
          <w:rFonts w:ascii="Helvetica Neue Light" w:eastAsia="Helvetica Neue Light" w:hAnsi="Helvetica Neue Light" w:cs="Helvetica Neue Light"/>
          <w:sz w:val="20"/>
          <w:szCs w:val="20"/>
          <w:lang w:val="de-DE"/>
        </w:rPr>
        <w:t xml:space="preserve">ir@fyber.com </w:t>
      </w:r>
    </w:p>
    <w:p w14:paraId="00000015" w14:textId="77777777" w:rsidR="005B016B" w:rsidRPr="003F2DFC" w:rsidRDefault="003F2DFC">
      <w:pPr>
        <w:rPr>
          <w:rFonts w:ascii="Helvetica Neue Light" w:eastAsia="Helvetica Neue Light" w:hAnsi="Helvetica Neue Light" w:cs="Helvetica Neue Light"/>
          <w:sz w:val="20"/>
          <w:szCs w:val="20"/>
          <w:lang w:val="de-DE"/>
        </w:rPr>
      </w:pPr>
      <w:r w:rsidRPr="003F2DFC">
        <w:rPr>
          <w:rFonts w:ascii="Helvetica Neue Light" w:eastAsia="Helvetica Neue Light" w:hAnsi="Helvetica Neue Light" w:cs="Helvetica Neue Light"/>
          <w:sz w:val="20"/>
          <w:szCs w:val="20"/>
          <w:lang w:val="de-DE"/>
        </w:rPr>
        <w:t xml:space="preserve">+49 30 609 855 555 </w:t>
      </w:r>
    </w:p>
    <w:sectPr w:rsidR="005B016B" w:rsidRPr="003F2DFC">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Helvetica Neue Light">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16B"/>
    <w:rsid w:val="003F2DFC"/>
    <w:rsid w:val="005B016B"/>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22E6"/>
  <w15:docId w15:val="{8747569B-1F7F-49FC-A235-97E35073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Wrodnigg-Fladischer</dc:creator>
  <cp:lastModifiedBy>Verena Wrodnigg-Fladischer</cp:lastModifiedBy>
  <cp:revision>2</cp:revision>
  <dcterms:created xsi:type="dcterms:W3CDTF">2019-08-22T15:00:00Z</dcterms:created>
  <dcterms:modified xsi:type="dcterms:W3CDTF">2019-08-22T15:00:00Z</dcterms:modified>
</cp:coreProperties>
</file>